
<file path=[Content_Types].xml><?xml version="1.0" encoding="utf-8"?>
<Types xmlns="http://schemas.openxmlformats.org/package/2006/content-types">
  <Default Extension="xml" ContentType="application/xml"/>
  <Default Extension="jpeg" ContentType="image/jpeg"/>
  <Default Extension="jpg" ContentType="image/jpeg"/>
  <Default Extension="emf" ContentType="image/x-emf"/>
  <Default Extension="rels" ContentType="application/vnd.openxmlformats-package.relationships+xml"/>
  <Default Extension="png" ContentType="image/png"/>
  <Default Extension="wmf" ContentType="image/x-wm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header3.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4.xml" ContentType="application/vnd.openxmlformats-officedocument.wordprocessingml.header+xml"/>
  <Override PartName="/word/footer7.xml" ContentType="application/vnd.openxmlformats-officedocument.wordprocessingml.footer+xml"/>
  <Override PartName="/word/header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people.xml" ContentType="application/vnd.openxmlformats-officedocument.wordprocessingml.people+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4" Type="http://schemas.openxmlformats.org/officeDocument/2006/relationships/custom-properties" Target="docProps/custom.xml"/><Relationship Id="rId1" Type="http://schemas.openxmlformats.org/officeDocument/2006/relationships/officeDocument" Target="word/document.xml"/><Relationship Id="rId2" Type="http://schemas.openxmlformats.org/package/2006/relationships/metadata/core-properties" Target="docProps/core.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C372015" w14:textId="77777777" w:rsidR="003A2BE1" w:rsidRDefault="003A2BE1" w:rsidP="00152811">
      <w:pPr>
        <w:ind w:firstLine="426"/>
      </w:pPr>
    </w:p>
    <w:p w14:paraId="562B2D06" w14:textId="2EC3E452" w:rsidR="00252316" w:rsidRDefault="00553522" w:rsidP="00152811">
      <w:pPr>
        <w:ind w:firstLine="426"/>
      </w:pPr>
      <w:r>
        <w:rPr>
          <w:noProof/>
        </w:rPr>
        <w:drawing>
          <wp:inline distT="0" distB="0" distL="0" distR="0" wp14:anchorId="2C1AE798" wp14:editId="3080DBEC">
            <wp:extent cx="5089907" cy="917363"/>
            <wp:effectExtent l="0" t="0" r="0" b="0"/>
            <wp:docPr id="2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pic:nvPicPr>
                  <pic:blipFill>
                    <a:blip r:embed="rId12">
                      <a:extLst>
                        <a:ext uri="{28A0092B-C50C-407E-A947-70E740481C1C}">
                          <a14:useLocalDpi xmlns:a14="http://schemas.microsoft.com/office/drawing/2010/main" val="0"/>
                        </a:ext>
                      </a:extLst>
                    </a:blip>
                    <a:stretch>
                      <a:fillRect/>
                    </a:stretch>
                  </pic:blipFill>
                  <pic:spPr>
                    <a:xfrm>
                      <a:off x="0" y="0"/>
                      <a:ext cx="5089907" cy="917363"/>
                    </a:xfrm>
                    <a:prstGeom prst="rect">
                      <a:avLst/>
                    </a:prstGeom>
                  </pic:spPr>
                </pic:pic>
              </a:graphicData>
            </a:graphic>
          </wp:inline>
        </w:drawing>
      </w:r>
    </w:p>
    <w:p w14:paraId="4CB01398" w14:textId="77777777" w:rsidR="00252316" w:rsidRDefault="00252316"/>
    <w:p w14:paraId="6F4F3B77" w14:textId="77777777" w:rsidR="00252316" w:rsidRPr="00440924" w:rsidRDefault="00252316" w:rsidP="00887DF4"/>
    <w:p w14:paraId="558496E9" w14:textId="5A9E5A9C" w:rsidR="00003105" w:rsidRPr="00D17706" w:rsidRDefault="00003105" w:rsidP="00CE4A44">
      <w:pPr>
        <w:jc w:val="center"/>
        <w:rPr>
          <w:b/>
          <w:bCs/>
        </w:rPr>
      </w:pPr>
      <w:r w:rsidRPr="00D17706">
        <w:rPr>
          <w:b/>
          <w:bCs/>
        </w:rPr>
        <w:t>SPINEWAY</w:t>
      </w:r>
    </w:p>
    <w:p w14:paraId="241A2852" w14:textId="228E55CB" w:rsidR="00093436" w:rsidRDefault="00CE4A44" w:rsidP="00093436">
      <w:pPr>
        <w:jc w:val="center"/>
        <w:rPr>
          <w:rFonts w:ascii="∞Ûø˜AÍ" w:hAnsi="∞Ûø˜AÍ" w:cs="∞Ûø˜AÍ"/>
        </w:rPr>
      </w:pPr>
      <w:r>
        <w:t xml:space="preserve">Société anonyme au capital </w:t>
      </w:r>
      <w:r w:rsidRPr="009C468F">
        <w:t xml:space="preserve">de </w:t>
      </w:r>
      <w:r w:rsidR="006A4C74">
        <w:t>633.161,27</w:t>
      </w:r>
      <w:r w:rsidR="00093436">
        <w:t xml:space="preserve"> </w:t>
      </w:r>
      <w:r w:rsidR="00093436">
        <w:rPr>
          <w:rFonts w:cstheme="majorHAnsi"/>
        </w:rPr>
        <w:t>€</w:t>
      </w:r>
      <w:r w:rsidR="00093436" w:rsidRPr="009C468F">
        <w:rPr>
          <w:szCs w:val="20"/>
        </w:rPr>
        <w:t>,</w:t>
      </w:r>
    </w:p>
    <w:p w14:paraId="3A9CE2FA" w14:textId="77777777" w:rsidR="00CE4A44" w:rsidRDefault="00CE4A44" w:rsidP="00CE4A44">
      <w:pPr>
        <w:jc w:val="center"/>
      </w:pPr>
      <w:r>
        <w:t>Siège social : 7 Allée du Moulin Berger, Bâtiment 7, 69130 Ecully</w:t>
      </w:r>
    </w:p>
    <w:p w14:paraId="3E09A862" w14:textId="2FBC74A0" w:rsidR="00252316" w:rsidRPr="00440924" w:rsidRDefault="00CE4A44" w:rsidP="00CE4A44">
      <w:pPr>
        <w:jc w:val="center"/>
      </w:pPr>
      <w:r>
        <w:t>484 163 985 RCS Lyon</w:t>
      </w:r>
    </w:p>
    <w:p w14:paraId="138D7C04" w14:textId="77777777" w:rsidR="00252316" w:rsidRPr="00440924" w:rsidRDefault="00252316" w:rsidP="00CE4A44">
      <w:pPr>
        <w:jc w:val="center"/>
      </w:pPr>
    </w:p>
    <w:p w14:paraId="63B860FF" w14:textId="77777777" w:rsidR="00471A0D" w:rsidRDefault="00471A0D" w:rsidP="00CE4A44">
      <w:pPr>
        <w:jc w:val="center"/>
        <w:rPr>
          <w:b/>
          <w:bCs/>
          <w:sz w:val="40"/>
          <w:szCs w:val="20"/>
        </w:rPr>
      </w:pPr>
    </w:p>
    <w:p w14:paraId="288CDF90" w14:textId="77777777" w:rsidR="00887DF4" w:rsidRPr="00440924" w:rsidRDefault="00887DF4" w:rsidP="00CE4A44">
      <w:pPr>
        <w:jc w:val="center"/>
        <w:rPr>
          <w:b/>
          <w:bCs/>
          <w:sz w:val="40"/>
          <w:szCs w:val="20"/>
        </w:rPr>
      </w:pPr>
    </w:p>
    <w:p w14:paraId="3A00DEDE" w14:textId="519DA9EE" w:rsidR="00252316" w:rsidRPr="00887DF4" w:rsidRDefault="00887DF4" w:rsidP="00252316">
      <w:pPr>
        <w:jc w:val="center"/>
        <w:rPr>
          <w:b/>
          <w:bCs/>
          <w:smallCaps/>
          <w:sz w:val="52"/>
          <w:szCs w:val="52"/>
        </w:rPr>
      </w:pPr>
      <w:r w:rsidRPr="00887DF4">
        <w:rPr>
          <w:b/>
          <w:bCs/>
          <w:smallCaps/>
          <w:sz w:val="52"/>
          <w:szCs w:val="52"/>
        </w:rPr>
        <w:t>Document d’Enregistrement Universel 2020</w:t>
      </w:r>
    </w:p>
    <w:p w14:paraId="17C9D761" w14:textId="77777777" w:rsidR="00342C14" w:rsidRPr="00887DF4" w:rsidRDefault="00342C14" w:rsidP="00342C14">
      <w:pPr>
        <w:rPr>
          <w:smallCaps/>
        </w:rPr>
      </w:pPr>
    </w:p>
    <w:p w14:paraId="707A7A07" w14:textId="77777777" w:rsidR="00471A0D" w:rsidRDefault="00471A0D" w:rsidP="00342C14"/>
    <w:p w14:paraId="27F1D5CB" w14:textId="77777777" w:rsidR="00741256" w:rsidRDefault="00741256" w:rsidP="00342C14"/>
    <w:p w14:paraId="3F695175" w14:textId="590EEDF4" w:rsidR="00887DF4" w:rsidRDefault="00887DF4" w:rsidP="00342C14">
      <w:r>
        <w:rPr>
          <w:noProof/>
        </w:rPr>
        <mc:AlternateContent>
          <mc:Choice Requires="wps">
            <w:drawing>
              <wp:anchor distT="0" distB="0" distL="114300" distR="114300" simplePos="0" relativeHeight="251658278" behindDoc="0" locked="0" layoutInCell="1" allowOverlap="1" wp14:anchorId="4D7E27A0" wp14:editId="56D8AA42">
                <wp:simplePos x="0" y="0"/>
                <wp:positionH relativeFrom="column">
                  <wp:posOffset>1371600</wp:posOffset>
                </wp:positionH>
                <wp:positionV relativeFrom="paragraph">
                  <wp:posOffset>240665</wp:posOffset>
                </wp:positionV>
                <wp:extent cx="3314700" cy="914400"/>
                <wp:effectExtent l="0" t="0" r="0" b="0"/>
                <wp:wrapSquare wrapText="bothSides"/>
                <wp:docPr id="613" name="Zone de texte 613"/>
                <wp:cNvGraphicFramePr/>
                <a:graphic xmlns:a="http://schemas.openxmlformats.org/drawingml/2006/main">
                  <a:graphicData uri="http://schemas.microsoft.com/office/word/2010/wordprocessingShape">
                    <wps:wsp>
                      <wps:cNvSpPr txBox="1"/>
                      <wps:spPr>
                        <a:xfrm>
                          <a:off x="0" y="0"/>
                          <a:ext cx="3314700" cy="9144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46188BE" w14:textId="788674EC" w:rsidR="000511BB" w:rsidRDefault="000511BB">
                            <w:r>
                              <w:rPr>
                                <w:noProof/>
                                <w:sz w:val="18"/>
                                <w:szCs w:val="18"/>
                              </w:rPr>
                              <w:drawing>
                                <wp:inline distT="0" distB="0" distL="0" distR="0" wp14:anchorId="5940792B" wp14:editId="3881C7F1">
                                  <wp:extent cx="2994611" cy="868680"/>
                                  <wp:effectExtent l="0" t="0" r="3175" b="0"/>
                                  <wp:docPr id="81" name="Image 81" descr="logo">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descr="logo"/>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996372" cy="869191"/>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0,0l0,21600,21600,21600,21600,0xe">
                <v:stroke joinstyle="miter"/>
                <v:path gradientshapeok="t" o:connecttype="rect"/>
              </v:shapetype>
              <v:shape id="Zone de texte 613" o:spid="_x0000_s1026" type="#_x0000_t202" style="position:absolute;left:0;text-align:left;margin-left:108pt;margin-top:18.95pt;width:261pt;height:1in;z-index:25165827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" filled="f" stroked="f">
                <v:textbox>
                  <w:txbxContent>
                    <w:p w14:paraId="446188BE" w14:textId="788674EC" w:rsidR="00F011AB" w:rsidRDefault="00F011AB">
                      <w:r>
                        <w:rPr>
                          <w:noProof/>
                          <w:sz w:val="18"/>
                          <w:szCs w:val="18"/>
                        </w:rPr>
                        <w:drawing>
                          <wp:inline distT="0" distB="0" distL="0" distR="0" wp14:anchorId="5940792B" wp14:editId="3881C7F1">
                            <wp:extent cx="2994611" cy="868680"/>
                            <wp:effectExtent l="0" t="0" r="3175" b="0"/>
                            <wp:docPr id="81" name="Image 81" descr="logo">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descr="logo"/>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996372" cy="869191"/>
                                    </a:xfrm>
                                    <a:prstGeom prst="rect">
                                      <a:avLst/>
                                    </a:prstGeom>
                                    <a:noFill/>
                                    <a:ln>
                                      <a:noFill/>
                                    </a:ln>
                                  </pic:spPr>
                                </pic:pic>
                              </a:graphicData>
                            </a:graphic>
                          </wp:inline>
                        </w:drawing>
                      </w:r>
                    </w:p>
                  </w:txbxContent>
                </v:textbox>
                <w10:wrap type="square"/>
              </v:shape>
            </w:pict>
          </mc:Fallback>
        </mc:AlternateContent>
      </w:r>
      <w:r>
        <w:rPr>
          <w:noProof/>
        </w:rPr>
        <mc:AlternateContent>
          <mc:Choice Requires="wps">
            <w:drawing>
              <wp:anchor distT="0" distB="0" distL="114300" distR="114300" simplePos="0" relativeHeight="251658277" behindDoc="0" locked="0" layoutInCell="1" allowOverlap="1" wp14:anchorId="2C9FA97C" wp14:editId="428D6E25">
                <wp:simplePos x="0" y="0"/>
                <wp:positionH relativeFrom="column">
                  <wp:posOffset>-114300</wp:posOffset>
                </wp:positionH>
                <wp:positionV relativeFrom="paragraph">
                  <wp:posOffset>240665</wp:posOffset>
                </wp:positionV>
                <wp:extent cx="6172200" cy="3771900"/>
                <wp:effectExtent l="0" t="0" r="25400" b="38100"/>
                <wp:wrapSquare wrapText="bothSides"/>
                <wp:docPr id="609" name="Zone de texte 609"/>
                <wp:cNvGraphicFramePr/>
                <a:graphic xmlns:a="http://schemas.openxmlformats.org/drawingml/2006/main">
                  <a:graphicData uri="http://schemas.microsoft.com/office/word/2010/wordprocessingShape">
                    <wps:wsp>
                      <wps:cNvSpPr txBox="1"/>
                      <wps:spPr>
                        <a:xfrm>
                          <a:off x="0" y="0"/>
                          <a:ext cx="6172200" cy="3771900"/>
                        </a:xfrm>
                        <a:prstGeom prst="rect">
                          <a:avLst/>
                        </a:prstGeom>
                        <a:noFill/>
                        <a:ln>
                          <a:solidFill>
                            <a:schemeClr val="tx1"/>
                          </a:solid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C9F5924" w14:textId="77777777" w:rsidR="000511BB" w:rsidRDefault="000511BB" w:rsidP="00887DF4">
                            <w:pPr>
                              <w:jc w:val="left"/>
                              <w:rPr>
                                <w:rFonts w:ascii="Calibri Light" w:eastAsia="Times New Roman" w:hAnsi="Calibri Light" w:cs="Times New Roman"/>
                                <w:color w:val="000000"/>
                                <w:sz w:val="18"/>
                                <w:szCs w:val="18"/>
                              </w:rPr>
                            </w:pPr>
                          </w:p>
                          <w:p w14:paraId="2B896186" w14:textId="2F9EAC8F" w:rsidR="000511BB" w:rsidRDefault="000511BB" w:rsidP="00887DF4">
                            <w:pPr>
                              <w:jc w:val="left"/>
                              <w:rPr>
                                <w:rFonts w:ascii="Calibri Light" w:eastAsia="Times New Roman" w:hAnsi="Calibri Light" w:cs="Times New Roman"/>
                                <w:color w:val="000000"/>
                                <w:sz w:val="17"/>
                                <w:szCs w:val="17"/>
                              </w:rPr>
                            </w:pPr>
                          </w:p>
                          <w:p w14:paraId="54443AB8" w14:textId="77777777" w:rsidR="000511BB" w:rsidRDefault="000511BB" w:rsidP="00887DF4">
                            <w:pPr>
                              <w:jc w:val="left"/>
                              <w:rPr>
                                <w:rFonts w:ascii="Calibri Light" w:eastAsia="Times New Roman" w:hAnsi="Calibri Light" w:cs="Times New Roman"/>
                                <w:color w:val="000000"/>
                                <w:sz w:val="17"/>
                                <w:szCs w:val="17"/>
                              </w:rPr>
                            </w:pPr>
                          </w:p>
                          <w:p w14:paraId="0E8EE9A3" w14:textId="77777777" w:rsidR="000511BB" w:rsidRDefault="000511BB" w:rsidP="00887DF4">
                            <w:pPr>
                              <w:rPr>
                                <w:rFonts w:eastAsia="Times New Roman" w:cs="Times New Roman"/>
                                <w:color w:val="000000"/>
                                <w:sz w:val="22"/>
                                <w:szCs w:val="22"/>
                              </w:rPr>
                            </w:pPr>
                          </w:p>
                          <w:p w14:paraId="1BA5DBCC" w14:textId="77777777" w:rsidR="000511BB" w:rsidRDefault="000511BB" w:rsidP="00887DF4">
                            <w:pPr>
                              <w:rPr>
                                <w:rFonts w:eastAsia="Times New Roman" w:cs="Times New Roman"/>
                                <w:color w:val="000000"/>
                                <w:sz w:val="22"/>
                                <w:szCs w:val="22"/>
                              </w:rPr>
                            </w:pPr>
                          </w:p>
                          <w:p w14:paraId="44EDE2D2" w14:textId="77777777" w:rsidR="000511BB" w:rsidRDefault="000511BB" w:rsidP="00887DF4">
                            <w:pPr>
                              <w:rPr>
                                <w:rFonts w:eastAsia="Times New Roman" w:cs="Times New Roman"/>
                                <w:color w:val="000000"/>
                                <w:sz w:val="22"/>
                                <w:szCs w:val="22"/>
                              </w:rPr>
                            </w:pPr>
                          </w:p>
                          <w:p w14:paraId="0B20D9B5" w14:textId="7820202A" w:rsidR="000511BB" w:rsidRPr="00887DF4" w:rsidRDefault="000511BB" w:rsidP="00887DF4">
                            <w:pPr>
                              <w:rPr>
                                <w:rFonts w:eastAsia="Times New Roman" w:cs="Times New Roman"/>
                                <w:color w:val="000000"/>
                                <w:sz w:val="22"/>
                                <w:szCs w:val="22"/>
                              </w:rPr>
                            </w:pPr>
                            <w:r w:rsidRPr="00887DF4">
                              <w:rPr>
                                <w:rFonts w:eastAsia="Times New Roman" w:cs="Times New Roman"/>
                                <w:color w:val="000000"/>
                                <w:sz w:val="22"/>
                                <w:szCs w:val="22"/>
                              </w:rPr>
                              <w:t xml:space="preserve">Le document d’enregistrement universel a été approuvé le </w:t>
                            </w:r>
                            <w:r w:rsidRPr="00887DF4">
                              <w:rPr>
                                <w:rFonts w:eastAsia="Times New Roman" w:cs="Times New Roman"/>
                                <w:color w:val="FF0000"/>
                                <w:sz w:val="22"/>
                                <w:szCs w:val="22"/>
                              </w:rPr>
                              <w:t>(__)</w:t>
                            </w:r>
                            <w:r w:rsidRPr="00887DF4">
                              <w:rPr>
                                <w:rFonts w:eastAsia="Times New Roman" w:cs="Times New Roman"/>
                                <w:color w:val="000000"/>
                                <w:sz w:val="22"/>
                                <w:szCs w:val="22"/>
                              </w:rPr>
                              <w:t xml:space="preserve"> 2021 par l’A</w:t>
                            </w:r>
                            <w:r>
                              <w:rPr>
                                <w:rFonts w:eastAsia="Times New Roman" w:cs="Times New Roman"/>
                                <w:color w:val="000000"/>
                                <w:sz w:val="22"/>
                                <w:szCs w:val="22"/>
                              </w:rPr>
                              <w:t>utorité des marchés Financiers (l’ « AMF ») </w:t>
                            </w:r>
                            <w:r w:rsidRPr="00887DF4">
                              <w:rPr>
                                <w:rFonts w:eastAsia="Times New Roman" w:cs="Times New Roman"/>
                                <w:color w:val="000000"/>
                                <w:sz w:val="22"/>
                                <w:szCs w:val="22"/>
                              </w:rPr>
                              <w:t>, en sa qualité d’autorité compétente au titre du règlement (UE) 2017/1129. </w:t>
                            </w:r>
                          </w:p>
                          <w:p w14:paraId="064CA2EA" w14:textId="41D05622" w:rsidR="000511BB" w:rsidRPr="00887DF4" w:rsidRDefault="000511BB" w:rsidP="00887DF4">
                            <w:pPr>
                              <w:rPr>
                                <w:rFonts w:eastAsia="Times New Roman" w:cs="Times New Roman"/>
                                <w:color w:val="000000"/>
                                <w:sz w:val="22"/>
                                <w:szCs w:val="22"/>
                              </w:rPr>
                            </w:pPr>
                            <w:r w:rsidRPr="00887DF4">
                              <w:rPr>
                                <w:rFonts w:eastAsia="Times New Roman" w:cs="Times New Roman"/>
                                <w:color w:val="000000"/>
                                <w:sz w:val="22"/>
                                <w:szCs w:val="22"/>
                              </w:rPr>
                              <w:t xml:space="preserve">L’AMF approuve ce </w:t>
                            </w:r>
                            <w:r>
                              <w:rPr>
                                <w:rFonts w:eastAsia="Times New Roman" w:cs="Times New Roman"/>
                                <w:color w:val="000000"/>
                                <w:sz w:val="22"/>
                                <w:szCs w:val="22"/>
                              </w:rPr>
                              <w:t>document</w:t>
                            </w:r>
                            <w:r w:rsidRPr="00887DF4">
                              <w:rPr>
                                <w:rFonts w:eastAsia="Times New Roman" w:cs="Times New Roman"/>
                                <w:color w:val="000000"/>
                                <w:sz w:val="22"/>
                                <w:szCs w:val="22"/>
                              </w:rPr>
                              <w:t xml:space="preserve"> après avoir vérifié que les informations qu’il contient sont complètes cohérentes et compréhensibles. Le document d’enregistrement universel porte le numéro d’approbation suivant : </w:t>
                            </w:r>
                            <w:r w:rsidRPr="00887DF4">
                              <w:rPr>
                                <w:rFonts w:eastAsia="Times New Roman" w:cs="Times New Roman"/>
                                <w:color w:val="FF0000"/>
                                <w:sz w:val="22"/>
                                <w:szCs w:val="22"/>
                              </w:rPr>
                              <w:t>(__)</w:t>
                            </w:r>
                            <w:r w:rsidRPr="00887DF4">
                              <w:rPr>
                                <w:rFonts w:eastAsia="Times New Roman" w:cs="Times New Roman"/>
                                <w:color w:val="000000"/>
                                <w:sz w:val="22"/>
                                <w:szCs w:val="22"/>
                              </w:rPr>
                              <w:t>. </w:t>
                            </w:r>
                          </w:p>
                          <w:p w14:paraId="45129A4A" w14:textId="6A75A1B5" w:rsidR="000511BB" w:rsidRPr="00887DF4" w:rsidRDefault="000511BB" w:rsidP="00887DF4">
                            <w:pPr>
                              <w:rPr>
                                <w:rFonts w:eastAsia="Times New Roman" w:cs="Times New Roman"/>
                                <w:color w:val="000000"/>
                                <w:sz w:val="22"/>
                                <w:szCs w:val="22"/>
                              </w:rPr>
                            </w:pPr>
                            <w:r w:rsidRPr="00887DF4">
                              <w:rPr>
                                <w:rFonts w:eastAsia="Times New Roman" w:cs="Times New Roman"/>
                                <w:color w:val="000000"/>
                                <w:sz w:val="22"/>
                                <w:szCs w:val="22"/>
                              </w:rPr>
                              <w:t>Cette approbation ne doit pas être considérée comme un avis favorable sur l’émetteur faisant l’objet du document d’enregistrement universel. </w:t>
                            </w:r>
                          </w:p>
                          <w:p w14:paraId="75B5D3F5" w14:textId="3DC98CC6" w:rsidR="000511BB" w:rsidRPr="00887DF4" w:rsidRDefault="000511BB" w:rsidP="00887DF4">
                            <w:pPr>
                              <w:rPr>
                                <w:rFonts w:eastAsia="Times New Roman" w:cs="Times New Roman"/>
                                <w:color w:val="000000"/>
                                <w:sz w:val="22"/>
                                <w:szCs w:val="22"/>
                              </w:rPr>
                            </w:pPr>
                            <w:r w:rsidRPr="00887DF4">
                              <w:rPr>
                                <w:rFonts w:eastAsia="Times New Roman" w:cs="Times New Roman"/>
                                <w:color w:val="000000"/>
                                <w:sz w:val="22"/>
                                <w:szCs w:val="22"/>
                              </w:rPr>
                              <w:t>Le document d’enregistrement universel peut être utilisé aux fins d'une offre au public de titres financiers ou de l’admission de titres financiers à la négociation sur un marché réglementé s'il est complété par une note d’opération et, le cas échéant, un résumé et son (ses) supplément(s). L’ensemble alors formé est approuvé par l’AMF conformément au règlement (UE) 2017/1129. </w:t>
                            </w:r>
                          </w:p>
                          <w:p w14:paraId="5B915E5B" w14:textId="091F82E5" w:rsidR="000511BB" w:rsidRPr="00887DF4" w:rsidRDefault="000511BB" w:rsidP="00887DF4">
                            <w:pPr>
                              <w:rPr>
                                <w:rFonts w:eastAsia="Times New Roman" w:cs="Times New Roman"/>
                                <w:color w:val="000000"/>
                                <w:sz w:val="22"/>
                                <w:szCs w:val="22"/>
                              </w:rPr>
                            </w:pPr>
                            <w:r w:rsidRPr="00887DF4">
                              <w:rPr>
                                <w:rFonts w:eastAsia="Times New Roman" w:cs="Times New Roman"/>
                                <w:color w:val="000000"/>
                                <w:sz w:val="22"/>
                                <w:szCs w:val="22"/>
                              </w:rPr>
                              <w:t xml:space="preserve">Il est valide jusqu’au </w:t>
                            </w:r>
                            <w:r w:rsidRPr="00887DF4">
                              <w:rPr>
                                <w:rFonts w:eastAsia="Times New Roman" w:cs="Times New Roman"/>
                                <w:color w:val="FF0000"/>
                                <w:sz w:val="22"/>
                                <w:szCs w:val="22"/>
                              </w:rPr>
                              <w:t>(__)</w:t>
                            </w:r>
                            <w:r w:rsidRPr="00887DF4">
                              <w:rPr>
                                <w:rFonts w:eastAsia="Times New Roman" w:cs="Times New Roman"/>
                                <w:color w:val="000000"/>
                                <w:sz w:val="22"/>
                                <w:szCs w:val="22"/>
                              </w:rPr>
                              <w:t xml:space="preserve"> et, pendant cette période et au plus tard en même temps que la note d’opération et dans les conditions des articles 10 et 23 du règlement (UE) 2017/1129, devra être complété par un supplément au document d’enregistrement universel en cas de faits nouveaux significatifs ou d’erreurs ou inexactitudes substantielles. </w:t>
                            </w:r>
                          </w:p>
                          <w:p w14:paraId="4576560E" w14:textId="77777777" w:rsidR="000511BB" w:rsidRDefault="000511B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609" o:spid="_x0000_s1027" type="#_x0000_t202" style="position:absolute;left:0;text-align:left;margin-left:-8.95pt;margin-top:18.95pt;width:486pt;height:297pt;z-index:25165827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" filled="f" strokecolor="black [3213]">
                <v:textbox>
                  <w:txbxContent>
                    <w:p w14:paraId="3C9F5924" w14:textId="77777777" w:rsidR="00F011AB" w:rsidRDefault="00F011AB" w:rsidP="00887DF4">
                      <w:pPr>
                        <w:jc w:val="left"/>
                        <w:rPr>
                          <w:rFonts w:ascii="Calibri Light" w:eastAsia="Times New Roman" w:hAnsi="Calibri Light" w:cs="Times New Roman"/>
                          <w:color w:val="000000"/>
                          <w:sz w:val="18"/>
                          <w:szCs w:val="18"/>
                        </w:rPr>
                      </w:pPr>
                    </w:p>
                    <w:p w14:paraId="2B896186" w14:textId="2F9EAC8F" w:rsidR="00F011AB" w:rsidRDefault="00F011AB" w:rsidP="00887DF4">
                      <w:pPr>
                        <w:jc w:val="left"/>
                        <w:rPr>
                          <w:rFonts w:ascii="Calibri Light" w:eastAsia="Times New Roman" w:hAnsi="Calibri Light" w:cs="Times New Roman"/>
                          <w:color w:val="000000"/>
                          <w:sz w:val="17"/>
                          <w:szCs w:val="17"/>
                        </w:rPr>
                      </w:pPr>
                    </w:p>
                    <w:p w14:paraId="54443AB8" w14:textId="77777777" w:rsidR="00F011AB" w:rsidRDefault="00F011AB" w:rsidP="00887DF4">
                      <w:pPr>
                        <w:jc w:val="left"/>
                        <w:rPr>
                          <w:rFonts w:ascii="Calibri Light" w:eastAsia="Times New Roman" w:hAnsi="Calibri Light" w:cs="Times New Roman"/>
                          <w:color w:val="000000"/>
                          <w:sz w:val="17"/>
                          <w:szCs w:val="17"/>
                        </w:rPr>
                      </w:pPr>
                    </w:p>
                    <w:p w14:paraId="0E8EE9A3" w14:textId="77777777" w:rsidR="00F011AB" w:rsidRDefault="00F011AB" w:rsidP="00887DF4">
                      <w:pPr>
                        <w:rPr>
                          <w:rFonts w:eastAsia="Times New Roman" w:cs="Times New Roman"/>
                          <w:color w:val="000000"/>
                          <w:sz w:val="22"/>
                          <w:szCs w:val="22"/>
                        </w:rPr>
                      </w:pPr>
                    </w:p>
                    <w:p w14:paraId="1BA5DBCC" w14:textId="77777777" w:rsidR="00F011AB" w:rsidRDefault="00F011AB" w:rsidP="00887DF4">
                      <w:pPr>
                        <w:rPr>
                          <w:rFonts w:eastAsia="Times New Roman" w:cs="Times New Roman"/>
                          <w:color w:val="000000"/>
                          <w:sz w:val="22"/>
                          <w:szCs w:val="22"/>
                        </w:rPr>
                      </w:pPr>
                    </w:p>
                    <w:p w14:paraId="44EDE2D2" w14:textId="77777777" w:rsidR="00F011AB" w:rsidRDefault="00F011AB" w:rsidP="00887DF4">
                      <w:pPr>
                        <w:rPr>
                          <w:rFonts w:eastAsia="Times New Roman" w:cs="Times New Roman"/>
                          <w:color w:val="000000"/>
                          <w:sz w:val="22"/>
                          <w:szCs w:val="22"/>
                        </w:rPr>
                      </w:pPr>
                    </w:p>
                    <w:p w14:paraId="0B20D9B5" w14:textId="7820202A" w:rsidR="00F011AB" w:rsidRPr="00887DF4" w:rsidRDefault="00F011AB" w:rsidP="00887DF4">
                      <w:pPr>
                        <w:rPr>
                          <w:rFonts w:eastAsia="Times New Roman" w:cs="Times New Roman"/>
                          <w:color w:val="000000"/>
                          <w:sz w:val="22"/>
                          <w:szCs w:val="22"/>
                        </w:rPr>
                      </w:pPr>
                      <w:r w:rsidRPr="00887DF4">
                        <w:rPr>
                          <w:rFonts w:eastAsia="Times New Roman" w:cs="Times New Roman"/>
                          <w:color w:val="000000"/>
                          <w:sz w:val="22"/>
                          <w:szCs w:val="22"/>
                        </w:rPr>
                        <w:t xml:space="preserve">Le document d’enregistrement universel a été approuvé le </w:t>
                      </w:r>
                      <w:r w:rsidRPr="00887DF4">
                        <w:rPr>
                          <w:rFonts w:eastAsia="Times New Roman" w:cs="Times New Roman"/>
                          <w:color w:val="FF0000"/>
                          <w:sz w:val="22"/>
                          <w:szCs w:val="22"/>
                        </w:rPr>
                        <w:t>(__)</w:t>
                      </w:r>
                      <w:r w:rsidRPr="00887DF4">
                        <w:rPr>
                          <w:rFonts w:eastAsia="Times New Roman" w:cs="Times New Roman"/>
                          <w:color w:val="000000"/>
                          <w:sz w:val="22"/>
                          <w:szCs w:val="22"/>
                        </w:rPr>
                        <w:t xml:space="preserve"> 2021 par l’A</w:t>
                      </w:r>
                      <w:r>
                        <w:rPr>
                          <w:rFonts w:eastAsia="Times New Roman" w:cs="Times New Roman"/>
                          <w:color w:val="000000"/>
                          <w:sz w:val="22"/>
                          <w:szCs w:val="22"/>
                        </w:rPr>
                        <w:t>utorité des marchés Financiers (l’ « AMF ») </w:t>
                      </w:r>
                      <w:r w:rsidRPr="00887DF4">
                        <w:rPr>
                          <w:rFonts w:eastAsia="Times New Roman" w:cs="Times New Roman"/>
                          <w:color w:val="000000"/>
                          <w:sz w:val="22"/>
                          <w:szCs w:val="22"/>
                        </w:rPr>
                        <w:t>, en sa qualité d’autorité compétente au titre du règlement (UE) 2017/1129. </w:t>
                      </w:r>
                    </w:p>
                    <w:p w14:paraId="064CA2EA" w14:textId="41D05622" w:rsidR="00F011AB" w:rsidRPr="00887DF4" w:rsidRDefault="00F011AB" w:rsidP="00887DF4">
                      <w:pPr>
                        <w:rPr>
                          <w:rFonts w:eastAsia="Times New Roman" w:cs="Times New Roman"/>
                          <w:color w:val="000000"/>
                          <w:sz w:val="22"/>
                          <w:szCs w:val="22"/>
                        </w:rPr>
                      </w:pPr>
                      <w:r w:rsidRPr="00887DF4">
                        <w:rPr>
                          <w:rFonts w:eastAsia="Times New Roman" w:cs="Times New Roman"/>
                          <w:color w:val="000000"/>
                          <w:sz w:val="22"/>
                          <w:szCs w:val="22"/>
                        </w:rPr>
                        <w:t xml:space="preserve">L’AMF approuve ce </w:t>
                      </w:r>
                      <w:r>
                        <w:rPr>
                          <w:rFonts w:eastAsia="Times New Roman" w:cs="Times New Roman"/>
                          <w:color w:val="000000"/>
                          <w:sz w:val="22"/>
                          <w:szCs w:val="22"/>
                        </w:rPr>
                        <w:t>document</w:t>
                      </w:r>
                      <w:r w:rsidRPr="00887DF4">
                        <w:rPr>
                          <w:rFonts w:eastAsia="Times New Roman" w:cs="Times New Roman"/>
                          <w:color w:val="000000"/>
                          <w:sz w:val="22"/>
                          <w:szCs w:val="22"/>
                        </w:rPr>
                        <w:t xml:space="preserve"> après avoir vérifié que les informations qu’il contient sont complètes cohérentes et compréhensibles. Le document d’enregistrement universel porte le numéro d’approbation suivant : </w:t>
                      </w:r>
                      <w:r w:rsidRPr="00887DF4">
                        <w:rPr>
                          <w:rFonts w:eastAsia="Times New Roman" w:cs="Times New Roman"/>
                          <w:color w:val="FF0000"/>
                          <w:sz w:val="22"/>
                          <w:szCs w:val="22"/>
                        </w:rPr>
                        <w:t>(__)</w:t>
                      </w:r>
                      <w:r w:rsidRPr="00887DF4">
                        <w:rPr>
                          <w:rFonts w:eastAsia="Times New Roman" w:cs="Times New Roman"/>
                          <w:color w:val="000000"/>
                          <w:sz w:val="22"/>
                          <w:szCs w:val="22"/>
                        </w:rPr>
                        <w:t>. </w:t>
                      </w:r>
                    </w:p>
                    <w:p w14:paraId="45129A4A" w14:textId="6A75A1B5" w:rsidR="00F011AB" w:rsidRPr="00887DF4" w:rsidRDefault="00F011AB" w:rsidP="00887DF4">
                      <w:pPr>
                        <w:rPr>
                          <w:rFonts w:eastAsia="Times New Roman" w:cs="Times New Roman"/>
                          <w:color w:val="000000"/>
                          <w:sz w:val="22"/>
                          <w:szCs w:val="22"/>
                        </w:rPr>
                      </w:pPr>
                      <w:r w:rsidRPr="00887DF4">
                        <w:rPr>
                          <w:rFonts w:eastAsia="Times New Roman" w:cs="Times New Roman"/>
                          <w:color w:val="000000"/>
                          <w:sz w:val="22"/>
                          <w:szCs w:val="22"/>
                        </w:rPr>
                        <w:t>Cette approbation ne doit pas être considérée comme un avis favorable sur l’émetteur faisant l’objet du document d’enregistrement universel. </w:t>
                      </w:r>
                    </w:p>
                    <w:p w14:paraId="75B5D3F5" w14:textId="3DC98CC6" w:rsidR="00F011AB" w:rsidRPr="00887DF4" w:rsidRDefault="00F011AB" w:rsidP="00887DF4">
                      <w:pPr>
                        <w:rPr>
                          <w:rFonts w:eastAsia="Times New Roman" w:cs="Times New Roman"/>
                          <w:color w:val="000000"/>
                          <w:sz w:val="22"/>
                          <w:szCs w:val="22"/>
                        </w:rPr>
                      </w:pPr>
                      <w:r w:rsidRPr="00887DF4">
                        <w:rPr>
                          <w:rFonts w:eastAsia="Times New Roman" w:cs="Times New Roman"/>
                          <w:color w:val="000000"/>
                          <w:sz w:val="22"/>
                          <w:szCs w:val="22"/>
                        </w:rPr>
                        <w:t>Le document d’enregistrement universel peut être utilisé aux fins d'une offre au public de titres financiers ou de l’admission de titres financiers à la négociation sur un marché réglementé s'il est complété par une note d’opération et, le cas échéant, un résumé et son (ses) supplément(s). L’ensemble alors formé est approuvé par l’AMF conformément au règlement (UE) 2017/1129. </w:t>
                      </w:r>
                    </w:p>
                    <w:p w14:paraId="5B915E5B" w14:textId="091F82E5" w:rsidR="00F011AB" w:rsidRPr="00887DF4" w:rsidRDefault="00F011AB" w:rsidP="00887DF4">
                      <w:pPr>
                        <w:rPr>
                          <w:rFonts w:eastAsia="Times New Roman" w:cs="Times New Roman"/>
                          <w:color w:val="000000"/>
                          <w:sz w:val="22"/>
                          <w:szCs w:val="22"/>
                        </w:rPr>
                      </w:pPr>
                      <w:r w:rsidRPr="00887DF4">
                        <w:rPr>
                          <w:rFonts w:eastAsia="Times New Roman" w:cs="Times New Roman"/>
                          <w:color w:val="000000"/>
                          <w:sz w:val="22"/>
                          <w:szCs w:val="22"/>
                        </w:rPr>
                        <w:t xml:space="preserve">Il est valide jusqu’au </w:t>
                      </w:r>
                      <w:r w:rsidRPr="00887DF4">
                        <w:rPr>
                          <w:rFonts w:eastAsia="Times New Roman" w:cs="Times New Roman"/>
                          <w:color w:val="FF0000"/>
                          <w:sz w:val="22"/>
                          <w:szCs w:val="22"/>
                        </w:rPr>
                        <w:t>(__)</w:t>
                      </w:r>
                      <w:r w:rsidRPr="00887DF4">
                        <w:rPr>
                          <w:rFonts w:eastAsia="Times New Roman" w:cs="Times New Roman"/>
                          <w:color w:val="000000"/>
                          <w:sz w:val="22"/>
                          <w:szCs w:val="22"/>
                        </w:rPr>
                        <w:t xml:space="preserve"> et, pendant cette période et au plus tard en même temps que la note d’opération et dans les conditions des articles 10 et 23 du règlement (UE) 2017/1129, devra être complété par un supplément au document d’enregistrement universel en cas de faits nouveaux significatifs ou d’erreurs ou inexactitudes substantielles. </w:t>
                      </w:r>
                    </w:p>
                    <w:p w14:paraId="4576560E" w14:textId="77777777" w:rsidR="00F011AB" w:rsidRDefault="00F011AB"/>
                  </w:txbxContent>
                </v:textbox>
                <w10:wrap type="square"/>
              </v:shape>
            </w:pict>
          </mc:Fallback>
        </mc:AlternateContent>
      </w:r>
    </w:p>
    <w:p w14:paraId="336DF486" w14:textId="45A88268" w:rsidR="00471A0D" w:rsidRDefault="00471A0D" w:rsidP="00342C14"/>
    <w:p w14:paraId="76E6ECE6" w14:textId="386475BD" w:rsidR="00471A0D" w:rsidRDefault="00471A0D" w:rsidP="00342C14"/>
    <w:p w14:paraId="41DFEBA6" w14:textId="77777777" w:rsidR="000A786B" w:rsidRDefault="000A786B" w:rsidP="00A601E8"/>
    <w:p w14:paraId="141B37E2" w14:textId="77777777" w:rsidR="00471A0D" w:rsidRDefault="00471A0D" w:rsidP="00A601E8"/>
    <w:p w14:paraId="7E9C7FCD" w14:textId="037ED1D7" w:rsidR="00342C14" w:rsidRPr="00D17706" w:rsidRDefault="003511CA" w:rsidP="00A601E8">
      <w:pPr>
        <w:rPr>
          <w:i/>
          <w:iCs/>
        </w:rPr>
      </w:pPr>
      <w:r w:rsidRPr="00D17706">
        <w:rPr>
          <w:i/>
          <w:iCs/>
        </w:rPr>
        <w:t>Ce document est disponible</w:t>
      </w:r>
      <w:r w:rsidR="00342C14" w:rsidRPr="00D17706">
        <w:rPr>
          <w:i/>
          <w:iCs/>
        </w:rPr>
        <w:t xml:space="preserve"> sans frais au siège social de la Société</w:t>
      </w:r>
      <w:r w:rsidR="00BB278F" w:rsidRPr="00D17706">
        <w:rPr>
          <w:i/>
          <w:iCs/>
        </w:rPr>
        <w:t xml:space="preserve"> (7 allée du Moulin Berger – Bâtiment 7 – 69130 Ecully)</w:t>
      </w:r>
      <w:r w:rsidRPr="00D17706">
        <w:rPr>
          <w:i/>
          <w:iCs/>
        </w:rPr>
        <w:t xml:space="preserve">, ainsi qu’en version électronique </w:t>
      </w:r>
      <w:r w:rsidR="00342C14" w:rsidRPr="00D17706">
        <w:rPr>
          <w:i/>
          <w:iCs/>
        </w:rPr>
        <w:t>sur le site internet de la Société (</w:t>
      </w:r>
      <w:hyperlink r:id="rId17" w:history="1">
        <w:r w:rsidR="00CE4A44" w:rsidRPr="00D17706">
          <w:rPr>
            <w:rStyle w:val="Lienhypertexte"/>
            <w:i/>
            <w:iCs/>
          </w:rPr>
          <w:t>http://www.spineway.com</w:t>
        </w:r>
      </w:hyperlink>
      <w:r w:rsidR="00CE4A44" w:rsidRPr="00D17706">
        <w:rPr>
          <w:i/>
          <w:iCs/>
          <w:color w:val="0000FF"/>
          <w:u w:val="single"/>
        </w:rPr>
        <w:t xml:space="preserve">) </w:t>
      </w:r>
      <w:r w:rsidR="00342C14" w:rsidRPr="00D17706">
        <w:rPr>
          <w:i/>
          <w:iCs/>
        </w:rPr>
        <w:t>et sur celui de l’Autorité des marchés financiers. (</w:t>
      </w:r>
      <w:hyperlink r:id="rId18" w:history="1">
        <w:r w:rsidR="00342C14" w:rsidRPr="00D17706">
          <w:rPr>
            <w:rStyle w:val="Lienhypertexte"/>
            <w:i/>
            <w:iCs/>
          </w:rPr>
          <w:t>www.amf-france.org</w:t>
        </w:r>
      </w:hyperlink>
      <w:r w:rsidR="00342C14" w:rsidRPr="00D17706">
        <w:rPr>
          <w:i/>
          <w:iCs/>
        </w:rPr>
        <w:t>)</w:t>
      </w:r>
      <w:r w:rsidR="00D17706">
        <w:rPr>
          <w:i/>
          <w:iCs/>
        </w:rPr>
        <w:t>.</w:t>
      </w:r>
    </w:p>
    <w:p w14:paraId="54DFDFDF" w14:textId="77777777" w:rsidR="00342C14" w:rsidRDefault="00342C14" w:rsidP="00A601E8"/>
    <w:p w14:paraId="2B9C465B" w14:textId="77777777" w:rsidR="003E0334" w:rsidRPr="0014066D" w:rsidRDefault="003E0334" w:rsidP="00A601E8">
      <w:pPr>
        <w:pStyle w:val="TitreSection"/>
        <w:pBdr>
          <w:bottom w:val="single" w:sz="4" w:space="1" w:color="auto"/>
        </w:pBdr>
        <w:jc w:val="center"/>
        <w:outlineLvl w:val="0"/>
        <w:rPr>
          <w:rFonts w:asciiTheme="majorHAnsi" w:hAnsiTheme="majorHAnsi"/>
          <w:color w:val="365F91" w:themeColor="accent1" w:themeShade="BF"/>
          <w:sz w:val="32"/>
          <w:szCs w:val="32"/>
        </w:rPr>
      </w:pPr>
      <w:bookmarkStart w:id="0" w:name="_Toc351994576"/>
      <w:r w:rsidRPr="0014066D">
        <w:rPr>
          <w:rFonts w:asciiTheme="majorHAnsi" w:hAnsiTheme="majorHAnsi"/>
          <w:color w:val="365F91" w:themeColor="accent1" w:themeShade="BF"/>
          <w:sz w:val="32"/>
          <w:szCs w:val="32"/>
        </w:rPr>
        <w:lastRenderedPageBreak/>
        <w:t>Table des matières</w:t>
      </w:r>
      <w:bookmarkEnd w:id="0"/>
    </w:p>
    <w:p w14:paraId="0892E1D4" w14:textId="77777777" w:rsidR="007470C7" w:rsidRDefault="007470C7">
      <w:pPr>
        <w:pStyle w:val="TM1"/>
        <w:rPr>
          <w:szCs w:val="20"/>
        </w:rPr>
      </w:pPr>
    </w:p>
    <w:p w14:paraId="5522484D" w14:textId="77777777" w:rsidR="00CA5E30" w:rsidRDefault="00CB789E">
      <w:pPr>
        <w:pStyle w:val="TM1"/>
        <w:rPr>
          <w:rFonts w:asciiTheme="minorHAnsi" w:hAnsiTheme="minorHAnsi"/>
          <w:b w:val="0"/>
          <w:color w:val="auto"/>
          <w:sz w:val="24"/>
          <w:szCs w:val="24"/>
          <w:lang w:eastAsia="ja-JP"/>
        </w:rPr>
      </w:pPr>
      <w:r>
        <w:rPr>
          <w:szCs w:val="20"/>
        </w:rPr>
        <w:fldChar w:fldCharType="begin"/>
      </w:r>
      <w:r>
        <w:rPr>
          <w:szCs w:val="20"/>
        </w:rPr>
        <w:instrText xml:space="preserve"> TOC \o "1-3" </w:instrText>
      </w:r>
      <w:r>
        <w:rPr>
          <w:szCs w:val="20"/>
        </w:rPr>
        <w:fldChar w:fldCharType="separate"/>
      </w:r>
      <w:r w:rsidR="00CA5E30">
        <w:t>1. PERSONNES RESPONSABLES, INFORMATIONS PROVENANT D'UN TIERS, RAPPORT D'EXPERTS ET APPROBATION DE L'AUTORITE COMPETENTE</w:t>
      </w:r>
      <w:r w:rsidR="00CA5E30">
        <w:tab/>
      </w:r>
      <w:r w:rsidR="00CA5E30">
        <w:fldChar w:fldCharType="begin"/>
      </w:r>
      <w:r w:rsidR="00CA5E30">
        <w:instrText xml:space="preserve"> PAGEREF _Toc475033146 \h </w:instrText>
      </w:r>
      <w:r w:rsidR="00CA5E30">
        <w:fldChar w:fldCharType="separate"/>
      </w:r>
      <w:r w:rsidR="004C5FA1">
        <w:t>7</w:t>
      </w:r>
      <w:r w:rsidR="00CA5E30">
        <w:fldChar w:fldCharType="end"/>
      </w:r>
    </w:p>
    <w:p w14:paraId="1F3C9481" w14:textId="77777777" w:rsidR="00CA5E30" w:rsidRDefault="00CA5E30">
      <w:pPr>
        <w:pStyle w:val="TM2"/>
        <w:rPr>
          <w:rFonts w:asciiTheme="minorHAnsi" w:hAnsiTheme="minorHAnsi"/>
          <w:sz w:val="24"/>
          <w:szCs w:val="24"/>
          <w:lang w:eastAsia="ja-JP"/>
        </w:rPr>
      </w:pPr>
      <w:r>
        <w:t>1.1. Responsable du Document d’enregistrement universel</w:t>
      </w:r>
      <w:r>
        <w:tab/>
      </w:r>
      <w:r>
        <w:fldChar w:fldCharType="begin"/>
      </w:r>
      <w:r>
        <w:instrText xml:space="preserve"> PAGEREF _Toc475033147 \h </w:instrText>
      </w:r>
      <w:r>
        <w:fldChar w:fldCharType="separate"/>
      </w:r>
      <w:r w:rsidR="004C5FA1">
        <w:t>7</w:t>
      </w:r>
      <w:r>
        <w:fldChar w:fldCharType="end"/>
      </w:r>
    </w:p>
    <w:p w14:paraId="7219ED3B" w14:textId="77777777" w:rsidR="00CA5E30" w:rsidRDefault="00CA5E30">
      <w:pPr>
        <w:pStyle w:val="TM2"/>
        <w:rPr>
          <w:rFonts w:asciiTheme="minorHAnsi" w:hAnsiTheme="minorHAnsi"/>
          <w:sz w:val="24"/>
          <w:szCs w:val="24"/>
          <w:lang w:eastAsia="ja-JP"/>
        </w:rPr>
      </w:pPr>
      <w:r>
        <w:t>1.2. Attestation de la personne responsable</w:t>
      </w:r>
      <w:r>
        <w:tab/>
      </w:r>
      <w:r>
        <w:fldChar w:fldCharType="begin"/>
      </w:r>
      <w:r>
        <w:instrText xml:space="preserve"> PAGEREF _Toc475033148 \h </w:instrText>
      </w:r>
      <w:r>
        <w:fldChar w:fldCharType="separate"/>
      </w:r>
      <w:r w:rsidR="004C5FA1">
        <w:t>7</w:t>
      </w:r>
      <w:r>
        <w:fldChar w:fldCharType="end"/>
      </w:r>
    </w:p>
    <w:p w14:paraId="67AEDE80" w14:textId="77777777" w:rsidR="00CA5E30" w:rsidRDefault="00CA5E30">
      <w:pPr>
        <w:pStyle w:val="TM2"/>
        <w:rPr>
          <w:rFonts w:asciiTheme="minorHAnsi" w:hAnsiTheme="minorHAnsi"/>
          <w:sz w:val="24"/>
          <w:szCs w:val="24"/>
          <w:lang w:eastAsia="ja-JP"/>
        </w:rPr>
      </w:pPr>
      <w:r>
        <w:t>1.3 Responsable de l’information financière</w:t>
      </w:r>
      <w:r>
        <w:tab/>
      </w:r>
      <w:r>
        <w:fldChar w:fldCharType="begin"/>
      </w:r>
      <w:r>
        <w:instrText xml:space="preserve"> PAGEREF _Toc475033149 \h </w:instrText>
      </w:r>
      <w:r>
        <w:fldChar w:fldCharType="separate"/>
      </w:r>
      <w:r w:rsidR="004C5FA1">
        <w:t>7</w:t>
      </w:r>
      <w:r>
        <w:fldChar w:fldCharType="end"/>
      </w:r>
    </w:p>
    <w:p w14:paraId="3A9ACE42" w14:textId="77777777" w:rsidR="00CA5E30" w:rsidRDefault="00CA5E30">
      <w:pPr>
        <w:pStyle w:val="TM2"/>
        <w:rPr>
          <w:rFonts w:asciiTheme="minorHAnsi" w:hAnsiTheme="minorHAnsi"/>
          <w:sz w:val="24"/>
          <w:szCs w:val="24"/>
          <w:lang w:eastAsia="ja-JP"/>
        </w:rPr>
      </w:pPr>
      <w:r>
        <w:t>1.4 Attestation relative aux informations provenant d’un tiers</w:t>
      </w:r>
      <w:r>
        <w:tab/>
      </w:r>
      <w:r>
        <w:fldChar w:fldCharType="begin"/>
      </w:r>
      <w:r>
        <w:instrText xml:space="preserve"> PAGEREF _Toc475033150 \h </w:instrText>
      </w:r>
      <w:r>
        <w:fldChar w:fldCharType="separate"/>
      </w:r>
      <w:r w:rsidR="004C5FA1">
        <w:t>7</w:t>
      </w:r>
      <w:r>
        <w:fldChar w:fldCharType="end"/>
      </w:r>
    </w:p>
    <w:p w14:paraId="5FE79A2F" w14:textId="77777777" w:rsidR="00CA5E30" w:rsidRDefault="00CA5E30">
      <w:pPr>
        <w:pStyle w:val="TM2"/>
        <w:rPr>
          <w:rFonts w:asciiTheme="minorHAnsi" w:hAnsiTheme="minorHAnsi"/>
          <w:sz w:val="24"/>
          <w:szCs w:val="24"/>
          <w:lang w:eastAsia="ja-JP"/>
        </w:rPr>
      </w:pPr>
      <w:r>
        <w:t>1.5 Déclaration relative à l’approbation préalable de l’autorité compétente</w:t>
      </w:r>
      <w:r>
        <w:tab/>
      </w:r>
      <w:r>
        <w:fldChar w:fldCharType="begin"/>
      </w:r>
      <w:r>
        <w:instrText xml:space="preserve"> PAGEREF _Toc475033151 \h </w:instrText>
      </w:r>
      <w:r>
        <w:fldChar w:fldCharType="separate"/>
      </w:r>
      <w:r w:rsidR="004C5FA1">
        <w:t>8</w:t>
      </w:r>
      <w:r>
        <w:fldChar w:fldCharType="end"/>
      </w:r>
    </w:p>
    <w:p w14:paraId="5312DF9B" w14:textId="77777777" w:rsidR="00CA5E30" w:rsidRDefault="00CA5E30">
      <w:pPr>
        <w:pStyle w:val="TM1"/>
        <w:rPr>
          <w:rFonts w:asciiTheme="minorHAnsi" w:hAnsiTheme="minorHAnsi"/>
          <w:b w:val="0"/>
          <w:color w:val="auto"/>
          <w:sz w:val="24"/>
          <w:szCs w:val="24"/>
          <w:lang w:eastAsia="ja-JP"/>
        </w:rPr>
      </w:pPr>
      <w:r>
        <w:t>2. CONTROLEURS LEGAUX DES COMPTES</w:t>
      </w:r>
      <w:r>
        <w:tab/>
      </w:r>
      <w:r>
        <w:fldChar w:fldCharType="begin"/>
      </w:r>
      <w:r>
        <w:instrText xml:space="preserve"> PAGEREF _Toc475033152 \h </w:instrText>
      </w:r>
      <w:r>
        <w:fldChar w:fldCharType="separate"/>
      </w:r>
      <w:r w:rsidR="004C5FA1">
        <w:t>9</w:t>
      </w:r>
      <w:r>
        <w:fldChar w:fldCharType="end"/>
      </w:r>
    </w:p>
    <w:p w14:paraId="161911AE" w14:textId="77777777" w:rsidR="00CA5E30" w:rsidRDefault="00CA5E30">
      <w:pPr>
        <w:pStyle w:val="TM2"/>
        <w:rPr>
          <w:rFonts w:asciiTheme="minorHAnsi" w:hAnsiTheme="minorHAnsi"/>
          <w:sz w:val="24"/>
          <w:szCs w:val="24"/>
          <w:lang w:eastAsia="ja-JP"/>
        </w:rPr>
      </w:pPr>
      <w:r>
        <w:t>2.1 Commissaires aux comptes titulaires</w:t>
      </w:r>
      <w:r>
        <w:tab/>
      </w:r>
      <w:r>
        <w:fldChar w:fldCharType="begin"/>
      </w:r>
      <w:r>
        <w:instrText xml:space="preserve"> PAGEREF _Toc475033153 \h </w:instrText>
      </w:r>
      <w:r>
        <w:fldChar w:fldCharType="separate"/>
      </w:r>
      <w:r w:rsidR="004C5FA1">
        <w:t>9</w:t>
      </w:r>
      <w:r>
        <w:fldChar w:fldCharType="end"/>
      </w:r>
    </w:p>
    <w:p w14:paraId="5AC807EA" w14:textId="77777777" w:rsidR="00CA5E30" w:rsidRDefault="00CA5E30">
      <w:pPr>
        <w:pStyle w:val="TM2"/>
        <w:rPr>
          <w:rFonts w:asciiTheme="minorHAnsi" w:hAnsiTheme="minorHAnsi"/>
          <w:sz w:val="24"/>
          <w:szCs w:val="24"/>
          <w:lang w:eastAsia="ja-JP"/>
        </w:rPr>
      </w:pPr>
      <w:r>
        <w:t>2.2 Commissaires aux comptes suppléants</w:t>
      </w:r>
      <w:r>
        <w:tab/>
      </w:r>
      <w:r>
        <w:fldChar w:fldCharType="begin"/>
      </w:r>
      <w:r>
        <w:instrText xml:space="preserve"> PAGEREF _Toc475033154 \h </w:instrText>
      </w:r>
      <w:r>
        <w:fldChar w:fldCharType="separate"/>
      </w:r>
      <w:r w:rsidR="004C5FA1">
        <w:t>9</w:t>
      </w:r>
      <w:r>
        <w:fldChar w:fldCharType="end"/>
      </w:r>
    </w:p>
    <w:p w14:paraId="46E495B1" w14:textId="77777777" w:rsidR="00CA5E30" w:rsidRDefault="00CA5E30">
      <w:pPr>
        <w:pStyle w:val="TM1"/>
        <w:rPr>
          <w:rFonts w:asciiTheme="minorHAnsi" w:hAnsiTheme="minorHAnsi"/>
          <w:b w:val="0"/>
          <w:color w:val="auto"/>
          <w:sz w:val="24"/>
          <w:szCs w:val="24"/>
          <w:lang w:eastAsia="ja-JP"/>
        </w:rPr>
      </w:pPr>
      <w:r>
        <w:t>3. FACTEURS DE RISQUES</w:t>
      </w:r>
      <w:r>
        <w:tab/>
      </w:r>
      <w:r>
        <w:fldChar w:fldCharType="begin"/>
      </w:r>
      <w:r>
        <w:instrText xml:space="preserve"> PAGEREF _Toc475033155 \h </w:instrText>
      </w:r>
      <w:r>
        <w:fldChar w:fldCharType="separate"/>
      </w:r>
      <w:r w:rsidR="004C5FA1">
        <w:t>10</w:t>
      </w:r>
      <w:r>
        <w:fldChar w:fldCharType="end"/>
      </w:r>
    </w:p>
    <w:p w14:paraId="4A4F808A" w14:textId="77777777" w:rsidR="00CA5E30" w:rsidRDefault="00CA5E30">
      <w:pPr>
        <w:pStyle w:val="TM2"/>
        <w:rPr>
          <w:rFonts w:asciiTheme="minorHAnsi" w:hAnsiTheme="minorHAnsi"/>
          <w:sz w:val="24"/>
          <w:szCs w:val="24"/>
          <w:lang w:eastAsia="ja-JP"/>
        </w:rPr>
      </w:pPr>
      <w:r>
        <w:t>3.1. Risques financiers</w:t>
      </w:r>
      <w:r>
        <w:tab/>
      </w:r>
      <w:r>
        <w:fldChar w:fldCharType="begin"/>
      </w:r>
      <w:r>
        <w:instrText xml:space="preserve"> PAGEREF _Toc475033156 \h </w:instrText>
      </w:r>
      <w:r>
        <w:fldChar w:fldCharType="separate"/>
      </w:r>
      <w:r w:rsidR="004C5FA1">
        <w:t>11</w:t>
      </w:r>
      <w:r>
        <w:fldChar w:fldCharType="end"/>
      </w:r>
    </w:p>
    <w:p w14:paraId="670314C8" w14:textId="77777777" w:rsidR="00CA5E30" w:rsidRDefault="00CA5E30">
      <w:pPr>
        <w:pStyle w:val="TM3"/>
        <w:rPr>
          <w:rFonts w:asciiTheme="minorHAnsi" w:hAnsiTheme="minorHAnsi"/>
          <w:i w:val="0"/>
          <w:noProof/>
          <w:sz w:val="24"/>
          <w:szCs w:val="24"/>
          <w:lang w:eastAsia="ja-JP"/>
        </w:rPr>
      </w:pPr>
      <w:r>
        <w:rPr>
          <w:noProof/>
        </w:rPr>
        <w:t>3.1.1. Risques de dilution pour les actionnaires</w:t>
      </w:r>
      <w:r>
        <w:rPr>
          <w:noProof/>
        </w:rPr>
        <w:tab/>
      </w:r>
      <w:r>
        <w:rPr>
          <w:noProof/>
        </w:rPr>
        <w:fldChar w:fldCharType="begin"/>
      </w:r>
      <w:r>
        <w:rPr>
          <w:noProof/>
        </w:rPr>
        <w:instrText xml:space="preserve"> PAGEREF _Toc475033157 \h </w:instrText>
      </w:r>
      <w:r>
        <w:rPr>
          <w:noProof/>
        </w:rPr>
      </w:r>
      <w:r>
        <w:rPr>
          <w:noProof/>
        </w:rPr>
        <w:fldChar w:fldCharType="separate"/>
      </w:r>
      <w:r w:rsidR="004C5FA1">
        <w:rPr>
          <w:noProof/>
        </w:rPr>
        <w:t>11</w:t>
      </w:r>
      <w:r>
        <w:rPr>
          <w:noProof/>
        </w:rPr>
        <w:fldChar w:fldCharType="end"/>
      </w:r>
    </w:p>
    <w:p w14:paraId="7C413703" w14:textId="77777777" w:rsidR="00CA5E30" w:rsidRDefault="00CA5E30">
      <w:pPr>
        <w:pStyle w:val="TM3"/>
        <w:rPr>
          <w:rFonts w:asciiTheme="minorHAnsi" w:hAnsiTheme="minorHAnsi"/>
          <w:i w:val="0"/>
          <w:noProof/>
          <w:sz w:val="24"/>
          <w:szCs w:val="24"/>
          <w:lang w:eastAsia="ja-JP"/>
        </w:rPr>
      </w:pPr>
      <w:r>
        <w:rPr>
          <w:noProof/>
        </w:rPr>
        <w:t>3.1.2. Risques liés à la maitrise du besoin en fonds de roulement</w:t>
      </w:r>
      <w:r>
        <w:rPr>
          <w:noProof/>
        </w:rPr>
        <w:tab/>
      </w:r>
      <w:r>
        <w:rPr>
          <w:noProof/>
        </w:rPr>
        <w:fldChar w:fldCharType="begin"/>
      </w:r>
      <w:r>
        <w:rPr>
          <w:noProof/>
        </w:rPr>
        <w:instrText xml:space="preserve"> PAGEREF _Toc475033158 \h </w:instrText>
      </w:r>
      <w:r>
        <w:rPr>
          <w:noProof/>
        </w:rPr>
      </w:r>
      <w:r>
        <w:rPr>
          <w:noProof/>
        </w:rPr>
        <w:fldChar w:fldCharType="separate"/>
      </w:r>
      <w:r w:rsidR="004C5FA1">
        <w:rPr>
          <w:noProof/>
        </w:rPr>
        <w:t>13</w:t>
      </w:r>
      <w:r>
        <w:rPr>
          <w:noProof/>
        </w:rPr>
        <w:fldChar w:fldCharType="end"/>
      </w:r>
    </w:p>
    <w:p w14:paraId="6CE85FAE" w14:textId="77777777" w:rsidR="00CA5E30" w:rsidRDefault="00CA5E30">
      <w:pPr>
        <w:pStyle w:val="TM3"/>
        <w:rPr>
          <w:rFonts w:asciiTheme="minorHAnsi" w:hAnsiTheme="minorHAnsi"/>
          <w:i w:val="0"/>
          <w:noProof/>
          <w:sz w:val="24"/>
          <w:szCs w:val="24"/>
          <w:lang w:eastAsia="ja-JP"/>
        </w:rPr>
      </w:pPr>
      <w:r>
        <w:rPr>
          <w:noProof/>
        </w:rPr>
        <w:t>3.1.3. Risques de liquidité</w:t>
      </w:r>
      <w:r>
        <w:rPr>
          <w:noProof/>
        </w:rPr>
        <w:tab/>
      </w:r>
      <w:r>
        <w:rPr>
          <w:noProof/>
        </w:rPr>
        <w:fldChar w:fldCharType="begin"/>
      </w:r>
      <w:r>
        <w:rPr>
          <w:noProof/>
        </w:rPr>
        <w:instrText xml:space="preserve"> PAGEREF _Toc475033159 \h </w:instrText>
      </w:r>
      <w:r>
        <w:rPr>
          <w:noProof/>
        </w:rPr>
      </w:r>
      <w:r>
        <w:rPr>
          <w:noProof/>
        </w:rPr>
        <w:fldChar w:fldCharType="separate"/>
      </w:r>
      <w:r w:rsidR="004C5FA1">
        <w:rPr>
          <w:noProof/>
        </w:rPr>
        <w:t>14</w:t>
      </w:r>
      <w:r>
        <w:rPr>
          <w:noProof/>
        </w:rPr>
        <w:fldChar w:fldCharType="end"/>
      </w:r>
    </w:p>
    <w:p w14:paraId="29AB7E23" w14:textId="77777777" w:rsidR="00CA5E30" w:rsidRDefault="00CA5E30">
      <w:pPr>
        <w:pStyle w:val="TM3"/>
        <w:rPr>
          <w:rFonts w:asciiTheme="minorHAnsi" w:hAnsiTheme="minorHAnsi"/>
          <w:i w:val="0"/>
          <w:noProof/>
          <w:sz w:val="24"/>
          <w:szCs w:val="24"/>
          <w:lang w:eastAsia="ja-JP"/>
        </w:rPr>
      </w:pPr>
      <w:r>
        <w:rPr>
          <w:noProof/>
        </w:rPr>
        <w:t>3.1.4. Risques de taux d’intérêts</w:t>
      </w:r>
      <w:r>
        <w:rPr>
          <w:noProof/>
        </w:rPr>
        <w:tab/>
      </w:r>
      <w:r>
        <w:rPr>
          <w:noProof/>
        </w:rPr>
        <w:fldChar w:fldCharType="begin"/>
      </w:r>
      <w:r>
        <w:rPr>
          <w:noProof/>
        </w:rPr>
        <w:instrText xml:space="preserve"> PAGEREF _Toc475033160 \h </w:instrText>
      </w:r>
      <w:r>
        <w:rPr>
          <w:noProof/>
        </w:rPr>
      </w:r>
      <w:r>
        <w:rPr>
          <w:noProof/>
        </w:rPr>
        <w:fldChar w:fldCharType="separate"/>
      </w:r>
      <w:r w:rsidR="004C5FA1">
        <w:rPr>
          <w:noProof/>
        </w:rPr>
        <w:t>15</w:t>
      </w:r>
      <w:r>
        <w:rPr>
          <w:noProof/>
        </w:rPr>
        <w:fldChar w:fldCharType="end"/>
      </w:r>
    </w:p>
    <w:p w14:paraId="3312DC28" w14:textId="77777777" w:rsidR="00CA5E30" w:rsidRDefault="00CA5E30">
      <w:pPr>
        <w:pStyle w:val="TM3"/>
        <w:rPr>
          <w:rFonts w:asciiTheme="minorHAnsi" w:hAnsiTheme="minorHAnsi"/>
          <w:i w:val="0"/>
          <w:noProof/>
          <w:sz w:val="24"/>
          <w:szCs w:val="24"/>
          <w:lang w:eastAsia="ja-JP"/>
        </w:rPr>
      </w:pPr>
      <w:r>
        <w:rPr>
          <w:noProof/>
        </w:rPr>
        <w:t>3.1.5 Risques de change</w:t>
      </w:r>
      <w:r>
        <w:rPr>
          <w:noProof/>
        </w:rPr>
        <w:tab/>
      </w:r>
      <w:r>
        <w:rPr>
          <w:noProof/>
        </w:rPr>
        <w:fldChar w:fldCharType="begin"/>
      </w:r>
      <w:r>
        <w:rPr>
          <w:noProof/>
        </w:rPr>
        <w:instrText xml:space="preserve"> PAGEREF _Toc475033161 \h </w:instrText>
      </w:r>
      <w:r>
        <w:rPr>
          <w:noProof/>
        </w:rPr>
      </w:r>
      <w:r>
        <w:rPr>
          <w:noProof/>
        </w:rPr>
        <w:fldChar w:fldCharType="separate"/>
      </w:r>
      <w:r w:rsidR="004C5FA1">
        <w:rPr>
          <w:noProof/>
        </w:rPr>
        <w:t>16</w:t>
      </w:r>
      <w:r>
        <w:rPr>
          <w:noProof/>
        </w:rPr>
        <w:fldChar w:fldCharType="end"/>
      </w:r>
    </w:p>
    <w:p w14:paraId="7594C365" w14:textId="77777777" w:rsidR="00CA5E30" w:rsidRDefault="00CA5E30">
      <w:pPr>
        <w:pStyle w:val="TM2"/>
        <w:rPr>
          <w:rFonts w:asciiTheme="minorHAnsi" w:hAnsiTheme="minorHAnsi"/>
          <w:sz w:val="24"/>
          <w:szCs w:val="24"/>
          <w:lang w:eastAsia="ja-JP"/>
        </w:rPr>
      </w:pPr>
      <w:r>
        <w:t>3.2. Risques relatifs à l’activité et au marché sur lequel intervient la Société</w:t>
      </w:r>
      <w:r>
        <w:tab/>
      </w:r>
      <w:r>
        <w:fldChar w:fldCharType="begin"/>
      </w:r>
      <w:r>
        <w:instrText xml:space="preserve"> PAGEREF _Toc475033162 \h </w:instrText>
      </w:r>
      <w:r>
        <w:fldChar w:fldCharType="separate"/>
      </w:r>
      <w:r w:rsidR="004C5FA1">
        <w:t>17</w:t>
      </w:r>
      <w:r>
        <w:fldChar w:fldCharType="end"/>
      </w:r>
    </w:p>
    <w:p w14:paraId="6718E3DD" w14:textId="77777777" w:rsidR="00CA5E30" w:rsidRDefault="00CA5E30">
      <w:pPr>
        <w:pStyle w:val="TM3"/>
        <w:rPr>
          <w:rFonts w:asciiTheme="minorHAnsi" w:hAnsiTheme="minorHAnsi"/>
          <w:i w:val="0"/>
          <w:noProof/>
          <w:sz w:val="24"/>
          <w:szCs w:val="24"/>
          <w:lang w:eastAsia="ja-JP"/>
        </w:rPr>
      </w:pPr>
      <w:r>
        <w:rPr>
          <w:noProof/>
        </w:rPr>
        <w:t>3.2.1. Risques liés au Covid-19</w:t>
      </w:r>
      <w:r>
        <w:rPr>
          <w:noProof/>
        </w:rPr>
        <w:tab/>
      </w:r>
      <w:r>
        <w:rPr>
          <w:noProof/>
        </w:rPr>
        <w:fldChar w:fldCharType="begin"/>
      </w:r>
      <w:r>
        <w:rPr>
          <w:noProof/>
        </w:rPr>
        <w:instrText xml:space="preserve"> PAGEREF _Toc475033163 \h </w:instrText>
      </w:r>
      <w:r>
        <w:rPr>
          <w:noProof/>
        </w:rPr>
      </w:r>
      <w:r>
        <w:rPr>
          <w:noProof/>
        </w:rPr>
        <w:fldChar w:fldCharType="separate"/>
      </w:r>
      <w:r w:rsidR="004C5FA1">
        <w:rPr>
          <w:noProof/>
        </w:rPr>
        <w:t>17</w:t>
      </w:r>
      <w:r>
        <w:rPr>
          <w:noProof/>
        </w:rPr>
        <w:fldChar w:fldCharType="end"/>
      </w:r>
    </w:p>
    <w:p w14:paraId="40EA7DF6" w14:textId="77777777" w:rsidR="00CA5E30" w:rsidRDefault="00CA5E30">
      <w:pPr>
        <w:pStyle w:val="TM3"/>
        <w:rPr>
          <w:rFonts w:asciiTheme="minorHAnsi" w:hAnsiTheme="minorHAnsi"/>
          <w:i w:val="0"/>
          <w:noProof/>
          <w:sz w:val="24"/>
          <w:szCs w:val="24"/>
          <w:lang w:eastAsia="ja-JP"/>
        </w:rPr>
      </w:pPr>
      <w:r>
        <w:rPr>
          <w:noProof/>
        </w:rPr>
        <w:t>3.2.2. Risques liés à l’environnement concurrentiel</w:t>
      </w:r>
      <w:r>
        <w:rPr>
          <w:noProof/>
        </w:rPr>
        <w:tab/>
      </w:r>
      <w:r>
        <w:rPr>
          <w:noProof/>
        </w:rPr>
        <w:fldChar w:fldCharType="begin"/>
      </w:r>
      <w:r>
        <w:rPr>
          <w:noProof/>
        </w:rPr>
        <w:instrText xml:space="preserve"> PAGEREF _Toc475033164 \h </w:instrText>
      </w:r>
      <w:r>
        <w:rPr>
          <w:noProof/>
        </w:rPr>
      </w:r>
      <w:r>
        <w:rPr>
          <w:noProof/>
        </w:rPr>
        <w:fldChar w:fldCharType="separate"/>
      </w:r>
      <w:r w:rsidR="004C5FA1">
        <w:rPr>
          <w:noProof/>
        </w:rPr>
        <w:t>18</w:t>
      </w:r>
      <w:r>
        <w:rPr>
          <w:noProof/>
        </w:rPr>
        <w:fldChar w:fldCharType="end"/>
      </w:r>
    </w:p>
    <w:p w14:paraId="7EEF16B0" w14:textId="77777777" w:rsidR="00CA5E30" w:rsidRDefault="00CA5E30">
      <w:pPr>
        <w:pStyle w:val="TM3"/>
        <w:rPr>
          <w:rFonts w:asciiTheme="minorHAnsi" w:hAnsiTheme="minorHAnsi"/>
          <w:i w:val="0"/>
          <w:noProof/>
          <w:sz w:val="24"/>
          <w:szCs w:val="24"/>
          <w:lang w:eastAsia="ja-JP"/>
        </w:rPr>
      </w:pPr>
      <w:r>
        <w:rPr>
          <w:noProof/>
        </w:rPr>
        <w:t>3.2.3. Risques liés aux innovations technologiques et au développement de nouveaux produits</w:t>
      </w:r>
      <w:r>
        <w:rPr>
          <w:noProof/>
        </w:rPr>
        <w:tab/>
      </w:r>
      <w:r>
        <w:rPr>
          <w:noProof/>
        </w:rPr>
        <w:fldChar w:fldCharType="begin"/>
      </w:r>
      <w:r>
        <w:rPr>
          <w:noProof/>
        </w:rPr>
        <w:instrText xml:space="preserve"> PAGEREF _Toc475033165 \h </w:instrText>
      </w:r>
      <w:r>
        <w:rPr>
          <w:noProof/>
        </w:rPr>
      </w:r>
      <w:r>
        <w:rPr>
          <w:noProof/>
        </w:rPr>
        <w:fldChar w:fldCharType="separate"/>
      </w:r>
      <w:r w:rsidR="004C5FA1">
        <w:rPr>
          <w:noProof/>
        </w:rPr>
        <w:t>18</w:t>
      </w:r>
      <w:r>
        <w:rPr>
          <w:noProof/>
        </w:rPr>
        <w:fldChar w:fldCharType="end"/>
      </w:r>
    </w:p>
    <w:p w14:paraId="3546535A" w14:textId="77777777" w:rsidR="00CA5E30" w:rsidRDefault="00CA5E30">
      <w:pPr>
        <w:pStyle w:val="TM2"/>
        <w:rPr>
          <w:rFonts w:asciiTheme="minorHAnsi" w:hAnsiTheme="minorHAnsi"/>
          <w:sz w:val="24"/>
          <w:szCs w:val="24"/>
          <w:lang w:eastAsia="ja-JP"/>
        </w:rPr>
      </w:pPr>
      <w:r>
        <w:t>3.3. Risques liés aux tiers</w:t>
      </w:r>
      <w:r>
        <w:tab/>
      </w:r>
      <w:r>
        <w:fldChar w:fldCharType="begin"/>
      </w:r>
      <w:r>
        <w:instrText xml:space="preserve"> PAGEREF _Toc475033166 \h </w:instrText>
      </w:r>
      <w:r>
        <w:fldChar w:fldCharType="separate"/>
      </w:r>
      <w:r w:rsidR="004C5FA1">
        <w:t>19</w:t>
      </w:r>
      <w:r>
        <w:fldChar w:fldCharType="end"/>
      </w:r>
    </w:p>
    <w:p w14:paraId="65F86F72" w14:textId="77777777" w:rsidR="00CA5E30" w:rsidRDefault="00CA5E30">
      <w:pPr>
        <w:pStyle w:val="TM3"/>
        <w:rPr>
          <w:rFonts w:asciiTheme="minorHAnsi" w:hAnsiTheme="minorHAnsi"/>
          <w:i w:val="0"/>
          <w:noProof/>
          <w:sz w:val="24"/>
          <w:szCs w:val="24"/>
          <w:lang w:eastAsia="ja-JP"/>
        </w:rPr>
      </w:pPr>
      <w:r>
        <w:rPr>
          <w:noProof/>
        </w:rPr>
        <w:t>3.3.1. Risques de dépendance clients de Spineway</w:t>
      </w:r>
      <w:r>
        <w:rPr>
          <w:noProof/>
        </w:rPr>
        <w:tab/>
      </w:r>
      <w:r>
        <w:rPr>
          <w:noProof/>
        </w:rPr>
        <w:fldChar w:fldCharType="begin"/>
      </w:r>
      <w:r>
        <w:rPr>
          <w:noProof/>
        </w:rPr>
        <w:instrText xml:space="preserve"> PAGEREF _Toc475033167 \h </w:instrText>
      </w:r>
      <w:r>
        <w:rPr>
          <w:noProof/>
        </w:rPr>
      </w:r>
      <w:r>
        <w:rPr>
          <w:noProof/>
        </w:rPr>
        <w:fldChar w:fldCharType="separate"/>
      </w:r>
      <w:r w:rsidR="004C5FA1">
        <w:rPr>
          <w:noProof/>
        </w:rPr>
        <w:t>19</w:t>
      </w:r>
      <w:r>
        <w:rPr>
          <w:noProof/>
        </w:rPr>
        <w:fldChar w:fldCharType="end"/>
      </w:r>
    </w:p>
    <w:p w14:paraId="06D85AC2" w14:textId="77777777" w:rsidR="00CA5E30" w:rsidRDefault="00CA5E30">
      <w:pPr>
        <w:pStyle w:val="TM2"/>
        <w:rPr>
          <w:rFonts w:asciiTheme="minorHAnsi" w:hAnsiTheme="minorHAnsi"/>
          <w:sz w:val="24"/>
          <w:szCs w:val="24"/>
          <w:lang w:eastAsia="ja-JP"/>
        </w:rPr>
      </w:pPr>
      <w:r>
        <w:t>3.4. Risques juridiques</w:t>
      </w:r>
      <w:r>
        <w:tab/>
      </w:r>
      <w:r>
        <w:fldChar w:fldCharType="begin"/>
      </w:r>
      <w:r>
        <w:instrText xml:space="preserve"> PAGEREF _Toc475033168 \h </w:instrText>
      </w:r>
      <w:r>
        <w:fldChar w:fldCharType="separate"/>
      </w:r>
      <w:r w:rsidR="004C5FA1">
        <w:t>21</w:t>
      </w:r>
      <w:r>
        <w:fldChar w:fldCharType="end"/>
      </w:r>
    </w:p>
    <w:p w14:paraId="351E7EFF" w14:textId="77777777" w:rsidR="00CA5E30" w:rsidRDefault="00CA5E30">
      <w:pPr>
        <w:pStyle w:val="TM3"/>
        <w:rPr>
          <w:rFonts w:asciiTheme="minorHAnsi" w:hAnsiTheme="minorHAnsi"/>
          <w:i w:val="0"/>
          <w:noProof/>
          <w:sz w:val="24"/>
          <w:szCs w:val="24"/>
          <w:lang w:eastAsia="ja-JP"/>
        </w:rPr>
      </w:pPr>
      <w:r w:rsidRPr="009B0ECC">
        <w:rPr>
          <w:noProof/>
        </w:rPr>
        <w:t>3.4.1. Risques liés aux</w:t>
      </w:r>
      <w:r>
        <w:rPr>
          <w:noProof/>
        </w:rPr>
        <w:t xml:space="preserve"> contraintes règlementaires</w:t>
      </w:r>
      <w:r>
        <w:rPr>
          <w:noProof/>
        </w:rPr>
        <w:tab/>
      </w:r>
      <w:r>
        <w:rPr>
          <w:noProof/>
        </w:rPr>
        <w:fldChar w:fldCharType="begin"/>
      </w:r>
      <w:r>
        <w:rPr>
          <w:noProof/>
        </w:rPr>
        <w:instrText xml:space="preserve"> PAGEREF _Toc475033169 \h </w:instrText>
      </w:r>
      <w:r>
        <w:rPr>
          <w:noProof/>
        </w:rPr>
      </w:r>
      <w:r>
        <w:rPr>
          <w:noProof/>
        </w:rPr>
        <w:fldChar w:fldCharType="separate"/>
      </w:r>
      <w:r w:rsidR="004C5FA1">
        <w:rPr>
          <w:noProof/>
        </w:rPr>
        <w:t>21</w:t>
      </w:r>
      <w:r>
        <w:rPr>
          <w:noProof/>
        </w:rPr>
        <w:fldChar w:fldCharType="end"/>
      </w:r>
    </w:p>
    <w:p w14:paraId="6DFAD127" w14:textId="77777777" w:rsidR="00CA5E30" w:rsidRDefault="00CA5E30">
      <w:pPr>
        <w:pStyle w:val="TM3"/>
        <w:rPr>
          <w:rFonts w:asciiTheme="minorHAnsi" w:hAnsiTheme="minorHAnsi"/>
          <w:i w:val="0"/>
          <w:noProof/>
          <w:sz w:val="24"/>
          <w:szCs w:val="24"/>
          <w:lang w:eastAsia="ja-JP"/>
        </w:rPr>
      </w:pPr>
      <w:r>
        <w:rPr>
          <w:noProof/>
        </w:rPr>
        <w:t>3.4.2 Risques liés à la propriété intellectuelle</w:t>
      </w:r>
      <w:r>
        <w:rPr>
          <w:noProof/>
        </w:rPr>
        <w:tab/>
      </w:r>
      <w:r>
        <w:rPr>
          <w:noProof/>
        </w:rPr>
        <w:fldChar w:fldCharType="begin"/>
      </w:r>
      <w:r>
        <w:rPr>
          <w:noProof/>
        </w:rPr>
        <w:instrText xml:space="preserve"> PAGEREF _Toc475033170 \h </w:instrText>
      </w:r>
      <w:r>
        <w:rPr>
          <w:noProof/>
        </w:rPr>
      </w:r>
      <w:r>
        <w:rPr>
          <w:noProof/>
        </w:rPr>
        <w:fldChar w:fldCharType="separate"/>
      </w:r>
      <w:r w:rsidR="004C5FA1">
        <w:rPr>
          <w:noProof/>
        </w:rPr>
        <w:t>22</w:t>
      </w:r>
      <w:r>
        <w:rPr>
          <w:noProof/>
        </w:rPr>
        <w:fldChar w:fldCharType="end"/>
      </w:r>
    </w:p>
    <w:p w14:paraId="4A36C12D" w14:textId="77777777" w:rsidR="00CA5E30" w:rsidRDefault="00CA5E30">
      <w:pPr>
        <w:pStyle w:val="TM3"/>
        <w:rPr>
          <w:rFonts w:asciiTheme="minorHAnsi" w:hAnsiTheme="minorHAnsi"/>
          <w:i w:val="0"/>
          <w:noProof/>
          <w:sz w:val="24"/>
          <w:szCs w:val="24"/>
          <w:lang w:eastAsia="ja-JP"/>
        </w:rPr>
      </w:pPr>
      <w:r>
        <w:rPr>
          <w:noProof/>
        </w:rPr>
        <w:t>3.4.3. Risques liés à une évolution défavorable des politiques de remboursement des dispositifs médicaux</w:t>
      </w:r>
      <w:r>
        <w:rPr>
          <w:noProof/>
        </w:rPr>
        <w:tab/>
      </w:r>
      <w:r>
        <w:rPr>
          <w:noProof/>
        </w:rPr>
        <w:fldChar w:fldCharType="begin"/>
      </w:r>
      <w:r>
        <w:rPr>
          <w:noProof/>
        </w:rPr>
        <w:instrText xml:space="preserve"> PAGEREF _Toc475033171 \h </w:instrText>
      </w:r>
      <w:r>
        <w:rPr>
          <w:noProof/>
        </w:rPr>
      </w:r>
      <w:r>
        <w:rPr>
          <w:noProof/>
        </w:rPr>
        <w:fldChar w:fldCharType="separate"/>
      </w:r>
      <w:r w:rsidR="004C5FA1">
        <w:rPr>
          <w:noProof/>
        </w:rPr>
        <w:t>24</w:t>
      </w:r>
      <w:r>
        <w:rPr>
          <w:noProof/>
        </w:rPr>
        <w:fldChar w:fldCharType="end"/>
      </w:r>
    </w:p>
    <w:p w14:paraId="319DA680" w14:textId="77777777" w:rsidR="00CA5E30" w:rsidRDefault="00CA5E30">
      <w:pPr>
        <w:pStyle w:val="TM3"/>
        <w:rPr>
          <w:rFonts w:asciiTheme="minorHAnsi" w:hAnsiTheme="minorHAnsi"/>
          <w:i w:val="0"/>
          <w:noProof/>
          <w:sz w:val="24"/>
          <w:szCs w:val="24"/>
          <w:lang w:eastAsia="ja-JP"/>
        </w:rPr>
      </w:pPr>
      <w:r w:rsidRPr="009B0ECC">
        <w:rPr>
          <w:noProof/>
        </w:rPr>
        <w:t xml:space="preserve">3.4.4. Risques liés à la responsabilité </w:t>
      </w:r>
      <w:r>
        <w:rPr>
          <w:noProof/>
        </w:rPr>
        <w:t>en cas de produits défectueux</w:t>
      </w:r>
      <w:r>
        <w:rPr>
          <w:noProof/>
        </w:rPr>
        <w:tab/>
      </w:r>
      <w:r>
        <w:rPr>
          <w:noProof/>
        </w:rPr>
        <w:fldChar w:fldCharType="begin"/>
      </w:r>
      <w:r>
        <w:rPr>
          <w:noProof/>
        </w:rPr>
        <w:instrText xml:space="preserve"> PAGEREF _Toc475033172 \h </w:instrText>
      </w:r>
      <w:r>
        <w:rPr>
          <w:noProof/>
        </w:rPr>
      </w:r>
      <w:r>
        <w:rPr>
          <w:noProof/>
        </w:rPr>
        <w:fldChar w:fldCharType="separate"/>
      </w:r>
      <w:r w:rsidR="004C5FA1">
        <w:rPr>
          <w:noProof/>
        </w:rPr>
        <w:t>25</w:t>
      </w:r>
      <w:r>
        <w:rPr>
          <w:noProof/>
        </w:rPr>
        <w:fldChar w:fldCharType="end"/>
      </w:r>
    </w:p>
    <w:p w14:paraId="08095D76" w14:textId="77777777" w:rsidR="00CA5E30" w:rsidRDefault="00CA5E30">
      <w:pPr>
        <w:pStyle w:val="TM2"/>
        <w:rPr>
          <w:rFonts w:asciiTheme="minorHAnsi" w:hAnsiTheme="minorHAnsi"/>
          <w:sz w:val="24"/>
          <w:szCs w:val="24"/>
          <w:lang w:eastAsia="ja-JP"/>
        </w:rPr>
      </w:pPr>
      <w:r>
        <w:t>3.5. Risques liés à l’organisation de la Société</w:t>
      </w:r>
      <w:r>
        <w:tab/>
      </w:r>
      <w:r>
        <w:fldChar w:fldCharType="begin"/>
      </w:r>
      <w:r>
        <w:instrText xml:space="preserve"> PAGEREF _Toc475033173 \h </w:instrText>
      </w:r>
      <w:r>
        <w:fldChar w:fldCharType="separate"/>
      </w:r>
      <w:r w:rsidR="004C5FA1">
        <w:t>26</w:t>
      </w:r>
      <w:r>
        <w:fldChar w:fldCharType="end"/>
      </w:r>
    </w:p>
    <w:p w14:paraId="6A532CFD" w14:textId="77777777" w:rsidR="00CA5E30" w:rsidRDefault="00CA5E30">
      <w:pPr>
        <w:pStyle w:val="TM3"/>
        <w:rPr>
          <w:rFonts w:asciiTheme="minorHAnsi" w:hAnsiTheme="minorHAnsi"/>
          <w:i w:val="0"/>
          <w:noProof/>
          <w:sz w:val="24"/>
          <w:szCs w:val="24"/>
          <w:lang w:eastAsia="ja-JP"/>
        </w:rPr>
      </w:pPr>
      <w:r>
        <w:rPr>
          <w:noProof/>
        </w:rPr>
        <w:t>3.5.1. Risques liés à la politique de développement international</w:t>
      </w:r>
      <w:r>
        <w:rPr>
          <w:noProof/>
        </w:rPr>
        <w:tab/>
      </w:r>
      <w:r>
        <w:rPr>
          <w:noProof/>
        </w:rPr>
        <w:fldChar w:fldCharType="begin"/>
      </w:r>
      <w:r>
        <w:rPr>
          <w:noProof/>
        </w:rPr>
        <w:instrText xml:space="preserve"> PAGEREF _Toc475033174 \h </w:instrText>
      </w:r>
      <w:r>
        <w:rPr>
          <w:noProof/>
        </w:rPr>
      </w:r>
      <w:r>
        <w:rPr>
          <w:noProof/>
        </w:rPr>
        <w:fldChar w:fldCharType="separate"/>
      </w:r>
      <w:r w:rsidR="004C5FA1">
        <w:rPr>
          <w:noProof/>
        </w:rPr>
        <w:t>26</w:t>
      </w:r>
      <w:r>
        <w:rPr>
          <w:noProof/>
        </w:rPr>
        <w:fldChar w:fldCharType="end"/>
      </w:r>
    </w:p>
    <w:p w14:paraId="13F1DDCC" w14:textId="77777777" w:rsidR="00CA5E30" w:rsidRDefault="00CA5E30">
      <w:pPr>
        <w:pStyle w:val="TM2"/>
        <w:rPr>
          <w:rFonts w:asciiTheme="minorHAnsi" w:hAnsiTheme="minorHAnsi"/>
          <w:sz w:val="24"/>
          <w:szCs w:val="24"/>
          <w:lang w:eastAsia="ja-JP"/>
        </w:rPr>
      </w:pPr>
      <w:r>
        <w:t>3.6. Assurances et couverture des risques</w:t>
      </w:r>
      <w:r>
        <w:tab/>
      </w:r>
      <w:r>
        <w:fldChar w:fldCharType="begin"/>
      </w:r>
      <w:r>
        <w:instrText xml:space="preserve"> PAGEREF _Toc475033175 \h </w:instrText>
      </w:r>
      <w:r>
        <w:fldChar w:fldCharType="separate"/>
      </w:r>
      <w:r w:rsidR="004C5FA1">
        <w:t>26</w:t>
      </w:r>
      <w:r>
        <w:fldChar w:fldCharType="end"/>
      </w:r>
    </w:p>
    <w:p w14:paraId="40D6A690" w14:textId="77777777" w:rsidR="00CA5E30" w:rsidRDefault="00CA5E30">
      <w:pPr>
        <w:pStyle w:val="TM2"/>
        <w:rPr>
          <w:rFonts w:asciiTheme="minorHAnsi" w:hAnsiTheme="minorHAnsi"/>
          <w:sz w:val="24"/>
          <w:szCs w:val="24"/>
          <w:lang w:eastAsia="ja-JP"/>
        </w:rPr>
      </w:pPr>
      <w:r>
        <w:t>3.7. Procédures judiciaires et d’arbitrage</w:t>
      </w:r>
      <w:r>
        <w:tab/>
      </w:r>
      <w:r>
        <w:fldChar w:fldCharType="begin"/>
      </w:r>
      <w:r>
        <w:instrText xml:space="preserve"> PAGEREF _Toc475033176 \h </w:instrText>
      </w:r>
      <w:r>
        <w:fldChar w:fldCharType="separate"/>
      </w:r>
      <w:r w:rsidR="004C5FA1">
        <w:t>28</w:t>
      </w:r>
      <w:r>
        <w:fldChar w:fldCharType="end"/>
      </w:r>
    </w:p>
    <w:p w14:paraId="05C0B8C9" w14:textId="77777777" w:rsidR="00CA5E30" w:rsidRDefault="00CA5E30">
      <w:pPr>
        <w:pStyle w:val="TM1"/>
        <w:rPr>
          <w:rFonts w:asciiTheme="minorHAnsi" w:hAnsiTheme="minorHAnsi"/>
          <w:b w:val="0"/>
          <w:color w:val="auto"/>
          <w:sz w:val="24"/>
          <w:szCs w:val="24"/>
          <w:lang w:eastAsia="ja-JP"/>
        </w:rPr>
      </w:pPr>
      <w:r>
        <w:t>4. INFORMATIONS CONCERNANT LA SOCIETE</w:t>
      </w:r>
      <w:r>
        <w:tab/>
      </w:r>
      <w:r>
        <w:fldChar w:fldCharType="begin"/>
      </w:r>
      <w:r>
        <w:instrText xml:space="preserve"> PAGEREF _Toc475033177 \h </w:instrText>
      </w:r>
      <w:r>
        <w:fldChar w:fldCharType="separate"/>
      </w:r>
      <w:r w:rsidR="004C5FA1">
        <w:t>29</w:t>
      </w:r>
      <w:r>
        <w:fldChar w:fldCharType="end"/>
      </w:r>
    </w:p>
    <w:p w14:paraId="4D7D9BA9" w14:textId="77777777" w:rsidR="00CA5E30" w:rsidRDefault="00CA5E30">
      <w:pPr>
        <w:pStyle w:val="TM2"/>
        <w:rPr>
          <w:rFonts w:asciiTheme="minorHAnsi" w:hAnsiTheme="minorHAnsi"/>
          <w:sz w:val="24"/>
          <w:szCs w:val="24"/>
          <w:lang w:eastAsia="ja-JP"/>
        </w:rPr>
      </w:pPr>
      <w:r>
        <w:t>4.1 Dénomination sociale de la Société</w:t>
      </w:r>
      <w:r>
        <w:tab/>
      </w:r>
      <w:r>
        <w:fldChar w:fldCharType="begin"/>
      </w:r>
      <w:r>
        <w:instrText xml:space="preserve"> PAGEREF _Toc475033178 \h </w:instrText>
      </w:r>
      <w:r>
        <w:fldChar w:fldCharType="separate"/>
      </w:r>
      <w:r w:rsidR="004C5FA1">
        <w:t>29</w:t>
      </w:r>
      <w:r>
        <w:fldChar w:fldCharType="end"/>
      </w:r>
    </w:p>
    <w:p w14:paraId="66C9756A" w14:textId="77777777" w:rsidR="00CA5E30" w:rsidRDefault="00CA5E30">
      <w:pPr>
        <w:pStyle w:val="TM2"/>
        <w:rPr>
          <w:rFonts w:asciiTheme="minorHAnsi" w:hAnsiTheme="minorHAnsi"/>
          <w:sz w:val="24"/>
          <w:szCs w:val="24"/>
          <w:lang w:eastAsia="ja-JP"/>
        </w:rPr>
      </w:pPr>
      <w:r>
        <w:t>4.2 Lieu, numéro d’enregistrement et LEI de la Société</w:t>
      </w:r>
      <w:r>
        <w:tab/>
      </w:r>
      <w:r>
        <w:fldChar w:fldCharType="begin"/>
      </w:r>
      <w:r>
        <w:instrText xml:space="preserve"> PAGEREF _Toc475033179 \h </w:instrText>
      </w:r>
      <w:r>
        <w:fldChar w:fldCharType="separate"/>
      </w:r>
      <w:r w:rsidR="004C5FA1">
        <w:t>29</w:t>
      </w:r>
      <w:r>
        <w:fldChar w:fldCharType="end"/>
      </w:r>
    </w:p>
    <w:p w14:paraId="59AA473C" w14:textId="77777777" w:rsidR="00CA5E30" w:rsidRDefault="00CA5E30">
      <w:pPr>
        <w:pStyle w:val="TM2"/>
        <w:rPr>
          <w:rFonts w:asciiTheme="minorHAnsi" w:hAnsiTheme="minorHAnsi"/>
          <w:sz w:val="24"/>
          <w:szCs w:val="24"/>
          <w:lang w:eastAsia="ja-JP"/>
        </w:rPr>
      </w:pPr>
      <w:r>
        <w:t>4.3. Date de constitution et durée de vie de la Société</w:t>
      </w:r>
      <w:r>
        <w:tab/>
      </w:r>
      <w:r>
        <w:fldChar w:fldCharType="begin"/>
      </w:r>
      <w:r>
        <w:instrText xml:space="preserve"> PAGEREF _Toc475033180 \h </w:instrText>
      </w:r>
      <w:r>
        <w:fldChar w:fldCharType="separate"/>
      </w:r>
      <w:r w:rsidR="004C5FA1">
        <w:t>29</w:t>
      </w:r>
      <w:r>
        <w:fldChar w:fldCharType="end"/>
      </w:r>
    </w:p>
    <w:p w14:paraId="747BBFEE" w14:textId="77777777" w:rsidR="00CA5E30" w:rsidRDefault="00CA5E30">
      <w:pPr>
        <w:pStyle w:val="TM2"/>
        <w:rPr>
          <w:rFonts w:asciiTheme="minorHAnsi" w:hAnsiTheme="minorHAnsi"/>
          <w:sz w:val="24"/>
          <w:szCs w:val="24"/>
          <w:lang w:eastAsia="ja-JP"/>
        </w:rPr>
      </w:pPr>
      <w:r>
        <w:t>4.4. Siège social de la Société, numéro de téléphone, forme juridique et législation régissant ses activités</w:t>
      </w:r>
      <w:r>
        <w:tab/>
      </w:r>
      <w:r>
        <w:fldChar w:fldCharType="begin"/>
      </w:r>
      <w:r>
        <w:instrText xml:space="preserve"> PAGEREF _Toc475033181 \h </w:instrText>
      </w:r>
      <w:r>
        <w:fldChar w:fldCharType="separate"/>
      </w:r>
      <w:r w:rsidR="004C5FA1">
        <w:t>29</w:t>
      </w:r>
      <w:r>
        <w:fldChar w:fldCharType="end"/>
      </w:r>
    </w:p>
    <w:p w14:paraId="4A7F0652" w14:textId="77777777" w:rsidR="00CA5E30" w:rsidRDefault="00CA5E30">
      <w:pPr>
        <w:pStyle w:val="TM1"/>
        <w:rPr>
          <w:rFonts w:asciiTheme="minorHAnsi" w:hAnsiTheme="minorHAnsi"/>
          <w:b w:val="0"/>
          <w:color w:val="auto"/>
          <w:sz w:val="24"/>
          <w:szCs w:val="24"/>
          <w:lang w:eastAsia="ja-JP"/>
        </w:rPr>
      </w:pPr>
      <w:r>
        <w:t>5. APERCU DES ACTIVITES</w:t>
      </w:r>
      <w:r>
        <w:tab/>
      </w:r>
      <w:r>
        <w:fldChar w:fldCharType="begin"/>
      </w:r>
      <w:r>
        <w:instrText xml:space="preserve"> PAGEREF _Toc475033182 \h </w:instrText>
      </w:r>
      <w:r>
        <w:fldChar w:fldCharType="separate"/>
      </w:r>
      <w:r w:rsidR="004C5FA1">
        <w:t>30</w:t>
      </w:r>
      <w:r>
        <w:fldChar w:fldCharType="end"/>
      </w:r>
    </w:p>
    <w:p w14:paraId="0622512F" w14:textId="77777777" w:rsidR="00CA5E30" w:rsidRDefault="00CA5E30">
      <w:pPr>
        <w:pStyle w:val="TM2"/>
        <w:rPr>
          <w:rFonts w:asciiTheme="minorHAnsi" w:hAnsiTheme="minorHAnsi"/>
          <w:sz w:val="24"/>
          <w:szCs w:val="24"/>
          <w:lang w:eastAsia="ja-JP"/>
        </w:rPr>
      </w:pPr>
      <w:r>
        <w:t>5.1. principales activités de Spineway</w:t>
      </w:r>
      <w:r>
        <w:tab/>
      </w:r>
      <w:r>
        <w:fldChar w:fldCharType="begin"/>
      </w:r>
      <w:r>
        <w:instrText xml:space="preserve"> PAGEREF _Toc475033183 \h </w:instrText>
      </w:r>
      <w:r>
        <w:fldChar w:fldCharType="separate"/>
      </w:r>
      <w:r w:rsidR="004C5FA1">
        <w:t>32</w:t>
      </w:r>
      <w:r>
        <w:fldChar w:fldCharType="end"/>
      </w:r>
    </w:p>
    <w:p w14:paraId="6D911FEF" w14:textId="77777777" w:rsidR="00CA5E30" w:rsidRDefault="00CA5E30">
      <w:pPr>
        <w:pStyle w:val="TM3"/>
        <w:rPr>
          <w:rFonts w:asciiTheme="minorHAnsi" w:hAnsiTheme="minorHAnsi"/>
          <w:i w:val="0"/>
          <w:noProof/>
          <w:sz w:val="24"/>
          <w:szCs w:val="24"/>
          <w:lang w:eastAsia="ja-JP"/>
        </w:rPr>
      </w:pPr>
      <w:r>
        <w:rPr>
          <w:noProof/>
        </w:rPr>
        <w:t>5.1.1. Le cœur de métier de Spineway : la chirurgie de la colonne vertébrale</w:t>
      </w:r>
      <w:r>
        <w:rPr>
          <w:noProof/>
        </w:rPr>
        <w:tab/>
      </w:r>
      <w:r>
        <w:rPr>
          <w:noProof/>
        </w:rPr>
        <w:fldChar w:fldCharType="begin"/>
      </w:r>
      <w:r>
        <w:rPr>
          <w:noProof/>
        </w:rPr>
        <w:instrText xml:space="preserve"> PAGEREF _Toc475033184 \h </w:instrText>
      </w:r>
      <w:r>
        <w:rPr>
          <w:noProof/>
        </w:rPr>
      </w:r>
      <w:r>
        <w:rPr>
          <w:noProof/>
        </w:rPr>
        <w:fldChar w:fldCharType="separate"/>
      </w:r>
      <w:r w:rsidR="004C5FA1">
        <w:rPr>
          <w:noProof/>
        </w:rPr>
        <w:t>32</w:t>
      </w:r>
      <w:r>
        <w:rPr>
          <w:noProof/>
        </w:rPr>
        <w:fldChar w:fldCharType="end"/>
      </w:r>
    </w:p>
    <w:p w14:paraId="738305F0" w14:textId="77777777" w:rsidR="00CA5E30" w:rsidRDefault="00CA5E30">
      <w:pPr>
        <w:pStyle w:val="TM3"/>
        <w:rPr>
          <w:rFonts w:asciiTheme="minorHAnsi" w:hAnsiTheme="minorHAnsi"/>
          <w:i w:val="0"/>
          <w:noProof/>
          <w:sz w:val="24"/>
          <w:szCs w:val="24"/>
          <w:lang w:eastAsia="ja-JP"/>
        </w:rPr>
      </w:pPr>
      <w:r>
        <w:rPr>
          <w:noProof/>
        </w:rPr>
        <w:t>5.1.2. Les produits conçus, développés et commercialisés par Spineway : les implants du rachis</w:t>
      </w:r>
      <w:r>
        <w:rPr>
          <w:noProof/>
        </w:rPr>
        <w:tab/>
      </w:r>
      <w:r>
        <w:rPr>
          <w:noProof/>
        </w:rPr>
        <w:fldChar w:fldCharType="begin"/>
      </w:r>
      <w:r>
        <w:rPr>
          <w:noProof/>
        </w:rPr>
        <w:instrText xml:space="preserve"> PAGEREF _Toc475033185 \h </w:instrText>
      </w:r>
      <w:r>
        <w:rPr>
          <w:noProof/>
        </w:rPr>
      </w:r>
      <w:r>
        <w:rPr>
          <w:noProof/>
        </w:rPr>
        <w:fldChar w:fldCharType="separate"/>
      </w:r>
      <w:r w:rsidR="004C5FA1">
        <w:rPr>
          <w:noProof/>
        </w:rPr>
        <w:t>36</w:t>
      </w:r>
      <w:r>
        <w:rPr>
          <w:noProof/>
        </w:rPr>
        <w:fldChar w:fldCharType="end"/>
      </w:r>
    </w:p>
    <w:p w14:paraId="0487BA9B" w14:textId="77777777" w:rsidR="00CA5E30" w:rsidRDefault="00CA5E30">
      <w:pPr>
        <w:pStyle w:val="TM3"/>
        <w:rPr>
          <w:rFonts w:asciiTheme="minorHAnsi" w:hAnsiTheme="minorHAnsi"/>
          <w:i w:val="0"/>
          <w:noProof/>
          <w:sz w:val="24"/>
          <w:szCs w:val="24"/>
          <w:lang w:eastAsia="ja-JP"/>
        </w:rPr>
      </w:pPr>
      <w:r>
        <w:rPr>
          <w:noProof/>
        </w:rPr>
        <w:t>5.1.3. Les activités de Spineway : R&amp;D, conception, fabrication et commercialisation des implants du rachis</w:t>
      </w:r>
      <w:r>
        <w:rPr>
          <w:noProof/>
        </w:rPr>
        <w:tab/>
      </w:r>
      <w:r>
        <w:rPr>
          <w:noProof/>
        </w:rPr>
        <w:fldChar w:fldCharType="begin"/>
      </w:r>
      <w:r>
        <w:rPr>
          <w:noProof/>
        </w:rPr>
        <w:instrText xml:space="preserve"> PAGEREF _Toc475033186 \h </w:instrText>
      </w:r>
      <w:r>
        <w:rPr>
          <w:noProof/>
        </w:rPr>
      </w:r>
      <w:r>
        <w:rPr>
          <w:noProof/>
        </w:rPr>
        <w:fldChar w:fldCharType="separate"/>
      </w:r>
      <w:r w:rsidR="004C5FA1">
        <w:rPr>
          <w:noProof/>
        </w:rPr>
        <w:t>40</w:t>
      </w:r>
      <w:r>
        <w:rPr>
          <w:noProof/>
        </w:rPr>
        <w:fldChar w:fldCharType="end"/>
      </w:r>
    </w:p>
    <w:p w14:paraId="660E8DDE" w14:textId="77777777" w:rsidR="00CA5E30" w:rsidRDefault="00CA5E30">
      <w:pPr>
        <w:pStyle w:val="TM2"/>
        <w:rPr>
          <w:rFonts w:asciiTheme="minorHAnsi" w:hAnsiTheme="minorHAnsi"/>
          <w:sz w:val="24"/>
          <w:szCs w:val="24"/>
          <w:lang w:eastAsia="ja-JP"/>
        </w:rPr>
      </w:pPr>
      <w:r>
        <w:t>5.2. Principaux marchés et environnement concurrentiel</w:t>
      </w:r>
      <w:r>
        <w:tab/>
      </w:r>
      <w:r>
        <w:fldChar w:fldCharType="begin"/>
      </w:r>
      <w:r>
        <w:instrText xml:space="preserve"> PAGEREF _Toc475033187 \h </w:instrText>
      </w:r>
      <w:r>
        <w:fldChar w:fldCharType="separate"/>
      </w:r>
      <w:r w:rsidR="004C5FA1">
        <w:t>52</w:t>
      </w:r>
      <w:r>
        <w:fldChar w:fldCharType="end"/>
      </w:r>
    </w:p>
    <w:p w14:paraId="57657B61" w14:textId="77777777" w:rsidR="00CA5E30" w:rsidRDefault="00CA5E30">
      <w:pPr>
        <w:pStyle w:val="TM3"/>
        <w:rPr>
          <w:rFonts w:asciiTheme="minorHAnsi" w:hAnsiTheme="minorHAnsi"/>
          <w:i w:val="0"/>
          <w:noProof/>
          <w:sz w:val="24"/>
          <w:szCs w:val="24"/>
          <w:lang w:eastAsia="ja-JP"/>
        </w:rPr>
      </w:pPr>
      <w:r>
        <w:rPr>
          <w:noProof/>
        </w:rPr>
        <w:t>5.2.1. Le marché des implants du rachis</w:t>
      </w:r>
      <w:r>
        <w:rPr>
          <w:noProof/>
        </w:rPr>
        <w:tab/>
      </w:r>
      <w:r>
        <w:rPr>
          <w:noProof/>
        </w:rPr>
        <w:fldChar w:fldCharType="begin"/>
      </w:r>
      <w:r>
        <w:rPr>
          <w:noProof/>
        </w:rPr>
        <w:instrText xml:space="preserve"> PAGEREF _Toc475033188 \h </w:instrText>
      </w:r>
      <w:r>
        <w:rPr>
          <w:noProof/>
        </w:rPr>
      </w:r>
      <w:r>
        <w:rPr>
          <w:noProof/>
        </w:rPr>
        <w:fldChar w:fldCharType="separate"/>
      </w:r>
      <w:r w:rsidR="004C5FA1">
        <w:rPr>
          <w:noProof/>
        </w:rPr>
        <w:t>52</w:t>
      </w:r>
      <w:r>
        <w:rPr>
          <w:noProof/>
        </w:rPr>
        <w:fldChar w:fldCharType="end"/>
      </w:r>
    </w:p>
    <w:p w14:paraId="6B3B0A22" w14:textId="77777777" w:rsidR="00CA5E30" w:rsidRDefault="00CA5E30">
      <w:pPr>
        <w:pStyle w:val="TM3"/>
        <w:rPr>
          <w:rFonts w:asciiTheme="minorHAnsi" w:hAnsiTheme="minorHAnsi"/>
          <w:i w:val="0"/>
          <w:noProof/>
          <w:sz w:val="24"/>
          <w:szCs w:val="24"/>
          <w:lang w:eastAsia="ja-JP"/>
        </w:rPr>
      </w:pPr>
      <w:r>
        <w:rPr>
          <w:noProof/>
        </w:rPr>
        <w:t>5.2.2. L’environnement concurrentiel</w:t>
      </w:r>
      <w:r>
        <w:rPr>
          <w:noProof/>
        </w:rPr>
        <w:tab/>
      </w:r>
      <w:r>
        <w:rPr>
          <w:noProof/>
        </w:rPr>
        <w:fldChar w:fldCharType="begin"/>
      </w:r>
      <w:r>
        <w:rPr>
          <w:noProof/>
        </w:rPr>
        <w:instrText xml:space="preserve"> PAGEREF _Toc475033189 \h </w:instrText>
      </w:r>
      <w:r>
        <w:rPr>
          <w:noProof/>
        </w:rPr>
      </w:r>
      <w:r>
        <w:rPr>
          <w:noProof/>
        </w:rPr>
        <w:fldChar w:fldCharType="separate"/>
      </w:r>
      <w:r w:rsidR="004C5FA1">
        <w:rPr>
          <w:noProof/>
        </w:rPr>
        <w:t>54</w:t>
      </w:r>
      <w:r>
        <w:rPr>
          <w:noProof/>
        </w:rPr>
        <w:fldChar w:fldCharType="end"/>
      </w:r>
    </w:p>
    <w:p w14:paraId="5300A8A5" w14:textId="77777777" w:rsidR="00CA5E30" w:rsidRDefault="00CA5E30">
      <w:pPr>
        <w:pStyle w:val="TM2"/>
        <w:rPr>
          <w:rFonts w:asciiTheme="minorHAnsi" w:hAnsiTheme="minorHAnsi"/>
          <w:sz w:val="24"/>
          <w:szCs w:val="24"/>
          <w:lang w:eastAsia="ja-JP"/>
        </w:rPr>
      </w:pPr>
      <w:r>
        <w:t>5.3. Evènements importants dans le developpement des activites de Spineway</w:t>
      </w:r>
      <w:r>
        <w:tab/>
      </w:r>
      <w:r>
        <w:fldChar w:fldCharType="begin"/>
      </w:r>
      <w:r>
        <w:instrText xml:space="preserve"> PAGEREF _Toc475033190 \h </w:instrText>
      </w:r>
      <w:r>
        <w:fldChar w:fldCharType="separate"/>
      </w:r>
      <w:r w:rsidR="004C5FA1">
        <w:t>57</w:t>
      </w:r>
      <w:r>
        <w:fldChar w:fldCharType="end"/>
      </w:r>
    </w:p>
    <w:p w14:paraId="5B52AA2A" w14:textId="77777777" w:rsidR="00CA5E30" w:rsidRDefault="00CA5E30">
      <w:pPr>
        <w:pStyle w:val="TM2"/>
        <w:rPr>
          <w:rFonts w:asciiTheme="minorHAnsi" w:hAnsiTheme="minorHAnsi"/>
          <w:sz w:val="24"/>
          <w:szCs w:val="24"/>
          <w:lang w:eastAsia="ja-JP"/>
        </w:rPr>
      </w:pPr>
      <w:r>
        <w:lastRenderedPageBreak/>
        <w:t>5.4. La stratégie de développement de Spineway</w:t>
      </w:r>
      <w:r>
        <w:tab/>
      </w:r>
      <w:r>
        <w:fldChar w:fldCharType="begin"/>
      </w:r>
      <w:r>
        <w:instrText xml:space="preserve"> PAGEREF _Toc475033191 \h </w:instrText>
      </w:r>
      <w:r>
        <w:fldChar w:fldCharType="separate"/>
      </w:r>
      <w:r w:rsidR="004C5FA1">
        <w:t>59</w:t>
      </w:r>
      <w:r>
        <w:fldChar w:fldCharType="end"/>
      </w:r>
    </w:p>
    <w:p w14:paraId="0D570080" w14:textId="77777777" w:rsidR="00CA5E30" w:rsidRDefault="00CA5E30">
      <w:pPr>
        <w:pStyle w:val="TM2"/>
        <w:rPr>
          <w:rFonts w:asciiTheme="minorHAnsi" w:hAnsiTheme="minorHAnsi"/>
          <w:sz w:val="24"/>
          <w:szCs w:val="24"/>
          <w:lang w:eastAsia="ja-JP"/>
        </w:rPr>
      </w:pPr>
      <w:r>
        <w:t>5.5. Dépendance de Spineway à l’égard des droits de propriété intellectuelle, de contrats commerciaux ou financiers ou de nouveaux procédés de fabrication</w:t>
      </w:r>
      <w:r>
        <w:tab/>
      </w:r>
      <w:r>
        <w:fldChar w:fldCharType="begin"/>
      </w:r>
      <w:r>
        <w:instrText xml:space="preserve"> PAGEREF _Toc475033192 \h </w:instrText>
      </w:r>
      <w:r>
        <w:fldChar w:fldCharType="separate"/>
      </w:r>
      <w:r w:rsidR="004C5FA1">
        <w:t>61</w:t>
      </w:r>
      <w:r>
        <w:fldChar w:fldCharType="end"/>
      </w:r>
    </w:p>
    <w:p w14:paraId="5DBAEFE9" w14:textId="77777777" w:rsidR="00CA5E30" w:rsidRDefault="00CA5E30">
      <w:pPr>
        <w:pStyle w:val="TM3"/>
        <w:rPr>
          <w:rFonts w:asciiTheme="minorHAnsi" w:hAnsiTheme="minorHAnsi"/>
          <w:i w:val="0"/>
          <w:noProof/>
          <w:sz w:val="24"/>
          <w:szCs w:val="24"/>
          <w:lang w:eastAsia="ja-JP"/>
        </w:rPr>
      </w:pPr>
      <w:r>
        <w:rPr>
          <w:noProof/>
        </w:rPr>
        <w:t>5.5.1. Dépendance de Spineway à l’égard de droits de propriété intellectuelle</w:t>
      </w:r>
      <w:r>
        <w:rPr>
          <w:noProof/>
        </w:rPr>
        <w:tab/>
      </w:r>
      <w:r>
        <w:rPr>
          <w:noProof/>
        </w:rPr>
        <w:fldChar w:fldCharType="begin"/>
      </w:r>
      <w:r>
        <w:rPr>
          <w:noProof/>
        </w:rPr>
        <w:instrText xml:space="preserve"> PAGEREF _Toc475033193 \h </w:instrText>
      </w:r>
      <w:r>
        <w:rPr>
          <w:noProof/>
        </w:rPr>
      </w:r>
      <w:r>
        <w:rPr>
          <w:noProof/>
        </w:rPr>
        <w:fldChar w:fldCharType="separate"/>
      </w:r>
      <w:r w:rsidR="004C5FA1">
        <w:rPr>
          <w:noProof/>
        </w:rPr>
        <w:t>61</w:t>
      </w:r>
      <w:r>
        <w:rPr>
          <w:noProof/>
        </w:rPr>
        <w:fldChar w:fldCharType="end"/>
      </w:r>
    </w:p>
    <w:p w14:paraId="6792AD6F" w14:textId="77777777" w:rsidR="00CA5E30" w:rsidRDefault="00CA5E30">
      <w:pPr>
        <w:pStyle w:val="TM3"/>
        <w:rPr>
          <w:rFonts w:asciiTheme="minorHAnsi" w:hAnsiTheme="minorHAnsi"/>
          <w:i w:val="0"/>
          <w:noProof/>
          <w:sz w:val="24"/>
          <w:szCs w:val="24"/>
          <w:lang w:eastAsia="ja-JP"/>
        </w:rPr>
      </w:pPr>
      <w:r>
        <w:rPr>
          <w:noProof/>
        </w:rPr>
        <w:t>5.5.2. Dépendance de Spineway aux contraintes règlementaires</w:t>
      </w:r>
      <w:r>
        <w:rPr>
          <w:noProof/>
        </w:rPr>
        <w:tab/>
      </w:r>
      <w:r>
        <w:rPr>
          <w:noProof/>
        </w:rPr>
        <w:fldChar w:fldCharType="begin"/>
      </w:r>
      <w:r>
        <w:rPr>
          <w:noProof/>
        </w:rPr>
        <w:instrText xml:space="preserve"> PAGEREF _Toc475033194 \h </w:instrText>
      </w:r>
      <w:r>
        <w:rPr>
          <w:noProof/>
        </w:rPr>
      </w:r>
      <w:r>
        <w:rPr>
          <w:noProof/>
        </w:rPr>
        <w:fldChar w:fldCharType="separate"/>
      </w:r>
      <w:r w:rsidR="004C5FA1">
        <w:rPr>
          <w:noProof/>
        </w:rPr>
        <w:t>70</w:t>
      </w:r>
      <w:r>
        <w:rPr>
          <w:noProof/>
        </w:rPr>
        <w:fldChar w:fldCharType="end"/>
      </w:r>
    </w:p>
    <w:p w14:paraId="01147BD5" w14:textId="77777777" w:rsidR="00CA5E30" w:rsidRDefault="00CA5E30">
      <w:pPr>
        <w:pStyle w:val="TM3"/>
        <w:rPr>
          <w:rFonts w:asciiTheme="minorHAnsi" w:hAnsiTheme="minorHAnsi"/>
          <w:i w:val="0"/>
          <w:noProof/>
          <w:sz w:val="24"/>
          <w:szCs w:val="24"/>
          <w:lang w:eastAsia="ja-JP"/>
        </w:rPr>
      </w:pPr>
      <w:r>
        <w:rPr>
          <w:noProof/>
        </w:rPr>
        <w:t>5.5.3. Dépendance de Spineway liée à des contrats commerciaux</w:t>
      </w:r>
      <w:r>
        <w:rPr>
          <w:noProof/>
        </w:rPr>
        <w:tab/>
      </w:r>
      <w:r>
        <w:rPr>
          <w:noProof/>
        </w:rPr>
        <w:fldChar w:fldCharType="begin"/>
      </w:r>
      <w:r>
        <w:rPr>
          <w:noProof/>
        </w:rPr>
        <w:instrText xml:space="preserve"> PAGEREF _Toc475033195 \h </w:instrText>
      </w:r>
      <w:r>
        <w:rPr>
          <w:noProof/>
        </w:rPr>
      </w:r>
      <w:r>
        <w:rPr>
          <w:noProof/>
        </w:rPr>
        <w:fldChar w:fldCharType="separate"/>
      </w:r>
      <w:r w:rsidR="004C5FA1">
        <w:rPr>
          <w:noProof/>
        </w:rPr>
        <w:t>70</w:t>
      </w:r>
      <w:r>
        <w:rPr>
          <w:noProof/>
        </w:rPr>
        <w:fldChar w:fldCharType="end"/>
      </w:r>
    </w:p>
    <w:p w14:paraId="09DF3B33" w14:textId="77777777" w:rsidR="00CA5E30" w:rsidRDefault="00CA5E30">
      <w:pPr>
        <w:pStyle w:val="TM3"/>
        <w:rPr>
          <w:rFonts w:asciiTheme="minorHAnsi" w:hAnsiTheme="minorHAnsi"/>
          <w:i w:val="0"/>
          <w:noProof/>
          <w:sz w:val="24"/>
          <w:szCs w:val="24"/>
          <w:lang w:eastAsia="ja-JP"/>
        </w:rPr>
      </w:pPr>
      <w:r>
        <w:rPr>
          <w:noProof/>
        </w:rPr>
        <w:t>5.5.4. Dépendance de Spineway liée à des contrats financiers</w:t>
      </w:r>
      <w:r>
        <w:rPr>
          <w:noProof/>
        </w:rPr>
        <w:tab/>
      </w:r>
      <w:r>
        <w:rPr>
          <w:noProof/>
        </w:rPr>
        <w:fldChar w:fldCharType="begin"/>
      </w:r>
      <w:r>
        <w:rPr>
          <w:noProof/>
        </w:rPr>
        <w:instrText xml:space="preserve"> PAGEREF _Toc475033196 \h </w:instrText>
      </w:r>
      <w:r>
        <w:rPr>
          <w:noProof/>
        </w:rPr>
      </w:r>
      <w:r>
        <w:rPr>
          <w:noProof/>
        </w:rPr>
        <w:fldChar w:fldCharType="separate"/>
      </w:r>
      <w:r w:rsidR="004C5FA1">
        <w:rPr>
          <w:noProof/>
        </w:rPr>
        <w:t>70</w:t>
      </w:r>
      <w:r>
        <w:rPr>
          <w:noProof/>
        </w:rPr>
        <w:fldChar w:fldCharType="end"/>
      </w:r>
    </w:p>
    <w:p w14:paraId="53EEDC6F" w14:textId="77777777" w:rsidR="00CA5E30" w:rsidRDefault="00CA5E30">
      <w:pPr>
        <w:pStyle w:val="TM2"/>
        <w:rPr>
          <w:rFonts w:asciiTheme="minorHAnsi" w:hAnsiTheme="minorHAnsi"/>
          <w:sz w:val="24"/>
          <w:szCs w:val="24"/>
          <w:lang w:eastAsia="ja-JP"/>
        </w:rPr>
      </w:pPr>
      <w:r>
        <w:t>5.6. Position concurrentielle de Spineway</w:t>
      </w:r>
      <w:r>
        <w:tab/>
      </w:r>
      <w:r>
        <w:fldChar w:fldCharType="begin"/>
      </w:r>
      <w:r>
        <w:instrText xml:space="preserve"> PAGEREF _Toc475033197 \h </w:instrText>
      </w:r>
      <w:r>
        <w:fldChar w:fldCharType="separate"/>
      </w:r>
      <w:r w:rsidR="004C5FA1">
        <w:t>70</w:t>
      </w:r>
      <w:r>
        <w:fldChar w:fldCharType="end"/>
      </w:r>
    </w:p>
    <w:p w14:paraId="0D8B698E" w14:textId="77777777" w:rsidR="00CA5E30" w:rsidRDefault="00CA5E30">
      <w:pPr>
        <w:pStyle w:val="TM2"/>
        <w:rPr>
          <w:rFonts w:asciiTheme="minorHAnsi" w:hAnsiTheme="minorHAnsi"/>
          <w:sz w:val="24"/>
          <w:szCs w:val="24"/>
          <w:lang w:eastAsia="ja-JP"/>
        </w:rPr>
      </w:pPr>
      <w:r>
        <w:t>5.7. Investissements</w:t>
      </w:r>
      <w:r>
        <w:tab/>
      </w:r>
      <w:r>
        <w:fldChar w:fldCharType="begin"/>
      </w:r>
      <w:r>
        <w:instrText xml:space="preserve"> PAGEREF _Toc475033198 \h </w:instrText>
      </w:r>
      <w:r>
        <w:fldChar w:fldCharType="separate"/>
      </w:r>
      <w:r w:rsidR="004C5FA1">
        <w:t>71</w:t>
      </w:r>
      <w:r>
        <w:fldChar w:fldCharType="end"/>
      </w:r>
    </w:p>
    <w:p w14:paraId="385D1280" w14:textId="77777777" w:rsidR="00CA5E30" w:rsidRDefault="00CA5E30">
      <w:pPr>
        <w:pStyle w:val="TM3"/>
        <w:rPr>
          <w:rFonts w:asciiTheme="minorHAnsi" w:hAnsiTheme="minorHAnsi"/>
          <w:i w:val="0"/>
          <w:noProof/>
          <w:sz w:val="24"/>
          <w:szCs w:val="24"/>
          <w:lang w:eastAsia="ja-JP"/>
        </w:rPr>
      </w:pPr>
      <w:r>
        <w:rPr>
          <w:noProof/>
        </w:rPr>
        <w:t>5.7.1. Principaux investissements réalisés au cours des derniers exercices</w:t>
      </w:r>
      <w:r>
        <w:rPr>
          <w:noProof/>
        </w:rPr>
        <w:tab/>
      </w:r>
      <w:r>
        <w:rPr>
          <w:noProof/>
        </w:rPr>
        <w:fldChar w:fldCharType="begin"/>
      </w:r>
      <w:r>
        <w:rPr>
          <w:noProof/>
        </w:rPr>
        <w:instrText xml:space="preserve"> PAGEREF _Toc475033199 \h </w:instrText>
      </w:r>
      <w:r>
        <w:rPr>
          <w:noProof/>
        </w:rPr>
      </w:r>
      <w:r>
        <w:rPr>
          <w:noProof/>
        </w:rPr>
        <w:fldChar w:fldCharType="separate"/>
      </w:r>
      <w:r w:rsidR="004C5FA1">
        <w:rPr>
          <w:noProof/>
        </w:rPr>
        <w:t>71</w:t>
      </w:r>
      <w:r>
        <w:rPr>
          <w:noProof/>
        </w:rPr>
        <w:fldChar w:fldCharType="end"/>
      </w:r>
    </w:p>
    <w:p w14:paraId="659B8EE4" w14:textId="77777777" w:rsidR="00CA5E30" w:rsidRDefault="00CA5E30">
      <w:pPr>
        <w:pStyle w:val="TM3"/>
        <w:rPr>
          <w:rFonts w:asciiTheme="minorHAnsi" w:hAnsiTheme="minorHAnsi"/>
          <w:i w:val="0"/>
          <w:noProof/>
          <w:sz w:val="24"/>
          <w:szCs w:val="24"/>
          <w:lang w:eastAsia="ja-JP"/>
        </w:rPr>
      </w:pPr>
      <w:r>
        <w:rPr>
          <w:noProof/>
        </w:rPr>
        <w:t>5.7.2. Principaux investissements envisagés</w:t>
      </w:r>
      <w:r>
        <w:rPr>
          <w:noProof/>
        </w:rPr>
        <w:tab/>
      </w:r>
      <w:r>
        <w:rPr>
          <w:noProof/>
        </w:rPr>
        <w:fldChar w:fldCharType="begin"/>
      </w:r>
      <w:r>
        <w:rPr>
          <w:noProof/>
        </w:rPr>
        <w:instrText xml:space="preserve"> PAGEREF _Toc475033200 \h </w:instrText>
      </w:r>
      <w:r>
        <w:rPr>
          <w:noProof/>
        </w:rPr>
      </w:r>
      <w:r>
        <w:rPr>
          <w:noProof/>
        </w:rPr>
        <w:fldChar w:fldCharType="separate"/>
      </w:r>
      <w:r w:rsidR="004C5FA1">
        <w:rPr>
          <w:noProof/>
        </w:rPr>
        <w:t>71</w:t>
      </w:r>
      <w:r>
        <w:rPr>
          <w:noProof/>
        </w:rPr>
        <w:fldChar w:fldCharType="end"/>
      </w:r>
    </w:p>
    <w:p w14:paraId="1BC5AB3B" w14:textId="77777777" w:rsidR="00CA5E30" w:rsidRDefault="00CA5E30">
      <w:pPr>
        <w:pStyle w:val="TM3"/>
        <w:rPr>
          <w:rFonts w:asciiTheme="minorHAnsi" w:hAnsiTheme="minorHAnsi"/>
          <w:i w:val="0"/>
          <w:noProof/>
          <w:sz w:val="24"/>
          <w:szCs w:val="24"/>
          <w:lang w:eastAsia="ja-JP"/>
        </w:rPr>
      </w:pPr>
      <w:r>
        <w:rPr>
          <w:noProof/>
        </w:rPr>
        <w:t>5.7.3 Informations relatives aux coentreprises et aux entreprises dans lesquelles la Société détient une part du capital</w:t>
      </w:r>
      <w:r>
        <w:rPr>
          <w:noProof/>
        </w:rPr>
        <w:tab/>
      </w:r>
      <w:r>
        <w:rPr>
          <w:noProof/>
        </w:rPr>
        <w:fldChar w:fldCharType="begin"/>
      </w:r>
      <w:r>
        <w:rPr>
          <w:noProof/>
        </w:rPr>
        <w:instrText xml:space="preserve"> PAGEREF _Toc475033201 \h </w:instrText>
      </w:r>
      <w:r>
        <w:rPr>
          <w:noProof/>
        </w:rPr>
      </w:r>
      <w:r>
        <w:rPr>
          <w:noProof/>
        </w:rPr>
        <w:fldChar w:fldCharType="separate"/>
      </w:r>
      <w:r w:rsidR="004C5FA1">
        <w:rPr>
          <w:noProof/>
        </w:rPr>
        <w:t>71</w:t>
      </w:r>
      <w:r>
        <w:rPr>
          <w:noProof/>
        </w:rPr>
        <w:fldChar w:fldCharType="end"/>
      </w:r>
    </w:p>
    <w:p w14:paraId="0946A737" w14:textId="77777777" w:rsidR="00CA5E30" w:rsidRDefault="00CA5E30">
      <w:pPr>
        <w:pStyle w:val="TM3"/>
        <w:rPr>
          <w:rFonts w:asciiTheme="minorHAnsi" w:hAnsiTheme="minorHAnsi"/>
          <w:i w:val="0"/>
          <w:noProof/>
          <w:sz w:val="24"/>
          <w:szCs w:val="24"/>
          <w:lang w:eastAsia="ja-JP"/>
        </w:rPr>
      </w:pPr>
      <w:r>
        <w:rPr>
          <w:noProof/>
        </w:rPr>
        <w:t>5.7.4 Questions environnementales</w:t>
      </w:r>
      <w:r>
        <w:rPr>
          <w:noProof/>
        </w:rPr>
        <w:tab/>
      </w:r>
      <w:r>
        <w:rPr>
          <w:noProof/>
        </w:rPr>
        <w:fldChar w:fldCharType="begin"/>
      </w:r>
      <w:r>
        <w:rPr>
          <w:noProof/>
        </w:rPr>
        <w:instrText xml:space="preserve"> PAGEREF _Toc475033202 \h </w:instrText>
      </w:r>
      <w:r>
        <w:rPr>
          <w:noProof/>
        </w:rPr>
      </w:r>
      <w:r>
        <w:rPr>
          <w:noProof/>
        </w:rPr>
        <w:fldChar w:fldCharType="separate"/>
      </w:r>
      <w:r w:rsidR="004C5FA1">
        <w:rPr>
          <w:noProof/>
        </w:rPr>
        <w:t>72</w:t>
      </w:r>
      <w:r>
        <w:rPr>
          <w:noProof/>
        </w:rPr>
        <w:fldChar w:fldCharType="end"/>
      </w:r>
    </w:p>
    <w:p w14:paraId="7689A5F8" w14:textId="77777777" w:rsidR="00CA5E30" w:rsidRDefault="00CA5E30">
      <w:pPr>
        <w:pStyle w:val="TM1"/>
        <w:rPr>
          <w:rFonts w:asciiTheme="minorHAnsi" w:hAnsiTheme="minorHAnsi"/>
          <w:b w:val="0"/>
          <w:color w:val="auto"/>
          <w:sz w:val="24"/>
          <w:szCs w:val="24"/>
          <w:lang w:eastAsia="ja-JP"/>
        </w:rPr>
      </w:pPr>
      <w:r>
        <w:t>6. STRUCTURE ORGANISATIONNELLE</w:t>
      </w:r>
      <w:r>
        <w:tab/>
      </w:r>
      <w:r>
        <w:fldChar w:fldCharType="begin"/>
      </w:r>
      <w:r>
        <w:instrText xml:space="preserve"> PAGEREF _Toc475033203 \h </w:instrText>
      </w:r>
      <w:r>
        <w:fldChar w:fldCharType="separate"/>
      </w:r>
      <w:r w:rsidR="004C5FA1">
        <w:t>73</w:t>
      </w:r>
      <w:r>
        <w:fldChar w:fldCharType="end"/>
      </w:r>
    </w:p>
    <w:p w14:paraId="19B115C1" w14:textId="77777777" w:rsidR="00CA5E30" w:rsidRDefault="00CA5E30">
      <w:pPr>
        <w:pStyle w:val="TM2"/>
        <w:rPr>
          <w:rFonts w:asciiTheme="minorHAnsi" w:hAnsiTheme="minorHAnsi"/>
          <w:sz w:val="24"/>
          <w:szCs w:val="24"/>
          <w:lang w:eastAsia="ja-JP"/>
        </w:rPr>
      </w:pPr>
      <w:r>
        <w:t>6.1. Organigramme juridique</w:t>
      </w:r>
      <w:r>
        <w:tab/>
      </w:r>
      <w:r>
        <w:fldChar w:fldCharType="begin"/>
      </w:r>
      <w:r>
        <w:instrText xml:space="preserve"> PAGEREF _Toc475033204 \h </w:instrText>
      </w:r>
      <w:r>
        <w:fldChar w:fldCharType="separate"/>
      </w:r>
      <w:r w:rsidR="004C5FA1">
        <w:t>73</w:t>
      </w:r>
      <w:r>
        <w:fldChar w:fldCharType="end"/>
      </w:r>
    </w:p>
    <w:p w14:paraId="399C4DED" w14:textId="77777777" w:rsidR="00CA5E30" w:rsidRDefault="00CA5E30">
      <w:pPr>
        <w:pStyle w:val="TM2"/>
        <w:rPr>
          <w:rFonts w:asciiTheme="minorHAnsi" w:hAnsiTheme="minorHAnsi"/>
          <w:sz w:val="24"/>
          <w:szCs w:val="24"/>
          <w:lang w:eastAsia="ja-JP"/>
        </w:rPr>
      </w:pPr>
      <w:r>
        <w:t>6.2. Présentation des sociétés du Groupe</w:t>
      </w:r>
      <w:r>
        <w:tab/>
      </w:r>
      <w:r>
        <w:fldChar w:fldCharType="begin"/>
      </w:r>
      <w:r>
        <w:instrText xml:space="preserve"> PAGEREF _Toc475033205 \h </w:instrText>
      </w:r>
      <w:r>
        <w:fldChar w:fldCharType="separate"/>
      </w:r>
      <w:r w:rsidR="004C5FA1">
        <w:t>73</w:t>
      </w:r>
      <w:r>
        <w:fldChar w:fldCharType="end"/>
      </w:r>
    </w:p>
    <w:p w14:paraId="3C665B82" w14:textId="77777777" w:rsidR="00CA5E30" w:rsidRDefault="00CA5E30">
      <w:pPr>
        <w:pStyle w:val="TM2"/>
        <w:rPr>
          <w:rFonts w:asciiTheme="minorHAnsi" w:hAnsiTheme="minorHAnsi"/>
          <w:sz w:val="24"/>
          <w:szCs w:val="24"/>
          <w:lang w:eastAsia="ja-JP"/>
        </w:rPr>
      </w:pPr>
      <w:r>
        <w:t>6.3. Principaux flux intra-groupe</w:t>
      </w:r>
      <w:r>
        <w:tab/>
      </w:r>
      <w:r>
        <w:fldChar w:fldCharType="begin"/>
      </w:r>
      <w:r>
        <w:instrText xml:space="preserve"> PAGEREF _Toc475033206 \h </w:instrText>
      </w:r>
      <w:r>
        <w:fldChar w:fldCharType="separate"/>
      </w:r>
      <w:r w:rsidR="004C5FA1">
        <w:t>73</w:t>
      </w:r>
      <w:r>
        <w:fldChar w:fldCharType="end"/>
      </w:r>
    </w:p>
    <w:p w14:paraId="3DD15EF9" w14:textId="77777777" w:rsidR="00CA5E30" w:rsidRDefault="00CA5E30">
      <w:pPr>
        <w:pStyle w:val="TM1"/>
        <w:rPr>
          <w:rFonts w:asciiTheme="minorHAnsi" w:hAnsiTheme="minorHAnsi"/>
          <w:b w:val="0"/>
          <w:color w:val="auto"/>
          <w:sz w:val="24"/>
          <w:szCs w:val="24"/>
          <w:lang w:eastAsia="ja-JP"/>
        </w:rPr>
      </w:pPr>
      <w:r>
        <w:t>7. EXAMEN DU RESULTAT ET DE LA SITUATION FINANCIERE ET DU RESULTAT</w:t>
      </w:r>
      <w:r>
        <w:tab/>
      </w:r>
      <w:r>
        <w:fldChar w:fldCharType="begin"/>
      </w:r>
      <w:r>
        <w:instrText xml:space="preserve"> PAGEREF _Toc475033207 \h </w:instrText>
      </w:r>
      <w:r>
        <w:fldChar w:fldCharType="separate"/>
      </w:r>
      <w:r w:rsidR="004C5FA1">
        <w:t>75</w:t>
      </w:r>
      <w:r>
        <w:fldChar w:fldCharType="end"/>
      </w:r>
    </w:p>
    <w:p w14:paraId="24353AA5" w14:textId="77777777" w:rsidR="00CA5E30" w:rsidRDefault="00CA5E30">
      <w:pPr>
        <w:pStyle w:val="TM2"/>
        <w:rPr>
          <w:rFonts w:asciiTheme="minorHAnsi" w:hAnsiTheme="minorHAnsi"/>
          <w:sz w:val="24"/>
          <w:szCs w:val="24"/>
          <w:lang w:eastAsia="ja-JP"/>
        </w:rPr>
      </w:pPr>
      <w:r>
        <w:t>7.1 Evènements récents</w:t>
      </w:r>
      <w:r>
        <w:tab/>
      </w:r>
      <w:r>
        <w:fldChar w:fldCharType="begin"/>
      </w:r>
      <w:r>
        <w:instrText xml:space="preserve"> PAGEREF _Toc475033208 \h </w:instrText>
      </w:r>
      <w:r>
        <w:fldChar w:fldCharType="separate"/>
      </w:r>
      <w:r w:rsidR="004C5FA1">
        <w:t>75</w:t>
      </w:r>
      <w:r>
        <w:fldChar w:fldCharType="end"/>
      </w:r>
    </w:p>
    <w:p w14:paraId="29178AA8" w14:textId="77777777" w:rsidR="00CA5E30" w:rsidRDefault="00CA5E30">
      <w:pPr>
        <w:pStyle w:val="TM2"/>
        <w:rPr>
          <w:rFonts w:asciiTheme="minorHAnsi" w:hAnsiTheme="minorHAnsi"/>
          <w:sz w:val="24"/>
          <w:szCs w:val="24"/>
          <w:lang w:eastAsia="ja-JP"/>
        </w:rPr>
      </w:pPr>
      <w:r>
        <w:t>7.2 Commentaires sur les exercices clos les 31 décembre 2020 et 31 décembre 2019</w:t>
      </w:r>
      <w:r>
        <w:tab/>
      </w:r>
      <w:r>
        <w:fldChar w:fldCharType="begin"/>
      </w:r>
      <w:r>
        <w:instrText xml:space="preserve"> PAGEREF _Toc475033209 \h </w:instrText>
      </w:r>
      <w:r>
        <w:fldChar w:fldCharType="separate"/>
      </w:r>
      <w:r w:rsidR="004C5FA1">
        <w:t>76</w:t>
      </w:r>
      <w:r>
        <w:fldChar w:fldCharType="end"/>
      </w:r>
    </w:p>
    <w:p w14:paraId="072F2A26" w14:textId="77777777" w:rsidR="00CA5E30" w:rsidRDefault="00CA5E30">
      <w:pPr>
        <w:pStyle w:val="TM3"/>
        <w:rPr>
          <w:rFonts w:asciiTheme="minorHAnsi" w:hAnsiTheme="minorHAnsi"/>
          <w:i w:val="0"/>
          <w:noProof/>
          <w:sz w:val="24"/>
          <w:szCs w:val="24"/>
          <w:lang w:eastAsia="ja-JP"/>
        </w:rPr>
      </w:pPr>
      <w:r>
        <w:rPr>
          <w:noProof/>
        </w:rPr>
        <w:t>7.2.1 Commentaires sur le compte de résultat clos au 31 décembre 2020</w:t>
      </w:r>
      <w:r>
        <w:rPr>
          <w:noProof/>
        </w:rPr>
        <w:tab/>
      </w:r>
      <w:r>
        <w:rPr>
          <w:noProof/>
        </w:rPr>
        <w:fldChar w:fldCharType="begin"/>
      </w:r>
      <w:r>
        <w:rPr>
          <w:noProof/>
        </w:rPr>
        <w:instrText xml:space="preserve"> PAGEREF _Toc475033210 \h </w:instrText>
      </w:r>
      <w:r>
        <w:rPr>
          <w:noProof/>
        </w:rPr>
      </w:r>
      <w:r>
        <w:rPr>
          <w:noProof/>
        </w:rPr>
        <w:fldChar w:fldCharType="separate"/>
      </w:r>
      <w:r w:rsidR="004C5FA1">
        <w:rPr>
          <w:noProof/>
        </w:rPr>
        <w:t>76</w:t>
      </w:r>
      <w:r>
        <w:rPr>
          <w:noProof/>
        </w:rPr>
        <w:fldChar w:fldCharType="end"/>
      </w:r>
    </w:p>
    <w:p w14:paraId="3770A27C" w14:textId="77777777" w:rsidR="00CA5E30" w:rsidRDefault="00CA5E30">
      <w:pPr>
        <w:pStyle w:val="TM3"/>
        <w:rPr>
          <w:rFonts w:asciiTheme="minorHAnsi" w:hAnsiTheme="minorHAnsi"/>
          <w:i w:val="0"/>
          <w:noProof/>
          <w:sz w:val="24"/>
          <w:szCs w:val="24"/>
          <w:lang w:eastAsia="ja-JP"/>
        </w:rPr>
      </w:pPr>
      <w:r>
        <w:rPr>
          <w:noProof/>
        </w:rPr>
        <w:t>7.2.2 Commentaires sur le bilan au 31 décembre 2020</w:t>
      </w:r>
      <w:r>
        <w:rPr>
          <w:noProof/>
        </w:rPr>
        <w:tab/>
      </w:r>
      <w:r>
        <w:rPr>
          <w:noProof/>
        </w:rPr>
        <w:fldChar w:fldCharType="begin"/>
      </w:r>
      <w:r>
        <w:rPr>
          <w:noProof/>
        </w:rPr>
        <w:instrText xml:space="preserve"> PAGEREF _Toc475033211 \h </w:instrText>
      </w:r>
      <w:r>
        <w:rPr>
          <w:noProof/>
        </w:rPr>
      </w:r>
      <w:r>
        <w:rPr>
          <w:noProof/>
        </w:rPr>
        <w:fldChar w:fldCharType="separate"/>
      </w:r>
      <w:r w:rsidR="004C5FA1">
        <w:rPr>
          <w:noProof/>
        </w:rPr>
        <w:t>81</w:t>
      </w:r>
      <w:r>
        <w:rPr>
          <w:noProof/>
        </w:rPr>
        <w:fldChar w:fldCharType="end"/>
      </w:r>
    </w:p>
    <w:p w14:paraId="77164F1A" w14:textId="77777777" w:rsidR="00CA5E30" w:rsidRDefault="00CA5E30">
      <w:pPr>
        <w:pStyle w:val="TM1"/>
        <w:rPr>
          <w:rFonts w:asciiTheme="minorHAnsi" w:hAnsiTheme="minorHAnsi"/>
          <w:b w:val="0"/>
          <w:color w:val="auto"/>
          <w:sz w:val="24"/>
          <w:szCs w:val="24"/>
          <w:lang w:eastAsia="ja-JP"/>
        </w:rPr>
      </w:pPr>
      <w:r>
        <w:t>8. Trésorerie et capitaux</w:t>
      </w:r>
      <w:r>
        <w:tab/>
      </w:r>
      <w:r>
        <w:fldChar w:fldCharType="begin"/>
      </w:r>
      <w:r>
        <w:instrText xml:space="preserve"> PAGEREF _Toc475033212 \h </w:instrText>
      </w:r>
      <w:r>
        <w:fldChar w:fldCharType="separate"/>
      </w:r>
      <w:r w:rsidR="004C5FA1">
        <w:t>85</w:t>
      </w:r>
      <w:r>
        <w:fldChar w:fldCharType="end"/>
      </w:r>
    </w:p>
    <w:p w14:paraId="2DE59367" w14:textId="77777777" w:rsidR="00CA5E30" w:rsidRDefault="00CA5E30">
      <w:pPr>
        <w:pStyle w:val="TM2"/>
        <w:rPr>
          <w:rFonts w:asciiTheme="minorHAnsi" w:hAnsiTheme="minorHAnsi"/>
          <w:sz w:val="24"/>
          <w:szCs w:val="24"/>
          <w:lang w:eastAsia="ja-JP"/>
        </w:rPr>
      </w:pPr>
      <w:r>
        <w:t>8.1 Informations sur les capitaux, liquidités et sources de financement du Groupe</w:t>
      </w:r>
      <w:r>
        <w:tab/>
      </w:r>
      <w:r>
        <w:fldChar w:fldCharType="begin"/>
      </w:r>
      <w:r>
        <w:instrText xml:space="preserve"> PAGEREF _Toc475033213 \h </w:instrText>
      </w:r>
      <w:r>
        <w:fldChar w:fldCharType="separate"/>
      </w:r>
      <w:r w:rsidR="004C5FA1">
        <w:t>85</w:t>
      </w:r>
      <w:r>
        <w:fldChar w:fldCharType="end"/>
      </w:r>
    </w:p>
    <w:p w14:paraId="5B54B31A" w14:textId="77777777" w:rsidR="00CA5E30" w:rsidRDefault="00CA5E30">
      <w:pPr>
        <w:pStyle w:val="TM3"/>
        <w:rPr>
          <w:rFonts w:asciiTheme="minorHAnsi" w:hAnsiTheme="minorHAnsi"/>
          <w:i w:val="0"/>
          <w:noProof/>
          <w:sz w:val="24"/>
          <w:szCs w:val="24"/>
          <w:lang w:eastAsia="ja-JP"/>
        </w:rPr>
      </w:pPr>
      <w:r>
        <w:rPr>
          <w:noProof/>
        </w:rPr>
        <w:t xml:space="preserve">8.1.1 Financement par obligations convertibles Negma </w:t>
      </w:r>
      <w:r w:rsidRPr="009B0ECC">
        <w:rPr>
          <w:noProof/>
        </w:rPr>
        <w:t xml:space="preserve">Group </w:t>
      </w:r>
      <w:r>
        <w:rPr>
          <w:noProof/>
        </w:rPr>
        <w:t>Ltd (OCABSA Negma)</w:t>
      </w:r>
      <w:r>
        <w:rPr>
          <w:noProof/>
        </w:rPr>
        <w:tab/>
      </w:r>
      <w:r>
        <w:rPr>
          <w:noProof/>
        </w:rPr>
        <w:fldChar w:fldCharType="begin"/>
      </w:r>
      <w:r>
        <w:rPr>
          <w:noProof/>
        </w:rPr>
        <w:instrText xml:space="preserve"> PAGEREF _Toc475033214 \h </w:instrText>
      </w:r>
      <w:r>
        <w:rPr>
          <w:noProof/>
        </w:rPr>
      </w:r>
      <w:r>
        <w:rPr>
          <w:noProof/>
        </w:rPr>
        <w:fldChar w:fldCharType="separate"/>
      </w:r>
      <w:r w:rsidR="004C5FA1">
        <w:rPr>
          <w:noProof/>
        </w:rPr>
        <w:t>85</w:t>
      </w:r>
      <w:r>
        <w:rPr>
          <w:noProof/>
        </w:rPr>
        <w:fldChar w:fldCharType="end"/>
      </w:r>
    </w:p>
    <w:p w14:paraId="5B67E0BC" w14:textId="77777777" w:rsidR="00CA5E30" w:rsidRDefault="00CA5E30">
      <w:pPr>
        <w:pStyle w:val="TM3"/>
        <w:rPr>
          <w:rFonts w:asciiTheme="minorHAnsi" w:hAnsiTheme="minorHAnsi"/>
          <w:i w:val="0"/>
          <w:noProof/>
          <w:sz w:val="24"/>
          <w:szCs w:val="24"/>
          <w:lang w:eastAsia="ja-JP"/>
        </w:rPr>
      </w:pPr>
      <w:r>
        <w:rPr>
          <w:noProof/>
        </w:rPr>
        <w:t>8.1.2 Financements par emprunts</w:t>
      </w:r>
      <w:r>
        <w:rPr>
          <w:noProof/>
        </w:rPr>
        <w:tab/>
      </w:r>
      <w:r>
        <w:rPr>
          <w:noProof/>
        </w:rPr>
        <w:fldChar w:fldCharType="begin"/>
      </w:r>
      <w:r>
        <w:rPr>
          <w:noProof/>
        </w:rPr>
        <w:instrText xml:space="preserve"> PAGEREF _Toc475033215 \h </w:instrText>
      </w:r>
      <w:r>
        <w:rPr>
          <w:noProof/>
        </w:rPr>
      </w:r>
      <w:r>
        <w:rPr>
          <w:noProof/>
        </w:rPr>
        <w:fldChar w:fldCharType="separate"/>
      </w:r>
      <w:r w:rsidR="004C5FA1">
        <w:rPr>
          <w:noProof/>
        </w:rPr>
        <w:t>87</w:t>
      </w:r>
      <w:r>
        <w:rPr>
          <w:noProof/>
        </w:rPr>
        <w:fldChar w:fldCharType="end"/>
      </w:r>
    </w:p>
    <w:p w14:paraId="3B25628A" w14:textId="77777777" w:rsidR="00CA5E30" w:rsidRDefault="00CA5E30">
      <w:pPr>
        <w:pStyle w:val="TM2"/>
        <w:rPr>
          <w:rFonts w:asciiTheme="minorHAnsi" w:hAnsiTheme="minorHAnsi"/>
          <w:sz w:val="24"/>
          <w:szCs w:val="24"/>
          <w:lang w:eastAsia="ja-JP"/>
        </w:rPr>
      </w:pPr>
      <w:r>
        <w:t>8.2 Flux de trésorerie</w:t>
      </w:r>
      <w:r>
        <w:tab/>
      </w:r>
      <w:r>
        <w:fldChar w:fldCharType="begin"/>
      </w:r>
      <w:r>
        <w:instrText xml:space="preserve"> PAGEREF _Toc475033216 \h </w:instrText>
      </w:r>
      <w:r>
        <w:fldChar w:fldCharType="separate"/>
      </w:r>
      <w:r w:rsidR="004C5FA1">
        <w:t>89</w:t>
      </w:r>
      <w:r>
        <w:fldChar w:fldCharType="end"/>
      </w:r>
    </w:p>
    <w:p w14:paraId="24422499" w14:textId="77777777" w:rsidR="00CA5E30" w:rsidRDefault="00CA5E30">
      <w:pPr>
        <w:pStyle w:val="TM3"/>
        <w:rPr>
          <w:rFonts w:asciiTheme="minorHAnsi" w:hAnsiTheme="minorHAnsi"/>
          <w:i w:val="0"/>
          <w:noProof/>
          <w:sz w:val="24"/>
          <w:szCs w:val="24"/>
          <w:lang w:eastAsia="ja-JP"/>
        </w:rPr>
      </w:pPr>
      <w:r>
        <w:rPr>
          <w:noProof/>
        </w:rPr>
        <w:t>8.2.1 Commentaires sur les flux de trésorerie liés à l’activité sur l’année 2020</w:t>
      </w:r>
      <w:r>
        <w:rPr>
          <w:noProof/>
        </w:rPr>
        <w:tab/>
      </w:r>
      <w:r>
        <w:rPr>
          <w:noProof/>
        </w:rPr>
        <w:fldChar w:fldCharType="begin"/>
      </w:r>
      <w:r>
        <w:rPr>
          <w:noProof/>
        </w:rPr>
        <w:instrText xml:space="preserve"> PAGEREF _Toc475033217 \h </w:instrText>
      </w:r>
      <w:r>
        <w:rPr>
          <w:noProof/>
        </w:rPr>
      </w:r>
      <w:r>
        <w:rPr>
          <w:noProof/>
        </w:rPr>
        <w:fldChar w:fldCharType="separate"/>
      </w:r>
      <w:r w:rsidR="004C5FA1">
        <w:rPr>
          <w:noProof/>
        </w:rPr>
        <w:t>90</w:t>
      </w:r>
      <w:r>
        <w:rPr>
          <w:noProof/>
        </w:rPr>
        <w:fldChar w:fldCharType="end"/>
      </w:r>
    </w:p>
    <w:p w14:paraId="1882BA9B" w14:textId="77777777" w:rsidR="00CA5E30" w:rsidRDefault="00CA5E30">
      <w:pPr>
        <w:pStyle w:val="TM3"/>
        <w:rPr>
          <w:rFonts w:asciiTheme="minorHAnsi" w:hAnsiTheme="minorHAnsi"/>
          <w:i w:val="0"/>
          <w:noProof/>
          <w:sz w:val="24"/>
          <w:szCs w:val="24"/>
          <w:lang w:eastAsia="ja-JP"/>
        </w:rPr>
      </w:pPr>
      <w:r>
        <w:rPr>
          <w:noProof/>
        </w:rPr>
        <w:t>8.2.2 Commentaires sur les flux de trésorerie liés aux opérations d’investissement</w:t>
      </w:r>
      <w:r>
        <w:rPr>
          <w:noProof/>
        </w:rPr>
        <w:tab/>
      </w:r>
      <w:r>
        <w:rPr>
          <w:noProof/>
        </w:rPr>
        <w:fldChar w:fldCharType="begin"/>
      </w:r>
      <w:r>
        <w:rPr>
          <w:noProof/>
        </w:rPr>
        <w:instrText xml:space="preserve"> PAGEREF _Toc475033218 \h </w:instrText>
      </w:r>
      <w:r>
        <w:rPr>
          <w:noProof/>
        </w:rPr>
      </w:r>
      <w:r>
        <w:rPr>
          <w:noProof/>
        </w:rPr>
        <w:fldChar w:fldCharType="separate"/>
      </w:r>
      <w:r w:rsidR="004C5FA1">
        <w:rPr>
          <w:noProof/>
        </w:rPr>
        <w:t>90</w:t>
      </w:r>
      <w:r>
        <w:rPr>
          <w:noProof/>
        </w:rPr>
        <w:fldChar w:fldCharType="end"/>
      </w:r>
    </w:p>
    <w:p w14:paraId="6A3D888C" w14:textId="77777777" w:rsidR="00CA5E30" w:rsidRDefault="00CA5E30">
      <w:pPr>
        <w:pStyle w:val="TM3"/>
        <w:rPr>
          <w:rFonts w:asciiTheme="minorHAnsi" w:hAnsiTheme="minorHAnsi"/>
          <w:i w:val="0"/>
          <w:noProof/>
          <w:sz w:val="24"/>
          <w:szCs w:val="24"/>
          <w:lang w:eastAsia="ja-JP"/>
        </w:rPr>
      </w:pPr>
      <w:r>
        <w:rPr>
          <w:noProof/>
        </w:rPr>
        <w:t>8.2.3 Commentaires sur les flux de trésorerie liés aux opérations de financement</w:t>
      </w:r>
      <w:r>
        <w:rPr>
          <w:noProof/>
        </w:rPr>
        <w:tab/>
      </w:r>
      <w:r>
        <w:rPr>
          <w:noProof/>
        </w:rPr>
        <w:fldChar w:fldCharType="begin"/>
      </w:r>
      <w:r>
        <w:rPr>
          <w:noProof/>
        </w:rPr>
        <w:instrText xml:space="preserve"> PAGEREF _Toc475033219 \h </w:instrText>
      </w:r>
      <w:r>
        <w:rPr>
          <w:noProof/>
        </w:rPr>
      </w:r>
      <w:r>
        <w:rPr>
          <w:noProof/>
        </w:rPr>
        <w:fldChar w:fldCharType="separate"/>
      </w:r>
      <w:r w:rsidR="004C5FA1">
        <w:rPr>
          <w:noProof/>
        </w:rPr>
        <w:t>90</w:t>
      </w:r>
      <w:r>
        <w:rPr>
          <w:noProof/>
        </w:rPr>
        <w:fldChar w:fldCharType="end"/>
      </w:r>
    </w:p>
    <w:p w14:paraId="55AC648F" w14:textId="77777777" w:rsidR="00CA5E30" w:rsidRDefault="00CA5E30">
      <w:pPr>
        <w:pStyle w:val="TM2"/>
        <w:rPr>
          <w:rFonts w:asciiTheme="minorHAnsi" w:hAnsiTheme="minorHAnsi"/>
          <w:sz w:val="24"/>
          <w:szCs w:val="24"/>
          <w:lang w:eastAsia="ja-JP"/>
        </w:rPr>
      </w:pPr>
      <w:r>
        <w:t>8.3 Informations sur les conditions d’emprunt et structure de financement</w:t>
      </w:r>
      <w:r>
        <w:tab/>
      </w:r>
      <w:r>
        <w:fldChar w:fldCharType="begin"/>
      </w:r>
      <w:r>
        <w:instrText xml:space="preserve"> PAGEREF _Toc475033220 \h </w:instrText>
      </w:r>
      <w:r>
        <w:fldChar w:fldCharType="separate"/>
      </w:r>
      <w:r w:rsidR="004C5FA1">
        <w:t>91</w:t>
      </w:r>
      <w:r>
        <w:fldChar w:fldCharType="end"/>
      </w:r>
    </w:p>
    <w:p w14:paraId="519AABE6" w14:textId="77777777" w:rsidR="00CA5E30" w:rsidRDefault="00CA5E30">
      <w:pPr>
        <w:pStyle w:val="TM2"/>
        <w:rPr>
          <w:rFonts w:asciiTheme="minorHAnsi" w:hAnsiTheme="minorHAnsi"/>
          <w:sz w:val="24"/>
          <w:szCs w:val="24"/>
          <w:lang w:eastAsia="ja-JP"/>
        </w:rPr>
      </w:pPr>
      <w:r>
        <w:t>8.4 Restriction à l’utilisation des capitaux</w:t>
      </w:r>
      <w:r>
        <w:tab/>
      </w:r>
      <w:r>
        <w:fldChar w:fldCharType="begin"/>
      </w:r>
      <w:r>
        <w:instrText xml:space="preserve"> PAGEREF _Toc475033221 \h </w:instrText>
      </w:r>
      <w:r>
        <w:fldChar w:fldCharType="separate"/>
      </w:r>
      <w:r w:rsidR="004C5FA1">
        <w:t>92</w:t>
      </w:r>
      <w:r>
        <w:fldChar w:fldCharType="end"/>
      </w:r>
    </w:p>
    <w:p w14:paraId="35C16A40" w14:textId="77777777" w:rsidR="00CA5E30" w:rsidRDefault="00CA5E30">
      <w:pPr>
        <w:pStyle w:val="TM2"/>
        <w:rPr>
          <w:rFonts w:asciiTheme="minorHAnsi" w:hAnsiTheme="minorHAnsi"/>
          <w:sz w:val="24"/>
          <w:szCs w:val="24"/>
          <w:lang w:eastAsia="ja-JP"/>
        </w:rPr>
      </w:pPr>
      <w:r>
        <w:t>8.5 Sources de financement nécessaires à l’avenir</w:t>
      </w:r>
      <w:r>
        <w:tab/>
      </w:r>
      <w:r>
        <w:fldChar w:fldCharType="begin"/>
      </w:r>
      <w:r>
        <w:instrText xml:space="preserve"> PAGEREF _Toc475033222 \h </w:instrText>
      </w:r>
      <w:r>
        <w:fldChar w:fldCharType="separate"/>
      </w:r>
      <w:r w:rsidR="004C5FA1">
        <w:t>92</w:t>
      </w:r>
      <w:r>
        <w:fldChar w:fldCharType="end"/>
      </w:r>
    </w:p>
    <w:p w14:paraId="5815EEF8" w14:textId="77777777" w:rsidR="00CA5E30" w:rsidRDefault="00CA5E30">
      <w:pPr>
        <w:pStyle w:val="TM1"/>
        <w:rPr>
          <w:rFonts w:asciiTheme="minorHAnsi" w:hAnsiTheme="minorHAnsi"/>
          <w:b w:val="0"/>
          <w:color w:val="auto"/>
          <w:sz w:val="24"/>
          <w:szCs w:val="24"/>
          <w:lang w:eastAsia="ja-JP"/>
        </w:rPr>
      </w:pPr>
      <w:r w:rsidRPr="009B0ECC">
        <w:rPr>
          <w:caps/>
        </w:rPr>
        <w:t>9. Environnement règlementaire</w:t>
      </w:r>
      <w:r>
        <w:tab/>
      </w:r>
      <w:r>
        <w:fldChar w:fldCharType="begin"/>
      </w:r>
      <w:r>
        <w:instrText xml:space="preserve"> PAGEREF _Toc475033223 \h </w:instrText>
      </w:r>
      <w:r>
        <w:fldChar w:fldCharType="separate"/>
      </w:r>
      <w:r w:rsidR="004C5FA1">
        <w:t>93</w:t>
      </w:r>
      <w:r>
        <w:fldChar w:fldCharType="end"/>
      </w:r>
    </w:p>
    <w:p w14:paraId="5C7D7224" w14:textId="77777777" w:rsidR="00CA5E30" w:rsidRDefault="00CA5E30">
      <w:pPr>
        <w:pStyle w:val="TM2"/>
        <w:rPr>
          <w:rFonts w:asciiTheme="minorHAnsi" w:hAnsiTheme="minorHAnsi"/>
          <w:sz w:val="24"/>
          <w:szCs w:val="24"/>
          <w:lang w:eastAsia="ja-JP"/>
        </w:rPr>
      </w:pPr>
      <w:r>
        <w:t>9.1 Les contraintes réglementaires encadrant la commercialisation des dispositifs médicaux</w:t>
      </w:r>
      <w:r>
        <w:tab/>
      </w:r>
      <w:r>
        <w:fldChar w:fldCharType="begin"/>
      </w:r>
      <w:r>
        <w:instrText xml:space="preserve"> PAGEREF _Toc475033224 \h </w:instrText>
      </w:r>
      <w:r>
        <w:fldChar w:fldCharType="separate"/>
      </w:r>
      <w:r w:rsidR="004C5FA1">
        <w:t>93</w:t>
      </w:r>
      <w:r>
        <w:fldChar w:fldCharType="end"/>
      </w:r>
    </w:p>
    <w:p w14:paraId="5390A4F2" w14:textId="77777777" w:rsidR="00CA5E30" w:rsidRDefault="00CA5E30">
      <w:pPr>
        <w:pStyle w:val="TM2"/>
        <w:rPr>
          <w:rFonts w:asciiTheme="minorHAnsi" w:hAnsiTheme="minorHAnsi"/>
          <w:sz w:val="24"/>
          <w:szCs w:val="24"/>
          <w:lang w:eastAsia="ja-JP"/>
        </w:rPr>
      </w:pPr>
      <w:r>
        <w:t>9.2. L’influence des politiques de remboursement des frais / dispositifs médicaux</w:t>
      </w:r>
      <w:r>
        <w:tab/>
      </w:r>
      <w:r>
        <w:fldChar w:fldCharType="begin"/>
      </w:r>
      <w:r>
        <w:instrText xml:space="preserve"> PAGEREF _Toc475033225 \h </w:instrText>
      </w:r>
      <w:r>
        <w:fldChar w:fldCharType="separate"/>
      </w:r>
      <w:r w:rsidR="004C5FA1">
        <w:t>98</w:t>
      </w:r>
      <w:r>
        <w:fldChar w:fldCharType="end"/>
      </w:r>
    </w:p>
    <w:p w14:paraId="6F14B7E5" w14:textId="77777777" w:rsidR="00CA5E30" w:rsidRDefault="00CA5E30">
      <w:pPr>
        <w:pStyle w:val="TM1"/>
        <w:rPr>
          <w:rFonts w:asciiTheme="minorHAnsi" w:hAnsiTheme="minorHAnsi"/>
          <w:b w:val="0"/>
          <w:color w:val="auto"/>
          <w:sz w:val="24"/>
          <w:szCs w:val="24"/>
          <w:lang w:eastAsia="ja-JP"/>
        </w:rPr>
      </w:pPr>
      <w:r>
        <w:t>10. INFORMATIONS SUR LES TENDANCES</w:t>
      </w:r>
      <w:r>
        <w:tab/>
      </w:r>
      <w:r>
        <w:fldChar w:fldCharType="begin"/>
      </w:r>
      <w:r>
        <w:instrText xml:space="preserve"> PAGEREF _Toc475033226 \h </w:instrText>
      </w:r>
      <w:r>
        <w:fldChar w:fldCharType="separate"/>
      </w:r>
      <w:r w:rsidR="004C5FA1">
        <w:t>100</w:t>
      </w:r>
      <w:r>
        <w:fldChar w:fldCharType="end"/>
      </w:r>
    </w:p>
    <w:p w14:paraId="08DFC02F" w14:textId="77777777" w:rsidR="00CA5E30" w:rsidRDefault="00CA5E30">
      <w:pPr>
        <w:pStyle w:val="TM2"/>
        <w:rPr>
          <w:rFonts w:asciiTheme="minorHAnsi" w:hAnsiTheme="minorHAnsi"/>
          <w:sz w:val="24"/>
          <w:szCs w:val="24"/>
          <w:lang w:eastAsia="ja-JP"/>
        </w:rPr>
      </w:pPr>
      <w:r>
        <w:t>10.1 Principales tendances depuis la fin du dernier exercice clos le 31 décembre 2020</w:t>
      </w:r>
      <w:r>
        <w:tab/>
      </w:r>
      <w:r>
        <w:fldChar w:fldCharType="begin"/>
      </w:r>
      <w:r>
        <w:instrText xml:space="preserve"> PAGEREF _Toc475033227 \h </w:instrText>
      </w:r>
      <w:r>
        <w:fldChar w:fldCharType="separate"/>
      </w:r>
      <w:r w:rsidR="004C5FA1">
        <w:t>100</w:t>
      </w:r>
      <w:r>
        <w:fldChar w:fldCharType="end"/>
      </w:r>
    </w:p>
    <w:p w14:paraId="0ADC8572" w14:textId="77777777" w:rsidR="00CA5E30" w:rsidRDefault="00CA5E30">
      <w:pPr>
        <w:pStyle w:val="TM2"/>
        <w:rPr>
          <w:rFonts w:asciiTheme="minorHAnsi" w:hAnsiTheme="minorHAnsi"/>
          <w:sz w:val="24"/>
          <w:szCs w:val="24"/>
          <w:lang w:eastAsia="ja-JP"/>
        </w:rPr>
      </w:pPr>
      <w:r>
        <w:t>10.2 Tendance connue, incertitude, demande d’engagement, ou événement raisonnablement susceptible d’influer sur les perspectives de la Société</w:t>
      </w:r>
      <w:r>
        <w:tab/>
      </w:r>
      <w:r>
        <w:fldChar w:fldCharType="begin"/>
      </w:r>
      <w:r>
        <w:instrText xml:space="preserve"> PAGEREF _Toc475033228 \h </w:instrText>
      </w:r>
      <w:r>
        <w:fldChar w:fldCharType="separate"/>
      </w:r>
      <w:r w:rsidR="004C5FA1">
        <w:t>101</w:t>
      </w:r>
      <w:r>
        <w:fldChar w:fldCharType="end"/>
      </w:r>
    </w:p>
    <w:p w14:paraId="48F82CFF" w14:textId="77777777" w:rsidR="00CA5E30" w:rsidRDefault="00CA5E30">
      <w:pPr>
        <w:pStyle w:val="TM1"/>
        <w:rPr>
          <w:rFonts w:asciiTheme="minorHAnsi" w:hAnsiTheme="minorHAnsi"/>
          <w:b w:val="0"/>
          <w:color w:val="auto"/>
          <w:sz w:val="24"/>
          <w:szCs w:val="24"/>
          <w:lang w:eastAsia="ja-JP"/>
        </w:rPr>
      </w:pPr>
      <w:r>
        <w:t>11. PREVISIONS OU ESTIMATIONS DU BENEFICE</w:t>
      </w:r>
      <w:r>
        <w:tab/>
      </w:r>
      <w:r>
        <w:fldChar w:fldCharType="begin"/>
      </w:r>
      <w:r>
        <w:instrText xml:space="preserve"> PAGEREF _Toc475033229 \h </w:instrText>
      </w:r>
      <w:r>
        <w:fldChar w:fldCharType="separate"/>
      </w:r>
      <w:r w:rsidR="004C5FA1">
        <w:t>102</w:t>
      </w:r>
      <w:r>
        <w:fldChar w:fldCharType="end"/>
      </w:r>
    </w:p>
    <w:p w14:paraId="73E31085" w14:textId="77777777" w:rsidR="00CA5E30" w:rsidRDefault="00CA5E30">
      <w:pPr>
        <w:pStyle w:val="TM1"/>
        <w:rPr>
          <w:rFonts w:asciiTheme="minorHAnsi" w:hAnsiTheme="minorHAnsi"/>
          <w:b w:val="0"/>
          <w:color w:val="auto"/>
          <w:sz w:val="24"/>
          <w:szCs w:val="24"/>
          <w:lang w:eastAsia="ja-JP"/>
        </w:rPr>
      </w:pPr>
      <w:r>
        <w:t>12. ORGANES D’ADMINISTRATION, DE DIRECTION DE SURVEILLANCE ET DE DIRECTION GENERALE</w:t>
      </w:r>
      <w:r>
        <w:tab/>
      </w:r>
      <w:r>
        <w:fldChar w:fldCharType="begin"/>
      </w:r>
      <w:r>
        <w:instrText xml:space="preserve"> PAGEREF _Toc475033230 \h </w:instrText>
      </w:r>
      <w:r>
        <w:fldChar w:fldCharType="separate"/>
      </w:r>
      <w:r w:rsidR="004C5FA1">
        <w:t>103</w:t>
      </w:r>
      <w:r>
        <w:fldChar w:fldCharType="end"/>
      </w:r>
    </w:p>
    <w:p w14:paraId="68FDAF02" w14:textId="77777777" w:rsidR="00CA5E30" w:rsidRDefault="00CA5E30">
      <w:pPr>
        <w:pStyle w:val="TM2"/>
        <w:rPr>
          <w:rFonts w:asciiTheme="minorHAnsi" w:hAnsiTheme="minorHAnsi"/>
          <w:sz w:val="24"/>
          <w:szCs w:val="24"/>
          <w:lang w:eastAsia="ja-JP"/>
        </w:rPr>
      </w:pPr>
      <w:r>
        <w:t>12.1 Dirigeants et administrateurs</w:t>
      </w:r>
      <w:r>
        <w:tab/>
      </w:r>
      <w:r>
        <w:fldChar w:fldCharType="begin"/>
      </w:r>
      <w:r>
        <w:instrText xml:space="preserve"> PAGEREF _Toc475033231 \h </w:instrText>
      </w:r>
      <w:r>
        <w:fldChar w:fldCharType="separate"/>
      </w:r>
      <w:r w:rsidR="004C5FA1">
        <w:t>103</w:t>
      </w:r>
      <w:r>
        <w:fldChar w:fldCharType="end"/>
      </w:r>
    </w:p>
    <w:p w14:paraId="672FC0C2" w14:textId="77777777" w:rsidR="00CA5E30" w:rsidRDefault="00CA5E30">
      <w:pPr>
        <w:pStyle w:val="TM3"/>
        <w:rPr>
          <w:rFonts w:asciiTheme="minorHAnsi" w:hAnsiTheme="minorHAnsi"/>
          <w:i w:val="0"/>
          <w:noProof/>
          <w:sz w:val="24"/>
          <w:szCs w:val="24"/>
          <w:lang w:eastAsia="ja-JP"/>
        </w:rPr>
      </w:pPr>
      <w:r>
        <w:rPr>
          <w:noProof/>
        </w:rPr>
        <w:t>12.1.1 Conseil d’administration</w:t>
      </w:r>
      <w:r>
        <w:rPr>
          <w:noProof/>
        </w:rPr>
        <w:tab/>
      </w:r>
      <w:r>
        <w:rPr>
          <w:noProof/>
        </w:rPr>
        <w:fldChar w:fldCharType="begin"/>
      </w:r>
      <w:r>
        <w:rPr>
          <w:noProof/>
        </w:rPr>
        <w:instrText xml:space="preserve"> PAGEREF _Toc475033232 \h </w:instrText>
      </w:r>
      <w:r>
        <w:rPr>
          <w:noProof/>
        </w:rPr>
      </w:r>
      <w:r>
        <w:rPr>
          <w:noProof/>
        </w:rPr>
        <w:fldChar w:fldCharType="separate"/>
      </w:r>
      <w:r w:rsidR="004C5FA1">
        <w:rPr>
          <w:noProof/>
        </w:rPr>
        <w:t>103</w:t>
      </w:r>
      <w:r>
        <w:rPr>
          <w:noProof/>
        </w:rPr>
        <w:fldChar w:fldCharType="end"/>
      </w:r>
    </w:p>
    <w:p w14:paraId="2E02B4EF" w14:textId="77777777" w:rsidR="00CA5E30" w:rsidRDefault="00CA5E30">
      <w:pPr>
        <w:pStyle w:val="TM3"/>
        <w:rPr>
          <w:rFonts w:asciiTheme="minorHAnsi" w:hAnsiTheme="minorHAnsi"/>
          <w:i w:val="0"/>
          <w:noProof/>
          <w:sz w:val="24"/>
          <w:szCs w:val="24"/>
          <w:lang w:eastAsia="ja-JP"/>
        </w:rPr>
      </w:pPr>
      <w:r>
        <w:rPr>
          <w:noProof/>
        </w:rPr>
        <w:t>12.1.2 Biographie des administrateurs</w:t>
      </w:r>
      <w:r>
        <w:rPr>
          <w:noProof/>
        </w:rPr>
        <w:tab/>
      </w:r>
      <w:r>
        <w:rPr>
          <w:noProof/>
        </w:rPr>
        <w:fldChar w:fldCharType="begin"/>
      </w:r>
      <w:r>
        <w:rPr>
          <w:noProof/>
        </w:rPr>
        <w:instrText xml:space="preserve"> PAGEREF _Toc475033233 \h </w:instrText>
      </w:r>
      <w:r>
        <w:rPr>
          <w:noProof/>
        </w:rPr>
      </w:r>
      <w:r>
        <w:rPr>
          <w:noProof/>
        </w:rPr>
        <w:fldChar w:fldCharType="separate"/>
      </w:r>
      <w:r w:rsidR="004C5FA1">
        <w:rPr>
          <w:noProof/>
        </w:rPr>
        <w:t>105</w:t>
      </w:r>
      <w:r>
        <w:rPr>
          <w:noProof/>
        </w:rPr>
        <w:fldChar w:fldCharType="end"/>
      </w:r>
    </w:p>
    <w:p w14:paraId="38E4023A" w14:textId="77777777" w:rsidR="00CA5E30" w:rsidRDefault="00CA5E30">
      <w:pPr>
        <w:pStyle w:val="TM3"/>
        <w:rPr>
          <w:rFonts w:asciiTheme="minorHAnsi" w:hAnsiTheme="minorHAnsi"/>
          <w:i w:val="0"/>
          <w:noProof/>
          <w:sz w:val="24"/>
          <w:szCs w:val="24"/>
          <w:lang w:eastAsia="ja-JP"/>
        </w:rPr>
      </w:pPr>
      <w:r>
        <w:rPr>
          <w:noProof/>
        </w:rPr>
        <w:t>12.1.3 Censeur</w:t>
      </w:r>
      <w:r>
        <w:rPr>
          <w:noProof/>
        </w:rPr>
        <w:tab/>
      </w:r>
      <w:r>
        <w:rPr>
          <w:noProof/>
        </w:rPr>
        <w:fldChar w:fldCharType="begin"/>
      </w:r>
      <w:r>
        <w:rPr>
          <w:noProof/>
        </w:rPr>
        <w:instrText xml:space="preserve"> PAGEREF _Toc475033234 \h </w:instrText>
      </w:r>
      <w:r>
        <w:rPr>
          <w:noProof/>
        </w:rPr>
      </w:r>
      <w:r>
        <w:rPr>
          <w:noProof/>
        </w:rPr>
        <w:fldChar w:fldCharType="separate"/>
      </w:r>
      <w:r w:rsidR="004C5FA1">
        <w:rPr>
          <w:noProof/>
        </w:rPr>
        <w:t>105</w:t>
      </w:r>
      <w:r>
        <w:rPr>
          <w:noProof/>
        </w:rPr>
        <w:fldChar w:fldCharType="end"/>
      </w:r>
    </w:p>
    <w:p w14:paraId="1E3636E6" w14:textId="77777777" w:rsidR="00CA5E30" w:rsidRDefault="00CA5E30">
      <w:pPr>
        <w:pStyle w:val="TM2"/>
        <w:rPr>
          <w:rFonts w:asciiTheme="minorHAnsi" w:hAnsiTheme="minorHAnsi"/>
          <w:sz w:val="24"/>
          <w:szCs w:val="24"/>
          <w:lang w:eastAsia="ja-JP"/>
        </w:rPr>
      </w:pPr>
      <w:r>
        <w:t>12.2 Conflits d’intérêt au niveau des organes d’administration et de direction</w:t>
      </w:r>
      <w:r>
        <w:tab/>
      </w:r>
      <w:r>
        <w:fldChar w:fldCharType="begin"/>
      </w:r>
      <w:r>
        <w:instrText xml:space="preserve"> PAGEREF _Toc475033235 \h </w:instrText>
      </w:r>
      <w:r>
        <w:fldChar w:fldCharType="separate"/>
      </w:r>
      <w:r w:rsidR="004C5FA1">
        <w:t>106</w:t>
      </w:r>
      <w:r>
        <w:fldChar w:fldCharType="end"/>
      </w:r>
    </w:p>
    <w:p w14:paraId="20E4E881" w14:textId="77777777" w:rsidR="00CA5E30" w:rsidRDefault="00CA5E30">
      <w:pPr>
        <w:pStyle w:val="TM1"/>
        <w:rPr>
          <w:rFonts w:asciiTheme="minorHAnsi" w:hAnsiTheme="minorHAnsi"/>
          <w:b w:val="0"/>
          <w:color w:val="auto"/>
          <w:sz w:val="24"/>
          <w:szCs w:val="24"/>
          <w:lang w:eastAsia="ja-JP"/>
        </w:rPr>
      </w:pPr>
      <w:r>
        <w:t>13. REMUNERATIONS ET AVANTAGES</w:t>
      </w:r>
      <w:r>
        <w:tab/>
      </w:r>
      <w:r>
        <w:fldChar w:fldCharType="begin"/>
      </w:r>
      <w:r>
        <w:instrText xml:space="preserve"> PAGEREF _Toc475033236 \h </w:instrText>
      </w:r>
      <w:r>
        <w:fldChar w:fldCharType="separate"/>
      </w:r>
      <w:r w:rsidR="004C5FA1">
        <w:t>107</w:t>
      </w:r>
      <w:r>
        <w:fldChar w:fldCharType="end"/>
      </w:r>
    </w:p>
    <w:p w14:paraId="08B85344" w14:textId="77777777" w:rsidR="00CA5E30" w:rsidRDefault="00CA5E30">
      <w:pPr>
        <w:pStyle w:val="TM2"/>
        <w:rPr>
          <w:rFonts w:asciiTheme="minorHAnsi" w:hAnsiTheme="minorHAnsi"/>
          <w:sz w:val="24"/>
          <w:szCs w:val="24"/>
          <w:lang w:eastAsia="ja-JP"/>
        </w:rPr>
      </w:pPr>
      <w:r>
        <w:lastRenderedPageBreak/>
        <w:t>13.1 Rémunération des membres du Conseil d’administration et dirigeants</w:t>
      </w:r>
      <w:r>
        <w:tab/>
      </w:r>
      <w:r>
        <w:fldChar w:fldCharType="begin"/>
      </w:r>
      <w:r>
        <w:instrText xml:space="preserve"> PAGEREF _Toc475033237 \h </w:instrText>
      </w:r>
      <w:r>
        <w:fldChar w:fldCharType="separate"/>
      </w:r>
      <w:r w:rsidR="004C5FA1">
        <w:t>107</w:t>
      </w:r>
      <w:r>
        <w:fldChar w:fldCharType="end"/>
      </w:r>
    </w:p>
    <w:p w14:paraId="225F063C" w14:textId="77777777" w:rsidR="00CA5E30" w:rsidRDefault="00CA5E30">
      <w:pPr>
        <w:pStyle w:val="TM2"/>
        <w:rPr>
          <w:rFonts w:asciiTheme="minorHAnsi" w:hAnsiTheme="minorHAnsi"/>
          <w:sz w:val="24"/>
          <w:szCs w:val="24"/>
          <w:lang w:eastAsia="ja-JP"/>
        </w:rPr>
      </w:pPr>
      <w:r>
        <w:t>13.2 Sommes provisionnées par la Société aux fins de versement de pensions, retraites et autres avantages au profit des administrateurs et dirigeants</w:t>
      </w:r>
      <w:r>
        <w:tab/>
      </w:r>
      <w:r>
        <w:fldChar w:fldCharType="begin"/>
      </w:r>
      <w:r>
        <w:instrText xml:space="preserve"> PAGEREF _Toc475033238 \h </w:instrText>
      </w:r>
      <w:r>
        <w:fldChar w:fldCharType="separate"/>
      </w:r>
      <w:r w:rsidR="004C5FA1">
        <w:t>111</w:t>
      </w:r>
      <w:r>
        <w:fldChar w:fldCharType="end"/>
      </w:r>
    </w:p>
    <w:p w14:paraId="327EFDEB" w14:textId="77777777" w:rsidR="00CA5E30" w:rsidRDefault="00CA5E30">
      <w:pPr>
        <w:pStyle w:val="TM2"/>
        <w:rPr>
          <w:rFonts w:asciiTheme="minorHAnsi" w:hAnsiTheme="minorHAnsi"/>
          <w:sz w:val="24"/>
          <w:szCs w:val="24"/>
          <w:lang w:eastAsia="ja-JP"/>
        </w:rPr>
      </w:pPr>
      <w:r>
        <w:t>13.3 Titres donnant accès au capital attribués aux membres du Conseil d’administration et dirigeants</w:t>
      </w:r>
      <w:r>
        <w:tab/>
      </w:r>
      <w:r>
        <w:fldChar w:fldCharType="begin"/>
      </w:r>
      <w:r>
        <w:instrText xml:space="preserve"> PAGEREF _Toc475033239 \h </w:instrText>
      </w:r>
      <w:r>
        <w:fldChar w:fldCharType="separate"/>
      </w:r>
      <w:r w:rsidR="004C5FA1">
        <w:t>112</w:t>
      </w:r>
      <w:r>
        <w:fldChar w:fldCharType="end"/>
      </w:r>
    </w:p>
    <w:p w14:paraId="4CDFFD35" w14:textId="77777777" w:rsidR="00CA5E30" w:rsidRDefault="00CA5E30">
      <w:pPr>
        <w:pStyle w:val="TM1"/>
        <w:rPr>
          <w:rFonts w:asciiTheme="minorHAnsi" w:hAnsiTheme="minorHAnsi"/>
          <w:b w:val="0"/>
          <w:color w:val="auto"/>
          <w:sz w:val="24"/>
          <w:szCs w:val="24"/>
          <w:lang w:eastAsia="ja-JP"/>
        </w:rPr>
      </w:pPr>
      <w:r>
        <w:t>14. FONCTIONNEMENT DES ORGANES D’ADMINISTRATION ET DE DIRECTION</w:t>
      </w:r>
      <w:r>
        <w:tab/>
      </w:r>
      <w:r>
        <w:fldChar w:fldCharType="begin"/>
      </w:r>
      <w:r>
        <w:instrText xml:space="preserve"> PAGEREF _Toc475033240 \h </w:instrText>
      </w:r>
      <w:r>
        <w:fldChar w:fldCharType="separate"/>
      </w:r>
      <w:r w:rsidR="004C5FA1">
        <w:t>113</w:t>
      </w:r>
      <w:r>
        <w:fldChar w:fldCharType="end"/>
      </w:r>
    </w:p>
    <w:p w14:paraId="4801B61E" w14:textId="77777777" w:rsidR="00CA5E30" w:rsidRDefault="00CA5E30">
      <w:pPr>
        <w:pStyle w:val="TM2"/>
        <w:rPr>
          <w:rFonts w:asciiTheme="minorHAnsi" w:hAnsiTheme="minorHAnsi"/>
          <w:sz w:val="24"/>
          <w:szCs w:val="24"/>
          <w:lang w:eastAsia="ja-JP"/>
        </w:rPr>
      </w:pPr>
      <w:r>
        <w:t>14.1 Direction de la Société</w:t>
      </w:r>
      <w:r>
        <w:tab/>
      </w:r>
      <w:r>
        <w:fldChar w:fldCharType="begin"/>
      </w:r>
      <w:r>
        <w:instrText xml:space="preserve"> PAGEREF _Toc475033241 \h </w:instrText>
      </w:r>
      <w:r>
        <w:fldChar w:fldCharType="separate"/>
      </w:r>
      <w:r w:rsidR="004C5FA1">
        <w:t>113</w:t>
      </w:r>
      <w:r>
        <w:fldChar w:fldCharType="end"/>
      </w:r>
    </w:p>
    <w:p w14:paraId="04B46AE7" w14:textId="77777777" w:rsidR="00CA5E30" w:rsidRDefault="00CA5E30">
      <w:pPr>
        <w:pStyle w:val="TM2"/>
        <w:rPr>
          <w:rFonts w:asciiTheme="minorHAnsi" w:hAnsiTheme="minorHAnsi"/>
          <w:sz w:val="24"/>
          <w:szCs w:val="24"/>
          <w:lang w:eastAsia="ja-JP"/>
        </w:rPr>
      </w:pPr>
      <w:r>
        <w:t>14.2 Informations sur les contrats liant les dirigeants et la Société</w:t>
      </w:r>
      <w:r>
        <w:tab/>
      </w:r>
      <w:r>
        <w:fldChar w:fldCharType="begin"/>
      </w:r>
      <w:r>
        <w:instrText xml:space="preserve"> PAGEREF _Toc475033242 \h </w:instrText>
      </w:r>
      <w:r>
        <w:fldChar w:fldCharType="separate"/>
      </w:r>
      <w:r w:rsidR="004C5FA1">
        <w:t>113</w:t>
      </w:r>
      <w:r>
        <w:fldChar w:fldCharType="end"/>
      </w:r>
    </w:p>
    <w:p w14:paraId="1875D6C5" w14:textId="77777777" w:rsidR="00CA5E30" w:rsidRDefault="00CA5E30">
      <w:pPr>
        <w:pStyle w:val="TM2"/>
        <w:rPr>
          <w:rFonts w:asciiTheme="minorHAnsi" w:hAnsiTheme="minorHAnsi"/>
          <w:sz w:val="24"/>
          <w:szCs w:val="24"/>
          <w:lang w:eastAsia="ja-JP"/>
        </w:rPr>
      </w:pPr>
      <w:r>
        <w:t>14.3 Comités spécialisés – Règlement intérieur</w:t>
      </w:r>
      <w:r>
        <w:tab/>
      </w:r>
      <w:r>
        <w:fldChar w:fldCharType="begin"/>
      </w:r>
      <w:r>
        <w:instrText xml:space="preserve"> PAGEREF _Toc475033243 \h </w:instrText>
      </w:r>
      <w:r>
        <w:fldChar w:fldCharType="separate"/>
      </w:r>
      <w:r w:rsidR="004C5FA1">
        <w:t>113</w:t>
      </w:r>
      <w:r>
        <w:fldChar w:fldCharType="end"/>
      </w:r>
    </w:p>
    <w:p w14:paraId="7BBCF58A" w14:textId="77777777" w:rsidR="00CA5E30" w:rsidRDefault="00CA5E30">
      <w:pPr>
        <w:pStyle w:val="TM2"/>
        <w:rPr>
          <w:rFonts w:asciiTheme="minorHAnsi" w:hAnsiTheme="minorHAnsi"/>
          <w:sz w:val="24"/>
          <w:szCs w:val="24"/>
          <w:lang w:eastAsia="ja-JP"/>
        </w:rPr>
      </w:pPr>
      <w:r>
        <w:t>14.4 Déclaration relative au gouvernement d’entreprise</w:t>
      </w:r>
      <w:r>
        <w:tab/>
      </w:r>
      <w:r>
        <w:fldChar w:fldCharType="begin"/>
      </w:r>
      <w:r>
        <w:instrText xml:space="preserve"> PAGEREF _Toc475033244 \h </w:instrText>
      </w:r>
      <w:r>
        <w:fldChar w:fldCharType="separate"/>
      </w:r>
      <w:r w:rsidR="004C5FA1">
        <w:t>114</w:t>
      </w:r>
      <w:r>
        <w:fldChar w:fldCharType="end"/>
      </w:r>
    </w:p>
    <w:p w14:paraId="1B24B542" w14:textId="77777777" w:rsidR="00CA5E30" w:rsidRDefault="00CA5E30">
      <w:pPr>
        <w:pStyle w:val="TM2"/>
        <w:rPr>
          <w:rFonts w:asciiTheme="minorHAnsi" w:hAnsiTheme="minorHAnsi"/>
          <w:sz w:val="24"/>
          <w:szCs w:val="24"/>
          <w:lang w:eastAsia="ja-JP"/>
        </w:rPr>
      </w:pPr>
      <w:r>
        <w:t>14.5 Contrôle interne</w:t>
      </w:r>
      <w:r>
        <w:tab/>
      </w:r>
      <w:r>
        <w:fldChar w:fldCharType="begin"/>
      </w:r>
      <w:r>
        <w:instrText xml:space="preserve"> PAGEREF _Toc475033245 \h </w:instrText>
      </w:r>
      <w:r>
        <w:fldChar w:fldCharType="separate"/>
      </w:r>
      <w:r w:rsidR="004C5FA1">
        <w:t>115</w:t>
      </w:r>
      <w:r>
        <w:fldChar w:fldCharType="end"/>
      </w:r>
    </w:p>
    <w:p w14:paraId="6A4A5DD8" w14:textId="77777777" w:rsidR="00CA5E30" w:rsidRDefault="00CA5E30">
      <w:pPr>
        <w:pStyle w:val="TM1"/>
        <w:rPr>
          <w:rFonts w:asciiTheme="minorHAnsi" w:hAnsiTheme="minorHAnsi"/>
          <w:b w:val="0"/>
          <w:color w:val="auto"/>
          <w:sz w:val="24"/>
          <w:szCs w:val="24"/>
          <w:lang w:eastAsia="ja-JP"/>
        </w:rPr>
      </w:pPr>
      <w:r w:rsidRPr="009B0ECC">
        <w:rPr>
          <w:caps/>
        </w:rPr>
        <w:t>15. Salariés</w:t>
      </w:r>
      <w:r>
        <w:tab/>
      </w:r>
      <w:r>
        <w:fldChar w:fldCharType="begin"/>
      </w:r>
      <w:r>
        <w:instrText xml:space="preserve"> PAGEREF _Toc475033246 \h </w:instrText>
      </w:r>
      <w:r>
        <w:fldChar w:fldCharType="separate"/>
      </w:r>
      <w:r w:rsidR="004C5FA1">
        <w:t>117</w:t>
      </w:r>
      <w:r>
        <w:fldChar w:fldCharType="end"/>
      </w:r>
    </w:p>
    <w:p w14:paraId="41FF2280" w14:textId="77777777" w:rsidR="00CA5E30" w:rsidRDefault="00CA5E30">
      <w:pPr>
        <w:pStyle w:val="TM2"/>
        <w:rPr>
          <w:rFonts w:asciiTheme="minorHAnsi" w:hAnsiTheme="minorHAnsi"/>
          <w:sz w:val="24"/>
          <w:szCs w:val="24"/>
          <w:lang w:eastAsia="ja-JP"/>
        </w:rPr>
      </w:pPr>
      <w:r>
        <w:t>15.1 Ressources humaines</w:t>
      </w:r>
      <w:r>
        <w:tab/>
      </w:r>
      <w:r>
        <w:fldChar w:fldCharType="begin"/>
      </w:r>
      <w:r>
        <w:instrText xml:space="preserve"> PAGEREF _Toc475033247 \h </w:instrText>
      </w:r>
      <w:r>
        <w:fldChar w:fldCharType="separate"/>
      </w:r>
      <w:r w:rsidR="004C5FA1">
        <w:t>117</w:t>
      </w:r>
      <w:r>
        <w:fldChar w:fldCharType="end"/>
      </w:r>
    </w:p>
    <w:p w14:paraId="73DB6C14" w14:textId="77777777" w:rsidR="00CA5E30" w:rsidRDefault="00CA5E30">
      <w:pPr>
        <w:pStyle w:val="TM3"/>
        <w:rPr>
          <w:rFonts w:asciiTheme="minorHAnsi" w:hAnsiTheme="minorHAnsi"/>
          <w:i w:val="0"/>
          <w:noProof/>
          <w:sz w:val="24"/>
          <w:szCs w:val="24"/>
          <w:lang w:eastAsia="ja-JP"/>
        </w:rPr>
      </w:pPr>
      <w:r>
        <w:rPr>
          <w:noProof/>
        </w:rPr>
        <w:t>15.1.1 Organigramme opérationnel</w:t>
      </w:r>
      <w:r>
        <w:rPr>
          <w:noProof/>
        </w:rPr>
        <w:tab/>
      </w:r>
      <w:r>
        <w:rPr>
          <w:noProof/>
        </w:rPr>
        <w:fldChar w:fldCharType="begin"/>
      </w:r>
      <w:r>
        <w:rPr>
          <w:noProof/>
        </w:rPr>
        <w:instrText xml:space="preserve"> PAGEREF _Toc475033248 \h </w:instrText>
      </w:r>
      <w:r>
        <w:rPr>
          <w:noProof/>
        </w:rPr>
      </w:r>
      <w:r>
        <w:rPr>
          <w:noProof/>
        </w:rPr>
        <w:fldChar w:fldCharType="separate"/>
      </w:r>
      <w:r w:rsidR="004C5FA1">
        <w:rPr>
          <w:noProof/>
        </w:rPr>
        <w:t>117</w:t>
      </w:r>
      <w:r>
        <w:rPr>
          <w:noProof/>
        </w:rPr>
        <w:fldChar w:fldCharType="end"/>
      </w:r>
    </w:p>
    <w:p w14:paraId="43CE2477" w14:textId="77777777" w:rsidR="00CA5E30" w:rsidRDefault="00CA5E30">
      <w:pPr>
        <w:pStyle w:val="TM3"/>
        <w:rPr>
          <w:rFonts w:asciiTheme="minorHAnsi" w:hAnsiTheme="minorHAnsi"/>
          <w:i w:val="0"/>
          <w:noProof/>
          <w:sz w:val="24"/>
          <w:szCs w:val="24"/>
          <w:lang w:eastAsia="ja-JP"/>
        </w:rPr>
      </w:pPr>
      <w:r>
        <w:rPr>
          <w:noProof/>
        </w:rPr>
        <w:t>15.1.2 Nombre et répartition des effectifs</w:t>
      </w:r>
      <w:r>
        <w:rPr>
          <w:noProof/>
        </w:rPr>
        <w:tab/>
      </w:r>
      <w:r>
        <w:rPr>
          <w:noProof/>
        </w:rPr>
        <w:fldChar w:fldCharType="begin"/>
      </w:r>
      <w:r>
        <w:rPr>
          <w:noProof/>
        </w:rPr>
        <w:instrText xml:space="preserve"> PAGEREF _Toc475033249 \h </w:instrText>
      </w:r>
      <w:r>
        <w:rPr>
          <w:noProof/>
        </w:rPr>
      </w:r>
      <w:r>
        <w:rPr>
          <w:noProof/>
        </w:rPr>
        <w:fldChar w:fldCharType="separate"/>
      </w:r>
      <w:r w:rsidR="004C5FA1">
        <w:rPr>
          <w:noProof/>
        </w:rPr>
        <w:t>118</w:t>
      </w:r>
      <w:r>
        <w:rPr>
          <w:noProof/>
        </w:rPr>
        <w:fldChar w:fldCharType="end"/>
      </w:r>
    </w:p>
    <w:p w14:paraId="5659C3F8" w14:textId="77777777" w:rsidR="00CA5E30" w:rsidRDefault="00CA5E30">
      <w:pPr>
        <w:pStyle w:val="TM2"/>
        <w:rPr>
          <w:rFonts w:asciiTheme="minorHAnsi" w:hAnsiTheme="minorHAnsi"/>
          <w:sz w:val="24"/>
          <w:szCs w:val="24"/>
          <w:lang w:eastAsia="ja-JP"/>
        </w:rPr>
      </w:pPr>
      <w:r>
        <w:t>15.2 Participation des salariés dans le capital de la Société</w:t>
      </w:r>
      <w:r>
        <w:tab/>
      </w:r>
      <w:r>
        <w:fldChar w:fldCharType="begin"/>
      </w:r>
      <w:r>
        <w:instrText xml:space="preserve"> PAGEREF _Toc475033250 \h </w:instrText>
      </w:r>
      <w:r>
        <w:fldChar w:fldCharType="separate"/>
      </w:r>
      <w:r w:rsidR="004C5FA1">
        <w:t>118</w:t>
      </w:r>
      <w:r>
        <w:fldChar w:fldCharType="end"/>
      </w:r>
    </w:p>
    <w:p w14:paraId="4CBFD9A9" w14:textId="77777777" w:rsidR="00CA5E30" w:rsidRDefault="00CA5E30">
      <w:pPr>
        <w:pStyle w:val="TM2"/>
        <w:rPr>
          <w:rFonts w:asciiTheme="minorHAnsi" w:hAnsiTheme="minorHAnsi"/>
          <w:sz w:val="24"/>
          <w:szCs w:val="24"/>
          <w:lang w:eastAsia="ja-JP"/>
        </w:rPr>
      </w:pPr>
      <w:r>
        <w:t>15.3 Contrats d’intéressement et de participation</w:t>
      </w:r>
      <w:r>
        <w:tab/>
      </w:r>
      <w:r>
        <w:fldChar w:fldCharType="begin"/>
      </w:r>
      <w:r>
        <w:instrText xml:space="preserve"> PAGEREF _Toc475033251 \h </w:instrText>
      </w:r>
      <w:r>
        <w:fldChar w:fldCharType="separate"/>
      </w:r>
      <w:r w:rsidR="004C5FA1">
        <w:t>118</w:t>
      </w:r>
      <w:r>
        <w:fldChar w:fldCharType="end"/>
      </w:r>
    </w:p>
    <w:p w14:paraId="770DF6B1" w14:textId="77777777" w:rsidR="00CA5E30" w:rsidRDefault="00CA5E30">
      <w:pPr>
        <w:pStyle w:val="TM1"/>
        <w:rPr>
          <w:rFonts w:asciiTheme="minorHAnsi" w:hAnsiTheme="minorHAnsi"/>
          <w:b w:val="0"/>
          <w:color w:val="auto"/>
          <w:sz w:val="24"/>
          <w:szCs w:val="24"/>
          <w:lang w:eastAsia="ja-JP"/>
        </w:rPr>
      </w:pPr>
      <w:r>
        <w:t>16. PRINCIPAUX ACTIONNAIRES</w:t>
      </w:r>
      <w:r>
        <w:tab/>
      </w:r>
      <w:r>
        <w:fldChar w:fldCharType="begin"/>
      </w:r>
      <w:r>
        <w:instrText xml:space="preserve"> PAGEREF _Toc475033252 \h </w:instrText>
      </w:r>
      <w:r>
        <w:fldChar w:fldCharType="separate"/>
      </w:r>
      <w:r w:rsidR="004C5FA1">
        <w:t>119</w:t>
      </w:r>
      <w:r>
        <w:fldChar w:fldCharType="end"/>
      </w:r>
    </w:p>
    <w:p w14:paraId="6DBDDD62" w14:textId="77777777" w:rsidR="00CA5E30" w:rsidRDefault="00CA5E30">
      <w:pPr>
        <w:pStyle w:val="TM2"/>
        <w:rPr>
          <w:rFonts w:asciiTheme="minorHAnsi" w:hAnsiTheme="minorHAnsi"/>
          <w:sz w:val="24"/>
          <w:szCs w:val="24"/>
          <w:lang w:eastAsia="ja-JP"/>
        </w:rPr>
      </w:pPr>
      <w:r>
        <w:t>16.1 Répartition du capital et des droits de vote au 31 décembre 2020</w:t>
      </w:r>
      <w:r>
        <w:tab/>
      </w:r>
      <w:r>
        <w:fldChar w:fldCharType="begin"/>
      </w:r>
      <w:r>
        <w:instrText xml:space="preserve"> PAGEREF _Toc475033253 \h </w:instrText>
      </w:r>
      <w:r>
        <w:fldChar w:fldCharType="separate"/>
      </w:r>
      <w:r w:rsidR="004C5FA1">
        <w:t>119</w:t>
      </w:r>
      <w:r>
        <w:fldChar w:fldCharType="end"/>
      </w:r>
    </w:p>
    <w:p w14:paraId="27E2E6D3" w14:textId="77777777" w:rsidR="00CA5E30" w:rsidRDefault="00CA5E30">
      <w:pPr>
        <w:pStyle w:val="TM2"/>
        <w:rPr>
          <w:rFonts w:asciiTheme="minorHAnsi" w:hAnsiTheme="minorHAnsi"/>
          <w:sz w:val="24"/>
          <w:szCs w:val="24"/>
          <w:lang w:eastAsia="ja-JP"/>
        </w:rPr>
      </w:pPr>
      <w:r>
        <w:t>16.2 Actionnaires significatifs non représentés au Conseil d’administration</w:t>
      </w:r>
      <w:r>
        <w:tab/>
      </w:r>
      <w:r>
        <w:fldChar w:fldCharType="begin"/>
      </w:r>
      <w:r>
        <w:instrText xml:space="preserve"> PAGEREF _Toc475033254 \h </w:instrText>
      </w:r>
      <w:r>
        <w:fldChar w:fldCharType="separate"/>
      </w:r>
      <w:r w:rsidR="004C5FA1">
        <w:t>120</w:t>
      </w:r>
      <w:r>
        <w:fldChar w:fldCharType="end"/>
      </w:r>
    </w:p>
    <w:p w14:paraId="46BDE79F" w14:textId="77777777" w:rsidR="00CA5E30" w:rsidRDefault="00CA5E30">
      <w:pPr>
        <w:pStyle w:val="TM2"/>
        <w:rPr>
          <w:rFonts w:asciiTheme="minorHAnsi" w:hAnsiTheme="minorHAnsi"/>
          <w:sz w:val="24"/>
          <w:szCs w:val="24"/>
          <w:lang w:eastAsia="ja-JP"/>
        </w:rPr>
      </w:pPr>
      <w:r>
        <w:t>16.3 Droits de vote des principaux actionnaires</w:t>
      </w:r>
      <w:r>
        <w:tab/>
      </w:r>
      <w:r>
        <w:fldChar w:fldCharType="begin"/>
      </w:r>
      <w:r>
        <w:instrText xml:space="preserve"> PAGEREF _Toc475033255 \h </w:instrText>
      </w:r>
      <w:r>
        <w:fldChar w:fldCharType="separate"/>
      </w:r>
      <w:r w:rsidR="004C5FA1">
        <w:t>120</w:t>
      </w:r>
      <w:r>
        <w:fldChar w:fldCharType="end"/>
      </w:r>
    </w:p>
    <w:p w14:paraId="7E6B96B9" w14:textId="77777777" w:rsidR="00CA5E30" w:rsidRDefault="00CA5E30">
      <w:pPr>
        <w:pStyle w:val="TM2"/>
        <w:rPr>
          <w:rFonts w:asciiTheme="minorHAnsi" w:hAnsiTheme="minorHAnsi"/>
          <w:sz w:val="24"/>
          <w:szCs w:val="24"/>
          <w:lang w:eastAsia="ja-JP"/>
        </w:rPr>
      </w:pPr>
      <w:r>
        <w:t>16.4 Contrôle de la Société</w:t>
      </w:r>
      <w:r>
        <w:tab/>
      </w:r>
      <w:r>
        <w:fldChar w:fldCharType="begin"/>
      </w:r>
      <w:r>
        <w:instrText xml:space="preserve"> PAGEREF _Toc475033256 \h </w:instrText>
      </w:r>
      <w:r>
        <w:fldChar w:fldCharType="separate"/>
      </w:r>
      <w:r w:rsidR="004C5FA1">
        <w:t>120</w:t>
      </w:r>
      <w:r>
        <w:fldChar w:fldCharType="end"/>
      </w:r>
    </w:p>
    <w:p w14:paraId="008240DB" w14:textId="77777777" w:rsidR="00CA5E30" w:rsidRDefault="00CA5E30">
      <w:pPr>
        <w:pStyle w:val="TM2"/>
        <w:rPr>
          <w:rFonts w:asciiTheme="minorHAnsi" w:hAnsiTheme="minorHAnsi"/>
          <w:sz w:val="24"/>
          <w:szCs w:val="24"/>
          <w:lang w:eastAsia="ja-JP"/>
        </w:rPr>
      </w:pPr>
      <w:r>
        <w:t>16.5 Accord pouvant entrainer un changement de contrôle</w:t>
      </w:r>
      <w:r>
        <w:tab/>
      </w:r>
      <w:r>
        <w:fldChar w:fldCharType="begin"/>
      </w:r>
      <w:r>
        <w:instrText xml:space="preserve"> PAGEREF _Toc475033257 \h </w:instrText>
      </w:r>
      <w:r>
        <w:fldChar w:fldCharType="separate"/>
      </w:r>
      <w:r w:rsidR="004C5FA1">
        <w:t>120</w:t>
      </w:r>
      <w:r>
        <w:fldChar w:fldCharType="end"/>
      </w:r>
    </w:p>
    <w:p w14:paraId="1FFEB899" w14:textId="77777777" w:rsidR="00CA5E30" w:rsidRDefault="00CA5E30">
      <w:pPr>
        <w:pStyle w:val="TM2"/>
        <w:rPr>
          <w:rFonts w:asciiTheme="minorHAnsi" w:hAnsiTheme="minorHAnsi"/>
          <w:sz w:val="24"/>
          <w:szCs w:val="24"/>
          <w:lang w:eastAsia="ja-JP"/>
        </w:rPr>
      </w:pPr>
      <w:r>
        <w:t>16.6 Etat des nantissements d’actions composant le capital de la Société</w:t>
      </w:r>
      <w:r>
        <w:tab/>
      </w:r>
      <w:r>
        <w:fldChar w:fldCharType="begin"/>
      </w:r>
      <w:r>
        <w:instrText xml:space="preserve"> PAGEREF _Toc475033258 \h </w:instrText>
      </w:r>
      <w:r>
        <w:fldChar w:fldCharType="separate"/>
      </w:r>
      <w:r w:rsidR="004C5FA1">
        <w:t>120</w:t>
      </w:r>
      <w:r>
        <w:fldChar w:fldCharType="end"/>
      </w:r>
    </w:p>
    <w:p w14:paraId="09FC916A" w14:textId="77777777" w:rsidR="00CA5E30" w:rsidRDefault="00CA5E30">
      <w:pPr>
        <w:pStyle w:val="TM1"/>
        <w:rPr>
          <w:rFonts w:asciiTheme="minorHAnsi" w:hAnsiTheme="minorHAnsi"/>
          <w:b w:val="0"/>
          <w:color w:val="auto"/>
          <w:sz w:val="24"/>
          <w:szCs w:val="24"/>
          <w:lang w:eastAsia="ja-JP"/>
        </w:rPr>
      </w:pPr>
      <w:r>
        <w:t>17. TRANSACTIONS AVEC DES PARTIES LIEES</w:t>
      </w:r>
      <w:r>
        <w:tab/>
      </w:r>
      <w:r>
        <w:fldChar w:fldCharType="begin"/>
      </w:r>
      <w:r>
        <w:instrText xml:space="preserve"> PAGEREF _Toc475033259 \h </w:instrText>
      </w:r>
      <w:r>
        <w:fldChar w:fldCharType="separate"/>
      </w:r>
      <w:r w:rsidR="004C5FA1">
        <w:t>121</w:t>
      </w:r>
      <w:r>
        <w:fldChar w:fldCharType="end"/>
      </w:r>
    </w:p>
    <w:p w14:paraId="39634798" w14:textId="77777777" w:rsidR="00CA5E30" w:rsidRDefault="00CA5E30">
      <w:pPr>
        <w:pStyle w:val="TM2"/>
        <w:rPr>
          <w:rFonts w:asciiTheme="minorHAnsi" w:hAnsiTheme="minorHAnsi"/>
          <w:sz w:val="24"/>
          <w:szCs w:val="24"/>
          <w:lang w:eastAsia="ja-JP"/>
        </w:rPr>
      </w:pPr>
      <w:r>
        <w:t>17.1 Rapport spécial établi pour l’exercice clos le 31 décembre 2020</w:t>
      </w:r>
      <w:r>
        <w:tab/>
      </w:r>
      <w:r>
        <w:fldChar w:fldCharType="begin"/>
      </w:r>
      <w:r>
        <w:instrText xml:space="preserve"> PAGEREF _Toc475033260 \h </w:instrText>
      </w:r>
      <w:r>
        <w:fldChar w:fldCharType="separate"/>
      </w:r>
      <w:r w:rsidR="004C5FA1">
        <w:t>122</w:t>
      </w:r>
      <w:r>
        <w:fldChar w:fldCharType="end"/>
      </w:r>
    </w:p>
    <w:p w14:paraId="30BE5744" w14:textId="77777777" w:rsidR="00CA5E30" w:rsidRDefault="00CA5E30">
      <w:pPr>
        <w:pStyle w:val="TM2"/>
        <w:rPr>
          <w:rFonts w:asciiTheme="minorHAnsi" w:hAnsiTheme="minorHAnsi"/>
          <w:sz w:val="24"/>
          <w:szCs w:val="24"/>
          <w:lang w:eastAsia="ja-JP"/>
        </w:rPr>
      </w:pPr>
      <w:r>
        <w:t>17.2 Rapport spécial établi pour l’exercice clos le 31 décembre 2019</w:t>
      </w:r>
      <w:r>
        <w:tab/>
      </w:r>
      <w:r>
        <w:fldChar w:fldCharType="begin"/>
      </w:r>
      <w:r>
        <w:instrText xml:space="preserve"> PAGEREF _Toc475033261 \h </w:instrText>
      </w:r>
      <w:r>
        <w:fldChar w:fldCharType="separate"/>
      </w:r>
      <w:r w:rsidR="004C5FA1">
        <w:t>126</w:t>
      </w:r>
      <w:r>
        <w:fldChar w:fldCharType="end"/>
      </w:r>
    </w:p>
    <w:p w14:paraId="1126A0FA" w14:textId="77777777" w:rsidR="00CA5E30" w:rsidRDefault="00CA5E30">
      <w:pPr>
        <w:pStyle w:val="TM1"/>
        <w:rPr>
          <w:rFonts w:asciiTheme="minorHAnsi" w:hAnsiTheme="minorHAnsi"/>
          <w:b w:val="0"/>
          <w:color w:val="auto"/>
          <w:sz w:val="24"/>
          <w:szCs w:val="24"/>
          <w:lang w:eastAsia="ja-JP"/>
        </w:rPr>
      </w:pPr>
      <w:r>
        <w:t>18. INFORMATIONS FINANCIERES CONCERNANT LE PATRIMOINE, LA SITUATION FINANCIERE ET LES RESULTATS DE LA SOCIETE</w:t>
      </w:r>
      <w:r>
        <w:tab/>
      </w:r>
      <w:r>
        <w:fldChar w:fldCharType="begin"/>
      </w:r>
      <w:r>
        <w:instrText xml:space="preserve"> PAGEREF _Toc475033262 \h </w:instrText>
      </w:r>
      <w:r>
        <w:fldChar w:fldCharType="separate"/>
      </w:r>
      <w:r w:rsidR="004C5FA1">
        <w:t>130</w:t>
      </w:r>
      <w:r>
        <w:fldChar w:fldCharType="end"/>
      </w:r>
    </w:p>
    <w:p w14:paraId="11FA3F0F" w14:textId="77777777" w:rsidR="00CA5E30" w:rsidRDefault="00CA5E30">
      <w:pPr>
        <w:pStyle w:val="TM2"/>
        <w:rPr>
          <w:rFonts w:asciiTheme="minorHAnsi" w:hAnsiTheme="minorHAnsi"/>
          <w:sz w:val="24"/>
          <w:szCs w:val="24"/>
          <w:lang w:eastAsia="ja-JP"/>
        </w:rPr>
      </w:pPr>
      <w:r>
        <w:t>18.1 Comptes établis pour les exercices clos les 31 décembre 2020 et 31 décembre 2019</w:t>
      </w:r>
      <w:r>
        <w:tab/>
      </w:r>
      <w:r>
        <w:fldChar w:fldCharType="begin"/>
      </w:r>
      <w:r>
        <w:instrText xml:space="preserve"> PAGEREF _Toc475033263 \h </w:instrText>
      </w:r>
      <w:r>
        <w:fldChar w:fldCharType="separate"/>
      </w:r>
      <w:r w:rsidR="004C5FA1">
        <w:t>130</w:t>
      </w:r>
      <w:r>
        <w:fldChar w:fldCharType="end"/>
      </w:r>
    </w:p>
    <w:p w14:paraId="4851EAAE" w14:textId="77777777" w:rsidR="00CA5E30" w:rsidRDefault="00CA5E30">
      <w:pPr>
        <w:pStyle w:val="TM3"/>
        <w:rPr>
          <w:rFonts w:asciiTheme="minorHAnsi" w:hAnsiTheme="minorHAnsi"/>
          <w:i w:val="0"/>
          <w:noProof/>
          <w:sz w:val="24"/>
          <w:szCs w:val="24"/>
          <w:lang w:eastAsia="ja-JP"/>
        </w:rPr>
      </w:pPr>
      <w:r>
        <w:rPr>
          <w:noProof/>
        </w:rPr>
        <w:t>18.1.1 Comptes consolidés établis pour l’exercice clos le 31 décembre 2020</w:t>
      </w:r>
      <w:r>
        <w:rPr>
          <w:noProof/>
        </w:rPr>
        <w:tab/>
      </w:r>
      <w:r>
        <w:rPr>
          <w:noProof/>
        </w:rPr>
        <w:fldChar w:fldCharType="begin"/>
      </w:r>
      <w:r>
        <w:rPr>
          <w:noProof/>
        </w:rPr>
        <w:instrText xml:space="preserve"> PAGEREF _Toc475033264 \h </w:instrText>
      </w:r>
      <w:r>
        <w:rPr>
          <w:noProof/>
        </w:rPr>
      </w:r>
      <w:r>
        <w:rPr>
          <w:noProof/>
        </w:rPr>
        <w:fldChar w:fldCharType="separate"/>
      </w:r>
      <w:r w:rsidR="004C5FA1">
        <w:rPr>
          <w:noProof/>
        </w:rPr>
        <w:t>130</w:t>
      </w:r>
      <w:r>
        <w:rPr>
          <w:noProof/>
        </w:rPr>
        <w:fldChar w:fldCharType="end"/>
      </w:r>
    </w:p>
    <w:p w14:paraId="09A4F2F3" w14:textId="77777777" w:rsidR="00CA5E30" w:rsidRDefault="00CA5E30">
      <w:pPr>
        <w:pStyle w:val="TM3"/>
        <w:rPr>
          <w:rFonts w:asciiTheme="minorHAnsi" w:hAnsiTheme="minorHAnsi"/>
          <w:i w:val="0"/>
          <w:noProof/>
          <w:sz w:val="24"/>
          <w:szCs w:val="24"/>
          <w:lang w:eastAsia="ja-JP"/>
        </w:rPr>
      </w:pPr>
      <w:r>
        <w:rPr>
          <w:noProof/>
        </w:rPr>
        <w:t>18.1.2 Comptes consolidés établis pour l’exercice clos le 31 décembre 2019</w:t>
      </w:r>
      <w:r>
        <w:rPr>
          <w:noProof/>
        </w:rPr>
        <w:tab/>
      </w:r>
      <w:r>
        <w:rPr>
          <w:noProof/>
        </w:rPr>
        <w:fldChar w:fldCharType="begin"/>
      </w:r>
      <w:r>
        <w:rPr>
          <w:noProof/>
        </w:rPr>
        <w:instrText xml:space="preserve"> PAGEREF _Toc475033265 \h </w:instrText>
      </w:r>
      <w:r>
        <w:rPr>
          <w:noProof/>
        </w:rPr>
      </w:r>
      <w:r>
        <w:rPr>
          <w:noProof/>
        </w:rPr>
        <w:fldChar w:fldCharType="separate"/>
      </w:r>
      <w:r w:rsidR="004C5FA1">
        <w:rPr>
          <w:noProof/>
        </w:rPr>
        <w:t>164</w:t>
      </w:r>
      <w:r>
        <w:rPr>
          <w:noProof/>
        </w:rPr>
        <w:fldChar w:fldCharType="end"/>
      </w:r>
    </w:p>
    <w:p w14:paraId="180910AC" w14:textId="77777777" w:rsidR="00CA5E30" w:rsidRDefault="00CA5E30">
      <w:pPr>
        <w:pStyle w:val="TM3"/>
        <w:rPr>
          <w:rFonts w:asciiTheme="minorHAnsi" w:hAnsiTheme="minorHAnsi"/>
          <w:i w:val="0"/>
          <w:noProof/>
          <w:sz w:val="24"/>
          <w:szCs w:val="24"/>
          <w:lang w:eastAsia="ja-JP"/>
        </w:rPr>
      </w:pPr>
      <w:r>
        <w:rPr>
          <w:noProof/>
        </w:rPr>
        <w:t>18.1.3 Comptes sociaux établis pour l’exercice clos le 31 décembre 2020</w:t>
      </w:r>
      <w:r>
        <w:rPr>
          <w:noProof/>
        </w:rPr>
        <w:tab/>
      </w:r>
      <w:r>
        <w:rPr>
          <w:noProof/>
        </w:rPr>
        <w:fldChar w:fldCharType="begin"/>
      </w:r>
      <w:r>
        <w:rPr>
          <w:noProof/>
        </w:rPr>
        <w:instrText xml:space="preserve"> PAGEREF _Toc475033266 \h </w:instrText>
      </w:r>
      <w:r>
        <w:rPr>
          <w:noProof/>
        </w:rPr>
      </w:r>
      <w:r>
        <w:rPr>
          <w:noProof/>
        </w:rPr>
        <w:fldChar w:fldCharType="separate"/>
      </w:r>
      <w:r w:rsidR="004C5FA1">
        <w:rPr>
          <w:noProof/>
        </w:rPr>
        <w:t>197</w:t>
      </w:r>
      <w:r>
        <w:rPr>
          <w:noProof/>
        </w:rPr>
        <w:fldChar w:fldCharType="end"/>
      </w:r>
    </w:p>
    <w:p w14:paraId="2ED15966" w14:textId="77777777" w:rsidR="00CA5E30" w:rsidRDefault="00CA5E30">
      <w:pPr>
        <w:pStyle w:val="TM2"/>
        <w:rPr>
          <w:rFonts w:asciiTheme="minorHAnsi" w:hAnsiTheme="minorHAnsi"/>
          <w:sz w:val="24"/>
          <w:szCs w:val="24"/>
          <w:lang w:eastAsia="ja-JP"/>
        </w:rPr>
      </w:pPr>
      <w:r>
        <w:t>18.2 Comptes semestriels</w:t>
      </w:r>
      <w:r>
        <w:tab/>
      </w:r>
      <w:r>
        <w:fldChar w:fldCharType="begin"/>
      </w:r>
      <w:r>
        <w:instrText xml:space="preserve"> PAGEREF _Toc475033267 \h </w:instrText>
      </w:r>
      <w:r>
        <w:fldChar w:fldCharType="separate"/>
      </w:r>
      <w:r w:rsidR="004C5FA1">
        <w:t>232</w:t>
      </w:r>
      <w:r>
        <w:fldChar w:fldCharType="end"/>
      </w:r>
    </w:p>
    <w:p w14:paraId="305F5966" w14:textId="77777777" w:rsidR="00CA5E30" w:rsidRDefault="00CA5E30">
      <w:pPr>
        <w:pStyle w:val="TM2"/>
        <w:rPr>
          <w:rFonts w:asciiTheme="minorHAnsi" w:hAnsiTheme="minorHAnsi"/>
          <w:sz w:val="24"/>
          <w:szCs w:val="24"/>
          <w:lang w:eastAsia="ja-JP"/>
        </w:rPr>
      </w:pPr>
      <w:r>
        <w:t>18.3 Vérification des informations financières historiques annuelles</w:t>
      </w:r>
      <w:r>
        <w:tab/>
      </w:r>
      <w:r>
        <w:fldChar w:fldCharType="begin"/>
      </w:r>
      <w:r>
        <w:instrText xml:space="preserve"> PAGEREF _Toc475033268 \h </w:instrText>
      </w:r>
      <w:r>
        <w:fldChar w:fldCharType="separate"/>
      </w:r>
      <w:r w:rsidR="004C5FA1">
        <w:t>232</w:t>
      </w:r>
      <w:r>
        <w:fldChar w:fldCharType="end"/>
      </w:r>
    </w:p>
    <w:p w14:paraId="54F5727F" w14:textId="77777777" w:rsidR="00CA5E30" w:rsidRDefault="00CA5E30">
      <w:pPr>
        <w:pStyle w:val="TM3"/>
        <w:rPr>
          <w:rFonts w:asciiTheme="minorHAnsi" w:hAnsiTheme="minorHAnsi"/>
          <w:i w:val="0"/>
          <w:noProof/>
          <w:sz w:val="24"/>
          <w:szCs w:val="24"/>
          <w:lang w:eastAsia="ja-JP"/>
        </w:rPr>
      </w:pPr>
      <w:r>
        <w:rPr>
          <w:noProof/>
        </w:rPr>
        <w:t>18.3.1 Rapport des commissaires aux comptes sur les comptes consolidés de l’exercice clos le 31 décembre 2020</w:t>
      </w:r>
      <w:r>
        <w:rPr>
          <w:noProof/>
        </w:rPr>
        <w:tab/>
      </w:r>
      <w:r>
        <w:rPr>
          <w:noProof/>
        </w:rPr>
        <w:fldChar w:fldCharType="begin"/>
      </w:r>
      <w:r>
        <w:rPr>
          <w:noProof/>
        </w:rPr>
        <w:instrText xml:space="preserve"> PAGEREF _Toc475033269 \h </w:instrText>
      </w:r>
      <w:r>
        <w:rPr>
          <w:noProof/>
        </w:rPr>
      </w:r>
      <w:r>
        <w:rPr>
          <w:noProof/>
        </w:rPr>
        <w:fldChar w:fldCharType="separate"/>
      </w:r>
      <w:r w:rsidR="004C5FA1">
        <w:rPr>
          <w:noProof/>
        </w:rPr>
        <w:t>232</w:t>
      </w:r>
      <w:r>
        <w:rPr>
          <w:noProof/>
        </w:rPr>
        <w:fldChar w:fldCharType="end"/>
      </w:r>
    </w:p>
    <w:p w14:paraId="6736672C" w14:textId="77777777" w:rsidR="00CA5E30" w:rsidRDefault="00CA5E30">
      <w:pPr>
        <w:pStyle w:val="TM3"/>
        <w:rPr>
          <w:rFonts w:asciiTheme="minorHAnsi" w:hAnsiTheme="minorHAnsi"/>
          <w:i w:val="0"/>
          <w:noProof/>
          <w:sz w:val="24"/>
          <w:szCs w:val="24"/>
          <w:lang w:eastAsia="ja-JP"/>
        </w:rPr>
      </w:pPr>
      <w:r>
        <w:rPr>
          <w:noProof/>
        </w:rPr>
        <w:t>18.3.2 Rapport des commissaires aux comptes sur les comptes consolidés de l’exercice clos le 31 décembre 2019</w:t>
      </w:r>
      <w:r>
        <w:rPr>
          <w:noProof/>
        </w:rPr>
        <w:tab/>
      </w:r>
      <w:r>
        <w:rPr>
          <w:noProof/>
        </w:rPr>
        <w:fldChar w:fldCharType="begin"/>
      </w:r>
      <w:r>
        <w:rPr>
          <w:noProof/>
        </w:rPr>
        <w:instrText xml:space="preserve"> PAGEREF _Toc475033270 \h </w:instrText>
      </w:r>
      <w:r>
        <w:rPr>
          <w:noProof/>
        </w:rPr>
      </w:r>
      <w:r>
        <w:rPr>
          <w:noProof/>
        </w:rPr>
        <w:fldChar w:fldCharType="separate"/>
      </w:r>
      <w:r w:rsidR="004C5FA1">
        <w:rPr>
          <w:noProof/>
        </w:rPr>
        <w:t>238</w:t>
      </w:r>
      <w:r>
        <w:rPr>
          <w:noProof/>
        </w:rPr>
        <w:fldChar w:fldCharType="end"/>
      </w:r>
    </w:p>
    <w:p w14:paraId="2D20F88C" w14:textId="77777777" w:rsidR="00CA5E30" w:rsidRDefault="00CA5E30">
      <w:pPr>
        <w:pStyle w:val="TM3"/>
        <w:rPr>
          <w:rFonts w:asciiTheme="minorHAnsi" w:hAnsiTheme="minorHAnsi"/>
          <w:i w:val="0"/>
          <w:noProof/>
          <w:sz w:val="24"/>
          <w:szCs w:val="24"/>
          <w:lang w:eastAsia="ja-JP"/>
        </w:rPr>
      </w:pPr>
      <w:r>
        <w:rPr>
          <w:noProof/>
        </w:rPr>
        <w:t>18.2.4 Rapport des commissaires aux comptes sur les comptes sociaux de l’exercice clos le 31 décembre 2020</w:t>
      </w:r>
      <w:r>
        <w:rPr>
          <w:noProof/>
        </w:rPr>
        <w:tab/>
      </w:r>
      <w:r>
        <w:rPr>
          <w:noProof/>
        </w:rPr>
        <w:fldChar w:fldCharType="begin"/>
      </w:r>
      <w:r>
        <w:rPr>
          <w:noProof/>
        </w:rPr>
        <w:instrText xml:space="preserve"> PAGEREF _Toc475033271 \h </w:instrText>
      </w:r>
      <w:r>
        <w:rPr>
          <w:noProof/>
        </w:rPr>
      </w:r>
      <w:r>
        <w:rPr>
          <w:noProof/>
        </w:rPr>
        <w:fldChar w:fldCharType="separate"/>
      </w:r>
      <w:r w:rsidR="004C5FA1">
        <w:rPr>
          <w:noProof/>
        </w:rPr>
        <w:t>243</w:t>
      </w:r>
      <w:r>
        <w:rPr>
          <w:noProof/>
        </w:rPr>
        <w:fldChar w:fldCharType="end"/>
      </w:r>
    </w:p>
    <w:p w14:paraId="64EBEC79" w14:textId="77777777" w:rsidR="00CA5E30" w:rsidRDefault="00CA5E30">
      <w:pPr>
        <w:pStyle w:val="TM2"/>
        <w:rPr>
          <w:rFonts w:asciiTheme="minorHAnsi" w:hAnsiTheme="minorHAnsi"/>
          <w:sz w:val="24"/>
          <w:szCs w:val="24"/>
          <w:lang w:eastAsia="ja-JP"/>
        </w:rPr>
      </w:pPr>
      <w:r>
        <w:t>18.4 Informations financières proforma</w:t>
      </w:r>
      <w:r>
        <w:tab/>
      </w:r>
      <w:r>
        <w:fldChar w:fldCharType="begin"/>
      </w:r>
      <w:r>
        <w:instrText xml:space="preserve"> PAGEREF _Toc475033272 \h </w:instrText>
      </w:r>
      <w:r>
        <w:fldChar w:fldCharType="separate"/>
      </w:r>
      <w:r w:rsidR="004C5FA1">
        <w:t>248</w:t>
      </w:r>
      <w:r>
        <w:fldChar w:fldCharType="end"/>
      </w:r>
    </w:p>
    <w:p w14:paraId="49DBC116" w14:textId="77777777" w:rsidR="00CA5E30" w:rsidRDefault="00CA5E30">
      <w:pPr>
        <w:pStyle w:val="TM2"/>
        <w:rPr>
          <w:rFonts w:asciiTheme="minorHAnsi" w:hAnsiTheme="minorHAnsi"/>
          <w:sz w:val="24"/>
          <w:szCs w:val="24"/>
          <w:lang w:eastAsia="ja-JP"/>
        </w:rPr>
      </w:pPr>
      <w:r>
        <w:t>18.5 Politique de distribution de dividendes</w:t>
      </w:r>
      <w:r>
        <w:tab/>
      </w:r>
      <w:r>
        <w:fldChar w:fldCharType="begin"/>
      </w:r>
      <w:r>
        <w:instrText xml:space="preserve"> PAGEREF _Toc475033273 \h </w:instrText>
      </w:r>
      <w:r>
        <w:fldChar w:fldCharType="separate"/>
      </w:r>
      <w:r w:rsidR="004C5FA1">
        <w:t>248</w:t>
      </w:r>
      <w:r>
        <w:fldChar w:fldCharType="end"/>
      </w:r>
    </w:p>
    <w:p w14:paraId="0E8B4EC0" w14:textId="77777777" w:rsidR="00CA5E30" w:rsidRDefault="00CA5E30">
      <w:pPr>
        <w:pStyle w:val="TM3"/>
        <w:rPr>
          <w:rFonts w:asciiTheme="minorHAnsi" w:hAnsiTheme="minorHAnsi"/>
          <w:i w:val="0"/>
          <w:noProof/>
          <w:sz w:val="24"/>
          <w:szCs w:val="24"/>
          <w:lang w:eastAsia="ja-JP"/>
        </w:rPr>
      </w:pPr>
      <w:r>
        <w:rPr>
          <w:noProof/>
        </w:rPr>
        <w:t>18.5.1 Dividendes versés au cours des 3 derniers exercices</w:t>
      </w:r>
      <w:r>
        <w:rPr>
          <w:noProof/>
        </w:rPr>
        <w:tab/>
      </w:r>
      <w:r>
        <w:rPr>
          <w:noProof/>
        </w:rPr>
        <w:fldChar w:fldCharType="begin"/>
      </w:r>
      <w:r>
        <w:rPr>
          <w:noProof/>
        </w:rPr>
        <w:instrText xml:space="preserve"> PAGEREF _Toc475033274 \h </w:instrText>
      </w:r>
      <w:r>
        <w:rPr>
          <w:noProof/>
        </w:rPr>
      </w:r>
      <w:r>
        <w:rPr>
          <w:noProof/>
        </w:rPr>
        <w:fldChar w:fldCharType="separate"/>
      </w:r>
      <w:r w:rsidR="004C5FA1">
        <w:rPr>
          <w:noProof/>
        </w:rPr>
        <w:t>248</w:t>
      </w:r>
      <w:r>
        <w:rPr>
          <w:noProof/>
        </w:rPr>
        <w:fldChar w:fldCharType="end"/>
      </w:r>
    </w:p>
    <w:p w14:paraId="1158C27E" w14:textId="77777777" w:rsidR="00CA5E30" w:rsidRDefault="00CA5E30">
      <w:pPr>
        <w:pStyle w:val="TM3"/>
        <w:rPr>
          <w:rFonts w:asciiTheme="minorHAnsi" w:hAnsiTheme="minorHAnsi"/>
          <w:i w:val="0"/>
          <w:noProof/>
          <w:sz w:val="24"/>
          <w:szCs w:val="24"/>
          <w:lang w:eastAsia="ja-JP"/>
        </w:rPr>
      </w:pPr>
      <w:r>
        <w:rPr>
          <w:noProof/>
        </w:rPr>
        <w:t>18.5.2 Politique de distribution de dividendes</w:t>
      </w:r>
      <w:r>
        <w:rPr>
          <w:noProof/>
        </w:rPr>
        <w:tab/>
      </w:r>
      <w:r>
        <w:rPr>
          <w:noProof/>
        </w:rPr>
        <w:fldChar w:fldCharType="begin"/>
      </w:r>
      <w:r>
        <w:rPr>
          <w:noProof/>
        </w:rPr>
        <w:instrText xml:space="preserve"> PAGEREF _Toc475033275 \h </w:instrText>
      </w:r>
      <w:r>
        <w:rPr>
          <w:noProof/>
        </w:rPr>
      </w:r>
      <w:r>
        <w:rPr>
          <w:noProof/>
        </w:rPr>
        <w:fldChar w:fldCharType="separate"/>
      </w:r>
      <w:r w:rsidR="004C5FA1">
        <w:rPr>
          <w:noProof/>
        </w:rPr>
        <w:t>248</w:t>
      </w:r>
      <w:r>
        <w:rPr>
          <w:noProof/>
        </w:rPr>
        <w:fldChar w:fldCharType="end"/>
      </w:r>
    </w:p>
    <w:p w14:paraId="152A0BBB" w14:textId="77777777" w:rsidR="00CA5E30" w:rsidRDefault="00CA5E30">
      <w:pPr>
        <w:pStyle w:val="TM2"/>
        <w:rPr>
          <w:rFonts w:asciiTheme="minorHAnsi" w:hAnsiTheme="minorHAnsi"/>
          <w:sz w:val="24"/>
          <w:szCs w:val="24"/>
          <w:lang w:eastAsia="ja-JP"/>
        </w:rPr>
      </w:pPr>
      <w:r>
        <w:t>18.6 Procédures judiciaires et d’arbitrage</w:t>
      </w:r>
      <w:r>
        <w:tab/>
      </w:r>
      <w:r>
        <w:fldChar w:fldCharType="begin"/>
      </w:r>
      <w:r>
        <w:instrText xml:space="preserve"> PAGEREF _Toc475033276 \h </w:instrText>
      </w:r>
      <w:r>
        <w:fldChar w:fldCharType="separate"/>
      </w:r>
      <w:r w:rsidR="004C5FA1">
        <w:t>248</w:t>
      </w:r>
      <w:r>
        <w:fldChar w:fldCharType="end"/>
      </w:r>
    </w:p>
    <w:p w14:paraId="0910C201" w14:textId="77777777" w:rsidR="00CA5E30" w:rsidRDefault="00CA5E30">
      <w:pPr>
        <w:pStyle w:val="TM2"/>
        <w:rPr>
          <w:rFonts w:asciiTheme="minorHAnsi" w:hAnsiTheme="minorHAnsi"/>
          <w:sz w:val="24"/>
          <w:szCs w:val="24"/>
          <w:lang w:eastAsia="ja-JP"/>
        </w:rPr>
      </w:pPr>
      <w:r>
        <w:t>18.7 Changements significatifs de la situation financière ou commerciale</w:t>
      </w:r>
      <w:r>
        <w:tab/>
      </w:r>
      <w:r>
        <w:fldChar w:fldCharType="begin"/>
      </w:r>
      <w:r>
        <w:instrText xml:space="preserve"> PAGEREF _Toc475033277 \h </w:instrText>
      </w:r>
      <w:r>
        <w:fldChar w:fldCharType="separate"/>
      </w:r>
      <w:r w:rsidR="004C5FA1">
        <w:t>248</w:t>
      </w:r>
      <w:r>
        <w:fldChar w:fldCharType="end"/>
      </w:r>
    </w:p>
    <w:p w14:paraId="62EF5543" w14:textId="77777777" w:rsidR="00CA5E30" w:rsidRDefault="00CA5E30">
      <w:pPr>
        <w:pStyle w:val="TM1"/>
        <w:rPr>
          <w:rFonts w:asciiTheme="minorHAnsi" w:hAnsiTheme="minorHAnsi"/>
          <w:b w:val="0"/>
          <w:color w:val="auto"/>
          <w:sz w:val="24"/>
          <w:szCs w:val="24"/>
          <w:lang w:eastAsia="ja-JP"/>
        </w:rPr>
      </w:pPr>
      <w:r>
        <w:t>19. INFORMATIONS COMPLEMENTAIRES</w:t>
      </w:r>
      <w:r>
        <w:tab/>
      </w:r>
      <w:r>
        <w:fldChar w:fldCharType="begin"/>
      </w:r>
      <w:r>
        <w:instrText xml:space="preserve"> PAGEREF _Toc475033278 \h </w:instrText>
      </w:r>
      <w:r>
        <w:fldChar w:fldCharType="separate"/>
      </w:r>
      <w:r w:rsidR="004C5FA1">
        <w:t>249</w:t>
      </w:r>
      <w:r>
        <w:fldChar w:fldCharType="end"/>
      </w:r>
    </w:p>
    <w:p w14:paraId="12A6CE53" w14:textId="77777777" w:rsidR="00CA5E30" w:rsidRDefault="00CA5E30">
      <w:pPr>
        <w:pStyle w:val="TM2"/>
        <w:rPr>
          <w:rFonts w:asciiTheme="minorHAnsi" w:hAnsiTheme="minorHAnsi"/>
          <w:sz w:val="24"/>
          <w:szCs w:val="24"/>
          <w:lang w:eastAsia="ja-JP"/>
        </w:rPr>
      </w:pPr>
      <w:r>
        <w:t>19.1 Capital social</w:t>
      </w:r>
      <w:r>
        <w:tab/>
      </w:r>
      <w:r>
        <w:fldChar w:fldCharType="begin"/>
      </w:r>
      <w:r>
        <w:instrText xml:space="preserve"> PAGEREF _Toc475033279 \h </w:instrText>
      </w:r>
      <w:r>
        <w:fldChar w:fldCharType="separate"/>
      </w:r>
      <w:r w:rsidR="004C5FA1">
        <w:t>249</w:t>
      </w:r>
      <w:r>
        <w:fldChar w:fldCharType="end"/>
      </w:r>
    </w:p>
    <w:p w14:paraId="2445F79B" w14:textId="77777777" w:rsidR="00CA5E30" w:rsidRDefault="00CA5E30">
      <w:pPr>
        <w:pStyle w:val="TM3"/>
        <w:rPr>
          <w:rFonts w:asciiTheme="minorHAnsi" w:hAnsiTheme="minorHAnsi"/>
          <w:i w:val="0"/>
          <w:noProof/>
          <w:sz w:val="24"/>
          <w:szCs w:val="24"/>
          <w:lang w:eastAsia="ja-JP"/>
        </w:rPr>
      </w:pPr>
      <w:r>
        <w:rPr>
          <w:noProof/>
        </w:rPr>
        <w:t>19.1.1 Montant du capital social</w:t>
      </w:r>
      <w:r>
        <w:rPr>
          <w:noProof/>
        </w:rPr>
        <w:tab/>
      </w:r>
      <w:r>
        <w:rPr>
          <w:noProof/>
        </w:rPr>
        <w:fldChar w:fldCharType="begin"/>
      </w:r>
      <w:r>
        <w:rPr>
          <w:noProof/>
        </w:rPr>
        <w:instrText xml:space="preserve"> PAGEREF _Toc475033280 \h </w:instrText>
      </w:r>
      <w:r>
        <w:rPr>
          <w:noProof/>
        </w:rPr>
      </w:r>
      <w:r>
        <w:rPr>
          <w:noProof/>
        </w:rPr>
        <w:fldChar w:fldCharType="separate"/>
      </w:r>
      <w:r w:rsidR="004C5FA1">
        <w:rPr>
          <w:noProof/>
        </w:rPr>
        <w:t>249</w:t>
      </w:r>
      <w:r>
        <w:rPr>
          <w:noProof/>
        </w:rPr>
        <w:fldChar w:fldCharType="end"/>
      </w:r>
    </w:p>
    <w:p w14:paraId="2B38CAA7" w14:textId="77777777" w:rsidR="00CA5E30" w:rsidRDefault="00CA5E30">
      <w:pPr>
        <w:pStyle w:val="TM3"/>
        <w:rPr>
          <w:rFonts w:asciiTheme="minorHAnsi" w:hAnsiTheme="minorHAnsi"/>
          <w:i w:val="0"/>
          <w:noProof/>
          <w:sz w:val="24"/>
          <w:szCs w:val="24"/>
          <w:lang w:eastAsia="ja-JP"/>
        </w:rPr>
      </w:pPr>
      <w:r>
        <w:rPr>
          <w:noProof/>
        </w:rPr>
        <w:t>19.1.2 Titres non représentatifs du capital</w:t>
      </w:r>
      <w:r>
        <w:rPr>
          <w:noProof/>
        </w:rPr>
        <w:tab/>
      </w:r>
      <w:r>
        <w:rPr>
          <w:noProof/>
        </w:rPr>
        <w:fldChar w:fldCharType="begin"/>
      </w:r>
      <w:r>
        <w:rPr>
          <w:noProof/>
        </w:rPr>
        <w:instrText xml:space="preserve"> PAGEREF _Toc475033281 \h </w:instrText>
      </w:r>
      <w:r>
        <w:rPr>
          <w:noProof/>
        </w:rPr>
      </w:r>
      <w:r>
        <w:rPr>
          <w:noProof/>
        </w:rPr>
        <w:fldChar w:fldCharType="separate"/>
      </w:r>
      <w:r w:rsidR="004C5FA1">
        <w:rPr>
          <w:noProof/>
        </w:rPr>
        <w:t>249</w:t>
      </w:r>
      <w:r>
        <w:rPr>
          <w:noProof/>
        </w:rPr>
        <w:fldChar w:fldCharType="end"/>
      </w:r>
    </w:p>
    <w:p w14:paraId="3CC33E3D" w14:textId="77777777" w:rsidR="00CA5E30" w:rsidRDefault="00CA5E30">
      <w:pPr>
        <w:pStyle w:val="TM3"/>
        <w:rPr>
          <w:rFonts w:asciiTheme="minorHAnsi" w:hAnsiTheme="minorHAnsi"/>
          <w:i w:val="0"/>
          <w:noProof/>
          <w:sz w:val="24"/>
          <w:szCs w:val="24"/>
          <w:lang w:eastAsia="ja-JP"/>
        </w:rPr>
      </w:pPr>
      <w:r>
        <w:rPr>
          <w:noProof/>
        </w:rPr>
        <w:lastRenderedPageBreak/>
        <w:t>19.1.3 Acquisition par la Société de ses propres actions</w:t>
      </w:r>
      <w:r>
        <w:rPr>
          <w:noProof/>
        </w:rPr>
        <w:tab/>
      </w:r>
      <w:r>
        <w:rPr>
          <w:noProof/>
        </w:rPr>
        <w:fldChar w:fldCharType="begin"/>
      </w:r>
      <w:r>
        <w:rPr>
          <w:noProof/>
        </w:rPr>
        <w:instrText xml:space="preserve"> PAGEREF _Toc475033282 \h </w:instrText>
      </w:r>
      <w:r>
        <w:rPr>
          <w:noProof/>
        </w:rPr>
      </w:r>
      <w:r>
        <w:rPr>
          <w:noProof/>
        </w:rPr>
        <w:fldChar w:fldCharType="separate"/>
      </w:r>
      <w:r w:rsidR="004C5FA1">
        <w:rPr>
          <w:noProof/>
        </w:rPr>
        <w:t>249</w:t>
      </w:r>
      <w:r>
        <w:rPr>
          <w:noProof/>
        </w:rPr>
        <w:fldChar w:fldCharType="end"/>
      </w:r>
    </w:p>
    <w:p w14:paraId="29376E46" w14:textId="77777777" w:rsidR="00CA5E30" w:rsidRDefault="00CA5E30">
      <w:pPr>
        <w:pStyle w:val="TM3"/>
        <w:rPr>
          <w:rFonts w:asciiTheme="minorHAnsi" w:hAnsiTheme="minorHAnsi"/>
          <w:i w:val="0"/>
          <w:noProof/>
          <w:sz w:val="24"/>
          <w:szCs w:val="24"/>
          <w:lang w:eastAsia="ja-JP"/>
        </w:rPr>
      </w:pPr>
      <w:r>
        <w:rPr>
          <w:noProof/>
        </w:rPr>
        <w:t>19.1.4 Valeurs mobilières ouvrant droit à une quote-part de capital</w:t>
      </w:r>
      <w:r>
        <w:rPr>
          <w:noProof/>
        </w:rPr>
        <w:tab/>
      </w:r>
      <w:r>
        <w:rPr>
          <w:noProof/>
        </w:rPr>
        <w:fldChar w:fldCharType="begin"/>
      </w:r>
      <w:r>
        <w:rPr>
          <w:noProof/>
        </w:rPr>
        <w:instrText xml:space="preserve"> PAGEREF _Toc475033283 \h </w:instrText>
      </w:r>
      <w:r>
        <w:rPr>
          <w:noProof/>
        </w:rPr>
      </w:r>
      <w:r>
        <w:rPr>
          <w:noProof/>
        </w:rPr>
        <w:fldChar w:fldCharType="separate"/>
      </w:r>
      <w:r w:rsidR="004C5FA1">
        <w:rPr>
          <w:noProof/>
        </w:rPr>
        <w:t>250</w:t>
      </w:r>
      <w:r>
        <w:rPr>
          <w:noProof/>
        </w:rPr>
        <w:fldChar w:fldCharType="end"/>
      </w:r>
    </w:p>
    <w:p w14:paraId="4E8E2B2D" w14:textId="77777777" w:rsidR="00CA5E30" w:rsidRDefault="00CA5E30">
      <w:pPr>
        <w:pStyle w:val="TM3"/>
        <w:rPr>
          <w:rFonts w:asciiTheme="minorHAnsi" w:hAnsiTheme="minorHAnsi"/>
          <w:i w:val="0"/>
          <w:noProof/>
          <w:sz w:val="24"/>
          <w:szCs w:val="24"/>
          <w:lang w:eastAsia="ja-JP"/>
        </w:rPr>
      </w:pPr>
      <w:r>
        <w:rPr>
          <w:noProof/>
        </w:rPr>
        <w:t>19.1.5 Capital autorisé</w:t>
      </w:r>
      <w:r>
        <w:rPr>
          <w:noProof/>
        </w:rPr>
        <w:tab/>
      </w:r>
      <w:r>
        <w:rPr>
          <w:noProof/>
        </w:rPr>
        <w:fldChar w:fldCharType="begin"/>
      </w:r>
      <w:r>
        <w:rPr>
          <w:noProof/>
        </w:rPr>
        <w:instrText xml:space="preserve"> PAGEREF _Toc475033284 \h </w:instrText>
      </w:r>
      <w:r>
        <w:rPr>
          <w:noProof/>
        </w:rPr>
      </w:r>
      <w:r>
        <w:rPr>
          <w:noProof/>
        </w:rPr>
        <w:fldChar w:fldCharType="separate"/>
      </w:r>
      <w:r w:rsidR="004C5FA1">
        <w:rPr>
          <w:noProof/>
        </w:rPr>
        <w:t>258</w:t>
      </w:r>
      <w:r>
        <w:rPr>
          <w:noProof/>
        </w:rPr>
        <w:fldChar w:fldCharType="end"/>
      </w:r>
    </w:p>
    <w:p w14:paraId="3F1B3C95" w14:textId="77777777" w:rsidR="00CA5E30" w:rsidRDefault="00CA5E30">
      <w:pPr>
        <w:pStyle w:val="TM3"/>
        <w:rPr>
          <w:rFonts w:asciiTheme="minorHAnsi" w:hAnsiTheme="minorHAnsi"/>
          <w:i w:val="0"/>
          <w:noProof/>
          <w:sz w:val="24"/>
          <w:szCs w:val="24"/>
          <w:lang w:eastAsia="ja-JP"/>
        </w:rPr>
      </w:pPr>
      <w:r>
        <w:rPr>
          <w:noProof/>
        </w:rPr>
        <w:t>19.1.6 Informations sur le capital de tout membre du Groupe faisant l’objet d’une option ou d’un accord conditionnel ou inconditionnel prévoyant de le placer sous option</w:t>
      </w:r>
      <w:r>
        <w:rPr>
          <w:noProof/>
        </w:rPr>
        <w:tab/>
      </w:r>
      <w:r>
        <w:rPr>
          <w:noProof/>
        </w:rPr>
        <w:fldChar w:fldCharType="begin"/>
      </w:r>
      <w:r>
        <w:rPr>
          <w:noProof/>
        </w:rPr>
        <w:instrText xml:space="preserve"> PAGEREF _Toc475033285 \h </w:instrText>
      </w:r>
      <w:r>
        <w:rPr>
          <w:noProof/>
        </w:rPr>
      </w:r>
      <w:r>
        <w:rPr>
          <w:noProof/>
        </w:rPr>
        <w:fldChar w:fldCharType="separate"/>
      </w:r>
      <w:r w:rsidR="004C5FA1">
        <w:rPr>
          <w:noProof/>
        </w:rPr>
        <w:t>260</w:t>
      </w:r>
      <w:r>
        <w:rPr>
          <w:noProof/>
        </w:rPr>
        <w:fldChar w:fldCharType="end"/>
      </w:r>
    </w:p>
    <w:p w14:paraId="12EFF4CD" w14:textId="77777777" w:rsidR="00CA5E30" w:rsidRDefault="00CA5E30">
      <w:pPr>
        <w:pStyle w:val="TM3"/>
        <w:rPr>
          <w:rFonts w:asciiTheme="minorHAnsi" w:hAnsiTheme="minorHAnsi"/>
          <w:i w:val="0"/>
          <w:noProof/>
          <w:sz w:val="24"/>
          <w:szCs w:val="24"/>
          <w:lang w:eastAsia="ja-JP"/>
        </w:rPr>
      </w:pPr>
      <w:r>
        <w:rPr>
          <w:noProof/>
        </w:rPr>
        <w:t>19.1.7 Historique du capital social</w:t>
      </w:r>
      <w:r>
        <w:rPr>
          <w:noProof/>
        </w:rPr>
        <w:tab/>
      </w:r>
      <w:r>
        <w:rPr>
          <w:noProof/>
        </w:rPr>
        <w:fldChar w:fldCharType="begin"/>
      </w:r>
      <w:r>
        <w:rPr>
          <w:noProof/>
        </w:rPr>
        <w:instrText xml:space="preserve"> PAGEREF _Toc475033286 \h </w:instrText>
      </w:r>
      <w:r>
        <w:rPr>
          <w:noProof/>
        </w:rPr>
      </w:r>
      <w:r>
        <w:rPr>
          <w:noProof/>
        </w:rPr>
        <w:fldChar w:fldCharType="separate"/>
      </w:r>
      <w:r w:rsidR="004C5FA1">
        <w:rPr>
          <w:noProof/>
        </w:rPr>
        <w:t>260</w:t>
      </w:r>
      <w:r>
        <w:rPr>
          <w:noProof/>
        </w:rPr>
        <w:fldChar w:fldCharType="end"/>
      </w:r>
    </w:p>
    <w:p w14:paraId="1A8F19B1" w14:textId="77777777" w:rsidR="00CA5E30" w:rsidRDefault="00CA5E30">
      <w:pPr>
        <w:pStyle w:val="TM2"/>
        <w:rPr>
          <w:rFonts w:asciiTheme="minorHAnsi" w:hAnsiTheme="minorHAnsi"/>
          <w:sz w:val="24"/>
          <w:szCs w:val="24"/>
          <w:lang w:eastAsia="ja-JP"/>
        </w:rPr>
      </w:pPr>
      <w:r>
        <w:t>19.2 Acte constitutif et statuts</w:t>
      </w:r>
      <w:r>
        <w:tab/>
      </w:r>
      <w:r>
        <w:fldChar w:fldCharType="begin"/>
      </w:r>
      <w:r>
        <w:instrText xml:space="preserve"> PAGEREF _Toc475033287 \h </w:instrText>
      </w:r>
      <w:r>
        <w:fldChar w:fldCharType="separate"/>
      </w:r>
      <w:r w:rsidR="004C5FA1">
        <w:t>263</w:t>
      </w:r>
      <w:r>
        <w:fldChar w:fldCharType="end"/>
      </w:r>
    </w:p>
    <w:p w14:paraId="7ED95E22" w14:textId="77777777" w:rsidR="00CA5E30" w:rsidRDefault="00CA5E30">
      <w:pPr>
        <w:pStyle w:val="TM3"/>
        <w:rPr>
          <w:rFonts w:asciiTheme="minorHAnsi" w:hAnsiTheme="minorHAnsi"/>
          <w:i w:val="0"/>
          <w:noProof/>
          <w:sz w:val="24"/>
          <w:szCs w:val="24"/>
          <w:lang w:eastAsia="ja-JP"/>
        </w:rPr>
      </w:pPr>
      <w:r>
        <w:rPr>
          <w:noProof/>
        </w:rPr>
        <w:t>19.2.1 Objet social</w:t>
      </w:r>
      <w:r>
        <w:rPr>
          <w:noProof/>
        </w:rPr>
        <w:tab/>
      </w:r>
      <w:r>
        <w:rPr>
          <w:noProof/>
        </w:rPr>
        <w:fldChar w:fldCharType="begin"/>
      </w:r>
      <w:r>
        <w:rPr>
          <w:noProof/>
        </w:rPr>
        <w:instrText xml:space="preserve"> PAGEREF _Toc475033288 \h </w:instrText>
      </w:r>
      <w:r>
        <w:rPr>
          <w:noProof/>
        </w:rPr>
      </w:r>
      <w:r>
        <w:rPr>
          <w:noProof/>
        </w:rPr>
        <w:fldChar w:fldCharType="separate"/>
      </w:r>
      <w:r w:rsidR="004C5FA1">
        <w:rPr>
          <w:noProof/>
        </w:rPr>
        <w:t>263</w:t>
      </w:r>
      <w:r>
        <w:rPr>
          <w:noProof/>
        </w:rPr>
        <w:fldChar w:fldCharType="end"/>
      </w:r>
    </w:p>
    <w:p w14:paraId="73FD3F73" w14:textId="77777777" w:rsidR="00CA5E30" w:rsidRDefault="00CA5E30">
      <w:pPr>
        <w:pStyle w:val="TM3"/>
        <w:rPr>
          <w:rFonts w:asciiTheme="minorHAnsi" w:hAnsiTheme="minorHAnsi"/>
          <w:i w:val="0"/>
          <w:noProof/>
          <w:sz w:val="24"/>
          <w:szCs w:val="24"/>
          <w:lang w:eastAsia="ja-JP"/>
        </w:rPr>
      </w:pPr>
      <w:r>
        <w:rPr>
          <w:noProof/>
        </w:rPr>
        <w:t>19.2.2 Dispositions statutaires ou autres relatives aux membres des organes d’administration et de direction</w:t>
      </w:r>
      <w:r>
        <w:rPr>
          <w:noProof/>
        </w:rPr>
        <w:tab/>
      </w:r>
      <w:r>
        <w:rPr>
          <w:noProof/>
        </w:rPr>
        <w:fldChar w:fldCharType="begin"/>
      </w:r>
      <w:r>
        <w:rPr>
          <w:noProof/>
        </w:rPr>
        <w:instrText xml:space="preserve"> PAGEREF _Toc475033289 \h </w:instrText>
      </w:r>
      <w:r>
        <w:rPr>
          <w:noProof/>
        </w:rPr>
      </w:r>
      <w:r>
        <w:rPr>
          <w:noProof/>
        </w:rPr>
        <w:fldChar w:fldCharType="separate"/>
      </w:r>
      <w:r w:rsidR="004C5FA1">
        <w:rPr>
          <w:noProof/>
        </w:rPr>
        <w:t>263</w:t>
      </w:r>
      <w:r>
        <w:rPr>
          <w:noProof/>
        </w:rPr>
        <w:fldChar w:fldCharType="end"/>
      </w:r>
    </w:p>
    <w:p w14:paraId="55781DC8" w14:textId="77777777" w:rsidR="00CA5E30" w:rsidRDefault="00CA5E30">
      <w:pPr>
        <w:pStyle w:val="TM3"/>
        <w:rPr>
          <w:rFonts w:asciiTheme="minorHAnsi" w:hAnsiTheme="minorHAnsi"/>
          <w:i w:val="0"/>
          <w:noProof/>
          <w:sz w:val="24"/>
          <w:szCs w:val="24"/>
          <w:lang w:eastAsia="ja-JP"/>
        </w:rPr>
      </w:pPr>
      <w:r>
        <w:rPr>
          <w:noProof/>
        </w:rPr>
        <w:t>19.2.3 Droits, privilèges et restrictions attachés aux actions de la Société</w:t>
      </w:r>
      <w:r>
        <w:rPr>
          <w:noProof/>
        </w:rPr>
        <w:tab/>
      </w:r>
      <w:r>
        <w:rPr>
          <w:noProof/>
        </w:rPr>
        <w:fldChar w:fldCharType="begin"/>
      </w:r>
      <w:r>
        <w:rPr>
          <w:noProof/>
        </w:rPr>
        <w:instrText xml:space="preserve"> PAGEREF _Toc475033290 \h </w:instrText>
      </w:r>
      <w:r>
        <w:rPr>
          <w:noProof/>
        </w:rPr>
      </w:r>
      <w:r>
        <w:rPr>
          <w:noProof/>
        </w:rPr>
        <w:fldChar w:fldCharType="separate"/>
      </w:r>
      <w:r w:rsidR="004C5FA1">
        <w:rPr>
          <w:noProof/>
        </w:rPr>
        <w:t>267</w:t>
      </w:r>
      <w:r>
        <w:rPr>
          <w:noProof/>
        </w:rPr>
        <w:fldChar w:fldCharType="end"/>
      </w:r>
    </w:p>
    <w:p w14:paraId="7C1B56FF" w14:textId="77777777" w:rsidR="00CA5E30" w:rsidRDefault="00CA5E30">
      <w:pPr>
        <w:pStyle w:val="TM3"/>
        <w:rPr>
          <w:rFonts w:asciiTheme="minorHAnsi" w:hAnsiTheme="minorHAnsi"/>
          <w:i w:val="0"/>
          <w:noProof/>
          <w:sz w:val="24"/>
          <w:szCs w:val="24"/>
          <w:lang w:eastAsia="ja-JP"/>
        </w:rPr>
      </w:pPr>
      <w:r>
        <w:rPr>
          <w:noProof/>
        </w:rPr>
        <w:t>19.2.4 Assemblées générales d’actionnaires</w:t>
      </w:r>
      <w:r>
        <w:rPr>
          <w:noProof/>
        </w:rPr>
        <w:tab/>
      </w:r>
      <w:r>
        <w:rPr>
          <w:noProof/>
        </w:rPr>
        <w:fldChar w:fldCharType="begin"/>
      </w:r>
      <w:r>
        <w:rPr>
          <w:noProof/>
        </w:rPr>
        <w:instrText xml:space="preserve"> PAGEREF _Toc475033291 \h </w:instrText>
      </w:r>
      <w:r>
        <w:rPr>
          <w:noProof/>
        </w:rPr>
      </w:r>
      <w:r>
        <w:rPr>
          <w:noProof/>
        </w:rPr>
        <w:fldChar w:fldCharType="separate"/>
      </w:r>
      <w:r w:rsidR="004C5FA1">
        <w:rPr>
          <w:noProof/>
        </w:rPr>
        <w:t>268</w:t>
      </w:r>
      <w:r>
        <w:rPr>
          <w:noProof/>
        </w:rPr>
        <w:fldChar w:fldCharType="end"/>
      </w:r>
    </w:p>
    <w:p w14:paraId="3FE57092" w14:textId="77777777" w:rsidR="00CA5E30" w:rsidRDefault="00CA5E30">
      <w:pPr>
        <w:pStyle w:val="TM3"/>
        <w:rPr>
          <w:rFonts w:asciiTheme="minorHAnsi" w:hAnsiTheme="minorHAnsi"/>
          <w:i w:val="0"/>
          <w:noProof/>
          <w:sz w:val="24"/>
          <w:szCs w:val="24"/>
          <w:lang w:eastAsia="ja-JP"/>
        </w:rPr>
      </w:pPr>
      <w:r>
        <w:rPr>
          <w:noProof/>
        </w:rPr>
        <w:t>19.2.5 Franchissements de seuils statutaires</w:t>
      </w:r>
      <w:r>
        <w:rPr>
          <w:noProof/>
        </w:rPr>
        <w:tab/>
      </w:r>
      <w:r>
        <w:rPr>
          <w:noProof/>
        </w:rPr>
        <w:fldChar w:fldCharType="begin"/>
      </w:r>
      <w:r>
        <w:rPr>
          <w:noProof/>
        </w:rPr>
        <w:instrText xml:space="preserve"> PAGEREF _Toc475033292 \h </w:instrText>
      </w:r>
      <w:r>
        <w:rPr>
          <w:noProof/>
        </w:rPr>
      </w:r>
      <w:r>
        <w:rPr>
          <w:noProof/>
        </w:rPr>
        <w:fldChar w:fldCharType="separate"/>
      </w:r>
      <w:r w:rsidR="004C5FA1">
        <w:rPr>
          <w:noProof/>
        </w:rPr>
        <w:t>272</w:t>
      </w:r>
      <w:r>
        <w:rPr>
          <w:noProof/>
        </w:rPr>
        <w:fldChar w:fldCharType="end"/>
      </w:r>
    </w:p>
    <w:p w14:paraId="601C554C" w14:textId="77777777" w:rsidR="00CA5E30" w:rsidRDefault="00CA5E30">
      <w:pPr>
        <w:pStyle w:val="TM3"/>
        <w:rPr>
          <w:rFonts w:asciiTheme="minorHAnsi" w:hAnsiTheme="minorHAnsi"/>
          <w:i w:val="0"/>
          <w:noProof/>
          <w:sz w:val="24"/>
          <w:szCs w:val="24"/>
          <w:lang w:eastAsia="ja-JP"/>
        </w:rPr>
      </w:pPr>
      <w:r>
        <w:rPr>
          <w:noProof/>
        </w:rPr>
        <w:t>19.2.6 Stipulations particulières régissant les modifications du capital</w:t>
      </w:r>
      <w:r>
        <w:rPr>
          <w:noProof/>
        </w:rPr>
        <w:tab/>
      </w:r>
      <w:r>
        <w:rPr>
          <w:noProof/>
        </w:rPr>
        <w:fldChar w:fldCharType="begin"/>
      </w:r>
      <w:r>
        <w:rPr>
          <w:noProof/>
        </w:rPr>
        <w:instrText xml:space="preserve"> PAGEREF _Toc475033293 \h </w:instrText>
      </w:r>
      <w:r>
        <w:rPr>
          <w:noProof/>
        </w:rPr>
      </w:r>
      <w:r>
        <w:rPr>
          <w:noProof/>
        </w:rPr>
        <w:fldChar w:fldCharType="separate"/>
      </w:r>
      <w:r w:rsidR="004C5FA1">
        <w:rPr>
          <w:noProof/>
        </w:rPr>
        <w:t>272</w:t>
      </w:r>
      <w:r>
        <w:rPr>
          <w:noProof/>
        </w:rPr>
        <w:fldChar w:fldCharType="end"/>
      </w:r>
    </w:p>
    <w:p w14:paraId="3A0130A8" w14:textId="77777777" w:rsidR="00CA5E30" w:rsidRDefault="00CA5E30">
      <w:pPr>
        <w:pStyle w:val="TM3"/>
        <w:rPr>
          <w:rFonts w:asciiTheme="minorHAnsi" w:hAnsiTheme="minorHAnsi"/>
          <w:i w:val="0"/>
          <w:noProof/>
          <w:sz w:val="24"/>
          <w:szCs w:val="24"/>
          <w:lang w:eastAsia="ja-JP"/>
        </w:rPr>
      </w:pPr>
      <w:r>
        <w:rPr>
          <w:noProof/>
        </w:rPr>
        <w:t>19.2.7. Conditions spécifiques de modification des droits des actionnaires</w:t>
      </w:r>
      <w:r>
        <w:rPr>
          <w:noProof/>
        </w:rPr>
        <w:tab/>
      </w:r>
      <w:r>
        <w:rPr>
          <w:noProof/>
        </w:rPr>
        <w:fldChar w:fldCharType="begin"/>
      </w:r>
      <w:r>
        <w:rPr>
          <w:noProof/>
        </w:rPr>
        <w:instrText xml:space="preserve"> PAGEREF _Toc475033294 \h </w:instrText>
      </w:r>
      <w:r>
        <w:rPr>
          <w:noProof/>
        </w:rPr>
      </w:r>
      <w:r>
        <w:rPr>
          <w:noProof/>
        </w:rPr>
        <w:fldChar w:fldCharType="separate"/>
      </w:r>
      <w:r w:rsidR="004C5FA1">
        <w:rPr>
          <w:noProof/>
        </w:rPr>
        <w:t>272</w:t>
      </w:r>
      <w:r>
        <w:rPr>
          <w:noProof/>
        </w:rPr>
        <w:fldChar w:fldCharType="end"/>
      </w:r>
    </w:p>
    <w:p w14:paraId="5AB47406" w14:textId="77777777" w:rsidR="00CA5E30" w:rsidRDefault="00CA5E30">
      <w:pPr>
        <w:pStyle w:val="TM3"/>
        <w:rPr>
          <w:rFonts w:asciiTheme="minorHAnsi" w:hAnsiTheme="minorHAnsi"/>
          <w:i w:val="0"/>
          <w:noProof/>
          <w:sz w:val="24"/>
          <w:szCs w:val="24"/>
          <w:lang w:eastAsia="ja-JP"/>
        </w:rPr>
      </w:pPr>
      <w:r>
        <w:rPr>
          <w:noProof/>
        </w:rPr>
        <w:t>19.2.8. Disposition de l'acte constitutif, des statuts, d'une charte ou d'un règlement de la Société qui pourrait avoir pour effet de retarder, de différer ou d'empêcher un changement de son contrôle.</w:t>
      </w:r>
      <w:r>
        <w:rPr>
          <w:noProof/>
        </w:rPr>
        <w:tab/>
      </w:r>
      <w:r>
        <w:rPr>
          <w:noProof/>
        </w:rPr>
        <w:fldChar w:fldCharType="begin"/>
      </w:r>
      <w:r>
        <w:rPr>
          <w:noProof/>
        </w:rPr>
        <w:instrText xml:space="preserve"> PAGEREF _Toc475033295 \h </w:instrText>
      </w:r>
      <w:r>
        <w:rPr>
          <w:noProof/>
        </w:rPr>
      </w:r>
      <w:r>
        <w:rPr>
          <w:noProof/>
        </w:rPr>
        <w:fldChar w:fldCharType="separate"/>
      </w:r>
      <w:r w:rsidR="004C5FA1">
        <w:rPr>
          <w:noProof/>
        </w:rPr>
        <w:t>272</w:t>
      </w:r>
      <w:r>
        <w:rPr>
          <w:noProof/>
        </w:rPr>
        <w:fldChar w:fldCharType="end"/>
      </w:r>
    </w:p>
    <w:p w14:paraId="57D3DF99" w14:textId="77777777" w:rsidR="00CA5E30" w:rsidRDefault="00CA5E30">
      <w:pPr>
        <w:pStyle w:val="TM1"/>
        <w:rPr>
          <w:rFonts w:asciiTheme="minorHAnsi" w:hAnsiTheme="minorHAnsi"/>
          <w:b w:val="0"/>
          <w:color w:val="auto"/>
          <w:sz w:val="24"/>
          <w:szCs w:val="24"/>
          <w:lang w:eastAsia="ja-JP"/>
        </w:rPr>
      </w:pPr>
      <w:r>
        <w:t>20. Contrats importants</w:t>
      </w:r>
      <w:r>
        <w:tab/>
      </w:r>
      <w:r>
        <w:fldChar w:fldCharType="begin"/>
      </w:r>
      <w:r>
        <w:instrText xml:space="preserve"> PAGEREF _Toc475033296 \h </w:instrText>
      </w:r>
      <w:r>
        <w:fldChar w:fldCharType="separate"/>
      </w:r>
      <w:r w:rsidR="004C5FA1">
        <w:t>273</w:t>
      </w:r>
      <w:r>
        <w:fldChar w:fldCharType="end"/>
      </w:r>
    </w:p>
    <w:p w14:paraId="7635CD1E" w14:textId="77777777" w:rsidR="00CA5E30" w:rsidRDefault="00CA5E30">
      <w:pPr>
        <w:pStyle w:val="TM2"/>
        <w:rPr>
          <w:rFonts w:asciiTheme="minorHAnsi" w:hAnsiTheme="minorHAnsi"/>
          <w:sz w:val="24"/>
          <w:szCs w:val="24"/>
          <w:lang w:eastAsia="ja-JP"/>
        </w:rPr>
      </w:pPr>
      <w:r>
        <w:t>20.1 Contrat de financement signé le 18 octobre 2019 avec Negma Group Ltd (« OCABSA Negma »)</w:t>
      </w:r>
      <w:r>
        <w:tab/>
      </w:r>
      <w:r>
        <w:fldChar w:fldCharType="begin"/>
      </w:r>
      <w:r>
        <w:instrText xml:space="preserve"> PAGEREF _Toc475033297 \h </w:instrText>
      </w:r>
      <w:r>
        <w:fldChar w:fldCharType="separate"/>
      </w:r>
      <w:r w:rsidR="004C5FA1">
        <w:t>273</w:t>
      </w:r>
      <w:r>
        <w:fldChar w:fldCharType="end"/>
      </w:r>
    </w:p>
    <w:p w14:paraId="090ADE41" w14:textId="77777777" w:rsidR="00CA5E30" w:rsidRDefault="00CA5E30">
      <w:pPr>
        <w:pStyle w:val="TM2"/>
        <w:rPr>
          <w:rFonts w:asciiTheme="minorHAnsi" w:hAnsiTheme="minorHAnsi"/>
          <w:sz w:val="24"/>
          <w:szCs w:val="24"/>
          <w:lang w:eastAsia="ja-JP"/>
        </w:rPr>
      </w:pPr>
      <w:r>
        <w:t>20.2 Contrat d’investissement signé le 22 septembre 2016 avec Tinavi Medical Technologies (« Tinavi »)</w:t>
      </w:r>
      <w:r>
        <w:tab/>
      </w:r>
      <w:r>
        <w:fldChar w:fldCharType="begin"/>
      </w:r>
      <w:r>
        <w:instrText xml:space="preserve"> PAGEREF _Toc475033298 \h </w:instrText>
      </w:r>
      <w:r>
        <w:fldChar w:fldCharType="separate"/>
      </w:r>
      <w:r w:rsidR="004C5FA1">
        <w:t>275</w:t>
      </w:r>
      <w:r>
        <w:fldChar w:fldCharType="end"/>
      </w:r>
    </w:p>
    <w:p w14:paraId="00FD1BE3" w14:textId="77777777" w:rsidR="00CA5E30" w:rsidRDefault="00CA5E30">
      <w:pPr>
        <w:pStyle w:val="TM2"/>
        <w:rPr>
          <w:rFonts w:asciiTheme="minorHAnsi" w:hAnsiTheme="minorHAnsi"/>
          <w:sz w:val="24"/>
          <w:szCs w:val="24"/>
          <w:lang w:eastAsia="ja-JP"/>
        </w:rPr>
      </w:pPr>
      <w:r w:rsidRPr="009B0ECC">
        <w:rPr>
          <w:lang w:val="en-US"/>
        </w:rPr>
        <w:t>20.3 Contrat d’émission d’OCEANE European High Growth Opportunities Securitization Fund (« OCEANE ABO »)</w:t>
      </w:r>
      <w:r>
        <w:tab/>
      </w:r>
      <w:r>
        <w:fldChar w:fldCharType="begin"/>
      </w:r>
      <w:r>
        <w:instrText xml:space="preserve"> PAGEREF _Toc475033299 \h </w:instrText>
      </w:r>
      <w:r>
        <w:fldChar w:fldCharType="separate"/>
      </w:r>
      <w:r w:rsidR="004C5FA1">
        <w:t>276</w:t>
      </w:r>
      <w:r>
        <w:fldChar w:fldCharType="end"/>
      </w:r>
    </w:p>
    <w:p w14:paraId="092396C1" w14:textId="77777777" w:rsidR="00CA5E30" w:rsidRDefault="00CA5E30">
      <w:pPr>
        <w:pStyle w:val="TM2"/>
        <w:rPr>
          <w:rFonts w:asciiTheme="minorHAnsi" w:hAnsiTheme="minorHAnsi"/>
          <w:sz w:val="24"/>
          <w:szCs w:val="24"/>
          <w:lang w:eastAsia="ja-JP"/>
        </w:rPr>
      </w:pPr>
      <w:r>
        <w:t>20.4 Contrat d’émission d’ORNANE signé le 28 juillet 2017 avec Yorkville Advisors (« Yorkville »)</w:t>
      </w:r>
      <w:r>
        <w:tab/>
      </w:r>
      <w:r>
        <w:fldChar w:fldCharType="begin"/>
      </w:r>
      <w:r>
        <w:instrText xml:space="preserve"> PAGEREF _Toc475033300 \h </w:instrText>
      </w:r>
      <w:r>
        <w:fldChar w:fldCharType="separate"/>
      </w:r>
      <w:r w:rsidR="004C5FA1">
        <w:t>277</w:t>
      </w:r>
      <w:r>
        <w:fldChar w:fldCharType="end"/>
      </w:r>
    </w:p>
    <w:p w14:paraId="355B21F0" w14:textId="77777777" w:rsidR="00CA5E30" w:rsidRDefault="00CA5E30">
      <w:pPr>
        <w:pStyle w:val="TM1"/>
        <w:rPr>
          <w:rFonts w:asciiTheme="minorHAnsi" w:hAnsiTheme="minorHAnsi"/>
          <w:b w:val="0"/>
          <w:color w:val="auto"/>
          <w:sz w:val="24"/>
          <w:szCs w:val="24"/>
          <w:lang w:eastAsia="ja-JP"/>
        </w:rPr>
      </w:pPr>
      <w:r>
        <w:t>21. Documents disponibles</w:t>
      </w:r>
      <w:r>
        <w:tab/>
      </w:r>
      <w:r>
        <w:fldChar w:fldCharType="begin"/>
      </w:r>
      <w:r>
        <w:instrText xml:space="preserve"> PAGEREF _Toc475033301 \h </w:instrText>
      </w:r>
      <w:r>
        <w:fldChar w:fldCharType="separate"/>
      </w:r>
      <w:r w:rsidR="004C5FA1">
        <w:t>278</w:t>
      </w:r>
      <w:r>
        <w:fldChar w:fldCharType="end"/>
      </w:r>
    </w:p>
    <w:p w14:paraId="2FC434E9" w14:textId="6932A05C" w:rsidR="00095E6D" w:rsidRDefault="00CB789E" w:rsidP="00BF3147">
      <w:pPr>
        <w:pStyle w:val="Paragraphedeliste"/>
        <w:tabs>
          <w:tab w:val="right" w:leader="dot" w:pos="8505"/>
        </w:tabs>
        <w:ind w:left="0" w:right="844"/>
        <w:rPr>
          <w:szCs w:val="20"/>
        </w:rPr>
      </w:pPr>
      <w:r>
        <w:rPr>
          <w:noProof/>
          <w:color w:val="548DD4"/>
          <w:sz w:val="22"/>
          <w:szCs w:val="20"/>
        </w:rPr>
        <w:fldChar w:fldCharType="end"/>
      </w:r>
    </w:p>
    <w:p w14:paraId="152EAD6F" w14:textId="77777777" w:rsidR="005345C1" w:rsidRPr="0079175A" w:rsidRDefault="005345C1" w:rsidP="0079175A">
      <w:pPr>
        <w:tabs>
          <w:tab w:val="right" w:leader="dot" w:pos="8505"/>
        </w:tabs>
        <w:ind w:right="844"/>
        <w:rPr>
          <w:szCs w:val="20"/>
        </w:rPr>
      </w:pPr>
    </w:p>
    <w:p w14:paraId="3AC0262F" w14:textId="77777777" w:rsidR="002B74FE" w:rsidRDefault="002B74FE" w:rsidP="002B74FE">
      <w:pPr>
        <w:tabs>
          <w:tab w:val="right" w:leader="dot" w:pos="8505"/>
        </w:tabs>
        <w:ind w:left="426" w:right="844"/>
        <w:rPr>
          <w:szCs w:val="20"/>
        </w:rPr>
      </w:pPr>
    </w:p>
    <w:p w14:paraId="7885AF04" w14:textId="77777777" w:rsidR="002B74FE" w:rsidRPr="002B74FE" w:rsidRDefault="002B74FE" w:rsidP="002B74FE">
      <w:pPr>
        <w:tabs>
          <w:tab w:val="right" w:leader="dot" w:pos="8505"/>
        </w:tabs>
        <w:ind w:left="426" w:right="844"/>
        <w:rPr>
          <w:szCs w:val="20"/>
        </w:rPr>
      </w:pPr>
    </w:p>
    <w:p w14:paraId="3B981368" w14:textId="77777777" w:rsidR="000B02F0" w:rsidRPr="000B02F0" w:rsidRDefault="000B02F0" w:rsidP="00095E6D">
      <w:pPr>
        <w:tabs>
          <w:tab w:val="right" w:leader="dot" w:pos="8505"/>
        </w:tabs>
        <w:ind w:left="1134" w:right="844" w:hanging="906"/>
        <w:rPr>
          <w:szCs w:val="20"/>
        </w:rPr>
      </w:pPr>
    </w:p>
    <w:p w14:paraId="7F4142A6" w14:textId="2D1A44C9" w:rsidR="00913E29" w:rsidRPr="001E5AB0" w:rsidRDefault="008D23AF" w:rsidP="001E5AB0">
      <w:pPr>
        <w:pStyle w:val="TitreSection"/>
        <w:pBdr>
          <w:bottom w:val="single" w:sz="4" w:space="1" w:color="auto"/>
        </w:pBdr>
        <w:jc w:val="center"/>
        <w:outlineLvl w:val="0"/>
        <w:rPr>
          <w:rFonts w:asciiTheme="majorHAnsi" w:hAnsiTheme="majorHAnsi"/>
          <w:color w:val="365F91" w:themeColor="accent1" w:themeShade="BF"/>
          <w:sz w:val="32"/>
          <w:szCs w:val="32"/>
        </w:rPr>
      </w:pPr>
      <w:bookmarkStart w:id="1" w:name="_Toc351994577"/>
      <w:r w:rsidRPr="00913E29">
        <w:rPr>
          <w:rFonts w:asciiTheme="majorHAnsi" w:hAnsiTheme="majorHAnsi"/>
          <w:color w:val="365F91" w:themeColor="accent1" w:themeShade="BF"/>
          <w:sz w:val="32"/>
          <w:szCs w:val="32"/>
        </w:rPr>
        <w:lastRenderedPageBreak/>
        <w:t>REMARQUES GENERALES</w:t>
      </w:r>
      <w:bookmarkEnd w:id="1"/>
    </w:p>
    <w:p w14:paraId="7D803977" w14:textId="77777777" w:rsidR="00B016C8" w:rsidRDefault="00B016C8" w:rsidP="008D23AF">
      <w:pPr>
        <w:pStyle w:val="Titre5"/>
        <w:spacing w:before="240"/>
        <w:rPr>
          <w:rFonts w:asciiTheme="majorHAnsi" w:hAnsiTheme="majorHAnsi"/>
          <w:szCs w:val="20"/>
        </w:rPr>
      </w:pPr>
    </w:p>
    <w:p w14:paraId="39982E22" w14:textId="54ED5BB1" w:rsidR="00D47DB6" w:rsidRPr="005D79D6" w:rsidRDefault="00B06ADA" w:rsidP="00D47DB6">
      <w:r w:rsidRPr="005D79D6">
        <w:t xml:space="preserve">Le </w:t>
      </w:r>
      <w:r w:rsidR="002A7CB3" w:rsidRPr="005D79D6">
        <w:t>D</w:t>
      </w:r>
      <w:r w:rsidRPr="005D79D6">
        <w:t>ocument d’enregistrement universel</w:t>
      </w:r>
      <w:r w:rsidR="00B016C8" w:rsidRPr="005D79D6">
        <w:t xml:space="preserve"> a été établi conformément à l’annexe</w:t>
      </w:r>
      <w:r w:rsidR="0027124D" w:rsidRPr="005D79D6">
        <w:t xml:space="preserve"> I </w:t>
      </w:r>
      <w:r w:rsidR="005D79D6" w:rsidRPr="005D79D6">
        <w:t>du Règlement Délégué n°2019/980.</w:t>
      </w:r>
    </w:p>
    <w:p w14:paraId="05A6DF15" w14:textId="77777777" w:rsidR="008D23AF" w:rsidRPr="008D23AF" w:rsidRDefault="008D23AF" w:rsidP="008D23AF">
      <w:pPr>
        <w:pStyle w:val="Titre5"/>
        <w:spacing w:before="240"/>
        <w:rPr>
          <w:rFonts w:asciiTheme="majorHAnsi" w:hAnsiTheme="majorHAnsi"/>
          <w:szCs w:val="20"/>
        </w:rPr>
      </w:pPr>
      <w:r w:rsidRPr="008D23AF">
        <w:rPr>
          <w:rFonts w:asciiTheme="majorHAnsi" w:hAnsiTheme="majorHAnsi"/>
          <w:szCs w:val="20"/>
        </w:rPr>
        <w:t>Définitions</w:t>
      </w:r>
    </w:p>
    <w:p w14:paraId="6DC8D702" w14:textId="0508D7C9" w:rsidR="008D23AF" w:rsidRPr="00D76683" w:rsidRDefault="008D23AF" w:rsidP="00D76683">
      <w:pPr>
        <w:pStyle w:val="Listenumros"/>
        <w:rPr>
          <w:rFonts w:asciiTheme="majorHAnsi" w:hAnsiTheme="majorHAnsi"/>
          <w:sz w:val="20"/>
          <w:szCs w:val="20"/>
        </w:rPr>
      </w:pPr>
      <w:r w:rsidRPr="008D23AF">
        <w:rPr>
          <w:rFonts w:asciiTheme="majorHAnsi" w:hAnsiTheme="majorHAnsi"/>
          <w:sz w:val="20"/>
          <w:szCs w:val="20"/>
        </w:rPr>
        <w:t xml:space="preserve">La « Société » désigne la société </w:t>
      </w:r>
      <w:r w:rsidR="001E5AB0">
        <w:rPr>
          <w:rFonts w:asciiTheme="majorHAnsi" w:hAnsiTheme="majorHAnsi"/>
          <w:sz w:val="20"/>
          <w:szCs w:val="20"/>
        </w:rPr>
        <w:t>Spineway</w:t>
      </w:r>
      <w:r w:rsidR="00262C15">
        <w:rPr>
          <w:rFonts w:asciiTheme="majorHAnsi" w:hAnsiTheme="majorHAnsi"/>
          <w:sz w:val="20"/>
          <w:szCs w:val="20"/>
        </w:rPr>
        <w:t>,</w:t>
      </w:r>
      <w:r w:rsidR="000947B1">
        <w:rPr>
          <w:rFonts w:asciiTheme="majorHAnsi" w:hAnsiTheme="majorHAnsi"/>
          <w:sz w:val="20"/>
          <w:szCs w:val="20"/>
        </w:rPr>
        <w:t xml:space="preserve"> </w:t>
      </w:r>
      <w:r w:rsidR="00262C15">
        <w:rPr>
          <w:rFonts w:asciiTheme="majorHAnsi" w:hAnsiTheme="majorHAnsi"/>
          <w:sz w:val="20"/>
          <w:szCs w:val="20"/>
        </w:rPr>
        <w:t>s</w:t>
      </w:r>
      <w:r w:rsidR="00262C15" w:rsidRPr="00262C15">
        <w:rPr>
          <w:rFonts w:asciiTheme="majorHAnsi" w:hAnsiTheme="majorHAnsi"/>
          <w:sz w:val="20"/>
          <w:szCs w:val="20"/>
        </w:rPr>
        <w:t xml:space="preserve">ociété anonyme au capital </w:t>
      </w:r>
      <w:r w:rsidR="00262C15">
        <w:rPr>
          <w:rFonts w:asciiTheme="majorHAnsi" w:hAnsiTheme="majorHAnsi"/>
          <w:sz w:val="20"/>
          <w:szCs w:val="20"/>
        </w:rPr>
        <w:t xml:space="preserve">social </w:t>
      </w:r>
      <w:r w:rsidR="00262C15" w:rsidRPr="00262C15">
        <w:rPr>
          <w:rFonts w:asciiTheme="majorHAnsi" w:hAnsiTheme="majorHAnsi"/>
          <w:sz w:val="20"/>
          <w:szCs w:val="20"/>
        </w:rPr>
        <w:t xml:space="preserve">de </w:t>
      </w:r>
      <w:r w:rsidR="006A4C74">
        <w:rPr>
          <w:rFonts w:asciiTheme="majorHAnsi" w:hAnsiTheme="majorHAnsi"/>
          <w:sz w:val="20"/>
          <w:szCs w:val="20"/>
        </w:rPr>
        <w:t>633.161,27</w:t>
      </w:r>
      <w:r w:rsidR="00262C15" w:rsidRPr="00262C15">
        <w:rPr>
          <w:rFonts w:asciiTheme="majorHAnsi" w:hAnsiTheme="majorHAnsi"/>
          <w:sz w:val="20"/>
          <w:szCs w:val="20"/>
        </w:rPr>
        <w:t xml:space="preserve"> </w:t>
      </w:r>
      <w:r w:rsidR="003F369B">
        <w:rPr>
          <w:rFonts w:asciiTheme="majorHAnsi" w:hAnsiTheme="majorHAnsi"/>
          <w:sz w:val="20"/>
          <w:szCs w:val="20"/>
        </w:rPr>
        <w:t>euros</w:t>
      </w:r>
      <w:r w:rsidR="00262C15" w:rsidRPr="00262C15">
        <w:rPr>
          <w:rFonts w:asciiTheme="majorHAnsi" w:hAnsiTheme="majorHAnsi"/>
          <w:sz w:val="20"/>
          <w:szCs w:val="20"/>
        </w:rPr>
        <w:t>,</w:t>
      </w:r>
      <w:r w:rsidR="003F369B">
        <w:rPr>
          <w:rFonts w:asciiTheme="majorHAnsi" w:hAnsiTheme="majorHAnsi"/>
          <w:sz w:val="20"/>
          <w:szCs w:val="20"/>
        </w:rPr>
        <w:t xml:space="preserve"> ayant son s</w:t>
      </w:r>
      <w:r w:rsidR="00262C15" w:rsidRPr="003F369B">
        <w:rPr>
          <w:rFonts w:asciiTheme="majorHAnsi" w:hAnsiTheme="majorHAnsi"/>
          <w:sz w:val="20"/>
          <w:szCs w:val="20"/>
        </w:rPr>
        <w:t>iège social 7 Allée du Moulin Berger, Bâtiment 7, 69130 Ecully</w:t>
      </w:r>
      <w:r w:rsidR="003F369B">
        <w:rPr>
          <w:rFonts w:asciiTheme="majorHAnsi" w:hAnsiTheme="majorHAnsi"/>
          <w:sz w:val="20"/>
          <w:szCs w:val="20"/>
        </w:rPr>
        <w:t xml:space="preserve">, immatriculée au registre </w:t>
      </w:r>
      <w:r w:rsidR="00D76683">
        <w:rPr>
          <w:rFonts w:asciiTheme="majorHAnsi" w:hAnsiTheme="majorHAnsi"/>
          <w:sz w:val="20"/>
          <w:szCs w:val="20"/>
        </w:rPr>
        <w:t xml:space="preserve">du commerce et des sociétés de Lyon sur le numéro </w:t>
      </w:r>
      <w:r w:rsidR="00262C15" w:rsidRPr="00D76683">
        <w:rPr>
          <w:rFonts w:asciiTheme="majorHAnsi" w:hAnsiTheme="majorHAnsi"/>
          <w:sz w:val="20"/>
          <w:szCs w:val="20"/>
        </w:rPr>
        <w:t>484 163</w:t>
      </w:r>
      <w:r w:rsidR="00CA7ECC">
        <w:rPr>
          <w:rFonts w:asciiTheme="majorHAnsi" w:hAnsiTheme="majorHAnsi"/>
          <w:sz w:val="20"/>
          <w:szCs w:val="20"/>
        </w:rPr>
        <w:t> </w:t>
      </w:r>
      <w:r w:rsidR="00262C15" w:rsidRPr="00D76683">
        <w:rPr>
          <w:rFonts w:asciiTheme="majorHAnsi" w:hAnsiTheme="majorHAnsi"/>
          <w:sz w:val="20"/>
          <w:szCs w:val="20"/>
        </w:rPr>
        <w:t>985</w:t>
      </w:r>
      <w:r w:rsidR="00CA7ECC">
        <w:rPr>
          <w:rFonts w:asciiTheme="majorHAnsi" w:hAnsiTheme="majorHAnsi"/>
          <w:sz w:val="20"/>
          <w:szCs w:val="20"/>
        </w:rPr>
        <w:t xml:space="preserve"> ; </w:t>
      </w:r>
    </w:p>
    <w:p w14:paraId="4CED5246" w14:textId="40B69CA8" w:rsidR="008D23AF" w:rsidRPr="008D23AF" w:rsidRDefault="008D23AF" w:rsidP="008D23AF">
      <w:pPr>
        <w:pStyle w:val="Listenumros"/>
        <w:rPr>
          <w:rFonts w:asciiTheme="majorHAnsi" w:hAnsiTheme="majorHAnsi"/>
          <w:sz w:val="20"/>
          <w:szCs w:val="20"/>
        </w:rPr>
      </w:pPr>
      <w:r w:rsidRPr="008D23AF">
        <w:rPr>
          <w:rFonts w:asciiTheme="majorHAnsi" w:hAnsiTheme="majorHAnsi"/>
          <w:sz w:val="20"/>
          <w:szCs w:val="20"/>
        </w:rPr>
        <w:t xml:space="preserve">Le « Groupe » désigne la Société et </w:t>
      </w:r>
      <w:r w:rsidR="00B06ADA">
        <w:rPr>
          <w:rFonts w:asciiTheme="majorHAnsi" w:hAnsiTheme="majorHAnsi"/>
          <w:sz w:val="20"/>
          <w:szCs w:val="20"/>
        </w:rPr>
        <w:t>sa filiale</w:t>
      </w:r>
      <w:r w:rsidR="00CA7ECC">
        <w:rPr>
          <w:rFonts w:asciiTheme="majorHAnsi" w:hAnsiTheme="majorHAnsi"/>
          <w:sz w:val="20"/>
          <w:szCs w:val="20"/>
        </w:rPr>
        <w:t xml:space="preserve"> telle</w:t>
      </w:r>
      <w:r w:rsidR="004B7C45">
        <w:rPr>
          <w:rFonts w:asciiTheme="majorHAnsi" w:hAnsiTheme="majorHAnsi"/>
          <w:sz w:val="20"/>
          <w:szCs w:val="20"/>
        </w:rPr>
        <w:t>s</w:t>
      </w:r>
      <w:r w:rsidR="00CA7ECC">
        <w:rPr>
          <w:rFonts w:asciiTheme="majorHAnsi" w:hAnsiTheme="majorHAnsi"/>
          <w:sz w:val="20"/>
          <w:szCs w:val="20"/>
        </w:rPr>
        <w:t xml:space="preserve"> qu’elles figurent dans l’organigramme au paragraphe </w:t>
      </w:r>
      <w:r w:rsidR="0071166F">
        <w:rPr>
          <w:rFonts w:asciiTheme="majorHAnsi" w:hAnsiTheme="majorHAnsi"/>
          <w:sz w:val="20"/>
          <w:szCs w:val="20"/>
        </w:rPr>
        <w:t>« </w:t>
      </w:r>
      <w:r w:rsidR="0071166F">
        <w:rPr>
          <w:rFonts w:asciiTheme="majorHAnsi" w:hAnsiTheme="majorHAnsi"/>
          <w:sz w:val="20"/>
          <w:szCs w:val="20"/>
        </w:rPr>
        <w:fldChar w:fldCharType="begin"/>
      </w:r>
      <w:r w:rsidR="0071166F">
        <w:rPr>
          <w:rFonts w:asciiTheme="majorHAnsi" w:hAnsiTheme="majorHAnsi"/>
          <w:sz w:val="20"/>
          <w:szCs w:val="20"/>
        </w:rPr>
        <w:instrText xml:space="preserve"> REF _Ref474074204 \h </w:instrText>
      </w:r>
      <w:r w:rsidR="0071166F">
        <w:rPr>
          <w:rFonts w:asciiTheme="majorHAnsi" w:hAnsiTheme="majorHAnsi"/>
          <w:sz w:val="20"/>
          <w:szCs w:val="20"/>
        </w:rPr>
      </w:r>
      <w:r w:rsidR="0071166F">
        <w:rPr>
          <w:rFonts w:asciiTheme="majorHAnsi" w:hAnsiTheme="majorHAnsi"/>
          <w:sz w:val="20"/>
          <w:szCs w:val="20"/>
        </w:rPr>
        <w:fldChar w:fldCharType="separate"/>
      </w:r>
      <w:r w:rsidR="003A0AD1" w:rsidRPr="0096386F">
        <w:rPr>
          <w:rFonts w:asciiTheme="majorHAnsi" w:hAnsiTheme="majorHAnsi"/>
          <w:sz w:val="20"/>
          <w:szCs w:val="20"/>
        </w:rPr>
        <w:t>6.1. Organigramme juridique</w:t>
      </w:r>
      <w:r w:rsidR="0071166F">
        <w:rPr>
          <w:rFonts w:asciiTheme="majorHAnsi" w:hAnsiTheme="majorHAnsi"/>
          <w:sz w:val="20"/>
          <w:szCs w:val="20"/>
        </w:rPr>
        <w:fldChar w:fldCharType="end"/>
      </w:r>
      <w:r w:rsidR="0071166F">
        <w:rPr>
          <w:rFonts w:asciiTheme="majorHAnsi" w:hAnsiTheme="majorHAnsi"/>
          <w:sz w:val="20"/>
          <w:szCs w:val="20"/>
        </w:rPr>
        <w:t xml:space="preserve"> » du Document d’enregistrement universel </w:t>
      </w:r>
      <w:r w:rsidR="00CA7ECC">
        <w:rPr>
          <w:rFonts w:asciiTheme="majorHAnsi" w:hAnsiTheme="majorHAnsi"/>
          <w:sz w:val="20"/>
          <w:szCs w:val="20"/>
        </w:rPr>
        <w:t>;</w:t>
      </w:r>
    </w:p>
    <w:p w14:paraId="19CCF04C" w14:textId="75439C5B" w:rsidR="000A786B" w:rsidRPr="008D23AF" w:rsidRDefault="000A786B" w:rsidP="000A786B">
      <w:pPr>
        <w:pStyle w:val="Listenumros"/>
        <w:rPr>
          <w:rFonts w:asciiTheme="majorHAnsi" w:hAnsiTheme="majorHAnsi"/>
          <w:sz w:val="20"/>
          <w:szCs w:val="20"/>
        </w:rPr>
      </w:pPr>
      <w:r w:rsidRPr="008D23AF">
        <w:rPr>
          <w:rFonts w:asciiTheme="majorHAnsi" w:hAnsiTheme="majorHAnsi"/>
          <w:sz w:val="20"/>
          <w:szCs w:val="20"/>
        </w:rPr>
        <w:t>«</w:t>
      </w:r>
      <w:r>
        <w:rPr>
          <w:rFonts w:asciiTheme="majorHAnsi" w:hAnsiTheme="majorHAnsi"/>
          <w:sz w:val="20"/>
          <w:szCs w:val="20"/>
        </w:rPr>
        <w:t xml:space="preserve"> </w:t>
      </w:r>
      <w:r w:rsidR="00B06ADA">
        <w:rPr>
          <w:rFonts w:asciiTheme="majorHAnsi" w:hAnsiTheme="majorHAnsi"/>
          <w:sz w:val="20"/>
          <w:szCs w:val="20"/>
        </w:rPr>
        <w:t>Document d’enregistrement universel</w:t>
      </w:r>
      <w:r>
        <w:rPr>
          <w:rFonts w:asciiTheme="majorHAnsi" w:hAnsiTheme="majorHAnsi"/>
          <w:sz w:val="20"/>
          <w:szCs w:val="20"/>
        </w:rPr>
        <w:t xml:space="preserve"> </w:t>
      </w:r>
      <w:r w:rsidRPr="008D23AF">
        <w:rPr>
          <w:rFonts w:asciiTheme="majorHAnsi" w:hAnsiTheme="majorHAnsi"/>
          <w:sz w:val="20"/>
          <w:szCs w:val="20"/>
        </w:rPr>
        <w:t xml:space="preserve">» désigne le présent </w:t>
      </w:r>
      <w:r w:rsidR="002A7CB3">
        <w:rPr>
          <w:rFonts w:asciiTheme="majorHAnsi" w:hAnsiTheme="majorHAnsi"/>
          <w:sz w:val="20"/>
          <w:szCs w:val="20"/>
        </w:rPr>
        <w:t>D</w:t>
      </w:r>
      <w:r w:rsidR="00920DEB">
        <w:rPr>
          <w:rFonts w:asciiTheme="majorHAnsi" w:hAnsiTheme="majorHAnsi"/>
          <w:sz w:val="20"/>
          <w:szCs w:val="20"/>
        </w:rPr>
        <w:t>ocument d’enregistrement universel enregistré</w:t>
      </w:r>
      <w:r w:rsidRPr="008D23AF">
        <w:rPr>
          <w:rFonts w:asciiTheme="majorHAnsi" w:hAnsiTheme="majorHAnsi"/>
          <w:sz w:val="20"/>
          <w:szCs w:val="20"/>
        </w:rPr>
        <w:t xml:space="preserve"> par l’Autorité des Marchés Financiers</w:t>
      </w:r>
      <w:r w:rsidR="00161B48">
        <w:rPr>
          <w:rFonts w:asciiTheme="majorHAnsi" w:hAnsiTheme="majorHAnsi"/>
          <w:sz w:val="20"/>
          <w:szCs w:val="20"/>
        </w:rPr>
        <w:t> ;</w:t>
      </w:r>
    </w:p>
    <w:p w14:paraId="662B48F5" w14:textId="36FF78B7" w:rsidR="000A786B" w:rsidRPr="008D23AF" w:rsidRDefault="000A786B" w:rsidP="000A786B">
      <w:pPr>
        <w:pStyle w:val="Listenumros"/>
        <w:rPr>
          <w:rFonts w:asciiTheme="majorHAnsi" w:hAnsiTheme="majorHAnsi"/>
          <w:sz w:val="20"/>
          <w:szCs w:val="20"/>
        </w:rPr>
      </w:pPr>
      <w:r w:rsidRPr="008D23AF">
        <w:rPr>
          <w:rFonts w:asciiTheme="majorHAnsi" w:hAnsiTheme="majorHAnsi"/>
          <w:sz w:val="20"/>
          <w:szCs w:val="20"/>
        </w:rPr>
        <w:t xml:space="preserve">« Date du </w:t>
      </w:r>
      <w:r w:rsidR="002A7CB3">
        <w:rPr>
          <w:rFonts w:asciiTheme="majorHAnsi" w:hAnsiTheme="majorHAnsi"/>
          <w:sz w:val="20"/>
          <w:szCs w:val="20"/>
        </w:rPr>
        <w:t>D</w:t>
      </w:r>
      <w:r w:rsidR="00920DEB">
        <w:rPr>
          <w:rFonts w:asciiTheme="majorHAnsi" w:hAnsiTheme="majorHAnsi"/>
          <w:sz w:val="20"/>
          <w:szCs w:val="20"/>
        </w:rPr>
        <w:t>ocument d’enregistrement universel</w:t>
      </w:r>
      <w:r w:rsidR="00EF768A">
        <w:rPr>
          <w:rFonts w:asciiTheme="majorHAnsi" w:hAnsiTheme="majorHAnsi"/>
          <w:sz w:val="20"/>
          <w:szCs w:val="20"/>
        </w:rPr>
        <w:t xml:space="preserve"> </w:t>
      </w:r>
      <w:r w:rsidRPr="008D23AF">
        <w:rPr>
          <w:rFonts w:asciiTheme="majorHAnsi" w:hAnsiTheme="majorHAnsi"/>
          <w:sz w:val="20"/>
          <w:szCs w:val="20"/>
        </w:rPr>
        <w:t xml:space="preserve">» désigne la </w:t>
      </w:r>
      <w:r>
        <w:rPr>
          <w:rFonts w:asciiTheme="majorHAnsi" w:hAnsiTheme="majorHAnsi"/>
          <w:sz w:val="20"/>
          <w:szCs w:val="20"/>
        </w:rPr>
        <w:t xml:space="preserve">date à laquelle l’Autorité des </w:t>
      </w:r>
      <w:r w:rsidR="00366F6C">
        <w:rPr>
          <w:rFonts w:asciiTheme="majorHAnsi" w:hAnsiTheme="majorHAnsi"/>
          <w:sz w:val="20"/>
          <w:szCs w:val="20"/>
        </w:rPr>
        <w:t xml:space="preserve">Marchés </w:t>
      </w:r>
      <w:r>
        <w:rPr>
          <w:rFonts w:asciiTheme="majorHAnsi" w:hAnsiTheme="majorHAnsi"/>
          <w:sz w:val="20"/>
          <w:szCs w:val="20"/>
        </w:rPr>
        <w:t xml:space="preserve">Financiers a </w:t>
      </w:r>
      <w:r w:rsidR="00920DEB">
        <w:rPr>
          <w:rFonts w:asciiTheme="majorHAnsi" w:hAnsiTheme="majorHAnsi"/>
          <w:sz w:val="20"/>
          <w:szCs w:val="20"/>
        </w:rPr>
        <w:t>approuvé</w:t>
      </w:r>
      <w:r>
        <w:rPr>
          <w:rFonts w:asciiTheme="majorHAnsi" w:hAnsiTheme="majorHAnsi"/>
          <w:sz w:val="20"/>
          <w:szCs w:val="20"/>
        </w:rPr>
        <w:t xml:space="preserve"> </w:t>
      </w:r>
      <w:r w:rsidR="00920DEB">
        <w:rPr>
          <w:rFonts w:asciiTheme="majorHAnsi" w:hAnsiTheme="majorHAnsi"/>
          <w:sz w:val="20"/>
          <w:szCs w:val="20"/>
        </w:rPr>
        <w:t xml:space="preserve">le </w:t>
      </w:r>
      <w:r w:rsidR="002A7CB3">
        <w:rPr>
          <w:rFonts w:asciiTheme="majorHAnsi" w:hAnsiTheme="majorHAnsi"/>
          <w:sz w:val="20"/>
          <w:szCs w:val="20"/>
        </w:rPr>
        <w:t>D</w:t>
      </w:r>
      <w:r w:rsidR="00920DEB">
        <w:rPr>
          <w:rFonts w:asciiTheme="majorHAnsi" w:hAnsiTheme="majorHAnsi"/>
          <w:sz w:val="20"/>
          <w:szCs w:val="20"/>
        </w:rPr>
        <w:t>ocument d’enregistrement universel</w:t>
      </w:r>
      <w:r>
        <w:rPr>
          <w:rFonts w:asciiTheme="majorHAnsi" w:hAnsiTheme="majorHAnsi"/>
          <w:sz w:val="20"/>
          <w:szCs w:val="20"/>
        </w:rPr>
        <w:t>.</w:t>
      </w:r>
    </w:p>
    <w:p w14:paraId="44927C6E" w14:textId="77777777" w:rsidR="008D23AF" w:rsidRPr="008D23AF" w:rsidRDefault="008D23AF" w:rsidP="008D23AF">
      <w:pPr>
        <w:pStyle w:val="Titre5"/>
        <w:spacing w:before="360"/>
        <w:rPr>
          <w:rFonts w:asciiTheme="majorHAnsi" w:hAnsiTheme="majorHAnsi"/>
          <w:szCs w:val="20"/>
        </w:rPr>
      </w:pPr>
      <w:r w:rsidRPr="008D23AF">
        <w:rPr>
          <w:rFonts w:asciiTheme="majorHAnsi" w:hAnsiTheme="majorHAnsi"/>
          <w:szCs w:val="20"/>
        </w:rPr>
        <w:t>Informations sur le marché</w:t>
      </w:r>
    </w:p>
    <w:p w14:paraId="42BC68C5" w14:textId="79BBE132" w:rsidR="008D23AF" w:rsidRPr="008D23AF" w:rsidRDefault="008D23AF" w:rsidP="008D23AF">
      <w:pPr>
        <w:rPr>
          <w:szCs w:val="20"/>
        </w:rPr>
      </w:pPr>
      <w:r w:rsidRPr="008D23AF">
        <w:rPr>
          <w:szCs w:val="20"/>
        </w:rPr>
        <w:t xml:space="preserve">Le </w:t>
      </w:r>
      <w:r w:rsidR="002A7CB3">
        <w:rPr>
          <w:szCs w:val="20"/>
        </w:rPr>
        <w:t>D</w:t>
      </w:r>
      <w:r w:rsidR="00920DEB">
        <w:rPr>
          <w:szCs w:val="20"/>
        </w:rPr>
        <w:t>ocument d’enregistrement universel</w:t>
      </w:r>
      <w:r w:rsidR="001E5AB0">
        <w:rPr>
          <w:szCs w:val="20"/>
        </w:rPr>
        <w:t xml:space="preserve"> </w:t>
      </w:r>
      <w:r w:rsidRPr="008D23AF">
        <w:rPr>
          <w:szCs w:val="20"/>
        </w:rPr>
        <w:t xml:space="preserve">contient des informations relatives à l’activité de la Société ainsi qu’au marché et à l’industrie dans lesquels elle opère. Ces informations proviennent notamment d’études réalisées par des sources internes et externes (rapports d’analystes, études spécialisées, publications du secteur, toutes autres informations publiées par des sociétés d’études de marché, de sociétés et d’organismes publics). La Société estime que ces informations donnent une image fidèle du marché et de l’industrie dans lesquels elle opère et reflètent fidèlement sa </w:t>
      </w:r>
      <w:r w:rsidR="00357B7C">
        <w:rPr>
          <w:szCs w:val="20"/>
        </w:rPr>
        <w:t xml:space="preserve">position </w:t>
      </w:r>
      <w:r w:rsidR="001E5AB0">
        <w:rPr>
          <w:szCs w:val="20"/>
        </w:rPr>
        <w:t>concurrentielle</w:t>
      </w:r>
      <w:r w:rsidR="00357B7C">
        <w:rPr>
          <w:szCs w:val="20"/>
        </w:rPr>
        <w:t xml:space="preserve"> </w:t>
      </w:r>
      <w:r w:rsidRPr="008D23AF">
        <w:rPr>
          <w:szCs w:val="20"/>
        </w:rPr>
        <w:t>; cependant</w:t>
      </w:r>
      <w:r w:rsidR="001E5AB0">
        <w:rPr>
          <w:szCs w:val="20"/>
        </w:rPr>
        <w:t>, et</w:t>
      </w:r>
      <w:r w:rsidRPr="008D23AF">
        <w:rPr>
          <w:szCs w:val="20"/>
        </w:rPr>
        <w:t xml:space="preserve"> bien que ces informations soient considérées comme fiables, ces dernières n’ont pas été vérifiées de manière indépendante par la Société.</w:t>
      </w:r>
    </w:p>
    <w:p w14:paraId="510C1B1E" w14:textId="77777777" w:rsidR="008D23AF" w:rsidRPr="00440924" w:rsidRDefault="008D23AF" w:rsidP="008D23AF">
      <w:pPr>
        <w:pStyle w:val="Titre5"/>
        <w:spacing w:before="360"/>
        <w:rPr>
          <w:rFonts w:asciiTheme="majorHAnsi" w:hAnsiTheme="majorHAnsi"/>
        </w:rPr>
      </w:pPr>
      <w:r w:rsidRPr="00440924">
        <w:rPr>
          <w:rFonts w:asciiTheme="majorHAnsi" w:hAnsiTheme="majorHAnsi"/>
        </w:rPr>
        <w:t>Facteurs de risques</w:t>
      </w:r>
    </w:p>
    <w:p w14:paraId="587927A9" w14:textId="572EC5C6" w:rsidR="008D23AF" w:rsidRPr="008D23AF" w:rsidRDefault="008D23AF" w:rsidP="008D23AF">
      <w:pPr>
        <w:rPr>
          <w:szCs w:val="20"/>
        </w:rPr>
      </w:pPr>
      <w:r w:rsidRPr="008D23AF">
        <w:rPr>
          <w:szCs w:val="20"/>
        </w:rPr>
        <w:t xml:space="preserve">Les investisseurs sont invités à prendre attentivement en considération les facteurs de risques décrits au chapitre </w:t>
      </w:r>
      <w:r w:rsidR="00366F6C">
        <w:rPr>
          <w:szCs w:val="20"/>
        </w:rPr>
        <w:t>3</w:t>
      </w:r>
      <w:r w:rsidR="00366F6C" w:rsidRPr="008D23AF">
        <w:rPr>
          <w:szCs w:val="20"/>
        </w:rPr>
        <w:t xml:space="preserve"> </w:t>
      </w:r>
      <w:r w:rsidRPr="008D23AF">
        <w:rPr>
          <w:szCs w:val="20"/>
        </w:rPr>
        <w:t xml:space="preserve">« Facteurs de risques » </w:t>
      </w:r>
      <w:r w:rsidR="009F013C">
        <w:rPr>
          <w:szCs w:val="20"/>
        </w:rPr>
        <w:t>du</w:t>
      </w:r>
      <w:r w:rsidR="000A786B">
        <w:rPr>
          <w:szCs w:val="20"/>
        </w:rPr>
        <w:t xml:space="preserve"> </w:t>
      </w:r>
      <w:r w:rsidR="002A7CB3">
        <w:rPr>
          <w:szCs w:val="20"/>
        </w:rPr>
        <w:t>D</w:t>
      </w:r>
      <w:r w:rsidR="00920DEB">
        <w:rPr>
          <w:szCs w:val="20"/>
        </w:rPr>
        <w:t>ocument d’enregistrement universel</w:t>
      </w:r>
      <w:r w:rsidR="001E5AB0">
        <w:rPr>
          <w:szCs w:val="20"/>
        </w:rPr>
        <w:t xml:space="preserve"> </w:t>
      </w:r>
      <w:r w:rsidRPr="008D23AF">
        <w:rPr>
          <w:szCs w:val="20"/>
        </w:rPr>
        <w:t>avant de prendre leur décision d’investissement. La réalisation de tout ou partie de ces risques est susceptible d’avoir un effet négatif sur les activités, la situation, les résultats financiers de la Société ou ses objectifs. Par ailleurs, d’autres risques, non encore identifiés ou considérés comme non sig</w:t>
      </w:r>
      <w:r w:rsidR="00F177C8">
        <w:rPr>
          <w:szCs w:val="20"/>
        </w:rPr>
        <w:t>nificatifs par la Société à la d</w:t>
      </w:r>
      <w:r w:rsidRPr="008D23AF">
        <w:rPr>
          <w:szCs w:val="20"/>
        </w:rPr>
        <w:t xml:space="preserve">ate du </w:t>
      </w:r>
      <w:r w:rsidR="00920DEB">
        <w:rPr>
          <w:szCs w:val="20"/>
        </w:rPr>
        <w:t>Document d’enregistrement universel</w:t>
      </w:r>
      <w:r w:rsidRPr="008D23AF">
        <w:rPr>
          <w:szCs w:val="20"/>
        </w:rPr>
        <w:t xml:space="preserve">, pourraient </w:t>
      </w:r>
      <w:r w:rsidR="0040365B">
        <w:rPr>
          <w:szCs w:val="20"/>
        </w:rPr>
        <w:t xml:space="preserve">voir le jour et </w:t>
      </w:r>
      <w:r w:rsidRPr="008D23AF">
        <w:rPr>
          <w:szCs w:val="20"/>
        </w:rPr>
        <w:t>avoir le même effet négatif et les investisseurs pourraient perdre tout ou partie de leur investissement.</w:t>
      </w:r>
    </w:p>
    <w:p w14:paraId="3AF36F76" w14:textId="77777777" w:rsidR="008D23AF" w:rsidRPr="00440924" w:rsidRDefault="008D23AF" w:rsidP="008D23AF">
      <w:pPr>
        <w:pStyle w:val="Titre5"/>
        <w:spacing w:before="360"/>
        <w:rPr>
          <w:rFonts w:asciiTheme="majorHAnsi" w:hAnsiTheme="majorHAnsi"/>
        </w:rPr>
      </w:pPr>
      <w:r w:rsidRPr="00440924">
        <w:rPr>
          <w:rFonts w:asciiTheme="majorHAnsi" w:hAnsiTheme="majorHAnsi"/>
        </w:rPr>
        <w:t>Informations prospectives</w:t>
      </w:r>
    </w:p>
    <w:p w14:paraId="2807DF61" w14:textId="6D4F4B6E" w:rsidR="008D23AF" w:rsidRPr="008D23AF" w:rsidRDefault="008D23AF" w:rsidP="008D23AF">
      <w:pPr>
        <w:rPr>
          <w:szCs w:val="20"/>
        </w:rPr>
      </w:pPr>
      <w:r w:rsidRPr="008D23AF">
        <w:rPr>
          <w:szCs w:val="20"/>
        </w:rPr>
        <w:t xml:space="preserve">Le </w:t>
      </w:r>
      <w:r w:rsidR="002A7CB3">
        <w:rPr>
          <w:szCs w:val="20"/>
        </w:rPr>
        <w:t>D</w:t>
      </w:r>
      <w:r w:rsidR="00920DEB">
        <w:rPr>
          <w:szCs w:val="20"/>
        </w:rPr>
        <w:t>ocument d’enregistrement universel</w:t>
      </w:r>
      <w:r w:rsidR="000A786B">
        <w:rPr>
          <w:szCs w:val="20"/>
        </w:rPr>
        <w:t xml:space="preserve"> </w:t>
      </w:r>
      <w:r w:rsidRPr="008D23AF">
        <w:rPr>
          <w:szCs w:val="20"/>
        </w:rPr>
        <w:t xml:space="preserve">contient des indications sur les objectifs ainsi que les axes de développement de la Société. Ces indications sont parfois identifiées par l’utilisation du futur, du conditionnel et de termes à caractère prospectif tels que « considérer », « envisager », « penser », « avoir pour objectif », « s’attendre à », « entendre », « devoir », « ambitionner », « estimer », « croire », « souhaiter », « pouvoir », ou, le cas échéant, la forme négative de ces mêmes termes, ou toute autre variante ou terminologie similaire. L’attention du lecteur est attirée sur le fait que ces objectifs et ces axes de développement dépendent de circonstances ou de faits dont la survenance ou la réalisation est incertaine. Ces objectifs et axes de développement ne sont pas des données historiques et ne doivent pas être interprétés comme des garanties que les faits et données énoncés se produiront, que les hypothèses seront vérifiées ou que les objectifs seront atteints. Par nature, ces objectifs pourraient ne pas être réalisés et les déclarations ou informations figurant dans le présent </w:t>
      </w:r>
      <w:r w:rsidR="00920DEB">
        <w:rPr>
          <w:szCs w:val="20"/>
        </w:rPr>
        <w:t>Document d’enregistrement universel</w:t>
      </w:r>
      <w:r w:rsidR="00EB0877">
        <w:rPr>
          <w:szCs w:val="20"/>
        </w:rPr>
        <w:t xml:space="preserve"> </w:t>
      </w:r>
      <w:r w:rsidRPr="008D23AF">
        <w:rPr>
          <w:szCs w:val="20"/>
        </w:rPr>
        <w:t xml:space="preserve">pourraient se révéler erronées, sans que la Société se trouve soumise de quelque manière que ce soit à une obligation de mise à jour, sous réserve de la réglementation applicable et notamment du </w:t>
      </w:r>
      <w:r w:rsidR="00161B48">
        <w:rPr>
          <w:szCs w:val="20"/>
        </w:rPr>
        <w:t>r</w:t>
      </w:r>
      <w:r w:rsidR="00161B48" w:rsidRPr="008D23AF">
        <w:rPr>
          <w:szCs w:val="20"/>
        </w:rPr>
        <w:t>èglement général de l’A</w:t>
      </w:r>
      <w:r w:rsidR="00161B48">
        <w:rPr>
          <w:szCs w:val="20"/>
        </w:rPr>
        <w:t>MF</w:t>
      </w:r>
    </w:p>
    <w:p w14:paraId="51115A17" w14:textId="32623AD6" w:rsidR="000A786B" w:rsidRDefault="000A786B">
      <w:pPr>
        <w:jc w:val="left"/>
        <w:rPr>
          <w:szCs w:val="20"/>
        </w:rPr>
      </w:pPr>
      <w:r>
        <w:rPr>
          <w:szCs w:val="20"/>
        </w:rPr>
        <w:br w:type="page"/>
      </w:r>
    </w:p>
    <w:p w14:paraId="190ECEAD" w14:textId="3CD9797C" w:rsidR="00090210" w:rsidRPr="00913E29" w:rsidRDefault="00090210" w:rsidP="00913E29">
      <w:pPr>
        <w:pStyle w:val="Titre1"/>
      </w:pPr>
      <w:bookmarkStart w:id="2" w:name="_Toc351994578"/>
      <w:bookmarkStart w:id="3" w:name="_Toc475033146"/>
      <w:r w:rsidRPr="00913E29">
        <w:lastRenderedPageBreak/>
        <w:t>1. PERSONNES RESPONSABLES</w:t>
      </w:r>
      <w:bookmarkEnd w:id="2"/>
      <w:r w:rsidR="00DA4354" w:rsidRPr="00DA4354">
        <w:t>, INFORMATIONS PROVENANT D'UN TIERS, RAPPORT D'EXPERTS ET APPROBATION DE L'AUTORITE COMPETENTE</w:t>
      </w:r>
      <w:bookmarkEnd w:id="3"/>
    </w:p>
    <w:p w14:paraId="07CFC157" w14:textId="77777777" w:rsidR="0071166F" w:rsidRDefault="0071166F" w:rsidP="00A601E8">
      <w:pPr>
        <w:pStyle w:val="Titre2"/>
      </w:pPr>
      <w:bookmarkStart w:id="4" w:name="_Toc351994579"/>
    </w:p>
    <w:p w14:paraId="681B7546" w14:textId="7461D845" w:rsidR="00090210" w:rsidRPr="00A601E8" w:rsidRDefault="00090210" w:rsidP="00A601E8">
      <w:pPr>
        <w:pStyle w:val="Titre2"/>
      </w:pPr>
      <w:bookmarkStart w:id="5" w:name="_Toc475033147"/>
      <w:r w:rsidRPr="00A601E8">
        <w:t>1.1. R</w:t>
      </w:r>
      <w:r w:rsidR="00036E0A">
        <w:t xml:space="preserve">esponsable du </w:t>
      </w:r>
      <w:r w:rsidR="00920DEB">
        <w:t>Document d’enregistrement universel</w:t>
      </w:r>
      <w:bookmarkEnd w:id="5"/>
      <w:r w:rsidR="00036E0A">
        <w:t xml:space="preserve"> </w:t>
      </w:r>
      <w:bookmarkEnd w:id="4"/>
    </w:p>
    <w:p w14:paraId="006EE1A4" w14:textId="77777777" w:rsidR="00090210" w:rsidRPr="00090210" w:rsidRDefault="00090210" w:rsidP="00090210"/>
    <w:p w14:paraId="38D2F093" w14:textId="2A9C5CB1" w:rsidR="00090210" w:rsidRPr="00090210" w:rsidRDefault="00A03E68" w:rsidP="0014066D">
      <w:r>
        <w:t xml:space="preserve">M. </w:t>
      </w:r>
      <w:r w:rsidR="0014066D">
        <w:t xml:space="preserve">Stéphane Le </w:t>
      </w:r>
      <w:r w:rsidR="007A74D3">
        <w:t>Roux</w:t>
      </w:r>
      <w:r w:rsidR="0014066D">
        <w:t xml:space="preserve">, </w:t>
      </w:r>
      <w:r w:rsidR="00090210" w:rsidRPr="00090210">
        <w:t>Président Directeur Général</w:t>
      </w:r>
      <w:r w:rsidR="00BD79BD">
        <w:t>.</w:t>
      </w:r>
    </w:p>
    <w:p w14:paraId="6A3AA1FB" w14:textId="3344CBD8" w:rsidR="0014066D" w:rsidRDefault="0014066D" w:rsidP="0014066D">
      <w:r>
        <w:t>7 Allé</w:t>
      </w:r>
      <w:r w:rsidR="00BD79BD">
        <w:t xml:space="preserve">e du Moulin Berger, Bâtiment 7 – </w:t>
      </w:r>
      <w:r>
        <w:t>69130 Ecully</w:t>
      </w:r>
      <w:r w:rsidR="00BD79BD">
        <w:t>.</w:t>
      </w:r>
    </w:p>
    <w:p w14:paraId="0A6F91C3" w14:textId="1D331FBC" w:rsidR="00090210" w:rsidRPr="007A74D3" w:rsidRDefault="00090210" w:rsidP="007A74D3">
      <w:r w:rsidRPr="007A74D3">
        <w:t xml:space="preserve">Téléphone : +33 4 </w:t>
      </w:r>
      <w:r w:rsidR="007A74D3" w:rsidRPr="007A74D3">
        <w:t>72 77 01 52</w:t>
      </w:r>
    </w:p>
    <w:p w14:paraId="70B6CD75" w14:textId="77777777" w:rsidR="00090210" w:rsidRDefault="00090210" w:rsidP="003E0334">
      <w:pPr>
        <w:tabs>
          <w:tab w:val="right" w:leader="dot" w:pos="8505"/>
        </w:tabs>
        <w:rPr>
          <w:b/>
        </w:rPr>
      </w:pPr>
    </w:p>
    <w:p w14:paraId="2FF4F951" w14:textId="3541C82E" w:rsidR="00090210" w:rsidRPr="00A601E8" w:rsidRDefault="00090210" w:rsidP="00A601E8">
      <w:pPr>
        <w:pStyle w:val="Titre2"/>
      </w:pPr>
      <w:bookmarkStart w:id="6" w:name="_Ref374275844"/>
      <w:bookmarkStart w:id="7" w:name="_Toc351994580"/>
      <w:bookmarkStart w:id="8" w:name="_Ref339872371"/>
      <w:bookmarkStart w:id="9" w:name="_Ref341200339"/>
      <w:bookmarkStart w:id="10" w:name="_Toc475033148"/>
      <w:r w:rsidRPr="00A601E8">
        <w:t>1.2. A</w:t>
      </w:r>
      <w:r w:rsidR="00036E0A">
        <w:t>ttestation de la personne responsable</w:t>
      </w:r>
      <w:bookmarkEnd w:id="6"/>
      <w:bookmarkEnd w:id="10"/>
      <w:r w:rsidR="00036E0A">
        <w:t xml:space="preserve"> </w:t>
      </w:r>
      <w:bookmarkEnd w:id="7"/>
      <w:bookmarkEnd w:id="8"/>
      <w:bookmarkEnd w:id="9"/>
    </w:p>
    <w:p w14:paraId="640D5CFC" w14:textId="77777777" w:rsidR="00090210" w:rsidRPr="00440924" w:rsidRDefault="00090210" w:rsidP="00090210"/>
    <w:p w14:paraId="6058F0FC" w14:textId="51B7D0B1" w:rsidR="005B42F0" w:rsidRDefault="001C46EF" w:rsidP="001C46EF">
      <w:pPr>
        <w:rPr>
          <w:bCs/>
        </w:rPr>
      </w:pPr>
      <w:r w:rsidRPr="001C46EF">
        <w:rPr>
          <w:bCs/>
        </w:rPr>
        <w:t xml:space="preserve">J’atteste, après avoir pris toute mesure raisonnable à cet effet, que les informations contenues dans le présent </w:t>
      </w:r>
      <w:r w:rsidR="005B42F0">
        <w:rPr>
          <w:bCs/>
        </w:rPr>
        <w:t>D</w:t>
      </w:r>
      <w:r w:rsidR="005B42F0" w:rsidRPr="001C46EF">
        <w:rPr>
          <w:bCs/>
        </w:rPr>
        <w:t xml:space="preserve">ocument d’enregistrement universel </w:t>
      </w:r>
      <w:r w:rsidRPr="001C46EF">
        <w:rPr>
          <w:bCs/>
        </w:rPr>
        <w:t xml:space="preserve">sont, à ma connaissance, conformes à la réalité et ne comportent pas d’omission de nature à en altérer la portée. </w:t>
      </w:r>
    </w:p>
    <w:p w14:paraId="62A55489" w14:textId="77777777" w:rsidR="005B42F0" w:rsidRDefault="001C46EF" w:rsidP="001C46EF">
      <w:pPr>
        <w:rPr>
          <w:bCs/>
        </w:rPr>
      </w:pPr>
      <w:r w:rsidRPr="001C46EF">
        <w:rPr>
          <w:bCs/>
        </w:rPr>
        <w:t xml:space="preserve">J’atteste, à ma connaissance, que les comptes sont établis conformément aux normes comptables applicables et donnent une image fidèle du patrimoine, de la situation financière et du résultat de la Société et de l’ensemble des entreprises comprises dans la consolidation, et que le rapport de gestion présente un tableau fidèle de l’évolution des affaires, des résultats et de la situation financière de la Société et de l’ensemble des entreprises comprises dans la consolidation ainsi que la description des principaux risques et incertitudes auxquelles elles sont confrontées. </w:t>
      </w:r>
    </w:p>
    <w:p w14:paraId="22246B12" w14:textId="77777777" w:rsidR="005B42F0" w:rsidRDefault="001C46EF" w:rsidP="001C46EF">
      <w:pPr>
        <w:rPr>
          <w:bCs/>
        </w:rPr>
      </w:pPr>
      <w:r w:rsidRPr="001C46EF">
        <w:rPr>
          <w:bCs/>
        </w:rPr>
        <w:t xml:space="preserve">J’ai obtenu des contrôleurs légaux des comptes une lettre de fin de travaux, dans laquelle ils indiquent avoir procédé à la vérification des informations portant sur la situation financière et les comptes donnés dans le présent </w:t>
      </w:r>
      <w:r w:rsidR="005B42F0">
        <w:rPr>
          <w:bCs/>
        </w:rPr>
        <w:t>D</w:t>
      </w:r>
      <w:r w:rsidR="005B42F0" w:rsidRPr="001C46EF">
        <w:rPr>
          <w:bCs/>
        </w:rPr>
        <w:t xml:space="preserve">ocument d’enregistrement universel </w:t>
      </w:r>
      <w:r w:rsidRPr="001C46EF">
        <w:rPr>
          <w:bCs/>
        </w:rPr>
        <w:t xml:space="preserve">ainsi qu’à la lecture d’ensemble de ce </w:t>
      </w:r>
      <w:r w:rsidR="005B42F0">
        <w:rPr>
          <w:bCs/>
        </w:rPr>
        <w:t>D</w:t>
      </w:r>
      <w:r w:rsidRPr="001C46EF">
        <w:rPr>
          <w:bCs/>
        </w:rPr>
        <w:t xml:space="preserve">ocument d’enregistrement universel. </w:t>
      </w:r>
    </w:p>
    <w:p w14:paraId="7245C396" w14:textId="6A2C55B9" w:rsidR="001C46EF" w:rsidRPr="001C46EF" w:rsidRDefault="001C46EF" w:rsidP="001C46EF">
      <w:pPr>
        <w:rPr>
          <w:bCs/>
        </w:rPr>
      </w:pPr>
      <w:r w:rsidRPr="001C46EF">
        <w:rPr>
          <w:bCs/>
        </w:rPr>
        <w:t xml:space="preserve">Les informations financières historiques présentées dans ce </w:t>
      </w:r>
      <w:r w:rsidR="005B42F0">
        <w:rPr>
          <w:bCs/>
        </w:rPr>
        <w:t>D</w:t>
      </w:r>
      <w:r w:rsidRPr="001C46EF">
        <w:rPr>
          <w:bCs/>
        </w:rPr>
        <w:t>ocument d’enregistrement universel ont fait l’objet de rapports des contrôleurs légaux.</w:t>
      </w:r>
    </w:p>
    <w:p w14:paraId="2B6ECB28" w14:textId="721DEE74" w:rsidR="000340B3" w:rsidRPr="001C46EF" w:rsidRDefault="000340B3" w:rsidP="009B68DD">
      <w:pPr>
        <w:rPr>
          <w:bCs/>
        </w:rPr>
      </w:pPr>
    </w:p>
    <w:p w14:paraId="54748875" w14:textId="6689D992" w:rsidR="000340B3" w:rsidRPr="0027124D" w:rsidRDefault="000340B3" w:rsidP="009B68DD">
      <w:pPr>
        <w:rPr>
          <w:szCs w:val="20"/>
        </w:rPr>
      </w:pPr>
      <w:r w:rsidRPr="000340B3">
        <w:rPr>
          <w:szCs w:val="20"/>
        </w:rPr>
        <w:t>Fait à Ecully, le</w:t>
      </w:r>
      <w:r>
        <w:rPr>
          <w:color w:val="FF0000"/>
          <w:szCs w:val="20"/>
        </w:rPr>
        <w:t xml:space="preserve"> (__) </w:t>
      </w:r>
      <w:r w:rsidRPr="0027124D">
        <w:rPr>
          <w:szCs w:val="20"/>
        </w:rPr>
        <w:t>2021</w:t>
      </w:r>
    </w:p>
    <w:p w14:paraId="4F877D80" w14:textId="77777777" w:rsidR="000340B3" w:rsidRPr="00090210" w:rsidRDefault="000340B3" w:rsidP="009B68DD">
      <w:pPr>
        <w:rPr>
          <w:i/>
        </w:rPr>
      </w:pPr>
    </w:p>
    <w:p w14:paraId="69A8C203" w14:textId="510EEC47" w:rsidR="009B68DD" w:rsidRPr="007A74D3" w:rsidRDefault="00A03E68" w:rsidP="009B68DD">
      <w:pPr>
        <w:rPr>
          <w:bCs/>
        </w:rPr>
      </w:pPr>
      <w:r w:rsidRPr="007A74D3">
        <w:rPr>
          <w:bCs/>
        </w:rPr>
        <w:t xml:space="preserve">M. </w:t>
      </w:r>
      <w:r w:rsidR="0014066D" w:rsidRPr="007A74D3">
        <w:rPr>
          <w:bCs/>
        </w:rPr>
        <w:t>Stéphane Le Roux</w:t>
      </w:r>
    </w:p>
    <w:p w14:paraId="0A27D744" w14:textId="77777777" w:rsidR="009B68DD" w:rsidRPr="007A74D3" w:rsidRDefault="009B68DD" w:rsidP="009B68DD">
      <w:pPr>
        <w:rPr>
          <w:bCs/>
        </w:rPr>
      </w:pPr>
      <w:r w:rsidRPr="007A74D3">
        <w:rPr>
          <w:bCs/>
        </w:rPr>
        <w:t>Président Directeur Général</w:t>
      </w:r>
    </w:p>
    <w:p w14:paraId="358EDF72" w14:textId="77777777" w:rsidR="00090210" w:rsidRDefault="00090210" w:rsidP="003E0334">
      <w:pPr>
        <w:tabs>
          <w:tab w:val="right" w:leader="dot" w:pos="8505"/>
        </w:tabs>
        <w:rPr>
          <w:b/>
        </w:rPr>
      </w:pPr>
    </w:p>
    <w:p w14:paraId="451EE0F2" w14:textId="7DF2180E" w:rsidR="00090210" w:rsidRPr="00A601E8" w:rsidRDefault="00090210" w:rsidP="00A601E8">
      <w:pPr>
        <w:pStyle w:val="Titre2"/>
      </w:pPr>
      <w:bookmarkStart w:id="11" w:name="_Toc351994581"/>
      <w:bookmarkStart w:id="12" w:name="_Toc475033149"/>
      <w:r w:rsidRPr="00A601E8">
        <w:t>1.3 R</w:t>
      </w:r>
      <w:r w:rsidR="00036E0A">
        <w:t>esponsable de l’information financière</w:t>
      </w:r>
      <w:bookmarkEnd w:id="12"/>
      <w:r w:rsidR="00036E0A">
        <w:t xml:space="preserve"> </w:t>
      </w:r>
      <w:bookmarkEnd w:id="11"/>
    </w:p>
    <w:p w14:paraId="4CA87729" w14:textId="77777777" w:rsidR="00090210" w:rsidRPr="00090210" w:rsidRDefault="00090210" w:rsidP="00090210"/>
    <w:p w14:paraId="5485AEDF" w14:textId="72E4FC8F" w:rsidR="0014066D" w:rsidRPr="00090210" w:rsidRDefault="00A03E68" w:rsidP="0014066D">
      <w:r>
        <w:t>M</w:t>
      </w:r>
      <w:r w:rsidR="00E53E2F">
        <w:t>me Myriam Denis</w:t>
      </w:r>
      <w:r w:rsidR="0014066D">
        <w:t xml:space="preserve">, </w:t>
      </w:r>
      <w:r w:rsidR="00E53E2F">
        <w:t xml:space="preserve">Directrice </w:t>
      </w:r>
      <w:r w:rsidR="0027124D">
        <w:t xml:space="preserve">Administrative et </w:t>
      </w:r>
      <w:r w:rsidR="00E53E2F">
        <w:t>Financière</w:t>
      </w:r>
    </w:p>
    <w:p w14:paraId="27928C9C" w14:textId="1DA04C27" w:rsidR="0014066D" w:rsidRDefault="0014066D" w:rsidP="0014066D">
      <w:r>
        <w:t>7 Allée du Moulin Berger, Bâ</w:t>
      </w:r>
      <w:r w:rsidR="00BD79BD">
        <w:t xml:space="preserve">timent 7 – </w:t>
      </w:r>
      <w:r>
        <w:t>69130 Ecully</w:t>
      </w:r>
      <w:r w:rsidR="00BD79BD">
        <w:t>.</w:t>
      </w:r>
    </w:p>
    <w:p w14:paraId="3C291038" w14:textId="22EE17C5" w:rsidR="0014066D" w:rsidRPr="00090210" w:rsidRDefault="0014066D" w:rsidP="0014066D">
      <w:pPr>
        <w:rPr>
          <w:szCs w:val="20"/>
        </w:rPr>
      </w:pPr>
      <w:r w:rsidRPr="00090210">
        <w:rPr>
          <w:szCs w:val="20"/>
        </w:rPr>
        <w:t>Téléphone : +33 4</w:t>
      </w:r>
      <w:r w:rsidR="007A74D3">
        <w:rPr>
          <w:szCs w:val="20"/>
        </w:rPr>
        <w:t xml:space="preserve"> 72 77 83 37</w:t>
      </w:r>
      <w:r w:rsidR="007A74D3">
        <w:rPr>
          <w:color w:val="FF0000"/>
          <w:szCs w:val="20"/>
        </w:rPr>
        <w:t xml:space="preserve"> </w:t>
      </w:r>
    </w:p>
    <w:p w14:paraId="63E362B4" w14:textId="77777777" w:rsidR="00090210" w:rsidRDefault="00090210" w:rsidP="003E0334">
      <w:pPr>
        <w:tabs>
          <w:tab w:val="right" w:leader="dot" w:pos="8505"/>
        </w:tabs>
        <w:rPr>
          <w:b/>
        </w:rPr>
      </w:pPr>
    </w:p>
    <w:p w14:paraId="2FF7603C" w14:textId="77777777" w:rsidR="005B7948" w:rsidRPr="005B7948" w:rsidRDefault="005B7948" w:rsidP="005B7948">
      <w:pPr>
        <w:pStyle w:val="Titre2"/>
      </w:pPr>
      <w:bookmarkStart w:id="13" w:name="_Toc475033150"/>
      <w:r w:rsidRPr="005B7948">
        <w:t>1.4 Attestation relative aux informations provenant d’un tiers</w:t>
      </w:r>
      <w:bookmarkEnd w:id="13"/>
      <w:r w:rsidRPr="005B7948">
        <w:t> </w:t>
      </w:r>
    </w:p>
    <w:p w14:paraId="3D0C9FE5" w14:textId="77777777" w:rsidR="005B7948" w:rsidRDefault="005B7948" w:rsidP="005B7948"/>
    <w:p w14:paraId="4033A0A2" w14:textId="77777777" w:rsidR="005B7948" w:rsidRPr="009C55B6" w:rsidRDefault="005B7948" w:rsidP="005B7948">
      <w:r w:rsidRPr="009C55B6">
        <w:t>Néant. </w:t>
      </w:r>
    </w:p>
    <w:p w14:paraId="5B01500B" w14:textId="77777777" w:rsidR="005B7948" w:rsidRDefault="005B7948" w:rsidP="005B7948">
      <w:pPr>
        <w:jc w:val="left"/>
        <w:rPr>
          <w:rFonts w:ascii="Calibri Light" w:eastAsia="Times New Roman" w:hAnsi="Calibri Light" w:cs="Times New Roman"/>
          <w:color w:val="000000"/>
          <w:szCs w:val="20"/>
        </w:rPr>
      </w:pPr>
    </w:p>
    <w:p w14:paraId="02DCEEA3" w14:textId="77777777" w:rsidR="005B42F0" w:rsidRDefault="005B42F0">
      <w:pPr>
        <w:jc w:val="left"/>
        <w:rPr>
          <w:rFonts w:eastAsiaTheme="majorEastAsia" w:cstheme="majorBidi"/>
          <w:b/>
          <w:bCs/>
          <w:smallCaps/>
          <w:color w:val="4F81BD" w:themeColor="accent1"/>
          <w:sz w:val="26"/>
          <w:szCs w:val="26"/>
        </w:rPr>
      </w:pPr>
      <w:r>
        <w:br w:type="page"/>
      </w:r>
    </w:p>
    <w:p w14:paraId="17A64198" w14:textId="41E17F49" w:rsidR="005B7948" w:rsidRPr="005B7948" w:rsidRDefault="005B7948" w:rsidP="005B7948">
      <w:pPr>
        <w:pStyle w:val="Titre2"/>
      </w:pPr>
      <w:bookmarkStart w:id="14" w:name="_Toc475033151"/>
      <w:r w:rsidRPr="005B7948">
        <w:lastRenderedPageBreak/>
        <w:t>1.5 Déclaration relative à l’approbation préalable de l’autorité compétente</w:t>
      </w:r>
      <w:bookmarkEnd w:id="14"/>
      <w:r w:rsidRPr="005B7948">
        <w:t> </w:t>
      </w:r>
    </w:p>
    <w:p w14:paraId="5C68AF4E" w14:textId="77777777" w:rsidR="005B7948" w:rsidRDefault="005B7948" w:rsidP="005B7948">
      <w:pPr>
        <w:jc w:val="left"/>
        <w:rPr>
          <w:rFonts w:ascii="Calibri Light" w:eastAsia="Times New Roman" w:hAnsi="Calibri Light" w:cs="Times New Roman"/>
          <w:color w:val="000000"/>
          <w:sz w:val="17"/>
          <w:szCs w:val="17"/>
        </w:rPr>
      </w:pPr>
    </w:p>
    <w:p w14:paraId="602F166B" w14:textId="13D7DDA4" w:rsidR="005B7948" w:rsidRPr="005B7948" w:rsidRDefault="005B7948" w:rsidP="005B7948">
      <w:r w:rsidRPr="005B7948">
        <w:t xml:space="preserve">Le présent </w:t>
      </w:r>
      <w:r w:rsidR="007F2EA5">
        <w:t>D</w:t>
      </w:r>
      <w:r w:rsidRPr="005B7948">
        <w:t>ocument d’enregistrement</w:t>
      </w:r>
      <w:r>
        <w:t xml:space="preserve"> universel </w:t>
      </w:r>
      <w:r w:rsidRPr="005B7948">
        <w:t>a été approuvé par l’AMF, en tant qu’autorité compétente au titre du règlement (UE) 2017/1129 et les règlements délégués (UE) n°2019/980 ainsi que</w:t>
      </w:r>
      <w:r w:rsidR="00357009">
        <w:t xml:space="preserve"> le règlement général de l’AMF.</w:t>
      </w:r>
      <w:bookmarkStart w:id="15" w:name="_GoBack"/>
      <w:bookmarkEnd w:id="15"/>
    </w:p>
    <w:p w14:paraId="097BFB8A" w14:textId="59481C56" w:rsidR="005B7948" w:rsidRPr="005B7948" w:rsidRDefault="005B7948" w:rsidP="005B7948">
      <w:r w:rsidRPr="005B7948">
        <w:t xml:space="preserve">L’AMF n’approuve ce </w:t>
      </w:r>
      <w:r>
        <w:t>D</w:t>
      </w:r>
      <w:r w:rsidRPr="005B7948">
        <w:t>ocument d’enregistrement universel qu’en tant que respectant les normes en matière d’exhaustivité, de compréhensibilité et de cohérence imposées par le règlement (UE) 2017/1129. </w:t>
      </w:r>
    </w:p>
    <w:p w14:paraId="746D897D" w14:textId="77777777" w:rsidR="005B7948" w:rsidRPr="005B7948" w:rsidRDefault="005B7948" w:rsidP="005B7948">
      <w:r w:rsidRPr="005B7948">
        <w:t>Cette approbation ne doit pas être considérée comme un avis favorable sur l’émetteur qui fait l’objet du document d’enregistrement. </w:t>
      </w:r>
    </w:p>
    <w:p w14:paraId="29406EA2" w14:textId="7EC1C7CF" w:rsidR="005B7948" w:rsidRPr="005B7948" w:rsidRDefault="005B7948" w:rsidP="005B7948">
      <w:r>
        <w:t>Le présent D</w:t>
      </w:r>
      <w:r w:rsidRPr="005B7948">
        <w:t>ocument d’enregistrement universel peut être utilisé aux fins d’une offre au public de valeurs mobilières ou de l’admission de valeurs mobilières à la négociation sur un marché réglementé s’il est complété par des amendements, le cas échéant, et une note relative aux valeurs mobilières et le résumé approuvés conformément au règlement (UE) 2017/1129. </w:t>
      </w:r>
    </w:p>
    <w:p w14:paraId="254E7360" w14:textId="77777777" w:rsidR="00090210" w:rsidRDefault="00090210" w:rsidP="003E0334">
      <w:pPr>
        <w:tabs>
          <w:tab w:val="right" w:leader="dot" w:pos="8505"/>
        </w:tabs>
        <w:rPr>
          <w:b/>
        </w:rPr>
      </w:pPr>
    </w:p>
    <w:p w14:paraId="4DACF780" w14:textId="77777777" w:rsidR="00090210" w:rsidRDefault="00090210" w:rsidP="003E0334">
      <w:pPr>
        <w:tabs>
          <w:tab w:val="right" w:leader="dot" w:pos="8505"/>
        </w:tabs>
        <w:rPr>
          <w:b/>
        </w:rPr>
      </w:pPr>
    </w:p>
    <w:p w14:paraId="66D8DE40" w14:textId="77777777" w:rsidR="005B42F0" w:rsidRDefault="005B42F0">
      <w:pPr>
        <w:jc w:val="left"/>
        <w:rPr>
          <w:rFonts w:eastAsiaTheme="majorEastAsia" w:cstheme="majorBidi"/>
          <w:b/>
          <w:bCs/>
          <w:color w:val="345A8A" w:themeColor="accent1" w:themeShade="B5"/>
          <w:sz w:val="32"/>
          <w:szCs w:val="32"/>
        </w:rPr>
      </w:pPr>
      <w:bookmarkStart w:id="16" w:name="_Toc351994583"/>
      <w:r>
        <w:br w:type="page"/>
      </w:r>
    </w:p>
    <w:p w14:paraId="690F96B1" w14:textId="70BB91E4" w:rsidR="00090210" w:rsidRPr="00A601E8" w:rsidRDefault="00090210" w:rsidP="00A601E8">
      <w:pPr>
        <w:pStyle w:val="Titre1"/>
      </w:pPr>
      <w:bookmarkStart w:id="17" w:name="_Toc475033152"/>
      <w:r w:rsidRPr="00A601E8">
        <w:lastRenderedPageBreak/>
        <w:t>2. CONTROLEURS LEGAUX DES COMPTES</w:t>
      </w:r>
      <w:bookmarkEnd w:id="16"/>
      <w:bookmarkEnd w:id="17"/>
      <w:r w:rsidRPr="00A601E8">
        <w:tab/>
      </w:r>
    </w:p>
    <w:p w14:paraId="16150375" w14:textId="5759048A" w:rsidR="00090210" w:rsidRPr="00A601E8" w:rsidRDefault="00090210" w:rsidP="00A601E8">
      <w:pPr>
        <w:pStyle w:val="Titre2"/>
      </w:pPr>
      <w:bookmarkStart w:id="18" w:name="_Toc351994584"/>
      <w:bookmarkStart w:id="19" w:name="_Toc475033153"/>
      <w:r w:rsidRPr="00A601E8">
        <w:t>2.1 C</w:t>
      </w:r>
      <w:bookmarkEnd w:id="18"/>
      <w:r w:rsidR="00036E0A">
        <w:t>ommissaires aux comptes titulaires</w:t>
      </w:r>
      <w:bookmarkEnd w:id="19"/>
    </w:p>
    <w:p w14:paraId="3F325C59" w14:textId="77777777" w:rsidR="00090210" w:rsidRDefault="00090210" w:rsidP="00090210"/>
    <w:p w14:paraId="6EF91136" w14:textId="0151CC35" w:rsidR="00FD6EE8" w:rsidRPr="0084408A" w:rsidRDefault="0042743F" w:rsidP="00FD6EE8">
      <w:pPr>
        <w:rPr>
          <w:b/>
        </w:rPr>
      </w:pPr>
      <w:r w:rsidRPr="0084408A">
        <w:rPr>
          <w:b/>
        </w:rPr>
        <w:t>Mazars Gourgue</w:t>
      </w:r>
    </w:p>
    <w:p w14:paraId="06182FE1" w14:textId="3A13CEAB" w:rsidR="0042743F" w:rsidRPr="00366F6C" w:rsidRDefault="00366F6C" w:rsidP="00FD6EE8">
      <w:pPr>
        <w:rPr>
          <w:rFonts w:eastAsia="Calibri" w:cs="Arial"/>
          <w:szCs w:val="18"/>
        </w:rPr>
      </w:pPr>
      <w:r w:rsidRPr="00366F6C">
        <w:rPr>
          <w:rFonts w:eastAsia="Calibri" w:cs="Arial"/>
          <w:szCs w:val="18"/>
        </w:rPr>
        <w:t>2B, avenue Pierre de Coubertin</w:t>
      </w:r>
      <w:r w:rsidRPr="00366F6C" w:rsidDel="00366F6C">
        <w:rPr>
          <w:rFonts w:eastAsia="Calibri" w:cs="Arial"/>
          <w:szCs w:val="18"/>
        </w:rPr>
        <w:t xml:space="preserve"> </w:t>
      </w:r>
      <w:r w:rsidR="00D17706">
        <w:rPr>
          <w:rFonts w:eastAsia="Calibri" w:cs="Arial"/>
          <w:szCs w:val="18"/>
        </w:rPr>
        <w:t xml:space="preserve">- </w:t>
      </w:r>
      <w:r w:rsidR="0042743F" w:rsidRPr="00366F6C">
        <w:rPr>
          <w:rFonts w:eastAsia="Calibri" w:cs="Arial"/>
          <w:szCs w:val="18"/>
        </w:rPr>
        <w:t>38 170 Seyssinet-</w:t>
      </w:r>
      <w:r w:rsidR="004B7C45" w:rsidRPr="004B7C45">
        <w:rPr>
          <w:rFonts w:eastAsia="Calibri" w:cs="Arial"/>
          <w:szCs w:val="18"/>
        </w:rPr>
        <w:t xml:space="preserve"> </w:t>
      </w:r>
      <w:r w:rsidR="004B7C45" w:rsidRPr="00366F6C">
        <w:rPr>
          <w:rFonts w:eastAsia="Calibri" w:cs="Arial"/>
          <w:szCs w:val="18"/>
        </w:rPr>
        <w:t>Pariset</w:t>
      </w:r>
    </w:p>
    <w:p w14:paraId="43E285FB" w14:textId="6646F3E4" w:rsidR="00FD6EE8" w:rsidRPr="0084408A" w:rsidRDefault="00FD6EE8" w:rsidP="00FD6EE8">
      <w:pPr>
        <w:rPr>
          <w:rFonts w:eastAsia="Calibri" w:cs="Arial"/>
          <w:szCs w:val="18"/>
        </w:rPr>
      </w:pPr>
      <w:r w:rsidRPr="0084408A">
        <w:rPr>
          <w:rFonts w:eastAsia="Calibri" w:cs="Arial"/>
          <w:szCs w:val="18"/>
        </w:rPr>
        <w:t xml:space="preserve">Date de début du premier mandat : nomination lors de l'assemblée générale des actionnaires </w:t>
      </w:r>
      <w:r w:rsidRPr="0084408A">
        <w:t xml:space="preserve">du </w:t>
      </w:r>
      <w:r w:rsidR="00D17706">
        <w:t>25 juin 2018</w:t>
      </w:r>
      <w:r w:rsidR="00BD79BD" w:rsidRPr="0084408A">
        <w:t>.</w:t>
      </w:r>
    </w:p>
    <w:p w14:paraId="3E20FF77" w14:textId="4B075662" w:rsidR="00FD6EE8" w:rsidRPr="000E7EDB" w:rsidRDefault="00FD6EE8" w:rsidP="0042743F">
      <w:pPr>
        <w:rPr>
          <w:rFonts w:eastAsia="Calibri" w:cs="Arial"/>
          <w:szCs w:val="18"/>
        </w:rPr>
      </w:pPr>
      <w:r w:rsidRPr="000E7EDB">
        <w:rPr>
          <w:rFonts w:eastAsia="Calibri" w:cs="Arial"/>
          <w:szCs w:val="18"/>
        </w:rPr>
        <w:t>Durée du mandat</w:t>
      </w:r>
      <w:r w:rsidR="00502053">
        <w:rPr>
          <w:rFonts w:eastAsia="Calibri" w:cs="Arial"/>
          <w:szCs w:val="18"/>
        </w:rPr>
        <w:t xml:space="preserve"> </w:t>
      </w:r>
      <w:r w:rsidRPr="000E7EDB">
        <w:rPr>
          <w:rFonts w:eastAsia="Calibri" w:cs="Arial"/>
          <w:szCs w:val="18"/>
        </w:rPr>
        <w:t>: 6 exercices à compter du jour de sa nomination</w:t>
      </w:r>
      <w:r w:rsidR="0042743F" w:rsidRPr="000E7EDB">
        <w:rPr>
          <w:rFonts w:eastAsia="Calibri" w:cs="Arial"/>
          <w:szCs w:val="18"/>
        </w:rPr>
        <w:t>,</w:t>
      </w:r>
      <w:r w:rsidRPr="000E7EDB">
        <w:rPr>
          <w:rFonts w:eastAsia="Calibri" w:cs="Arial"/>
          <w:szCs w:val="18"/>
        </w:rPr>
        <w:t xml:space="preserve"> soit jusqu'à l’issue de la réunion de l’assemblée générale des actionnaires</w:t>
      </w:r>
      <w:r w:rsidRPr="000E7EDB" w:rsidDel="004C4A41">
        <w:rPr>
          <w:rFonts w:eastAsia="Calibri" w:cs="Arial"/>
          <w:szCs w:val="18"/>
        </w:rPr>
        <w:t xml:space="preserve"> </w:t>
      </w:r>
      <w:r w:rsidRPr="000E7EDB">
        <w:rPr>
          <w:rFonts w:eastAsia="Calibri" w:cs="Arial"/>
          <w:szCs w:val="18"/>
        </w:rPr>
        <w:t xml:space="preserve">qui se tiendra en </w:t>
      </w:r>
      <w:r w:rsidR="0042743F" w:rsidRPr="000E7EDB">
        <w:rPr>
          <w:rFonts w:eastAsia="Calibri" w:cs="Arial"/>
          <w:szCs w:val="18"/>
        </w:rPr>
        <w:t>2025</w:t>
      </w:r>
      <w:r w:rsidRPr="000E7EDB">
        <w:rPr>
          <w:rFonts w:eastAsia="Calibri" w:cs="Arial"/>
          <w:szCs w:val="18"/>
        </w:rPr>
        <w:t xml:space="preserve"> pour statuer sur les comptes de l’exercice clos le 31 décembre </w:t>
      </w:r>
      <w:r w:rsidR="007841DE" w:rsidRPr="000E7EDB">
        <w:rPr>
          <w:rFonts w:eastAsia="Calibri" w:cs="Arial"/>
          <w:szCs w:val="18"/>
        </w:rPr>
        <w:t>202</w:t>
      </w:r>
      <w:r w:rsidR="007841DE">
        <w:rPr>
          <w:rFonts w:eastAsia="Calibri" w:cs="Arial"/>
          <w:szCs w:val="18"/>
        </w:rPr>
        <w:t>4</w:t>
      </w:r>
      <w:r w:rsidRPr="000E7EDB">
        <w:rPr>
          <w:rFonts w:eastAsia="Calibri" w:cs="Arial"/>
          <w:szCs w:val="18"/>
        </w:rPr>
        <w:t>.</w:t>
      </w:r>
    </w:p>
    <w:p w14:paraId="03BE7363" w14:textId="77777777" w:rsidR="00FD6EE8" w:rsidRPr="00FD6EE8" w:rsidRDefault="00FD6EE8" w:rsidP="00FD6EE8">
      <w:pPr>
        <w:rPr>
          <w:rFonts w:cs="Arial"/>
          <w:szCs w:val="18"/>
        </w:rPr>
      </w:pPr>
      <w:bookmarkStart w:id="20" w:name="_Toc351994585"/>
    </w:p>
    <w:p w14:paraId="15AA340A" w14:textId="70067B6E" w:rsidR="00090210" w:rsidRPr="00A601E8" w:rsidRDefault="00801F96" w:rsidP="00A601E8">
      <w:pPr>
        <w:pStyle w:val="Titre2"/>
      </w:pPr>
      <w:bookmarkStart w:id="21" w:name="_Toc475033154"/>
      <w:r w:rsidRPr="00A601E8">
        <w:t xml:space="preserve">2.2 </w:t>
      </w:r>
      <w:r w:rsidR="00090210" w:rsidRPr="00A601E8">
        <w:t>C</w:t>
      </w:r>
      <w:bookmarkEnd w:id="20"/>
      <w:r w:rsidR="00036E0A">
        <w:t>ommissaires aux comptes suppléants</w:t>
      </w:r>
      <w:bookmarkEnd w:id="21"/>
    </w:p>
    <w:p w14:paraId="3D9B18D5" w14:textId="77777777" w:rsidR="00801F96" w:rsidRPr="00474EDF" w:rsidRDefault="00801F96" w:rsidP="00801F96">
      <w:pPr>
        <w:rPr>
          <w:color w:val="FF0000"/>
        </w:rPr>
      </w:pPr>
    </w:p>
    <w:p w14:paraId="7BF65CFB" w14:textId="77777777" w:rsidR="0084408A" w:rsidRPr="0084408A" w:rsidRDefault="0084408A" w:rsidP="0084408A">
      <w:pPr>
        <w:rPr>
          <w:b/>
        </w:rPr>
      </w:pPr>
      <w:r w:rsidRPr="0084408A">
        <w:rPr>
          <w:b/>
        </w:rPr>
        <w:t>M. Sylvain Dosse</w:t>
      </w:r>
    </w:p>
    <w:p w14:paraId="5BCD7D59" w14:textId="24EC3F8E" w:rsidR="0037068E" w:rsidRPr="0084408A" w:rsidRDefault="0037068E" w:rsidP="0037068E">
      <w:r>
        <w:t>4</w:t>
      </w:r>
      <w:r w:rsidRPr="0084408A">
        <w:t>2</w:t>
      </w:r>
      <w:r>
        <w:t xml:space="preserve"> bis rue de la tuilerie </w:t>
      </w:r>
      <w:r w:rsidR="00D17706">
        <w:t xml:space="preserve">- </w:t>
      </w:r>
      <w:r w:rsidRPr="0084408A">
        <w:t>38 170 Seyssinet-</w:t>
      </w:r>
      <w:r w:rsidR="004B7C45" w:rsidRPr="004B7C45">
        <w:rPr>
          <w:rFonts w:eastAsia="Calibri" w:cs="Arial"/>
          <w:szCs w:val="18"/>
        </w:rPr>
        <w:t xml:space="preserve"> </w:t>
      </w:r>
      <w:r w:rsidR="004B7C45" w:rsidRPr="00366F6C">
        <w:rPr>
          <w:rFonts w:eastAsia="Calibri" w:cs="Arial"/>
          <w:szCs w:val="18"/>
        </w:rPr>
        <w:t>Pariset</w:t>
      </w:r>
    </w:p>
    <w:p w14:paraId="6C0CFC16" w14:textId="7389BE4C" w:rsidR="0084408A" w:rsidRPr="0084408A" w:rsidRDefault="0084408A" w:rsidP="0084408A">
      <w:pPr>
        <w:rPr>
          <w:rFonts w:eastAsia="Calibri" w:cs="Arial"/>
          <w:szCs w:val="18"/>
        </w:rPr>
      </w:pPr>
      <w:r w:rsidRPr="0084408A">
        <w:rPr>
          <w:rFonts w:eastAsia="Calibri" w:cs="Arial"/>
          <w:szCs w:val="18"/>
        </w:rPr>
        <w:t xml:space="preserve">Date de début du premier mandat : nomination lors de l'assemblée générale des actionnaires </w:t>
      </w:r>
      <w:r w:rsidRPr="0084408A">
        <w:t xml:space="preserve">du </w:t>
      </w:r>
      <w:r w:rsidR="00D17706">
        <w:t>25 juin 2018</w:t>
      </w:r>
      <w:r w:rsidRPr="0084408A">
        <w:t>.</w:t>
      </w:r>
    </w:p>
    <w:p w14:paraId="492FC90F" w14:textId="06565B81" w:rsidR="0084408A" w:rsidRPr="000E7EDB" w:rsidRDefault="0084408A" w:rsidP="0084408A">
      <w:pPr>
        <w:rPr>
          <w:rFonts w:eastAsia="Calibri" w:cs="Arial"/>
          <w:szCs w:val="18"/>
        </w:rPr>
      </w:pPr>
      <w:r w:rsidRPr="000E7EDB">
        <w:rPr>
          <w:rFonts w:eastAsia="Calibri" w:cs="Arial"/>
          <w:szCs w:val="18"/>
        </w:rPr>
        <w:t>Durée du mandat</w:t>
      </w:r>
      <w:r w:rsidR="00502053">
        <w:rPr>
          <w:rFonts w:eastAsia="Calibri" w:cs="Arial"/>
          <w:szCs w:val="18"/>
        </w:rPr>
        <w:t xml:space="preserve"> </w:t>
      </w:r>
      <w:r w:rsidRPr="000E7EDB">
        <w:rPr>
          <w:rFonts w:eastAsia="Calibri" w:cs="Arial"/>
          <w:szCs w:val="18"/>
        </w:rPr>
        <w:t>: 6 exercices à compter du jour de sa nomination, soit jusqu'à l’issue de la réunion de l’assemblée générale des actionnaires</w:t>
      </w:r>
      <w:r w:rsidRPr="000E7EDB" w:rsidDel="004C4A41">
        <w:rPr>
          <w:rFonts w:eastAsia="Calibri" w:cs="Arial"/>
          <w:szCs w:val="18"/>
        </w:rPr>
        <w:t xml:space="preserve"> </w:t>
      </w:r>
      <w:r w:rsidRPr="000E7EDB">
        <w:rPr>
          <w:rFonts w:eastAsia="Calibri" w:cs="Arial"/>
          <w:szCs w:val="18"/>
        </w:rPr>
        <w:t xml:space="preserve">qui se tiendra en 2025 pour statuer sur les comptes de l’exercice clos le 31 décembre </w:t>
      </w:r>
      <w:r w:rsidR="007841DE" w:rsidRPr="000E7EDB">
        <w:rPr>
          <w:rFonts w:eastAsia="Calibri" w:cs="Arial"/>
          <w:szCs w:val="18"/>
        </w:rPr>
        <w:t>202</w:t>
      </w:r>
      <w:r w:rsidR="007841DE">
        <w:rPr>
          <w:rFonts w:eastAsia="Calibri" w:cs="Arial"/>
          <w:szCs w:val="18"/>
        </w:rPr>
        <w:t>4</w:t>
      </w:r>
      <w:r w:rsidRPr="000E7EDB">
        <w:rPr>
          <w:rFonts w:eastAsia="Calibri" w:cs="Arial"/>
          <w:szCs w:val="18"/>
        </w:rPr>
        <w:t>.</w:t>
      </w:r>
    </w:p>
    <w:p w14:paraId="19824C4A" w14:textId="77777777" w:rsidR="0084408A" w:rsidRDefault="0084408A" w:rsidP="003E0334">
      <w:pPr>
        <w:tabs>
          <w:tab w:val="right" w:leader="dot" w:pos="8505"/>
        </w:tabs>
        <w:rPr>
          <w:b/>
        </w:rPr>
      </w:pPr>
    </w:p>
    <w:p w14:paraId="0F30A154" w14:textId="77777777" w:rsidR="00801F96" w:rsidRDefault="00801F96" w:rsidP="003E0334">
      <w:pPr>
        <w:tabs>
          <w:tab w:val="right" w:leader="dot" w:pos="8505"/>
        </w:tabs>
        <w:rPr>
          <w:b/>
        </w:rPr>
      </w:pPr>
    </w:p>
    <w:p w14:paraId="57A9D095" w14:textId="77777777" w:rsidR="00801F96" w:rsidRDefault="00801F96" w:rsidP="003E0334">
      <w:pPr>
        <w:tabs>
          <w:tab w:val="right" w:leader="dot" w:pos="8505"/>
        </w:tabs>
        <w:rPr>
          <w:b/>
        </w:rPr>
      </w:pPr>
    </w:p>
    <w:p w14:paraId="28B3BF65" w14:textId="77777777" w:rsidR="00801F96" w:rsidRDefault="00801F96" w:rsidP="003E0334">
      <w:pPr>
        <w:tabs>
          <w:tab w:val="right" w:leader="dot" w:pos="8505"/>
        </w:tabs>
        <w:rPr>
          <w:b/>
        </w:rPr>
      </w:pPr>
    </w:p>
    <w:p w14:paraId="12C24250" w14:textId="77777777" w:rsidR="00801F96" w:rsidRDefault="00801F96" w:rsidP="003E0334">
      <w:pPr>
        <w:tabs>
          <w:tab w:val="right" w:leader="dot" w:pos="8505"/>
        </w:tabs>
        <w:rPr>
          <w:b/>
        </w:rPr>
      </w:pPr>
    </w:p>
    <w:p w14:paraId="4176A884" w14:textId="77777777" w:rsidR="00801F96" w:rsidRDefault="00801F96" w:rsidP="003E0334">
      <w:pPr>
        <w:tabs>
          <w:tab w:val="right" w:leader="dot" w:pos="8505"/>
        </w:tabs>
        <w:rPr>
          <w:b/>
        </w:rPr>
      </w:pPr>
    </w:p>
    <w:p w14:paraId="002BA54D" w14:textId="77777777" w:rsidR="00801F96" w:rsidRDefault="00801F96" w:rsidP="003E0334">
      <w:pPr>
        <w:tabs>
          <w:tab w:val="right" w:leader="dot" w:pos="8505"/>
        </w:tabs>
        <w:rPr>
          <w:b/>
        </w:rPr>
      </w:pPr>
    </w:p>
    <w:p w14:paraId="25712A2E" w14:textId="77777777" w:rsidR="00801F96" w:rsidRDefault="00801F96" w:rsidP="003E0334">
      <w:pPr>
        <w:tabs>
          <w:tab w:val="right" w:leader="dot" w:pos="8505"/>
        </w:tabs>
        <w:rPr>
          <w:b/>
        </w:rPr>
      </w:pPr>
    </w:p>
    <w:p w14:paraId="016BEAD4" w14:textId="77777777" w:rsidR="00801F96" w:rsidRDefault="00801F96" w:rsidP="003E0334">
      <w:pPr>
        <w:tabs>
          <w:tab w:val="right" w:leader="dot" w:pos="8505"/>
        </w:tabs>
        <w:rPr>
          <w:b/>
        </w:rPr>
      </w:pPr>
    </w:p>
    <w:p w14:paraId="241C66CA" w14:textId="77777777" w:rsidR="00801F96" w:rsidRDefault="00801F96" w:rsidP="003E0334">
      <w:pPr>
        <w:tabs>
          <w:tab w:val="right" w:leader="dot" w:pos="8505"/>
        </w:tabs>
        <w:rPr>
          <w:b/>
        </w:rPr>
      </w:pPr>
    </w:p>
    <w:p w14:paraId="70A00775" w14:textId="77777777" w:rsidR="00801F96" w:rsidRDefault="00801F96" w:rsidP="003E0334">
      <w:pPr>
        <w:tabs>
          <w:tab w:val="right" w:leader="dot" w:pos="8505"/>
        </w:tabs>
        <w:rPr>
          <w:b/>
        </w:rPr>
      </w:pPr>
    </w:p>
    <w:p w14:paraId="1C78BA73" w14:textId="77777777" w:rsidR="00BD6651" w:rsidRDefault="00BD6651">
      <w:pPr>
        <w:jc w:val="left"/>
        <w:rPr>
          <w:rFonts w:eastAsiaTheme="majorEastAsia" w:cstheme="majorBidi"/>
          <w:b/>
          <w:bCs/>
          <w:color w:val="345A8A" w:themeColor="accent1" w:themeShade="B5"/>
          <w:sz w:val="32"/>
          <w:szCs w:val="32"/>
        </w:rPr>
      </w:pPr>
      <w:bookmarkStart w:id="22" w:name="_Toc351994589"/>
      <w:bookmarkStart w:id="23" w:name="_Ref341539758"/>
      <w:r>
        <w:br w:type="page"/>
      </w:r>
    </w:p>
    <w:p w14:paraId="39ACFEF3" w14:textId="7D25569D" w:rsidR="003A794F" w:rsidRPr="00A601E8" w:rsidRDefault="00D76C89" w:rsidP="00A601E8">
      <w:pPr>
        <w:pStyle w:val="Titre1"/>
      </w:pPr>
      <w:bookmarkStart w:id="24" w:name="_Ref474060928"/>
      <w:bookmarkStart w:id="25" w:name="_Toc475033155"/>
      <w:r>
        <w:lastRenderedPageBreak/>
        <w:t>3</w:t>
      </w:r>
      <w:r w:rsidR="003A794F" w:rsidRPr="00A601E8">
        <w:t>. FACTEURS DE RISQUES</w:t>
      </w:r>
      <w:bookmarkEnd w:id="22"/>
      <w:bookmarkEnd w:id="23"/>
      <w:bookmarkEnd w:id="24"/>
      <w:bookmarkEnd w:id="25"/>
      <w:r w:rsidR="003A794F" w:rsidRPr="00A601E8">
        <w:t xml:space="preserve">  </w:t>
      </w:r>
    </w:p>
    <w:p w14:paraId="3CBD87DE" w14:textId="77777777" w:rsidR="003A794F" w:rsidRPr="009475A8" w:rsidRDefault="003A794F" w:rsidP="003A794F"/>
    <w:p w14:paraId="6479584A" w14:textId="32D0F041" w:rsidR="00D76C89" w:rsidRPr="00D76C89" w:rsidRDefault="00D76C89" w:rsidP="00D76C89">
      <w:pPr>
        <w:rPr>
          <w:szCs w:val="20"/>
        </w:rPr>
      </w:pPr>
      <w:r w:rsidRPr="00D76C89">
        <w:rPr>
          <w:szCs w:val="20"/>
        </w:rPr>
        <w:t>Les investisseurs sont invités à prendre en considération l’ensemble des informations contenues dans le Document d'enregistrement universel, y compris les facteurs de risques décrits dans la présente section. </w:t>
      </w:r>
    </w:p>
    <w:p w14:paraId="5E4FABB1" w14:textId="77777777" w:rsidR="00D76C89" w:rsidRDefault="00D76C89" w:rsidP="00D76C89">
      <w:pPr>
        <w:rPr>
          <w:szCs w:val="20"/>
        </w:rPr>
      </w:pPr>
    </w:p>
    <w:p w14:paraId="1E3CF310" w14:textId="046C79A5" w:rsidR="00D76C89" w:rsidRDefault="00D76C89" w:rsidP="00D76C89">
      <w:pPr>
        <w:rPr>
          <w:szCs w:val="20"/>
        </w:rPr>
      </w:pPr>
      <w:r w:rsidRPr="00D76C89">
        <w:rPr>
          <w:szCs w:val="20"/>
        </w:rPr>
        <w:t xml:space="preserve">Sont présentés ci-après les principaux facteurs de risques susceptibles, à la date de publication du Document d’enregistrement universel, d’avoir une incidence négative sur la Société, son activité, sa situation financière, ses résultats ou sa capacité à réaliser ses objectifs. Les facteurs de risques sont spécifiques à la Société. </w:t>
      </w:r>
      <w:r w:rsidRPr="008F5386">
        <w:rPr>
          <w:szCs w:val="20"/>
        </w:rPr>
        <w:t>Ils sont regroupés en cinq catégories et sont classés dans chacune d’entre elles en fonction de leur criticité nette,</w:t>
      </w:r>
      <w:r w:rsidRPr="00D76C89">
        <w:rPr>
          <w:szCs w:val="20"/>
        </w:rPr>
        <w:t xml:space="preserve"> par ordre décroissant. La criticité nette des facteurs de risque est calculée par combinaison de la probabilité d’occurrence du risque et de son niveau de gravité, après prise en compte des mesures de gestion des risques mises en </w:t>
      </w:r>
      <w:r>
        <w:rPr>
          <w:szCs w:val="20"/>
        </w:rPr>
        <w:t>œuvre,</w:t>
      </w:r>
      <w:r w:rsidRPr="00D76C89">
        <w:rPr>
          <w:szCs w:val="20"/>
        </w:rPr>
        <w:t xml:space="preserve"> par la Société. La probabilité d'occurrence du risque</w:t>
      </w:r>
      <w:r w:rsidR="001108F0">
        <w:rPr>
          <w:szCs w:val="20"/>
        </w:rPr>
        <w:t xml:space="preserve"> </w:t>
      </w:r>
      <w:r w:rsidRPr="00D76C89">
        <w:rPr>
          <w:szCs w:val="20"/>
        </w:rPr>
        <w:t>et son impact négatif sont évalués sur trois niveaux (« faible », « moyen » et «</w:t>
      </w:r>
      <w:r>
        <w:rPr>
          <w:szCs w:val="20"/>
        </w:rPr>
        <w:t xml:space="preserve"> élevé »). L’appréciation par Spineway</w:t>
      </w:r>
      <w:r w:rsidRPr="00D76C89">
        <w:rPr>
          <w:szCs w:val="20"/>
        </w:rPr>
        <w:t xml:space="preserve"> de cet ordre d’importance peut être modifiée à tout moment notamment en raison de la survenance de faits nouveaux exogènes ou propres à elle. </w:t>
      </w:r>
    </w:p>
    <w:p w14:paraId="317A879C" w14:textId="77777777" w:rsidR="00D76C89" w:rsidRPr="00D76C89" w:rsidRDefault="00D76C89" w:rsidP="00D76C89">
      <w:pPr>
        <w:rPr>
          <w:szCs w:val="20"/>
        </w:rPr>
      </w:pPr>
    </w:p>
    <w:p w14:paraId="23458109" w14:textId="599D48FA" w:rsidR="00D76C89" w:rsidRDefault="00D76C89" w:rsidP="00D76C89">
      <w:pPr>
        <w:rPr>
          <w:szCs w:val="20"/>
        </w:rPr>
      </w:pPr>
      <w:r w:rsidRPr="00D76C89">
        <w:rPr>
          <w:szCs w:val="20"/>
        </w:rPr>
        <w:t>Les risques présentés ne sont pas les seuls auxquels la Société doit faire face étant entendu que d’autres risques, dont elle n’a pas actuellement connaissance ou qu’elle ne considère pas comme étant significatifs, au jour de la publication du Document d’enregistrement universel, pourraient également avoir une incidence défavorable sur son activité, sa situation financière, ses résultats ou sa capacité à réaliser ses objectifs. Les investisseurs sont invités à examiner attentivement chacun des risques présentés ci-dessous ainsi que l’ensemble des informations contenues dans le Document d’enregistrement universel. </w:t>
      </w:r>
    </w:p>
    <w:p w14:paraId="70413E37" w14:textId="7FF9CA45" w:rsidR="00D76C89" w:rsidRDefault="00D76C89" w:rsidP="00D76C89">
      <w:pPr>
        <w:rPr>
          <w:b/>
          <w:color w:val="FF0000"/>
          <w:szCs w:val="20"/>
        </w:rPr>
      </w:pPr>
    </w:p>
    <w:tbl>
      <w:tblPr>
        <w:tblW w:w="9419" w:type="dxa"/>
        <w:tblInd w:w="55" w:type="dxa"/>
        <w:tblCellMar>
          <w:left w:w="70" w:type="dxa"/>
          <w:right w:w="70" w:type="dxa"/>
        </w:tblCellMar>
        <w:tblLook w:val="04A0" w:firstRow="1" w:lastRow="0" w:firstColumn="1" w:lastColumn="0" w:noHBand="0" w:noVBand="1"/>
      </w:tblPr>
      <w:tblGrid>
        <w:gridCol w:w="840"/>
        <w:gridCol w:w="5979"/>
        <w:gridCol w:w="1300"/>
        <w:gridCol w:w="1300"/>
      </w:tblGrid>
      <w:tr w:rsidR="004706C5" w:rsidRPr="004706C5" w14:paraId="1605F431" w14:textId="77777777" w:rsidTr="0057758C">
        <w:trPr>
          <w:trHeight w:val="397"/>
        </w:trPr>
        <w:tc>
          <w:tcPr>
            <w:tcW w:w="840" w:type="dxa"/>
            <w:tcBorders>
              <w:top w:val="nil"/>
              <w:left w:val="nil"/>
              <w:bottom w:val="nil"/>
              <w:right w:val="nil"/>
            </w:tcBorders>
            <w:shd w:val="clear" w:color="000000" w:fill="000090"/>
            <w:vAlign w:val="center"/>
            <w:hideMark/>
          </w:tcPr>
          <w:p w14:paraId="228E9C49" w14:textId="77777777" w:rsidR="004706C5" w:rsidRPr="004706C5" w:rsidRDefault="004706C5" w:rsidP="004706C5">
            <w:pPr>
              <w:jc w:val="center"/>
              <w:rPr>
                <w:rFonts w:ascii="Calibri" w:eastAsia="Times New Roman" w:hAnsi="Calibri" w:cs="Times New Roman"/>
                <w:b/>
                <w:bCs/>
                <w:color w:val="FFFFFF"/>
                <w:szCs w:val="20"/>
              </w:rPr>
            </w:pPr>
            <w:r w:rsidRPr="004706C5">
              <w:rPr>
                <w:rFonts w:ascii="Calibri" w:eastAsia="Times New Roman" w:hAnsi="Calibri" w:cs="Times New Roman"/>
                <w:b/>
                <w:bCs/>
                <w:color w:val="FFFFFF"/>
                <w:szCs w:val="20"/>
              </w:rPr>
              <w:t>Numéro</w:t>
            </w:r>
          </w:p>
        </w:tc>
        <w:tc>
          <w:tcPr>
            <w:tcW w:w="5979" w:type="dxa"/>
            <w:tcBorders>
              <w:top w:val="nil"/>
              <w:left w:val="nil"/>
              <w:bottom w:val="nil"/>
              <w:right w:val="nil"/>
            </w:tcBorders>
            <w:shd w:val="clear" w:color="000000" w:fill="000090"/>
            <w:vAlign w:val="center"/>
            <w:hideMark/>
          </w:tcPr>
          <w:p w14:paraId="540E5038" w14:textId="77777777" w:rsidR="004706C5" w:rsidRPr="004706C5" w:rsidRDefault="004706C5" w:rsidP="004706C5">
            <w:pPr>
              <w:jc w:val="center"/>
              <w:rPr>
                <w:rFonts w:ascii="Calibri" w:eastAsia="Times New Roman" w:hAnsi="Calibri" w:cs="Times New Roman"/>
                <w:b/>
                <w:bCs/>
                <w:color w:val="FFFFFF"/>
                <w:szCs w:val="20"/>
              </w:rPr>
            </w:pPr>
            <w:r w:rsidRPr="004706C5">
              <w:rPr>
                <w:rFonts w:ascii="Calibri" w:eastAsia="Times New Roman" w:hAnsi="Calibri" w:cs="Times New Roman"/>
                <w:b/>
                <w:bCs/>
                <w:color w:val="FFFFFF"/>
                <w:szCs w:val="20"/>
              </w:rPr>
              <w:t>Intitulé du risque</w:t>
            </w:r>
          </w:p>
        </w:tc>
        <w:tc>
          <w:tcPr>
            <w:tcW w:w="1300" w:type="dxa"/>
            <w:tcBorders>
              <w:top w:val="nil"/>
              <w:left w:val="nil"/>
              <w:bottom w:val="nil"/>
              <w:right w:val="nil"/>
            </w:tcBorders>
            <w:shd w:val="clear" w:color="000000" w:fill="000090"/>
            <w:vAlign w:val="center"/>
            <w:hideMark/>
          </w:tcPr>
          <w:p w14:paraId="44285AEC" w14:textId="77777777" w:rsidR="004706C5" w:rsidRPr="004706C5" w:rsidRDefault="004706C5" w:rsidP="004706C5">
            <w:pPr>
              <w:jc w:val="center"/>
              <w:rPr>
                <w:rFonts w:ascii="Calibri" w:eastAsia="Times New Roman" w:hAnsi="Calibri" w:cs="Times New Roman"/>
                <w:b/>
                <w:bCs/>
                <w:color w:val="FFFFFF"/>
                <w:szCs w:val="20"/>
              </w:rPr>
            </w:pPr>
            <w:r w:rsidRPr="004706C5">
              <w:rPr>
                <w:rFonts w:ascii="Calibri" w:eastAsia="Times New Roman" w:hAnsi="Calibri" w:cs="Times New Roman"/>
                <w:b/>
                <w:bCs/>
                <w:color w:val="FFFFFF"/>
                <w:szCs w:val="20"/>
              </w:rPr>
              <w:t>Probabilité d'occurrence</w:t>
            </w:r>
          </w:p>
        </w:tc>
        <w:tc>
          <w:tcPr>
            <w:tcW w:w="1300" w:type="dxa"/>
            <w:tcBorders>
              <w:top w:val="nil"/>
              <w:left w:val="nil"/>
              <w:bottom w:val="nil"/>
              <w:right w:val="nil"/>
            </w:tcBorders>
            <w:shd w:val="clear" w:color="000000" w:fill="000090"/>
            <w:vAlign w:val="center"/>
            <w:hideMark/>
          </w:tcPr>
          <w:p w14:paraId="5B34DCC2" w14:textId="77777777" w:rsidR="004706C5" w:rsidRPr="004706C5" w:rsidRDefault="004706C5" w:rsidP="004706C5">
            <w:pPr>
              <w:jc w:val="center"/>
              <w:rPr>
                <w:rFonts w:ascii="Calibri" w:eastAsia="Times New Roman" w:hAnsi="Calibri" w:cs="Times New Roman"/>
                <w:b/>
                <w:bCs/>
                <w:color w:val="FFFFFF"/>
                <w:szCs w:val="20"/>
              </w:rPr>
            </w:pPr>
            <w:r w:rsidRPr="004706C5">
              <w:rPr>
                <w:rFonts w:ascii="Calibri" w:eastAsia="Times New Roman" w:hAnsi="Calibri" w:cs="Times New Roman"/>
                <w:b/>
                <w:bCs/>
                <w:color w:val="FFFFFF"/>
                <w:szCs w:val="20"/>
              </w:rPr>
              <w:t>Impact du risque</w:t>
            </w:r>
          </w:p>
        </w:tc>
      </w:tr>
      <w:tr w:rsidR="00976C36" w:rsidRPr="004706C5" w14:paraId="5518B82C" w14:textId="77777777" w:rsidTr="00976C36">
        <w:trPr>
          <w:trHeight w:val="397"/>
        </w:trPr>
        <w:tc>
          <w:tcPr>
            <w:tcW w:w="9419" w:type="dxa"/>
            <w:gridSpan w:val="4"/>
            <w:tcBorders>
              <w:top w:val="nil"/>
              <w:left w:val="nil"/>
              <w:bottom w:val="nil"/>
              <w:right w:val="nil"/>
            </w:tcBorders>
            <w:shd w:val="clear" w:color="000000" w:fill="B8CCE4"/>
            <w:vAlign w:val="center"/>
            <w:hideMark/>
          </w:tcPr>
          <w:p w14:paraId="3A6BD009" w14:textId="76D77158" w:rsidR="00976C36" w:rsidRPr="004706C5" w:rsidRDefault="00976C36" w:rsidP="00976C36">
            <w:pPr>
              <w:jc w:val="center"/>
              <w:rPr>
                <w:rFonts w:ascii="Calibri" w:eastAsia="Times New Roman" w:hAnsi="Calibri" w:cs="Times New Roman"/>
                <w:b/>
                <w:bCs/>
                <w:color w:val="000000"/>
                <w:szCs w:val="20"/>
              </w:rPr>
            </w:pPr>
            <w:r>
              <w:rPr>
                <w:rFonts w:ascii="Calibri" w:eastAsia="Times New Roman" w:hAnsi="Calibri" w:cs="Times New Roman"/>
                <w:b/>
                <w:bCs/>
                <w:color w:val="000000"/>
                <w:szCs w:val="20"/>
              </w:rPr>
              <w:t>1</w:t>
            </w:r>
            <w:r w:rsidRPr="004706C5">
              <w:rPr>
                <w:rFonts w:ascii="Calibri" w:eastAsia="Times New Roman" w:hAnsi="Calibri" w:cs="Times New Roman"/>
                <w:b/>
                <w:bCs/>
                <w:color w:val="000000"/>
                <w:szCs w:val="20"/>
              </w:rPr>
              <w:t>- Risques financiers</w:t>
            </w:r>
          </w:p>
        </w:tc>
      </w:tr>
      <w:tr w:rsidR="00976C36" w:rsidRPr="004706C5" w14:paraId="362943DE" w14:textId="77777777" w:rsidTr="00976C36">
        <w:trPr>
          <w:trHeight w:val="397"/>
        </w:trPr>
        <w:tc>
          <w:tcPr>
            <w:tcW w:w="840" w:type="dxa"/>
            <w:tcBorders>
              <w:top w:val="nil"/>
              <w:left w:val="nil"/>
              <w:bottom w:val="nil"/>
              <w:right w:val="nil"/>
            </w:tcBorders>
            <w:shd w:val="clear" w:color="auto" w:fill="auto"/>
            <w:vAlign w:val="center"/>
            <w:hideMark/>
          </w:tcPr>
          <w:p w14:paraId="305E44BB" w14:textId="697ADB5B" w:rsidR="00976C36" w:rsidRPr="004706C5" w:rsidRDefault="00976C36" w:rsidP="00976C36">
            <w:pPr>
              <w:jc w:val="center"/>
              <w:rPr>
                <w:rFonts w:ascii="Calibri" w:eastAsia="Times New Roman" w:hAnsi="Calibri" w:cs="Times New Roman"/>
                <w:color w:val="000000"/>
                <w:szCs w:val="20"/>
              </w:rPr>
            </w:pPr>
            <w:r>
              <w:rPr>
                <w:rFonts w:ascii="Calibri" w:eastAsia="Times New Roman" w:hAnsi="Calibri" w:cs="Times New Roman"/>
                <w:color w:val="000000"/>
                <w:szCs w:val="20"/>
              </w:rPr>
              <w:t>1</w:t>
            </w:r>
          </w:p>
        </w:tc>
        <w:tc>
          <w:tcPr>
            <w:tcW w:w="5979" w:type="dxa"/>
            <w:tcBorders>
              <w:top w:val="nil"/>
              <w:left w:val="nil"/>
              <w:bottom w:val="nil"/>
              <w:right w:val="nil"/>
            </w:tcBorders>
            <w:shd w:val="clear" w:color="auto" w:fill="auto"/>
            <w:vAlign w:val="center"/>
            <w:hideMark/>
          </w:tcPr>
          <w:p w14:paraId="2B7F7E1F" w14:textId="77777777" w:rsidR="00976C36" w:rsidRPr="004706C5" w:rsidRDefault="00976C36" w:rsidP="00976C36">
            <w:pPr>
              <w:jc w:val="left"/>
              <w:rPr>
                <w:rFonts w:ascii="Calibri" w:eastAsia="Times New Roman" w:hAnsi="Calibri" w:cs="Times New Roman"/>
                <w:color w:val="000000"/>
                <w:szCs w:val="20"/>
              </w:rPr>
            </w:pPr>
            <w:r w:rsidRPr="004706C5">
              <w:rPr>
                <w:rFonts w:ascii="Calibri" w:eastAsia="Times New Roman" w:hAnsi="Calibri" w:cs="Times New Roman"/>
                <w:color w:val="000000"/>
                <w:szCs w:val="20"/>
              </w:rPr>
              <w:t>Risque de dilution</w:t>
            </w:r>
          </w:p>
        </w:tc>
        <w:tc>
          <w:tcPr>
            <w:tcW w:w="1300" w:type="dxa"/>
            <w:tcBorders>
              <w:top w:val="nil"/>
              <w:left w:val="nil"/>
              <w:bottom w:val="nil"/>
              <w:right w:val="nil"/>
            </w:tcBorders>
            <w:shd w:val="clear" w:color="auto" w:fill="auto"/>
            <w:vAlign w:val="center"/>
            <w:hideMark/>
          </w:tcPr>
          <w:p w14:paraId="551629FA" w14:textId="77777777" w:rsidR="00976C36" w:rsidRPr="004706C5" w:rsidRDefault="00976C36" w:rsidP="00976C36">
            <w:pPr>
              <w:jc w:val="center"/>
              <w:rPr>
                <w:rFonts w:ascii="Calibri" w:eastAsia="Times New Roman" w:hAnsi="Calibri" w:cs="Times New Roman"/>
                <w:color w:val="000000"/>
                <w:szCs w:val="20"/>
              </w:rPr>
            </w:pPr>
            <w:r w:rsidRPr="004706C5">
              <w:rPr>
                <w:rFonts w:ascii="Calibri" w:eastAsia="Times New Roman" w:hAnsi="Calibri" w:cs="Times New Roman"/>
                <w:color w:val="000000"/>
                <w:szCs w:val="20"/>
              </w:rPr>
              <w:t>Elevé</w:t>
            </w:r>
          </w:p>
        </w:tc>
        <w:tc>
          <w:tcPr>
            <w:tcW w:w="1300" w:type="dxa"/>
            <w:tcBorders>
              <w:top w:val="nil"/>
              <w:left w:val="nil"/>
              <w:bottom w:val="nil"/>
              <w:right w:val="nil"/>
            </w:tcBorders>
            <w:shd w:val="clear" w:color="auto" w:fill="auto"/>
            <w:vAlign w:val="center"/>
            <w:hideMark/>
          </w:tcPr>
          <w:p w14:paraId="4E5536EF" w14:textId="77777777" w:rsidR="00976C36" w:rsidRPr="004706C5" w:rsidRDefault="00976C36" w:rsidP="00976C36">
            <w:pPr>
              <w:jc w:val="center"/>
              <w:rPr>
                <w:rFonts w:ascii="Calibri" w:eastAsia="Times New Roman" w:hAnsi="Calibri" w:cs="Times New Roman"/>
                <w:color w:val="000000"/>
                <w:szCs w:val="20"/>
              </w:rPr>
            </w:pPr>
            <w:r w:rsidRPr="004706C5">
              <w:rPr>
                <w:rFonts w:ascii="Calibri" w:eastAsia="Times New Roman" w:hAnsi="Calibri" w:cs="Times New Roman"/>
                <w:color w:val="000000"/>
                <w:szCs w:val="20"/>
              </w:rPr>
              <w:t>Faible</w:t>
            </w:r>
          </w:p>
        </w:tc>
      </w:tr>
      <w:tr w:rsidR="00976C36" w:rsidRPr="004706C5" w14:paraId="46EC5860" w14:textId="77777777" w:rsidTr="00976C36">
        <w:trPr>
          <w:trHeight w:val="397"/>
        </w:trPr>
        <w:tc>
          <w:tcPr>
            <w:tcW w:w="840" w:type="dxa"/>
            <w:tcBorders>
              <w:top w:val="nil"/>
              <w:left w:val="nil"/>
              <w:bottom w:val="nil"/>
              <w:right w:val="nil"/>
            </w:tcBorders>
            <w:shd w:val="clear" w:color="auto" w:fill="auto"/>
            <w:vAlign w:val="center"/>
            <w:hideMark/>
          </w:tcPr>
          <w:p w14:paraId="681D7BB4" w14:textId="4F356761" w:rsidR="00976C36" w:rsidRPr="004706C5" w:rsidRDefault="00976C36" w:rsidP="00976C36">
            <w:pPr>
              <w:jc w:val="center"/>
              <w:rPr>
                <w:rFonts w:ascii="Calibri" w:eastAsia="Times New Roman" w:hAnsi="Calibri" w:cs="Times New Roman"/>
                <w:color w:val="000000"/>
                <w:szCs w:val="20"/>
              </w:rPr>
            </w:pPr>
            <w:r>
              <w:rPr>
                <w:rFonts w:ascii="Calibri" w:eastAsia="Times New Roman" w:hAnsi="Calibri" w:cs="Times New Roman"/>
                <w:color w:val="000000"/>
                <w:szCs w:val="20"/>
              </w:rPr>
              <w:t>2</w:t>
            </w:r>
          </w:p>
        </w:tc>
        <w:tc>
          <w:tcPr>
            <w:tcW w:w="5979" w:type="dxa"/>
            <w:tcBorders>
              <w:top w:val="nil"/>
              <w:left w:val="nil"/>
              <w:bottom w:val="nil"/>
              <w:right w:val="nil"/>
            </w:tcBorders>
            <w:shd w:val="clear" w:color="auto" w:fill="auto"/>
            <w:vAlign w:val="center"/>
            <w:hideMark/>
          </w:tcPr>
          <w:p w14:paraId="4E1FA359" w14:textId="77777777" w:rsidR="00976C36" w:rsidRPr="004706C5" w:rsidRDefault="00976C36" w:rsidP="00976C36">
            <w:pPr>
              <w:jc w:val="left"/>
              <w:rPr>
                <w:rFonts w:ascii="Calibri" w:eastAsia="Times New Roman" w:hAnsi="Calibri" w:cs="Times New Roman"/>
                <w:color w:val="000000"/>
                <w:szCs w:val="20"/>
              </w:rPr>
            </w:pPr>
            <w:r w:rsidRPr="004706C5">
              <w:rPr>
                <w:rFonts w:ascii="Calibri" w:eastAsia="Times New Roman" w:hAnsi="Calibri" w:cs="Times New Roman"/>
                <w:color w:val="000000"/>
                <w:szCs w:val="20"/>
              </w:rPr>
              <w:t>Risque lié à la maitrise du besoin en fonds de roulement</w:t>
            </w:r>
          </w:p>
        </w:tc>
        <w:tc>
          <w:tcPr>
            <w:tcW w:w="1300" w:type="dxa"/>
            <w:tcBorders>
              <w:top w:val="nil"/>
              <w:left w:val="nil"/>
              <w:bottom w:val="nil"/>
              <w:right w:val="nil"/>
            </w:tcBorders>
            <w:shd w:val="clear" w:color="auto" w:fill="auto"/>
            <w:vAlign w:val="center"/>
            <w:hideMark/>
          </w:tcPr>
          <w:p w14:paraId="2ECA69F2" w14:textId="77777777" w:rsidR="00976C36" w:rsidRPr="004706C5" w:rsidRDefault="00976C36" w:rsidP="00976C36">
            <w:pPr>
              <w:jc w:val="center"/>
              <w:rPr>
                <w:rFonts w:ascii="Calibri" w:eastAsia="Times New Roman" w:hAnsi="Calibri" w:cs="Times New Roman"/>
                <w:color w:val="000000"/>
                <w:szCs w:val="20"/>
              </w:rPr>
            </w:pPr>
            <w:r w:rsidRPr="004706C5">
              <w:rPr>
                <w:rFonts w:ascii="Calibri" w:eastAsia="Times New Roman" w:hAnsi="Calibri" w:cs="Times New Roman"/>
                <w:color w:val="000000"/>
                <w:szCs w:val="20"/>
              </w:rPr>
              <w:t>Elevé</w:t>
            </w:r>
          </w:p>
        </w:tc>
        <w:tc>
          <w:tcPr>
            <w:tcW w:w="1300" w:type="dxa"/>
            <w:tcBorders>
              <w:top w:val="nil"/>
              <w:left w:val="nil"/>
              <w:bottom w:val="nil"/>
              <w:right w:val="nil"/>
            </w:tcBorders>
            <w:shd w:val="clear" w:color="auto" w:fill="auto"/>
            <w:vAlign w:val="center"/>
            <w:hideMark/>
          </w:tcPr>
          <w:p w14:paraId="264F2FE0" w14:textId="77777777" w:rsidR="00976C36" w:rsidRPr="004706C5" w:rsidRDefault="00976C36" w:rsidP="00976C36">
            <w:pPr>
              <w:jc w:val="center"/>
              <w:rPr>
                <w:rFonts w:ascii="Calibri" w:eastAsia="Times New Roman" w:hAnsi="Calibri" w:cs="Times New Roman"/>
                <w:color w:val="000000"/>
                <w:szCs w:val="20"/>
              </w:rPr>
            </w:pPr>
            <w:r w:rsidRPr="004706C5">
              <w:rPr>
                <w:rFonts w:ascii="Calibri" w:eastAsia="Times New Roman" w:hAnsi="Calibri" w:cs="Times New Roman"/>
                <w:color w:val="000000"/>
                <w:szCs w:val="20"/>
              </w:rPr>
              <w:t>Moyen</w:t>
            </w:r>
          </w:p>
        </w:tc>
      </w:tr>
      <w:tr w:rsidR="00976C36" w:rsidRPr="004706C5" w14:paraId="21A5362C" w14:textId="77777777" w:rsidTr="00976C36">
        <w:trPr>
          <w:trHeight w:val="397"/>
        </w:trPr>
        <w:tc>
          <w:tcPr>
            <w:tcW w:w="840" w:type="dxa"/>
            <w:tcBorders>
              <w:top w:val="nil"/>
              <w:left w:val="nil"/>
              <w:bottom w:val="nil"/>
              <w:right w:val="nil"/>
            </w:tcBorders>
            <w:shd w:val="clear" w:color="auto" w:fill="auto"/>
            <w:vAlign w:val="center"/>
            <w:hideMark/>
          </w:tcPr>
          <w:p w14:paraId="740736F6" w14:textId="79F8BA97" w:rsidR="00976C36" w:rsidRPr="004706C5" w:rsidRDefault="00976C36" w:rsidP="00976C36">
            <w:pPr>
              <w:jc w:val="center"/>
              <w:rPr>
                <w:rFonts w:ascii="Calibri" w:eastAsia="Times New Roman" w:hAnsi="Calibri" w:cs="Times New Roman"/>
                <w:color w:val="000000"/>
                <w:szCs w:val="20"/>
              </w:rPr>
            </w:pPr>
            <w:r>
              <w:rPr>
                <w:rFonts w:ascii="Calibri" w:eastAsia="Times New Roman" w:hAnsi="Calibri" w:cs="Times New Roman"/>
                <w:color w:val="000000"/>
                <w:szCs w:val="20"/>
              </w:rPr>
              <w:t>3</w:t>
            </w:r>
          </w:p>
        </w:tc>
        <w:tc>
          <w:tcPr>
            <w:tcW w:w="5979" w:type="dxa"/>
            <w:tcBorders>
              <w:top w:val="nil"/>
              <w:left w:val="nil"/>
              <w:bottom w:val="nil"/>
              <w:right w:val="nil"/>
            </w:tcBorders>
            <w:shd w:val="clear" w:color="auto" w:fill="auto"/>
            <w:vAlign w:val="center"/>
            <w:hideMark/>
          </w:tcPr>
          <w:p w14:paraId="53D45E46" w14:textId="77777777" w:rsidR="00976C36" w:rsidRPr="004706C5" w:rsidRDefault="00976C36" w:rsidP="00976C36">
            <w:pPr>
              <w:jc w:val="left"/>
              <w:rPr>
                <w:rFonts w:ascii="Calibri" w:eastAsia="Times New Roman" w:hAnsi="Calibri" w:cs="Times New Roman"/>
                <w:color w:val="000000"/>
                <w:szCs w:val="20"/>
              </w:rPr>
            </w:pPr>
            <w:r w:rsidRPr="004706C5">
              <w:rPr>
                <w:rFonts w:ascii="Calibri" w:eastAsia="Times New Roman" w:hAnsi="Calibri" w:cs="Times New Roman"/>
                <w:color w:val="000000"/>
                <w:szCs w:val="20"/>
              </w:rPr>
              <w:t>Risque de liquidités</w:t>
            </w:r>
          </w:p>
        </w:tc>
        <w:tc>
          <w:tcPr>
            <w:tcW w:w="1300" w:type="dxa"/>
            <w:tcBorders>
              <w:top w:val="nil"/>
              <w:left w:val="nil"/>
              <w:bottom w:val="nil"/>
              <w:right w:val="nil"/>
            </w:tcBorders>
            <w:shd w:val="clear" w:color="auto" w:fill="auto"/>
            <w:vAlign w:val="center"/>
            <w:hideMark/>
          </w:tcPr>
          <w:p w14:paraId="15317448" w14:textId="77777777" w:rsidR="00976C36" w:rsidRPr="004706C5" w:rsidRDefault="00976C36" w:rsidP="00976C36">
            <w:pPr>
              <w:jc w:val="center"/>
              <w:rPr>
                <w:rFonts w:ascii="Calibri" w:eastAsia="Times New Roman" w:hAnsi="Calibri" w:cs="Times New Roman"/>
                <w:color w:val="000000"/>
                <w:szCs w:val="20"/>
              </w:rPr>
            </w:pPr>
            <w:r w:rsidRPr="004706C5">
              <w:rPr>
                <w:rFonts w:ascii="Calibri" w:eastAsia="Times New Roman" w:hAnsi="Calibri" w:cs="Times New Roman"/>
                <w:color w:val="000000"/>
                <w:szCs w:val="20"/>
              </w:rPr>
              <w:t xml:space="preserve">Faible </w:t>
            </w:r>
          </w:p>
        </w:tc>
        <w:tc>
          <w:tcPr>
            <w:tcW w:w="1300" w:type="dxa"/>
            <w:tcBorders>
              <w:top w:val="nil"/>
              <w:left w:val="nil"/>
              <w:bottom w:val="nil"/>
              <w:right w:val="nil"/>
            </w:tcBorders>
            <w:shd w:val="clear" w:color="auto" w:fill="auto"/>
            <w:vAlign w:val="center"/>
            <w:hideMark/>
          </w:tcPr>
          <w:p w14:paraId="2546A142" w14:textId="77777777" w:rsidR="00976C36" w:rsidRPr="004706C5" w:rsidRDefault="00976C36" w:rsidP="00976C36">
            <w:pPr>
              <w:jc w:val="center"/>
              <w:rPr>
                <w:rFonts w:ascii="Calibri" w:eastAsia="Times New Roman" w:hAnsi="Calibri" w:cs="Times New Roman"/>
                <w:color w:val="000000"/>
                <w:szCs w:val="20"/>
              </w:rPr>
            </w:pPr>
            <w:r w:rsidRPr="004706C5">
              <w:rPr>
                <w:rFonts w:ascii="Calibri" w:eastAsia="Times New Roman" w:hAnsi="Calibri" w:cs="Times New Roman"/>
                <w:color w:val="000000"/>
                <w:szCs w:val="20"/>
              </w:rPr>
              <w:t>Moyen</w:t>
            </w:r>
          </w:p>
        </w:tc>
      </w:tr>
      <w:tr w:rsidR="00976C36" w:rsidRPr="004706C5" w14:paraId="5CD47009" w14:textId="77777777" w:rsidTr="00976C36">
        <w:trPr>
          <w:trHeight w:val="397"/>
        </w:trPr>
        <w:tc>
          <w:tcPr>
            <w:tcW w:w="840" w:type="dxa"/>
            <w:tcBorders>
              <w:top w:val="nil"/>
              <w:left w:val="nil"/>
              <w:bottom w:val="nil"/>
              <w:right w:val="nil"/>
            </w:tcBorders>
            <w:shd w:val="clear" w:color="auto" w:fill="auto"/>
            <w:vAlign w:val="center"/>
            <w:hideMark/>
          </w:tcPr>
          <w:p w14:paraId="5A1BFD9D" w14:textId="6E54433E" w:rsidR="00976C36" w:rsidRPr="004706C5" w:rsidRDefault="00976C36" w:rsidP="00976C36">
            <w:pPr>
              <w:jc w:val="center"/>
              <w:rPr>
                <w:rFonts w:ascii="Calibri" w:eastAsia="Times New Roman" w:hAnsi="Calibri" w:cs="Times New Roman"/>
                <w:color w:val="000000"/>
                <w:szCs w:val="20"/>
              </w:rPr>
            </w:pPr>
            <w:r>
              <w:rPr>
                <w:rFonts w:ascii="Calibri" w:eastAsia="Times New Roman" w:hAnsi="Calibri" w:cs="Times New Roman"/>
                <w:color w:val="000000"/>
                <w:szCs w:val="20"/>
              </w:rPr>
              <w:t>4</w:t>
            </w:r>
          </w:p>
        </w:tc>
        <w:tc>
          <w:tcPr>
            <w:tcW w:w="5979" w:type="dxa"/>
            <w:tcBorders>
              <w:top w:val="nil"/>
              <w:left w:val="nil"/>
              <w:bottom w:val="nil"/>
              <w:right w:val="nil"/>
            </w:tcBorders>
            <w:shd w:val="clear" w:color="auto" w:fill="auto"/>
            <w:vAlign w:val="center"/>
            <w:hideMark/>
          </w:tcPr>
          <w:p w14:paraId="7EDD62BF" w14:textId="77777777" w:rsidR="00976C36" w:rsidRPr="004706C5" w:rsidRDefault="00976C36" w:rsidP="00976C36">
            <w:pPr>
              <w:jc w:val="left"/>
              <w:rPr>
                <w:rFonts w:ascii="Calibri" w:eastAsia="Times New Roman" w:hAnsi="Calibri" w:cs="Times New Roman"/>
                <w:color w:val="000000"/>
                <w:szCs w:val="20"/>
              </w:rPr>
            </w:pPr>
            <w:r w:rsidRPr="004706C5">
              <w:rPr>
                <w:rFonts w:ascii="Calibri" w:eastAsia="Times New Roman" w:hAnsi="Calibri" w:cs="Times New Roman"/>
                <w:color w:val="000000"/>
                <w:szCs w:val="20"/>
              </w:rPr>
              <w:t>Risque de taux</w:t>
            </w:r>
          </w:p>
        </w:tc>
        <w:tc>
          <w:tcPr>
            <w:tcW w:w="1300" w:type="dxa"/>
            <w:tcBorders>
              <w:top w:val="nil"/>
              <w:left w:val="nil"/>
              <w:bottom w:val="nil"/>
              <w:right w:val="nil"/>
            </w:tcBorders>
            <w:shd w:val="clear" w:color="auto" w:fill="auto"/>
            <w:vAlign w:val="center"/>
            <w:hideMark/>
          </w:tcPr>
          <w:p w14:paraId="0E223D1D" w14:textId="77777777" w:rsidR="00976C36" w:rsidRPr="004706C5" w:rsidRDefault="00976C36" w:rsidP="00976C36">
            <w:pPr>
              <w:jc w:val="center"/>
              <w:rPr>
                <w:rFonts w:ascii="Calibri" w:eastAsia="Times New Roman" w:hAnsi="Calibri" w:cs="Times New Roman"/>
                <w:color w:val="000000"/>
                <w:szCs w:val="20"/>
              </w:rPr>
            </w:pPr>
            <w:r w:rsidRPr="004706C5">
              <w:rPr>
                <w:rFonts w:ascii="Calibri" w:eastAsia="Times New Roman" w:hAnsi="Calibri" w:cs="Times New Roman"/>
                <w:color w:val="000000"/>
                <w:szCs w:val="20"/>
              </w:rPr>
              <w:t xml:space="preserve">Faible </w:t>
            </w:r>
          </w:p>
        </w:tc>
        <w:tc>
          <w:tcPr>
            <w:tcW w:w="1300" w:type="dxa"/>
            <w:tcBorders>
              <w:top w:val="nil"/>
              <w:left w:val="nil"/>
              <w:bottom w:val="nil"/>
              <w:right w:val="nil"/>
            </w:tcBorders>
            <w:shd w:val="clear" w:color="auto" w:fill="auto"/>
            <w:vAlign w:val="center"/>
            <w:hideMark/>
          </w:tcPr>
          <w:p w14:paraId="528F4199" w14:textId="77777777" w:rsidR="00976C36" w:rsidRPr="004706C5" w:rsidRDefault="00976C36" w:rsidP="00976C36">
            <w:pPr>
              <w:jc w:val="center"/>
              <w:rPr>
                <w:rFonts w:ascii="Calibri" w:eastAsia="Times New Roman" w:hAnsi="Calibri" w:cs="Times New Roman"/>
                <w:color w:val="000000"/>
                <w:szCs w:val="20"/>
              </w:rPr>
            </w:pPr>
            <w:r w:rsidRPr="004706C5">
              <w:rPr>
                <w:rFonts w:ascii="Calibri" w:eastAsia="Times New Roman" w:hAnsi="Calibri" w:cs="Times New Roman"/>
                <w:color w:val="000000"/>
                <w:szCs w:val="20"/>
              </w:rPr>
              <w:t>Faible</w:t>
            </w:r>
          </w:p>
        </w:tc>
      </w:tr>
      <w:tr w:rsidR="00976C36" w:rsidRPr="004706C5" w14:paraId="4B0EBF7D" w14:textId="77777777" w:rsidTr="00976C36">
        <w:trPr>
          <w:trHeight w:val="397"/>
        </w:trPr>
        <w:tc>
          <w:tcPr>
            <w:tcW w:w="840" w:type="dxa"/>
            <w:tcBorders>
              <w:top w:val="nil"/>
              <w:left w:val="nil"/>
              <w:bottom w:val="nil"/>
              <w:right w:val="nil"/>
            </w:tcBorders>
            <w:shd w:val="clear" w:color="auto" w:fill="auto"/>
            <w:vAlign w:val="center"/>
            <w:hideMark/>
          </w:tcPr>
          <w:p w14:paraId="5CDAE0DC" w14:textId="12871DA3" w:rsidR="00976C36" w:rsidRPr="004706C5" w:rsidRDefault="00976C36" w:rsidP="00976C36">
            <w:pPr>
              <w:jc w:val="center"/>
              <w:rPr>
                <w:rFonts w:ascii="Calibri" w:eastAsia="Times New Roman" w:hAnsi="Calibri" w:cs="Times New Roman"/>
                <w:color w:val="000000"/>
                <w:szCs w:val="20"/>
              </w:rPr>
            </w:pPr>
            <w:r>
              <w:rPr>
                <w:rFonts w:ascii="Calibri" w:eastAsia="Times New Roman" w:hAnsi="Calibri" w:cs="Times New Roman"/>
                <w:color w:val="000000"/>
                <w:szCs w:val="20"/>
              </w:rPr>
              <w:t>5</w:t>
            </w:r>
          </w:p>
        </w:tc>
        <w:tc>
          <w:tcPr>
            <w:tcW w:w="5979" w:type="dxa"/>
            <w:tcBorders>
              <w:top w:val="nil"/>
              <w:left w:val="nil"/>
              <w:bottom w:val="nil"/>
              <w:right w:val="nil"/>
            </w:tcBorders>
            <w:shd w:val="clear" w:color="auto" w:fill="auto"/>
            <w:vAlign w:val="center"/>
            <w:hideMark/>
          </w:tcPr>
          <w:p w14:paraId="53F13EB9" w14:textId="77777777" w:rsidR="00976C36" w:rsidRPr="004706C5" w:rsidRDefault="00976C36" w:rsidP="00976C36">
            <w:pPr>
              <w:jc w:val="left"/>
              <w:rPr>
                <w:rFonts w:ascii="Calibri" w:eastAsia="Times New Roman" w:hAnsi="Calibri" w:cs="Times New Roman"/>
                <w:color w:val="000000"/>
                <w:szCs w:val="20"/>
              </w:rPr>
            </w:pPr>
            <w:r w:rsidRPr="004706C5">
              <w:rPr>
                <w:rFonts w:ascii="Calibri" w:eastAsia="Times New Roman" w:hAnsi="Calibri" w:cs="Times New Roman"/>
                <w:color w:val="000000"/>
                <w:szCs w:val="20"/>
              </w:rPr>
              <w:t>Risques de change</w:t>
            </w:r>
          </w:p>
        </w:tc>
        <w:tc>
          <w:tcPr>
            <w:tcW w:w="1300" w:type="dxa"/>
            <w:tcBorders>
              <w:top w:val="nil"/>
              <w:left w:val="nil"/>
              <w:bottom w:val="nil"/>
              <w:right w:val="nil"/>
            </w:tcBorders>
            <w:shd w:val="clear" w:color="auto" w:fill="auto"/>
            <w:vAlign w:val="center"/>
            <w:hideMark/>
          </w:tcPr>
          <w:p w14:paraId="69002123" w14:textId="77777777" w:rsidR="00976C36" w:rsidRPr="004706C5" w:rsidRDefault="00976C36" w:rsidP="00976C36">
            <w:pPr>
              <w:jc w:val="center"/>
              <w:rPr>
                <w:rFonts w:ascii="Calibri" w:eastAsia="Times New Roman" w:hAnsi="Calibri" w:cs="Times New Roman"/>
                <w:color w:val="000000"/>
                <w:szCs w:val="20"/>
              </w:rPr>
            </w:pPr>
            <w:r w:rsidRPr="004706C5">
              <w:rPr>
                <w:rFonts w:ascii="Calibri" w:eastAsia="Times New Roman" w:hAnsi="Calibri" w:cs="Times New Roman"/>
                <w:color w:val="000000"/>
                <w:szCs w:val="20"/>
              </w:rPr>
              <w:t xml:space="preserve">Faible </w:t>
            </w:r>
          </w:p>
        </w:tc>
        <w:tc>
          <w:tcPr>
            <w:tcW w:w="1300" w:type="dxa"/>
            <w:tcBorders>
              <w:top w:val="nil"/>
              <w:left w:val="nil"/>
              <w:bottom w:val="nil"/>
              <w:right w:val="nil"/>
            </w:tcBorders>
            <w:shd w:val="clear" w:color="auto" w:fill="auto"/>
            <w:vAlign w:val="center"/>
            <w:hideMark/>
          </w:tcPr>
          <w:p w14:paraId="45042510" w14:textId="77777777" w:rsidR="00976C36" w:rsidRPr="004706C5" w:rsidRDefault="00976C36" w:rsidP="00976C36">
            <w:pPr>
              <w:jc w:val="center"/>
              <w:rPr>
                <w:rFonts w:ascii="Calibri" w:eastAsia="Times New Roman" w:hAnsi="Calibri" w:cs="Times New Roman"/>
                <w:color w:val="000000"/>
                <w:szCs w:val="20"/>
              </w:rPr>
            </w:pPr>
            <w:r w:rsidRPr="004706C5">
              <w:rPr>
                <w:rFonts w:ascii="Calibri" w:eastAsia="Times New Roman" w:hAnsi="Calibri" w:cs="Times New Roman"/>
                <w:color w:val="000000"/>
                <w:szCs w:val="20"/>
              </w:rPr>
              <w:t>Faible</w:t>
            </w:r>
          </w:p>
        </w:tc>
      </w:tr>
      <w:tr w:rsidR="004706C5" w:rsidRPr="004706C5" w14:paraId="28E010CD" w14:textId="77777777" w:rsidTr="0057758C">
        <w:trPr>
          <w:trHeight w:val="397"/>
        </w:trPr>
        <w:tc>
          <w:tcPr>
            <w:tcW w:w="9419" w:type="dxa"/>
            <w:gridSpan w:val="4"/>
            <w:tcBorders>
              <w:top w:val="nil"/>
              <w:left w:val="nil"/>
              <w:bottom w:val="nil"/>
              <w:right w:val="nil"/>
            </w:tcBorders>
            <w:shd w:val="clear" w:color="000000" w:fill="B8CCE4"/>
            <w:vAlign w:val="center"/>
            <w:hideMark/>
          </w:tcPr>
          <w:p w14:paraId="7D75BCFC" w14:textId="012C4B41" w:rsidR="004706C5" w:rsidRPr="004706C5" w:rsidRDefault="00976C36" w:rsidP="004706C5">
            <w:pPr>
              <w:jc w:val="center"/>
              <w:rPr>
                <w:rFonts w:ascii="Calibri" w:eastAsia="Times New Roman" w:hAnsi="Calibri" w:cs="Times New Roman"/>
                <w:b/>
                <w:bCs/>
                <w:color w:val="000000"/>
                <w:szCs w:val="20"/>
              </w:rPr>
            </w:pPr>
            <w:r>
              <w:rPr>
                <w:rFonts w:ascii="Calibri" w:eastAsia="Times New Roman" w:hAnsi="Calibri" w:cs="Times New Roman"/>
                <w:b/>
                <w:bCs/>
                <w:color w:val="000000"/>
                <w:szCs w:val="20"/>
              </w:rPr>
              <w:t>2</w:t>
            </w:r>
            <w:r w:rsidR="004706C5" w:rsidRPr="004706C5">
              <w:rPr>
                <w:rFonts w:ascii="Calibri" w:eastAsia="Times New Roman" w:hAnsi="Calibri" w:cs="Times New Roman"/>
                <w:b/>
                <w:bCs/>
                <w:color w:val="000000"/>
                <w:szCs w:val="20"/>
              </w:rPr>
              <w:t>- Risques liés à l'activité et au marché sur lequel intervient la Société</w:t>
            </w:r>
          </w:p>
        </w:tc>
      </w:tr>
      <w:tr w:rsidR="004706C5" w:rsidRPr="004706C5" w14:paraId="311409D1" w14:textId="77777777" w:rsidTr="0057758C">
        <w:trPr>
          <w:trHeight w:val="397"/>
        </w:trPr>
        <w:tc>
          <w:tcPr>
            <w:tcW w:w="840" w:type="dxa"/>
            <w:tcBorders>
              <w:top w:val="nil"/>
              <w:left w:val="nil"/>
              <w:bottom w:val="nil"/>
              <w:right w:val="nil"/>
            </w:tcBorders>
            <w:shd w:val="clear" w:color="auto" w:fill="auto"/>
            <w:vAlign w:val="center"/>
            <w:hideMark/>
          </w:tcPr>
          <w:p w14:paraId="36F148B0" w14:textId="68926C1A" w:rsidR="004706C5" w:rsidRPr="004706C5" w:rsidRDefault="00976C36" w:rsidP="004706C5">
            <w:pPr>
              <w:jc w:val="center"/>
              <w:rPr>
                <w:rFonts w:ascii="Calibri" w:eastAsia="Times New Roman" w:hAnsi="Calibri" w:cs="Times New Roman"/>
                <w:color w:val="000000"/>
                <w:szCs w:val="20"/>
              </w:rPr>
            </w:pPr>
            <w:r>
              <w:rPr>
                <w:rFonts w:ascii="Calibri" w:eastAsia="Times New Roman" w:hAnsi="Calibri" w:cs="Times New Roman"/>
                <w:color w:val="000000"/>
                <w:szCs w:val="20"/>
              </w:rPr>
              <w:t>6</w:t>
            </w:r>
          </w:p>
        </w:tc>
        <w:tc>
          <w:tcPr>
            <w:tcW w:w="5979" w:type="dxa"/>
            <w:tcBorders>
              <w:top w:val="nil"/>
              <w:left w:val="nil"/>
              <w:bottom w:val="nil"/>
              <w:right w:val="nil"/>
            </w:tcBorders>
            <w:shd w:val="clear" w:color="auto" w:fill="auto"/>
            <w:vAlign w:val="center"/>
            <w:hideMark/>
          </w:tcPr>
          <w:p w14:paraId="617E54F6" w14:textId="77777777" w:rsidR="004706C5" w:rsidRPr="004706C5" w:rsidRDefault="004706C5" w:rsidP="004706C5">
            <w:pPr>
              <w:jc w:val="left"/>
              <w:rPr>
                <w:rFonts w:ascii="Calibri" w:eastAsia="Times New Roman" w:hAnsi="Calibri" w:cs="Times New Roman"/>
                <w:color w:val="000000"/>
                <w:szCs w:val="20"/>
              </w:rPr>
            </w:pPr>
            <w:r w:rsidRPr="004706C5">
              <w:rPr>
                <w:rFonts w:ascii="Calibri" w:eastAsia="Times New Roman" w:hAnsi="Calibri" w:cs="Times New Roman"/>
                <w:color w:val="000000"/>
                <w:szCs w:val="20"/>
              </w:rPr>
              <w:t>Risques liés au Covid-19</w:t>
            </w:r>
          </w:p>
        </w:tc>
        <w:tc>
          <w:tcPr>
            <w:tcW w:w="1300" w:type="dxa"/>
            <w:tcBorders>
              <w:top w:val="nil"/>
              <w:left w:val="nil"/>
              <w:bottom w:val="nil"/>
              <w:right w:val="nil"/>
            </w:tcBorders>
            <w:shd w:val="clear" w:color="auto" w:fill="auto"/>
            <w:vAlign w:val="center"/>
            <w:hideMark/>
          </w:tcPr>
          <w:p w14:paraId="468E5714" w14:textId="77777777" w:rsidR="004706C5" w:rsidRPr="004706C5" w:rsidRDefault="004706C5" w:rsidP="004706C5">
            <w:pPr>
              <w:jc w:val="center"/>
              <w:rPr>
                <w:rFonts w:ascii="Calibri" w:eastAsia="Times New Roman" w:hAnsi="Calibri" w:cs="Times New Roman"/>
                <w:color w:val="000000"/>
                <w:szCs w:val="20"/>
              </w:rPr>
            </w:pPr>
            <w:r w:rsidRPr="004706C5">
              <w:rPr>
                <w:rFonts w:ascii="Calibri" w:eastAsia="Times New Roman" w:hAnsi="Calibri" w:cs="Times New Roman"/>
                <w:color w:val="000000"/>
                <w:szCs w:val="20"/>
              </w:rPr>
              <w:t>Elevé</w:t>
            </w:r>
          </w:p>
        </w:tc>
        <w:tc>
          <w:tcPr>
            <w:tcW w:w="1300" w:type="dxa"/>
            <w:tcBorders>
              <w:top w:val="nil"/>
              <w:left w:val="nil"/>
              <w:bottom w:val="nil"/>
              <w:right w:val="nil"/>
            </w:tcBorders>
            <w:shd w:val="clear" w:color="auto" w:fill="auto"/>
            <w:vAlign w:val="center"/>
            <w:hideMark/>
          </w:tcPr>
          <w:p w14:paraId="5DAF81D1" w14:textId="77777777" w:rsidR="004706C5" w:rsidRPr="004706C5" w:rsidRDefault="004706C5" w:rsidP="004706C5">
            <w:pPr>
              <w:jc w:val="center"/>
              <w:rPr>
                <w:rFonts w:ascii="Calibri" w:eastAsia="Times New Roman" w:hAnsi="Calibri" w:cs="Times New Roman"/>
                <w:color w:val="000000"/>
                <w:szCs w:val="20"/>
              </w:rPr>
            </w:pPr>
            <w:r w:rsidRPr="004706C5">
              <w:rPr>
                <w:rFonts w:ascii="Calibri" w:eastAsia="Times New Roman" w:hAnsi="Calibri" w:cs="Times New Roman"/>
                <w:color w:val="000000"/>
                <w:szCs w:val="20"/>
              </w:rPr>
              <w:t>Moyen</w:t>
            </w:r>
          </w:p>
        </w:tc>
      </w:tr>
      <w:tr w:rsidR="00EC78E8" w:rsidRPr="004706C5" w14:paraId="3227AB26" w14:textId="77777777" w:rsidTr="0057758C">
        <w:trPr>
          <w:trHeight w:val="397"/>
        </w:trPr>
        <w:tc>
          <w:tcPr>
            <w:tcW w:w="840" w:type="dxa"/>
            <w:tcBorders>
              <w:top w:val="nil"/>
              <w:left w:val="nil"/>
              <w:bottom w:val="nil"/>
              <w:right w:val="nil"/>
            </w:tcBorders>
            <w:shd w:val="clear" w:color="auto" w:fill="auto"/>
            <w:vAlign w:val="center"/>
            <w:hideMark/>
          </w:tcPr>
          <w:p w14:paraId="68C95710" w14:textId="386D2C56" w:rsidR="00EC78E8" w:rsidRPr="004706C5" w:rsidRDefault="00EC78E8" w:rsidP="004706C5">
            <w:pPr>
              <w:jc w:val="center"/>
              <w:rPr>
                <w:rFonts w:ascii="Calibri" w:eastAsia="Times New Roman" w:hAnsi="Calibri" w:cs="Times New Roman"/>
                <w:color w:val="000000"/>
                <w:szCs w:val="20"/>
              </w:rPr>
            </w:pPr>
            <w:r>
              <w:rPr>
                <w:rFonts w:ascii="Calibri" w:eastAsia="Times New Roman" w:hAnsi="Calibri" w:cs="Times New Roman"/>
                <w:color w:val="000000"/>
                <w:szCs w:val="20"/>
              </w:rPr>
              <w:t>7</w:t>
            </w:r>
          </w:p>
        </w:tc>
        <w:tc>
          <w:tcPr>
            <w:tcW w:w="5979" w:type="dxa"/>
            <w:tcBorders>
              <w:top w:val="nil"/>
              <w:left w:val="nil"/>
              <w:bottom w:val="nil"/>
              <w:right w:val="nil"/>
            </w:tcBorders>
            <w:shd w:val="clear" w:color="auto" w:fill="auto"/>
            <w:vAlign w:val="center"/>
            <w:hideMark/>
          </w:tcPr>
          <w:p w14:paraId="0F1DED3D" w14:textId="77777777" w:rsidR="00EC78E8" w:rsidRPr="004706C5" w:rsidRDefault="00EC78E8" w:rsidP="004706C5">
            <w:pPr>
              <w:jc w:val="left"/>
              <w:rPr>
                <w:rFonts w:ascii="Calibri" w:eastAsia="Times New Roman" w:hAnsi="Calibri" w:cs="Times New Roman"/>
                <w:color w:val="000000"/>
                <w:szCs w:val="20"/>
              </w:rPr>
            </w:pPr>
            <w:r w:rsidRPr="004706C5">
              <w:rPr>
                <w:rFonts w:ascii="Calibri" w:eastAsia="Times New Roman" w:hAnsi="Calibri" w:cs="Times New Roman"/>
                <w:color w:val="000000"/>
                <w:szCs w:val="20"/>
              </w:rPr>
              <w:t>Risques liés à l'environnement concurrentiel</w:t>
            </w:r>
          </w:p>
        </w:tc>
        <w:tc>
          <w:tcPr>
            <w:tcW w:w="1300" w:type="dxa"/>
            <w:tcBorders>
              <w:top w:val="nil"/>
              <w:left w:val="nil"/>
              <w:bottom w:val="nil"/>
              <w:right w:val="nil"/>
            </w:tcBorders>
            <w:shd w:val="clear" w:color="auto" w:fill="auto"/>
            <w:vAlign w:val="center"/>
            <w:hideMark/>
          </w:tcPr>
          <w:p w14:paraId="0A22EA45" w14:textId="0205772A" w:rsidR="00EC78E8" w:rsidRPr="004706C5" w:rsidRDefault="00EC78E8" w:rsidP="004706C5">
            <w:pPr>
              <w:jc w:val="center"/>
              <w:rPr>
                <w:rFonts w:ascii="Calibri" w:eastAsia="Times New Roman" w:hAnsi="Calibri" w:cs="Times New Roman"/>
                <w:color w:val="000000"/>
                <w:szCs w:val="20"/>
              </w:rPr>
            </w:pPr>
            <w:r w:rsidRPr="004706C5">
              <w:rPr>
                <w:rFonts w:ascii="Calibri" w:eastAsia="Times New Roman" w:hAnsi="Calibri" w:cs="Times New Roman"/>
                <w:color w:val="000000"/>
                <w:szCs w:val="20"/>
              </w:rPr>
              <w:t>Elevé</w:t>
            </w:r>
          </w:p>
        </w:tc>
        <w:tc>
          <w:tcPr>
            <w:tcW w:w="1300" w:type="dxa"/>
            <w:tcBorders>
              <w:top w:val="nil"/>
              <w:left w:val="nil"/>
              <w:bottom w:val="nil"/>
              <w:right w:val="nil"/>
            </w:tcBorders>
            <w:shd w:val="clear" w:color="auto" w:fill="auto"/>
            <w:vAlign w:val="center"/>
            <w:hideMark/>
          </w:tcPr>
          <w:p w14:paraId="788219E0" w14:textId="26B93FA8" w:rsidR="00EC78E8" w:rsidRPr="004706C5" w:rsidRDefault="00EC78E8" w:rsidP="004706C5">
            <w:pPr>
              <w:jc w:val="center"/>
              <w:rPr>
                <w:rFonts w:ascii="Calibri" w:eastAsia="Times New Roman" w:hAnsi="Calibri" w:cs="Times New Roman"/>
                <w:color w:val="000000"/>
                <w:szCs w:val="20"/>
              </w:rPr>
            </w:pPr>
            <w:r w:rsidRPr="004706C5">
              <w:rPr>
                <w:rFonts w:ascii="Calibri" w:eastAsia="Times New Roman" w:hAnsi="Calibri" w:cs="Times New Roman"/>
                <w:color w:val="000000"/>
                <w:szCs w:val="20"/>
              </w:rPr>
              <w:t>Moyen</w:t>
            </w:r>
          </w:p>
        </w:tc>
      </w:tr>
      <w:tr w:rsidR="004706C5" w:rsidRPr="004706C5" w14:paraId="775EAD2E" w14:textId="77777777" w:rsidTr="0057758C">
        <w:trPr>
          <w:trHeight w:val="397"/>
        </w:trPr>
        <w:tc>
          <w:tcPr>
            <w:tcW w:w="840" w:type="dxa"/>
            <w:tcBorders>
              <w:top w:val="nil"/>
              <w:left w:val="nil"/>
              <w:bottom w:val="nil"/>
              <w:right w:val="nil"/>
            </w:tcBorders>
            <w:shd w:val="clear" w:color="auto" w:fill="auto"/>
            <w:vAlign w:val="center"/>
            <w:hideMark/>
          </w:tcPr>
          <w:p w14:paraId="36DDA58D" w14:textId="7D1075D0" w:rsidR="004706C5" w:rsidRPr="004706C5" w:rsidRDefault="00976C36" w:rsidP="004706C5">
            <w:pPr>
              <w:jc w:val="center"/>
              <w:rPr>
                <w:rFonts w:ascii="Calibri" w:eastAsia="Times New Roman" w:hAnsi="Calibri" w:cs="Times New Roman"/>
                <w:color w:val="000000"/>
                <w:szCs w:val="20"/>
              </w:rPr>
            </w:pPr>
            <w:r>
              <w:rPr>
                <w:rFonts w:ascii="Calibri" w:eastAsia="Times New Roman" w:hAnsi="Calibri" w:cs="Times New Roman"/>
                <w:color w:val="000000"/>
                <w:szCs w:val="20"/>
              </w:rPr>
              <w:t>8</w:t>
            </w:r>
          </w:p>
        </w:tc>
        <w:tc>
          <w:tcPr>
            <w:tcW w:w="5979" w:type="dxa"/>
            <w:tcBorders>
              <w:top w:val="nil"/>
              <w:left w:val="nil"/>
              <w:bottom w:val="nil"/>
              <w:right w:val="nil"/>
            </w:tcBorders>
            <w:shd w:val="clear" w:color="auto" w:fill="auto"/>
            <w:vAlign w:val="center"/>
            <w:hideMark/>
          </w:tcPr>
          <w:p w14:paraId="7024D668" w14:textId="77777777" w:rsidR="004706C5" w:rsidRPr="004706C5" w:rsidRDefault="004706C5" w:rsidP="004706C5">
            <w:pPr>
              <w:jc w:val="left"/>
              <w:rPr>
                <w:rFonts w:ascii="Calibri" w:eastAsia="Times New Roman" w:hAnsi="Calibri" w:cs="Times New Roman"/>
                <w:color w:val="000000"/>
                <w:szCs w:val="20"/>
              </w:rPr>
            </w:pPr>
            <w:r w:rsidRPr="004706C5">
              <w:rPr>
                <w:rFonts w:ascii="Calibri" w:eastAsia="Times New Roman" w:hAnsi="Calibri" w:cs="Times New Roman"/>
                <w:color w:val="000000"/>
                <w:szCs w:val="20"/>
              </w:rPr>
              <w:t>Risques liés aux innovations technologiques</w:t>
            </w:r>
          </w:p>
        </w:tc>
        <w:tc>
          <w:tcPr>
            <w:tcW w:w="1300" w:type="dxa"/>
            <w:tcBorders>
              <w:top w:val="nil"/>
              <w:left w:val="nil"/>
              <w:bottom w:val="nil"/>
              <w:right w:val="nil"/>
            </w:tcBorders>
            <w:shd w:val="clear" w:color="auto" w:fill="auto"/>
            <w:vAlign w:val="center"/>
            <w:hideMark/>
          </w:tcPr>
          <w:p w14:paraId="504238DC" w14:textId="77777777" w:rsidR="004706C5" w:rsidRPr="004706C5" w:rsidRDefault="004706C5" w:rsidP="004706C5">
            <w:pPr>
              <w:jc w:val="center"/>
              <w:rPr>
                <w:rFonts w:ascii="Calibri" w:eastAsia="Times New Roman" w:hAnsi="Calibri" w:cs="Times New Roman"/>
                <w:color w:val="000000"/>
                <w:szCs w:val="20"/>
              </w:rPr>
            </w:pPr>
            <w:r w:rsidRPr="004706C5">
              <w:rPr>
                <w:rFonts w:ascii="Calibri" w:eastAsia="Times New Roman" w:hAnsi="Calibri" w:cs="Times New Roman"/>
                <w:color w:val="000000"/>
                <w:szCs w:val="20"/>
              </w:rPr>
              <w:t>Moyen</w:t>
            </w:r>
          </w:p>
        </w:tc>
        <w:tc>
          <w:tcPr>
            <w:tcW w:w="1300" w:type="dxa"/>
            <w:tcBorders>
              <w:top w:val="nil"/>
              <w:left w:val="nil"/>
              <w:bottom w:val="nil"/>
              <w:right w:val="nil"/>
            </w:tcBorders>
            <w:shd w:val="clear" w:color="auto" w:fill="auto"/>
            <w:vAlign w:val="center"/>
            <w:hideMark/>
          </w:tcPr>
          <w:p w14:paraId="178C2B1D" w14:textId="77777777" w:rsidR="004706C5" w:rsidRPr="004706C5" w:rsidRDefault="004706C5" w:rsidP="004706C5">
            <w:pPr>
              <w:jc w:val="center"/>
              <w:rPr>
                <w:rFonts w:ascii="Calibri" w:eastAsia="Times New Roman" w:hAnsi="Calibri" w:cs="Times New Roman"/>
                <w:color w:val="000000"/>
                <w:szCs w:val="20"/>
              </w:rPr>
            </w:pPr>
            <w:r w:rsidRPr="004706C5">
              <w:rPr>
                <w:rFonts w:ascii="Calibri" w:eastAsia="Times New Roman" w:hAnsi="Calibri" w:cs="Times New Roman"/>
                <w:color w:val="000000"/>
                <w:szCs w:val="20"/>
              </w:rPr>
              <w:t>Moyen</w:t>
            </w:r>
          </w:p>
        </w:tc>
      </w:tr>
      <w:tr w:rsidR="004706C5" w:rsidRPr="004706C5" w14:paraId="17A10823" w14:textId="77777777" w:rsidTr="0057758C">
        <w:trPr>
          <w:trHeight w:val="397"/>
        </w:trPr>
        <w:tc>
          <w:tcPr>
            <w:tcW w:w="9419" w:type="dxa"/>
            <w:gridSpan w:val="4"/>
            <w:tcBorders>
              <w:top w:val="nil"/>
              <w:left w:val="nil"/>
              <w:bottom w:val="nil"/>
              <w:right w:val="nil"/>
            </w:tcBorders>
            <w:shd w:val="clear" w:color="000000" w:fill="B8CCE4"/>
            <w:vAlign w:val="center"/>
            <w:hideMark/>
          </w:tcPr>
          <w:p w14:paraId="0626C004" w14:textId="59266AEB" w:rsidR="004706C5" w:rsidRPr="004706C5" w:rsidRDefault="00976C36" w:rsidP="004706C5">
            <w:pPr>
              <w:jc w:val="center"/>
              <w:rPr>
                <w:rFonts w:ascii="Calibri" w:eastAsia="Times New Roman" w:hAnsi="Calibri" w:cs="Times New Roman"/>
                <w:b/>
                <w:bCs/>
                <w:color w:val="000000"/>
                <w:szCs w:val="20"/>
              </w:rPr>
            </w:pPr>
            <w:r>
              <w:rPr>
                <w:rFonts w:ascii="Calibri" w:eastAsia="Times New Roman" w:hAnsi="Calibri" w:cs="Times New Roman"/>
                <w:b/>
                <w:bCs/>
                <w:color w:val="000000"/>
                <w:szCs w:val="20"/>
              </w:rPr>
              <w:t>2</w:t>
            </w:r>
            <w:r w:rsidR="004706C5" w:rsidRPr="004706C5">
              <w:rPr>
                <w:rFonts w:ascii="Calibri" w:eastAsia="Times New Roman" w:hAnsi="Calibri" w:cs="Times New Roman"/>
                <w:b/>
                <w:bCs/>
                <w:color w:val="000000"/>
                <w:szCs w:val="20"/>
              </w:rPr>
              <w:t>- Risques liés aux tiers</w:t>
            </w:r>
          </w:p>
        </w:tc>
      </w:tr>
      <w:tr w:rsidR="004706C5" w:rsidRPr="004706C5" w14:paraId="2126FB55" w14:textId="77777777" w:rsidTr="0057758C">
        <w:trPr>
          <w:trHeight w:val="397"/>
        </w:trPr>
        <w:tc>
          <w:tcPr>
            <w:tcW w:w="840" w:type="dxa"/>
            <w:tcBorders>
              <w:top w:val="nil"/>
              <w:left w:val="nil"/>
              <w:bottom w:val="nil"/>
              <w:right w:val="nil"/>
            </w:tcBorders>
            <w:shd w:val="clear" w:color="auto" w:fill="auto"/>
            <w:vAlign w:val="center"/>
            <w:hideMark/>
          </w:tcPr>
          <w:p w14:paraId="17C1E06A" w14:textId="28D9AFED" w:rsidR="004706C5" w:rsidRPr="004706C5" w:rsidRDefault="00976C36" w:rsidP="004706C5">
            <w:pPr>
              <w:jc w:val="center"/>
              <w:rPr>
                <w:rFonts w:ascii="Calibri" w:eastAsia="Times New Roman" w:hAnsi="Calibri" w:cs="Times New Roman"/>
                <w:color w:val="000000"/>
                <w:szCs w:val="20"/>
              </w:rPr>
            </w:pPr>
            <w:r>
              <w:rPr>
                <w:rFonts w:ascii="Calibri" w:eastAsia="Times New Roman" w:hAnsi="Calibri" w:cs="Times New Roman"/>
                <w:color w:val="000000"/>
                <w:szCs w:val="20"/>
              </w:rPr>
              <w:t>9</w:t>
            </w:r>
          </w:p>
        </w:tc>
        <w:tc>
          <w:tcPr>
            <w:tcW w:w="5979" w:type="dxa"/>
            <w:tcBorders>
              <w:top w:val="nil"/>
              <w:left w:val="nil"/>
              <w:bottom w:val="nil"/>
              <w:right w:val="nil"/>
            </w:tcBorders>
            <w:shd w:val="clear" w:color="auto" w:fill="auto"/>
            <w:vAlign w:val="center"/>
            <w:hideMark/>
          </w:tcPr>
          <w:p w14:paraId="03CAF0BE" w14:textId="2C50FBEE" w:rsidR="004706C5" w:rsidRPr="004706C5" w:rsidRDefault="004706C5" w:rsidP="004706C5">
            <w:pPr>
              <w:jc w:val="left"/>
              <w:rPr>
                <w:rFonts w:ascii="Calibri" w:eastAsia="Times New Roman" w:hAnsi="Calibri" w:cs="Times New Roman"/>
                <w:color w:val="000000"/>
                <w:szCs w:val="20"/>
              </w:rPr>
            </w:pPr>
            <w:r w:rsidRPr="004706C5">
              <w:rPr>
                <w:rFonts w:ascii="Calibri" w:eastAsia="Times New Roman" w:hAnsi="Calibri" w:cs="Times New Roman"/>
                <w:color w:val="000000"/>
                <w:szCs w:val="20"/>
              </w:rPr>
              <w:t xml:space="preserve">Risque lié à la dépendance </w:t>
            </w:r>
            <w:r w:rsidR="00366F6C" w:rsidRPr="008F5386">
              <w:rPr>
                <w:rFonts w:ascii="Calibri" w:eastAsia="Times New Roman" w:hAnsi="Calibri" w:cs="Times New Roman"/>
                <w:color w:val="000000"/>
                <w:szCs w:val="20"/>
              </w:rPr>
              <w:t>clients</w:t>
            </w:r>
          </w:p>
        </w:tc>
        <w:tc>
          <w:tcPr>
            <w:tcW w:w="1300" w:type="dxa"/>
            <w:tcBorders>
              <w:top w:val="nil"/>
              <w:left w:val="nil"/>
              <w:bottom w:val="nil"/>
              <w:right w:val="nil"/>
            </w:tcBorders>
            <w:shd w:val="clear" w:color="auto" w:fill="auto"/>
            <w:vAlign w:val="center"/>
            <w:hideMark/>
          </w:tcPr>
          <w:p w14:paraId="1B825F46" w14:textId="77777777" w:rsidR="004706C5" w:rsidRPr="004706C5" w:rsidRDefault="004706C5" w:rsidP="004706C5">
            <w:pPr>
              <w:jc w:val="center"/>
              <w:rPr>
                <w:rFonts w:ascii="Calibri" w:eastAsia="Times New Roman" w:hAnsi="Calibri" w:cs="Times New Roman"/>
                <w:color w:val="000000"/>
                <w:szCs w:val="20"/>
              </w:rPr>
            </w:pPr>
            <w:r w:rsidRPr="004706C5">
              <w:rPr>
                <w:rFonts w:ascii="Calibri" w:eastAsia="Times New Roman" w:hAnsi="Calibri" w:cs="Times New Roman"/>
                <w:color w:val="000000"/>
                <w:szCs w:val="20"/>
              </w:rPr>
              <w:t>Moyen</w:t>
            </w:r>
          </w:p>
        </w:tc>
        <w:tc>
          <w:tcPr>
            <w:tcW w:w="1300" w:type="dxa"/>
            <w:tcBorders>
              <w:top w:val="nil"/>
              <w:left w:val="nil"/>
              <w:bottom w:val="nil"/>
              <w:right w:val="nil"/>
            </w:tcBorders>
            <w:shd w:val="clear" w:color="auto" w:fill="auto"/>
            <w:vAlign w:val="center"/>
            <w:hideMark/>
          </w:tcPr>
          <w:p w14:paraId="738DC762" w14:textId="77777777" w:rsidR="004706C5" w:rsidRPr="004706C5" w:rsidRDefault="004706C5" w:rsidP="004706C5">
            <w:pPr>
              <w:jc w:val="center"/>
              <w:rPr>
                <w:rFonts w:ascii="Calibri" w:eastAsia="Times New Roman" w:hAnsi="Calibri" w:cs="Times New Roman"/>
                <w:color w:val="000000"/>
                <w:szCs w:val="20"/>
              </w:rPr>
            </w:pPr>
            <w:r w:rsidRPr="004706C5">
              <w:rPr>
                <w:rFonts w:ascii="Calibri" w:eastAsia="Times New Roman" w:hAnsi="Calibri" w:cs="Times New Roman"/>
                <w:color w:val="000000"/>
                <w:szCs w:val="20"/>
              </w:rPr>
              <w:t>Moyen</w:t>
            </w:r>
          </w:p>
        </w:tc>
      </w:tr>
      <w:tr w:rsidR="004706C5" w:rsidRPr="004706C5" w14:paraId="4E3E3397" w14:textId="77777777" w:rsidTr="0057758C">
        <w:trPr>
          <w:trHeight w:val="397"/>
        </w:trPr>
        <w:tc>
          <w:tcPr>
            <w:tcW w:w="9419" w:type="dxa"/>
            <w:gridSpan w:val="4"/>
            <w:tcBorders>
              <w:top w:val="nil"/>
              <w:left w:val="nil"/>
              <w:bottom w:val="nil"/>
              <w:right w:val="nil"/>
            </w:tcBorders>
            <w:shd w:val="clear" w:color="000000" w:fill="B8CCE4"/>
            <w:vAlign w:val="center"/>
            <w:hideMark/>
          </w:tcPr>
          <w:p w14:paraId="6F84A1C0" w14:textId="11386C46" w:rsidR="004706C5" w:rsidRPr="004706C5" w:rsidRDefault="00976C36" w:rsidP="004706C5">
            <w:pPr>
              <w:jc w:val="center"/>
              <w:rPr>
                <w:rFonts w:ascii="Calibri" w:eastAsia="Times New Roman" w:hAnsi="Calibri" w:cs="Times New Roman"/>
                <w:b/>
                <w:bCs/>
                <w:color w:val="000000"/>
                <w:szCs w:val="20"/>
              </w:rPr>
            </w:pPr>
            <w:r>
              <w:rPr>
                <w:rFonts w:ascii="Calibri" w:eastAsia="Times New Roman" w:hAnsi="Calibri" w:cs="Times New Roman"/>
                <w:b/>
                <w:bCs/>
                <w:color w:val="000000"/>
                <w:szCs w:val="20"/>
              </w:rPr>
              <w:t>4</w:t>
            </w:r>
            <w:r w:rsidR="004706C5" w:rsidRPr="004706C5">
              <w:rPr>
                <w:rFonts w:ascii="Calibri" w:eastAsia="Times New Roman" w:hAnsi="Calibri" w:cs="Times New Roman"/>
                <w:b/>
                <w:bCs/>
                <w:color w:val="000000"/>
                <w:szCs w:val="20"/>
              </w:rPr>
              <w:t>- Risques juridiques</w:t>
            </w:r>
          </w:p>
        </w:tc>
      </w:tr>
      <w:tr w:rsidR="004706C5" w:rsidRPr="004706C5" w14:paraId="0F613BD1" w14:textId="77777777" w:rsidTr="0057758C">
        <w:trPr>
          <w:trHeight w:val="397"/>
        </w:trPr>
        <w:tc>
          <w:tcPr>
            <w:tcW w:w="840" w:type="dxa"/>
            <w:tcBorders>
              <w:top w:val="nil"/>
              <w:left w:val="nil"/>
              <w:bottom w:val="nil"/>
              <w:right w:val="nil"/>
            </w:tcBorders>
            <w:shd w:val="clear" w:color="auto" w:fill="auto"/>
            <w:vAlign w:val="center"/>
            <w:hideMark/>
          </w:tcPr>
          <w:p w14:paraId="434E16F9" w14:textId="7E83B459" w:rsidR="004706C5" w:rsidRPr="004706C5" w:rsidRDefault="00976C36" w:rsidP="004706C5">
            <w:pPr>
              <w:jc w:val="center"/>
              <w:rPr>
                <w:rFonts w:ascii="Calibri" w:eastAsia="Times New Roman" w:hAnsi="Calibri" w:cs="Times New Roman"/>
                <w:color w:val="000000"/>
                <w:szCs w:val="20"/>
              </w:rPr>
            </w:pPr>
            <w:r>
              <w:rPr>
                <w:rFonts w:ascii="Calibri" w:eastAsia="Times New Roman" w:hAnsi="Calibri" w:cs="Times New Roman"/>
                <w:color w:val="000000"/>
                <w:szCs w:val="20"/>
              </w:rPr>
              <w:t>10</w:t>
            </w:r>
          </w:p>
        </w:tc>
        <w:tc>
          <w:tcPr>
            <w:tcW w:w="5979" w:type="dxa"/>
            <w:tcBorders>
              <w:top w:val="nil"/>
              <w:left w:val="nil"/>
              <w:bottom w:val="nil"/>
              <w:right w:val="nil"/>
            </w:tcBorders>
            <w:shd w:val="clear" w:color="auto" w:fill="auto"/>
            <w:vAlign w:val="center"/>
            <w:hideMark/>
          </w:tcPr>
          <w:p w14:paraId="25D4369C" w14:textId="77777777" w:rsidR="004706C5" w:rsidRPr="004706C5" w:rsidRDefault="004706C5" w:rsidP="004706C5">
            <w:pPr>
              <w:jc w:val="left"/>
              <w:rPr>
                <w:rFonts w:ascii="Calibri" w:eastAsia="Times New Roman" w:hAnsi="Calibri" w:cs="Times New Roman"/>
                <w:color w:val="000000"/>
                <w:szCs w:val="20"/>
              </w:rPr>
            </w:pPr>
            <w:r w:rsidRPr="004706C5">
              <w:rPr>
                <w:rFonts w:ascii="Calibri" w:eastAsia="Times New Roman" w:hAnsi="Calibri" w:cs="Times New Roman"/>
                <w:color w:val="000000"/>
                <w:szCs w:val="20"/>
              </w:rPr>
              <w:t>Risque règlementaire</w:t>
            </w:r>
          </w:p>
        </w:tc>
        <w:tc>
          <w:tcPr>
            <w:tcW w:w="1300" w:type="dxa"/>
            <w:tcBorders>
              <w:top w:val="nil"/>
              <w:left w:val="nil"/>
              <w:bottom w:val="nil"/>
              <w:right w:val="nil"/>
            </w:tcBorders>
            <w:shd w:val="clear" w:color="auto" w:fill="auto"/>
            <w:vAlign w:val="center"/>
            <w:hideMark/>
          </w:tcPr>
          <w:p w14:paraId="593FC494" w14:textId="77777777" w:rsidR="004706C5" w:rsidRPr="004706C5" w:rsidRDefault="004706C5" w:rsidP="004706C5">
            <w:pPr>
              <w:jc w:val="center"/>
              <w:rPr>
                <w:rFonts w:ascii="Calibri" w:eastAsia="Times New Roman" w:hAnsi="Calibri" w:cs="Times New Roman"/>
                <w:color w:val="000000"/>
                <w:szCs w:val="20"/>
              </w:rPr>
            </w:pPr>
            <w:r w:rsidRPr="004706C5">
              <w:rPr>
                <w:rFonts w:ascii="Calibri" w:eastAsia="Times New Roman" w:hAnsi="Calibri" w:cs="Times New Roman"/>
                <w:color w:val="000000"/>
                <w:szCs w:val="20"/>
              </w:rPr>
              <w:t>Moyen</w:t>
            </w:r>
          </w:p>
        </w:tc>
        <w:tc>
          <w:tcPr>
            <w:tcW w:w="1300" w:type="dxa"/>
            <w:tcBorders>
              <w:top w:val="nil"/>
              <w:left w:val="nil"/>
              <w:bottom w:val="nil"/>
              <w:right w:val="nil"/>
            </w:tcBorders>
            <w:shd w:val="clear" w:color="auto" w:fill="auto"/>
            <w:vAlign w:val="center"/>
            <w:hideMark/>
          </w:tcPr>
          <w:p w14:paraId="7E654DA9" w14:textId="77777777" w:rsidR="004706C5" w:rsidRPr="004706C5" w:rsidRDefault="004706C5" w:rsidP="004706C5">
            <w:pPr>
              <w:jc w:val="center"/>
              <w:rPr>
                <w:rFonts w:ascii="Calibri" w:eastAsia="Times New Roman" w:hAnsi="Calibri" w:cs="Times New Roman"/>
                <w:color w:val="000000"/>
                <w:szCs w:val="20"/>
              </w:rPr>
            </w:pPr>
            <w:r w:rsidRPr="004706C5">
              <w:rPr>
                <w:rFonts w:ascii="Calibri" w:eastAsia="Times New Roman" w:hAnsi="Calibri" w:cs="Times New Roman"/>
                <w:color w:val="000000"/>
                <w:szCs w:val="20"/>
              </w:rPr>
              <w:t>Moyen</w:t>
            </w:r>
          </w:p>
        </w:tc>
      </w:tr>
      <w:tr w:rsidR="004706C5" w:rsidRPr="004706C5" w14:paraId="24D486FB" w14:textId="77777777" w:rsidTr="0057758C">
        <w:trPr>
          <w:trHeight w:val="397"/>
        </w:trPr>
        <w:tc>
          <w:tcPr>
            <w:tcW w:w="840" w:type="dxa"/>
            <w:tcBorders>
              <w:top w:val="nil"/>
              <w:left w:val="nil"/>
              <w:bottom w:val="nil"/>
              <w:right w:val="nil"/>
            </w:tcBorders>
            <w:shd w:val="clear" w:color="auto" w:fill="auto"/>
            <w:vAlign w:val="center"/>
            <w:hideMark/>
          </w:tcPr>
          <w:p w14:paraId="2040784D" w14:textId="36535317" w:rsidR="004706C5" w:rsidRPr="004706C5" w:rsidRDefault="00976C36" w:rsidP="004706C5">
            <w:pPr>
              <w:jc w:val="center"/>
              <w:rPr>
                <w:rFonts w:ascii="Calibri" w:eastAsia="Times New Roman" w:hAnsi="Calibri" w:cs="Times New Roman"/>
                <w:color w:val="000000"/>
                <w:szCs w:val="20"/>
              </w:rPr>
            </w:pPr>
            <w:r>
              <w:rPr>
                <w:rFonts w:ascii="Calibri" w:eastAsia="Times New Roman" w:hAnsi="Calibri" w:cs="Times New Roman"/>
                <w:color w:val="000000"/>
                <w:szCs w:val="20"/>
              </w:rPr>
              <w:t>11</w:t>
            </w:r>
          </w:p>
        </w:tc>
        <w:tc>
          <w:tcPr>
            <w:tcW w:w="5979" w:type="dxa"/>
            <w:tcBorders>
              <w:top w:val="nil"/>
              <w:left w:val="nil"/>
              <w:bottom w:val="nil"/>
              <w:right w:val="nil"/>
            </w:tcBorders>
            <w:shd w:val="clear" w:color="auto" w:fill="auto"/>
            <w:vAlign w:val="center"/>
            <w:hideMark/>
          </w:tcPr>
          <w:p w14:paraId="6453DE5D" w14:textId="77777777" w:rsidR="004706C5" w:rsidRPr="004706C5" w:rsidRDefault="004706C5" w:rsidP="004706C5">
            <w:pPr>
              <w:jc w:val="left"/>
              <w:rPr>
                <w:rFonts w:ascii="Calibri" w:eastAsia="Times New Roman" w:hAnsi="Calibri" w:cs="Times New Roman"/>
                <w:color w:val="000000"/>
                <w:szCs w:val="20"/>
              </w:rPr>
            </w:pPr>
            <w:r w:rsidRPr="004706C5">
              <w:rPr>
                <w:rFonts w:ascii="Calibri" w:eastAsia="Times New Roman" w:hAnsi="Calibri" w:cs="Times New Roman"/>
                <w:color w:val="000000"/>
                <w:szCs w:val="20"/>
              </w:rPr>
              <w:t>Risque lié à la propriété intellectuelle</w:t>
            </w:r>
          </w:p>
        </w:tc>
        <w:tc>
          <w:tcPr>
            <w:tcW w:w="1300" w:type="dxa"/>
            <w:tcBorders>
              <w:top w:val="nil"/>
              <w:left w:val="nil"/>
              <w:bottom w:val="nil"/>
              <w:right w:val="nil"/>
            </w:tcBorders>
            <w:shd w:val="clear" w:color="auto" w:fill="auto"/>
            <w:vAlign w:val="center"/>
            <w:hideMark/>
          </w:tcPr>
          <w:p w14:paraId="00867F10" w14:textId="77777777" w:rsidR="004706C5" w:rsidRPr="004706C5" w:rsidRDefault="004706C5" w:rsidP="004706C5">
            <w:pPr>
              <w:jc w:val="center"/>
              <w:rPr>
                <w:rFonts w:ascii="Calibri" w:eastAsia="Times New Roman" w:hAnsi="Calibri" w:cs="Times New Roman"/>
                <w:color w:val="000000"/>
                <w:szCs w:val="20"/>
              </w:rPr>
            </w:pPr>
            <w:r w:rsidRPr="004706C5">
              <w:rPr>
                <w:rFonts w:ascii="Calibri" w:eastAsia="Times New Roman" w:hAnsi="Calibri" w:cs="Times New Roman"/>
                <w:color w:val="000000"/>
                <w:szCs w:val="20"/>
              </w:rPr>
              <w:t>Moyen</w:t>
            </w:r>
          </w:p>
        </w:tc>
        <w:tc>
          <w:tcPr>
            <w:tcW w:w="1300" w:type="dxa"/>
            <w:tcBorders>
              <w:top w:val="nil"/>
              <w:left w:val="nil"/>
              <w:bottom w:val="nil"/>
              <w:right w:val="nil"/>
            </w:tcBorders>
            <w:shd w:val="clear" w:color="auto" w:fill="auto"/>
            <w:vAlign w:val="center"/>
            <w:hideMark/>
          </w:tcPr>
          <w:p w14:paraId="42C54428" w14:textId="77777777" w:rsidR="004706C5" w:rsidRPr="004706C5" w:rsidRDefault="004706C5" w:rsidP="004706C5">
            <w:pPr>
              <w:jc w:val="center"/>
              <w:rPr>
                <w:rFonts w:ascii="Calibri" w:eastAsia="Times New Roman" w:hAnsi="Calibri" w:cs="Times New Roman"/>
                <w:color w:val="000000"/>
                <w:szCs w:val="20"/>
              </w:rPr>
            </w:pPr>
            <w:r w:rsidRPr="004706C5">
              <w:rPr>
                <w:rFonts w:ascii="Calibri" w:eastAsia="Times New Roman" w:hAnsi="Calibri" w:cs="Times New Roman"/>
                <w:color w:val="000000"/>
                <w:szCs w:val="20"/>
              </w:rPr>
              <w:t xml:space="preserve">Faible </w:t>
            </w:r>
          </w:p>
        </w:tc>
      </w:tr>
      <w:tr w:rsidR="004706C5" w:rsidRPr="004706C5" w14:paraId="2E279326" w14:textId="77777777" w:rsidTr="0057758C">
        <w:trPr>
          <w:trHeight w:val="397"/>
        </w:trPr>
        <w:tc>
          <w:tcPr>
            <w:tcW w:w="840" w:type="dxa"/>
            <w:tcBorders>
              <w:top w:val="nil"/>
              <w:left w:val="nil"/>
              <w:bottom w:val="nil"/>
              <w:right w:val="nil"/>
            </w:tcBorders>
            <w:shd w:val="clear" w:color="auto" w:fill="auto"/>
            <w:vAlign w:val="center"/>
            <w:hideMark/>
          </w:tcPr>
          <w:p w14:paraId="084AFEF6" w14:textId="7437741E" w:rsidR="004706C5" w:rsidRPr="004706C5" w:rsidRDefault="00976C36" w:rsidP="004706C5">
            <w:pPr>
              <w:jc w:val="center"/>
              <w:rPr>
                <w:rFonts w:ascii="Calibri" w:eastAsia="Times New Roman" w:hAnsi="Calibri" w:cs="Times New Roman"/>
                <w:color w:val="000000"/>
                <w:szCs w:val="20"/>
              </w:rPr>
            </w:pPr>
            <w:r>
              <w:rPr>
                <w:rFonts w:ascii="Calibri" w:eastAsia="Times New Roman" w:hAnsi="Calibri" w:cs="Times New Roman"/>
                <w:color w:val="000000"/>
                <w:szCs w:val="20"/>
              </w:rPr>
              <w:t>12</w:t>
            </w:r>
          </w:p>
        </w:tc>
        <w:tc>
          <w:tcPr>
            <w:tcW w:w="5979" w:type="dxa"/>
            <w:tcBorders>
              <w:top w:val="nil"/>
              <w:left w:val="nil"/>
              <w:bottom w:val="nil"/>
              <w:right w:val="nil"/>
            </w:tcBorders>
            <w:shd w:val="clear" w:color="auto" w:fill="auto"/>
            <w:vAlign w:val="center"/>
            <w:hideMark/>
          </w:tcPr>
          <w:p w14:paraId="4023EA8D" w14:textId="77777777" w:rsidR="004706C5" w:rsidRPr="004706C5" w:rsidRDefault="004706C5" w:rsidP="004706C5">
            <w:pPr>
              <w:jc w:val="left"/>
              <w:rPr>
                <w:rFonts w:ascii="Calibri" w:eastAsia="Times New Roman" w:hAnsi="Calibri" w:cs="Times New Roman"/>
                <w:color w:val="000000"/>
                <w:szCs w:val="20"/>
              </w:rPr>
            </w:pPr>
            <w:r w:rsidRPr="004706C5">
              <w:rPr>
                <w:rFonts w:ascii="Calibri" w:eastAsia="Times New Roman" w:hAnsi="Calibri" w:cs="Times New Roman"/>
                <w:color w:val="000000"/>
                <w:szCs w:val="20"/>
              </w:rPr>
              <w:t>Risque lié à l'évolution défavorable des politiques de remboursement des dispositifs médicaux</w:t>
            </w:r>
          </w:p>
        </w:tc>
        <w:tc>
          <w:tcPr>
            <w:tcW w:w="1300" w:type="dxa"/>
            <w:tcBorders>
              <w:top w:val="nil"/>
              <w:left w:val="nil"/>
              <w:bottom w:val="nil"/>
              <w:right w:val="nil"/>
            </w:tcBorders>
            <w:shd w:val="clear" w:color="auto" w:fill="auto"/>
            <w:vAlign w:val="center"/>
            <w:hideMark/>
          </w:tcPr>
          <w:p w14:paraId="3CE9EC21" w14:textId="77777777" w:rsidR="004706C5" w:rsidRPr="004706C5" w:rsidRDefault="004706C5" w:rsidP="004706C5">
            <w:pPr>
              <w:jc w:val="center"/>
              <w:rPr>
                <w:rFonts w:ascii="Calibri" w:eastAsia="Times New Roman" w:hAnsi="Calibri" w:cs="Times New Roman"/>
                <w:color w:val="000000"/>
                <w:szCs w:val="20"/>
              </w:rPr>
            </w:pPr>
            <w:r w:rsidRPr="004706C5">
              <w:rPr>
                <w:rFonts w:ascii="Calibri" w:eastAsia="Times New Roman" w:hAnsi="Calibri" w:cs="Times New Roman"/>
                <w:color w:val="000000"/>
                <w:szCs w:val="20"/>
              </w:rPr>
              <w:t>Moyen</w:t>
            </w:r>
          </w:p>
        </w:tc>
        <w:tc>
          <w:tcPr>
            <w:tcW w:w="1300" w:type="dxa"/>
            <w:tcBorders>
              <w:top w:val="nil"/>
              <w:left w:val="nil"/>
              <w:bottom w:val="nil"/>
              <w:right w:val="nil"/>
            </w:tcBorders>
            <w:shd w:val="clear" w:color="auto" w:fill="auto"/>
            <w:vAlign w:val="center"/>
            <w:hideMark/>
          </w:tcPr>
          <w:p w14:paraId="75147DB6" w14:textId="77777777" w:rsidR="004706C5" w:rsidRPr="004706C5" w:rsidRDefault="004706C5" w:rsidP="004706C5">
            <w:pPr>
              <w:jc w:val="center"/>
              <w:rPr>
                <w:rFonts w:ascii="Calibri" w:eastAsia="Times New Roman" w:hAnsi="Calibri" w:cs="Times New Roman"/>
                <w:color w:val="000000"/>
                <w:szCs w:val="20"/>
              </w:rPr>
            </w:pPr>
            <w:r w:rsidRPr="004706C5">
              <w:rPr>
                <w:rFonts w:ascii="Calibri" w:eastAsia="Times New Roman" w:hAnsi="Calibri" w:cs="Times New Roman"/>
                <w:color w:val="000000"/>
                <w:szCs w:val="20"/>
              </w:rPr>
              <w:t>Faible</w:t>
            </w:r>
          </w:p>
        </w:tc>
      </w:tr>
      <w:tr w:rsidR="004706C5" w:rsidRPr="004706C5" w14:paraId="69040E77" w14:textId="77777777" w:rsidTr="0057758C">
        <w:trPr>
          <w:trHeight w:val="397"/>
        </w:trPr>
        <w:tc>
          <w:tcPr>
            <w:tcW w:w="840" w:type="dxa"/>
            <w:tcBorders>
              <w:top w:val="nil"/>
              <w:left w:val="nil"/>
              <w:bottom w:val="nil"/>
              <w:right w:val="nil"/>
            </w:tcBorders>
            <w:shd w:val="clear" w:color="auto" w:fill="auto"/>
            <w:vAlign w:val="center"/>
            <w:hideMark/>
          </w:tcPr>
          <w:p w14:paraId="3F44DF2A" w14:textId="43EA1FFC" w:rsidR="004706C5" w:rsidRPr="004706C5" w:rsidRDefault="00976C36" w:rsidP="004706C5">
            <w:pPr>
              <w:jc w:val="center"/>
              <w:rPr>
                <w:rFonts w:ascii="Calibri" w:eastAsia="Times New Roman" w:hAnsi="Calibri" w:cs="Times New Roman"/>
                <w:color w:val="000000"/>
                <w:szCs w:val="20"/>
              </w:rPr>
            </w:pPr>
            <w:r>
              <w:rPr>
                <w:rFonts w:ascii="Calibri" w:eastAsia="Times New Roman" w:hAnsi="Calibri" w:cs="Times New Roman"/>
                <w:color w:val="000000"/>
                <w:szCs w:val="20"/>
              </w:rPr>
              <w:t>13</w:t>
            </w:r>
          </w:p>
        </w:tc>
        <w:tc>
          <w:tcPr>
            <w:tcW w:w="5979" w:type="dxa"/>
            <w:tcBorders>
              <w:top w:val="nil"/>
              <w:left w:val="nil"/>
              <w:bottom w:val="nil"/>
              <w:right w:val="nil"/>
            </w:tcBorders>
            <w:shd w:val="clear" w:color="auto" w:fill="auto"/>
            <w:vAlign w:val="center"/>
            <w:hideMark/>
          </w:tcPr>
          <w:p w14:paraId="5032173D" w14:textId="77777777" w:rsidR="004706C5" w:rsidRPr="004706C5" w:rsidRDefault="004706C5" w:rsidP="004706C5">
            <w:pPr>
              <w:jc w:val="left"/>
              <w:rPr>
                <w:rFonts w:ascii="Calibri" w:eastAsia="Times New Roman" w:hAnsi="Calibri" w:cs="Times New Roman"/>
                <w:color w:val="000000"/>
                <w:szCs w:val="20"/>
              </w:rPr>
            </w:pPr>
            <w:r w:rsidRPr="004706C5">
              <w:rPr>
                <w:rFonts w:ascii="Calibri" w:eastAsia="Times New Roman" w:hAnsi="Calibri" w:cs="Times New Roman"/>
                <w:color w:val="000000"/>
                <w:szCs w:val="20"/>
              </w:rPr>
              <w:t>Risque lié aux produits défectueux</w:t>
            </w:r>
          </w:p>
        </w:tc>
        <w:tc>
          <w:tcPr>
            <w:tcW w:w="1300" w:type="dxa"/>
            <w:tcBorders>
              <w:top w:val="nil"/>
              <w:left w:val="nil"/>
              <w:bottom w:val="nil"/>
              <w:right w:val="nil"/>
            </w:tcBorders>
            <w:shd w:val="clear" w:color="auto" w:fill="auto"/>
            <w:vAlign w:val="center"/>
            <w:hideMark/>
          </w:tcPr>
          <w:p w14:paraId="2CB255DB" w14:textId="77777777" w:rsidR="004706C5" w:rsidRPr="004706C5" w:rsidRDefault="004706C5" w:rsidP="004706C5">
            <w:pPr>
              <w:jc w:val="center"/>
              <w:rPr>
                <w:rFonts w:ascii="Calibri" w:eastAsia="Times New Roman" w:hAnsi="Calibri" w:cs="Times New Roman"/>
                <w:color w:val="000000"/>
                <w:szCs w:val="20"/>
              </w:rPr>
            </w:pPr>
            <w:r w:rsidRPr="004706C5">
              <w:rPr>
                <w:rFonts w:ascii="Calibri" w:eastAsia="Times New Roman" w:hAnsi="Calibri" w:cs="Times New Roman"/>
                <w:color w:val="000000"/>
                <w:szCs w:val="20"/>
              </w:rPr>
              <w:t>Faible</w:t>
            </w:r>
          </w:p>
        </w:tc>
        <w:tc>
          <w:tcPr>
            <w:tcW w:w="1300" w:type="dxa"/>
            <w:tcBorders>
              <w:top w:val="nil"/>
              <w:left w:val="nil"/>
              <w:bottom w:val="nil"/>
              <w:right w:val="nil"/>
            </w:tcBorders>
            <w:shd w:val="clear" w:color="auto" w:fill="auto"/>
            <w:vAlign w:val="center"/>
            <w:hideMark/>
          </w:tcPr>
          <w:p w14:paraId="50946C1A" w14:textId="77777777" w:rsidR="004706C5" w:rsidRPr="004706C5" w:rsidRDefault="004706C5" w:rsidP="004706C5">
            <w:pPr>
              <w:jc w:val="center"/>
              <w:rPr>
                <w:rFonts w:ascii="Calibri" w:eastAsia="Times New Roman" w:hAnsi="Calibri" w:cs="Times New Roman"/>
                <w:color w:val="000000"/>
                <w:szCs w:val="20"/>
              </w:rPr>
            </w:pPr>
            <w:r w:rsidRPr="004706C5">
              <w:rPr>
                <w:rFonts w:ascii="Calibri" w:eastAsia="Times New Roman" w:hAnsi="Calibri" w:cs="Times New Roman"/>
                <w:color w:val="000000"/>
                <w:szCs w:val="20"/>
              </w:rPr>
              <w:t>Elevé</w:t>
            </w:r>
          </w:p>
        </w:tc>
      </w:tr>
      <w:tr w:rsidR="004706C5" w:rsidRPr="004706C5" w14:paraId="695AA233" w14:textId="77777777" w:rsidTr="0057758C">
        <w:trPr>
          <w:trHeight w:val="397"/>
        </w:trPr>
        <w:tc>
          <w:tcPr>
            <w:tcW w:w="9419" w:type="dxa"/>
            <w:gridSpan w:val="4"/>
            <w:tcBorders>
              <w:top w:val="nil"/>
              <w:left w:val="nil"/>
              <w:bottom w:val="nil"/>
              <w:right w:val="nil"/>
            </w:tcBorders>
            <w:shd w:val="clear" w:color="000000" w:fill="B8CCE4"/>
            <w:vAlign w:val="center"/>
            <w:hideMark/>
          </w:tcPr>
          <w:p w14:paraId="5BABD015" w14:textId="267F7E0A" w:rsidR="004706C5" w:rsidRPr="004706C5" w:rsidRDefault="00976C36" w:rsidP="004706C5">
            <w:pPr>
              <w:jc w:val="center"/>
              <w:rPr>
                <w:rFonts w:ascii="Calibri" w:eastAsia="Times New Roman" w:hAnsi="Calibri" w:cs="Times New Roman"/>
                <w:b/>
                <w:bCs/>
                <w:color w:val="000000"/>
                <w:szCs w:val="20"/>
              </w:rPr>
            </w:pPr>
            <w:r>
              <w:rPr>
                <w:rFonts w:ascii="Calibri" w:eastAsia="Times New Roman" w:hAnsi="Calibri" w:cs="Times New Roman"/>
                <w:b/>
                <w:bCs/>
                <w:color w:val="000000"/>
                <w:szCs w:val="20"/>
              </w:rPr>
              <w:t>5</w:t>
            </w:r>
            <w:r w:rsidR="004706C5" w:rsidRPr="004706C5">
              <w:rPr>
                <w:rFonts w:ascii="Calibri" w:eastAsia="Times New Roman" w:hAnsi="Calibri" w:cs="Times New Roman"/>
                <w:b/>
                <w:bCs/>
                <w:color w:val="000000"/>
                <w:szCs w:val="20"/>
              </w:rPr>
              <w:t>- Risques liés à l'organisation de la Société</w:t>
            </w:r>
          </w:p>
        </w:tc>
      </w:tr>
      <w:tr w:rsidR="004706C5" w:rsidRPr="004706C5" w14:paraId="1701FD74" w14:textId="77777777" w:rsidTr="0057758C">
        <w:trPr>
          <w:trHeight w:val="397"/>
        </w:trPr>
        <w:tc>
          <w:tcPr>
            <w:tcW w:w="840" w:type="dxa"/>
            <w:tcBorders>
              <w:top w:val="nil"/>
              <w:left w:val="nil"/>
              <w:bottom w:val="nil"/>
              <w:right w:val="nil"/>
            </w:tcBorders>
            <w:shd w:val="clear" w:color="auto" w:fill="auto"/>
            <w:vAlign w:val="center"/>
            <w:hideMark/>
          </w:tcPr>
          <w:p w14:paraId="550D5FEF" w14:textId="4CE6A31C" w:rsidR="004706C5" w:rsidRPr="004706C5" w:rsidRDefault="00976C36" w:rsidP="004706C5">
            <w:pPr>
              <w:jc w:val="center"/>
              <w:rPr>
                <w:rFonts w:ascii="Calibri" w:eastAsia="Times New Roman" w:hAnsi="Calibri" w:cs="Times New Roman"/>
                <w:color w:val="000000"/>
                <w:szCs w:val="20"/>
              </w:rPr>
            </w:pPr>
            <w:r>
              <w:rPr>
                <w:rFonts w:ascii="Calibri" w:eastAsia="Times New Roman" w:hAnsi="Calibri" w:cs="Times New Roman"/>
                <w:color w:val="000000"/>
                <w:szCs w:val="20"/>
              </w:rPr>
              <w:t>14</w:t>
            </w:r>
          </w:p>
        </w:tc>
        <w:tc>
          <w:tcPr>
            <w:tcW w:w="5979" w:type="dxa"/>
            <w:tcBorders>
              <w:top w:val="nil"/>
              <w:left w:val="nil"/>
              <w:bottom w:val="nil"/>
              <w:right w:val="nil"/>
            </w:tcBorders>
            <w:shd w:val="clear" w:color="auto" w:fill="auto"/>
            <w:vAlign w:val="center"/>
            <w:hideMark/>
          </w:tcPr>
          <w:p w14:paraId="7D2632C1" w14:textId="77777777" w:rsidR="004706C5" w:rsidRPr="004706C5" w:rsidRDefault="004706C5" w:rsidP="004706C5">
            <w:pPr>
              <w:jc w:val="left"/>
              <w:rPr>
                <w:rFonts w:ascii="Calibri" w:eastAsia="Times New Roman" w:hAnsi="Calibri" w:cs="Times New Roman"/>
                <w:color w:val="000000"/>
                <w:szCs w:val="20"/>
              </w:rPr>
            </w:pPr>
            <w:r w:rsidRPr="004706C5">
              <w:rPr>
                <w:rFonts w:ascii="Calibri" w:eastAsia="Times New Roman" w:hAnsi="Calibri" w:cs="Times New Roman"/>
                <w:color w:val="000000"/>
                <w:szCs w:val="20"/>
              </w:rPr>
              <w:t>Risque lié à la politique de développement international</w:t>
            </w:r>
          </w:p>
        </w:tc>
        <w:tc>
          <w:tcPr>
            <w:tcW w:w="1300" w:type="dxa"/>
            <w:tcBorders>
              <w:top w:val="nil"/>
              <w:left w:val="nil"/>
              <w:bottom w:val="nil"/>
              <w:right w:val="nil"/>
            </w:tcBorders>
            <w:shd w:val="clear" w:color="auto" w:fill="auto"/>
            <w:vAlign w:val="center"/>
            <w:hideMark/>
          </w:tcPr>
          <w:p w14:paraId="3D761BA3" w14:textId="77777777" w:rsidR="004706C5" w:rsidRPr="004706C5" w:rsidRDefault="004706C5" w:rsidP="004706C5">
            <w:pPr>
              <w:jc w:val="center"/>
              <w:rPr>
                <w:rFonts w:ascii="Calibri" w:eastAsia="Times New Roman" w:hAnsi="Calibri" w:cs="Times New Roman"/>
                <w:color w:val="000000"/>
                <w:szCs w:val="20"/>
              </w:rPr>
            </w:pPr>
            <w:r w:rsidRPr="004706C5">
              <w:rPr>
                <w:rFonts w:ascii="Calibri" w:eastAsia="Times New Roman" w:hAnsi="Calibri" w:cs="Times New Roman"/>
                <w:color w:val="000000"/>
                <w:szCs w:val="20"/>
              </w:rPr>
              <w:t>Elevé</w:t>
            </w:r>
          </w:p>
        </w:tc>
        <w:tc>
          <w:tcPr>
            <w:tcW w:w="1300" w:type="dxa"/>
            <w:tcBorders>
              <w:top w:val="nil"/>
              <w:left w:val="nil"/>
              <w:bottom w:val="nil"/>
              <w:right w:val="nil"/>
            </w:tcBorders>
            <w:shd w:val="clear" w:color="auto" w:fill="auto"/>
            <w:vAlign w:val="center"/>
            <w:hideMark/>
          </w:tcPr>
          <w:p w14:paraId="770F0A10" w14:textId="77777777" w:rsidR="004706C5" w:rsidRPr="004706C5" w:rsidRDefault="004706C5" w:rsidP="004706C5">
            <w:pPr>
              <w:jc w:val="center"/>
              <w:rPr>
                <w:rFonts w:ascii="Calibri" w:eastAsia="Times New Roman" w:hAnsi="Calibri" w:cs="Times New Roman"/>
                <w:color w:val="000000"/>
                <w:szCs w:val="20"/>
              </w:rPr>
            </w:pPr>
            <w:r w:rsidRPr="004706C5">
              <w:rPr>
                <w:rFonts w:ascii="Calibri" w:eastAsia="Times New Roman" w:hAnsi="Calibri" w:cs="Times New Roman"/>
                <w:color w:val="000000"/>
                <w:szCs w:val="20"/>
              </w:rPr>
              <w:t>Faible</w:t>
            </w:r>
          </w:p>
        </w:tc>
      </w:tr>
    </w:tbl>
    <w:p w14:paraId="57B84069" w14:textId="77777777" w:rsidR="003A794F" w:rsidRDefault="003A794F" w:rsidP="00801F96">
      <w:pPr>
        <w:tabs>
          <w:tab w:val="right" w:leader="dot" w:pos="8505"/>
        </w:tabs>
        <w:rPr>
          <w:b/>
        </w:rPr>
      </w:pPr>
    </w:p>
    <w:p w14:paraId="75D7CCF8" w14:textId="212DC1F4" w:rsidR="00976C36" w:rsidRPr="00B52D33" w:rsidRDefault="00976C36" w:rsidP="00976C36">
      <w:pPr>
        <w:pStyle w:val="Titre2"/>
      </w:pPr>
      <w:bookmarkStart w:id="26" w:name="_Toc349133505"/>
      <w:bookmarkStart w:id="27" w:name="_Toc351994590"/>
      <w:bookmarkStart w:id="28" w:name="_Toc475033156"/>
      <w:r>
        <w:lastRenderedPageBreak/>
        <w:t>3</w:t>
      </w:r>
      <w:r w:rsidRPr="00B52D33">
        <w:t>.</w:t>
      </w:r>
      <w:r>
        <w:t>1</w:t>
      </w:r>
      <w:r w:rsidRPr="00B52D33">
        <w:t>. R</w:t>
      </w:r>
      <w:r>
        <w:t>isques financiers</w:t>
      </w:r>
      <w:bookmarkEnd w:id="28"/>
    </w:p>
    <w:p w14:paraId="72DF39EE" w14:textId="2374FFA9" w:rsidR="00976C36" w:rsidRPr="00D93A07" w:rsidRDefault="00976C36" w:rsidP="00976C36">
      <w:pPr>
        <w:pStyle w:val="Titre3"/>
      </w:pPr>
      <w:bookmarkStart w:id="29" w:name="_Ref368922830"/>
      <w:bookmarkStart w:id="30" w:name="_Toc349133520"/>
      <w:bookmarkStart w:id="31" w:name="_Toc351994604"/>
      <w:bookmarkStart w:id="32" w:name="_Toc475033157"/>
      <w:r>
        <w:t>3</w:t>
      </w:r>
      <w:r w:rsidRPr="00D93A07">
        <w:t>.</w:t>
      </w:r>
      <w:r>
        <w:t>1</w:t>
      </w:r>
      <w:r w:rsidRPr="00D93A07">
        <w:t>.</w:t>
      </w:r>
      <w:r>
        <w:t>1</w:t>
      </w:r>
      <w:r w:rsidRPr="00D93A07">
        <w:t>.</w:t>
      </w:r>
      <w:r>
        <w:t xml:space="preserve"> </w:t>
      </w:r>
      <w:bookmarkStart w:id="33" w:name="_Toc351994608"/>
      <w:bookmarkStart w:id="34" w:name="_Ref338440109"/>
      <w:bookmarkStart w:id="35" w:name="_Ref341199779"/>
      <w:bookmarkStart w:id="36" w:name="_Ref368932943"/>
      <w:bookmarkStart w:id="37" w:name="_Ref369164240"/>
      <w:r w:rsidRPr="00D93A07">
        <w:t>Risques de dilution</w:t>
      </w:r>
      <w:bookmarkEnd w:id="33"/>
      <w:bookmarkEnd w:id="34"/>
      <w:bookmarkEnd w:id="35"/>
      <w:bookmarkEnd w:id="36"/>
      <w:r>
        <w:t xml:space="preserve"> pour les actionnaires</w:t>
      </w:r>
      <w:bookmarkEnd w:id="37"/>
      <w:bookmarkEnd w:id="32"/>
    </w:p>
    <w:p w14:paraId="78BE58C4" w14:textId="77777777" w:rsidR="00976C36" w:rsidRDefault="00976C36" w:rsidP="00976C36">
      <w:pPr>
        <w:rPr>
          <w:b/>
        </w:rPr>
      </w:pPr>
    </w:p>
    <w:p w14:paraId="39605A67" w14:textId="77777777" w:rsidR="00976C36" w:rsidRDefault="00976C36" w:rsidP="00976C36">
      <w:pPr>
        <w:rPr>
          <w:rFonts w:cs="Times New Roman"/>
          <w:szCs w:val="20"/>
        </w:rPr>
      </w:pPr>
      <w:r w:rsidRPr="00075E72">
        <w:rPr>
          <w:rFonts w:cs="Times New Roman"/>
          <w:szCs w:val="20"/>
        </w:rPr>
        <w:t>Le statut de société cotée ainsi que le recours à des outils de financement dilutifs v</w:t>
      </w:r>
      <w:r>
        <w:rPr>
          <w:rFonts w:cs="Times New Roman"/>
          <w:szCs w:val="20"/>
        </w:rPr>
        <w:t>ia les contrats de financement (</w:t>
      </w:r>
      <w:r w:rsidRPr="00075E72">
        <w:rPr>
          <w:rFonts w:cs="Times New Roman"/>
          <w:szCs w:val="20"/>
        </w:rPr>
        <w:t>notamment en OCABSA</w:t>
      </w:r>
      <w:r>
        <w:rPr>
          <w:rFonts w:cs="Times New Roman"/>
          <w:szCs w:val="20"/>
        </w:rPr>
        <w:t>)</w:t>
      </w:r>
      <w:r w:rsidRPr="00075E72">
        <w:rPr>
          <w:rFonts w:cs="Times New Roman"/>
          <w:szCs w:val="20"/>
        </w:rPr>
        <w:t xml:space="preserve"> présente un risque de dilution du capital et complexifie la gouvernance faute de bloc majoritaire.</w:t>
      </w:r>
    </w:p>
    <w:p w14:paraId="4078FD5B" w14:textId="77777777" w:rsidR="00976C36" w:rsidRPr="00075E72" w:rsidRDefault="00976C36" w:rsidP="00976C36">
      <w:pPr>
        <w:rPr>
          <w:rFonts w:cs="Times New Roman"/>
          <w:szCs w:val="20"/>
        </w:rPr>
      </w:pPr>
    </w:p>
    <w:p w14:paraId="3E4A2C28" w14:textId="77777777" w:rsidR="00161B48" w:rsidRPr="00B52FE8" w:rsidRDefault="00161B48" w:rsidP="00161B48">
      <w:pPr>
        <w:widowControl w:val="0"/>
        <w:autoSpaceDE w:val="0"/>
        <w:autoSpaceDN w:val="0"/>
        <w:adjustRightInd w:val="0"/>
        <w:rPr>
          <w:rFonts w:cs="Times New Roman"/>
        </w:rPr>
      </w:pPr>
      <w:r w:rsidRPr="01257A3D">
        <w:rPr>
          <w:rFonts w:cs="Times New Roman"/>
        </w:rPr>
        <w:t>Au cours des exercices 2017, 2018, 2019 et 2020, Spineway a ainsi consolidé ses fonds propres et quasi-fonds propres par le biais de</w:t>
      </w:r>
      <w:r>
        <w:rPr>
          <w:rFonts w:cs="Times New Roman"/>
        </w:rPr>
        <w:t xml:space="preserve"> </w:t>
      </w:r>
      <w:r w:rsidRPr="01257A3D">
        <w:rPr>
          <w:rFonts w:cs="Times New Roman"/>
        </w:rPr>
        <w:t>:</w:t>
      </w:r>
    </w:p>
    <w:p w14:paraId="3E8CDB7D" w14:textId="77777777" w:rsidR="00161B48" w:rsidRPr="00B52FE8" w:rsidRDefault="00161B48" w:rsidP="00161B48">
      <w:pPr>
        <w:pStyle w:val="Paragraphedeliste"/>
        <w:widowControl w:val="0"/>
        <w:numPr>
          <w:ilvl w:val="0"/>
          <w:numId w:val="53"/>
        </w:numPr>
        <w:autoSpaceDE w:val="0"/>
        <w:autoSpaceDN w:val="0"/>
        <w:adjustRightInd w:val="0"/>
        <w:rPr>
          <w:rFonts w:cs="Times New Roman"/>
          <w:szCs w:val="20"/>
        </w:rPr>
      </w:pPr>
      <w:r>
        <w:rPr>
          <w:rFonts w:cs="Times New Roman"/>
          <w:szCs w:val="20"/>
        </w:rPr>
        <w:t>l’</w:t>
      </w:r>
      <w:r w:rsidRPr="00B52FE8">
        <w:rPr>
          <w:rFonts w:cs="Times New Roman"/>
          <w:szCs w:val="20"/>
        </w:rPr>
        <w:t xml:space="preserve">augmentation de capital réservée à la société Tinavi Medical Technologies, </w:t>
      </w:r>
    </w:p>
    <w:p w14:paraId="3CCD25E6" w14:textId="77777777" w:rsidR="00161B48" w:rsidRPr="00B52FE8" w:rsidRDefault="00161B48" w:rsidP="00161B48">
      <w:pPr>
        <w:pStyle w:val="Paragraphedeliste"/>
        <w:widowControl w:val="0"/>
        <w:numPr>
          <w:ilvl w:val="0"/>
          <w:numId w:val="53"/>
        </w:numPr>
        <w:autoSpaceDE w:val="0"/>
        <w:autoSpaceDN w:val="0"/>
        <w:adjustRightInd w:val="0"/>
        <w:rPr>
          <w:rFonts w:cs="Times New Roman"/>
          <w:szCs w:val="20"/>
        </w:rPr>
      </w:pPr>
      <w:r>
        <w:rPr>
          <w:rFonts w:cs="Times New Roman"/>
          <w:szCs w:val="20"/>
        </w:rPr>
        <w:t>l’</w:t>
      </w:r>
      <w:r w:rsidRPr="00B52FE8">
        <w:rPr>
          <w:rFonts w:cs="Times New Roman"/>
          <w:szCs w:val="20"/>
        </w:rPr>
        <w:t>augmentation de capital souscrite par le fonds YA II PN Ltd</w:t>
      </w:r>
      <w:r w:rsidRPr="00E80163">
        <w:rPr>
          <w:rFonts w:cs="Times New Roman"/>
          <w:szCs w:val="20"/>
        </w:rPr>
        <w:t xml:space="preserve"> </w:t>
      </w:r>
      <w:r>
        <w:rPr>
          <w:rFonts w:cs="Times New Roman"/>
          <w:szCs w:val="20"/>
        </w:rPr>
        <w:t>(Yorkville SPV Ltd)</w:t>
      </w:r>
      <w:r w:rsidRPr="00B52FE8">
        <w:rPr>
          <w:rFonts w:cs="Times New Roman"/>
          <w:szCs w:val="20"/>
        </w:rPr>
        <w:t>,</w:t>
      </w:r>
    </w:p>
    <w:p w14:paraId="2533BA14" w14:textId="77777777" w:rsidR="00161B48" w:rsidRPr="00B52FE8" w:rsidRDefault="00161B48" w:rsidP="00161B48">
      <w:pPr>
        <w:pStyle w:val="Paragraphedeliste"/>
        <w:widowControl w:val="0"/>
        <w:numPr>
          <w:ilvl w:val="0"/>
          <w:numId w:val="53"/>
        </w:numPr>
        <w:autoSpaceDE w:val="0"/>
        <w:autoSpaceDN w:val="0"/>
        <w:adjustRightInd w:val="0"/>
        <w:rPr>
          <w:rFonts w:cs="Times New Roman"/>
          <w:szCs w:val="20"/>
        </w:rPr>
      </w:pPr>
      <w:r>
        <w:rPr>
          <w:rFonts w:cs="Times New Roman"/>
          <w:szCs w:val="20"/>
        </w:rPr>
        <w:t>l’</w:t>
      </w:r>
      <w:r w:rsidRPr="00B52FE8">
        <w:rPr>
          <w:rFonts w:cs="Times New Roman"/>
          <w:szCs w:val="20"/>
        </w:rPr>
        <w:t xml:space="preserve">augmentation de capital au profit de </w:t>
      </w:r>
      <w:r>
        <w:rPr>
          <w:rFonts w:cs="Times New Roman"/>
          <w:szCs w:val="20"/>
        </w:rPr>
        <w:t>Negma Group Ltd (</w:t>
      </w:r>
      <w:r w:rsidRPr="00B52FE8">
        <w:rPr>
          <w:rFonts w:cs="Times New Roman"/>
          <w:szCs w:val="20"/>
        </w:rPr>
        <w:t>Park Capital</w:t>
      </w:r>
      <w:r>
        <w:rPr>
          <w:rFonts w:cs="Times New Roman"/>
          <w:szCs w:val="20"/>
        </w:rPr>
        <w:t>)</w:t>
      </w:r>
      <w:r w:rsidRPr="00B52FE8">
        <w:rPr>
          <w:rFonts w:cs="Times New Roman"/>
          <w:szCs w:val="20"/>
        </w:rPr>
        <w:t xml:space="preserve">. </w:t>
      </w:r>
    </w:p>
    <w:p w14:paraId="4C765CB8" w14:textId="77777777" w:rsidR="00161B48" w:rsidRDefault="00161B48" w:rsidP="00161B48">
      <w:pPr>
        <w:rPr>
          <w:rFonts w:cs="Times New Roman"/>
        </w:rPr>
      </w:pPr>
    </w:p>
    <w:p w14:paraId="73CFD54F" w14:textId="77777777" w:rsidR="00161B48" w:rsidRPr="00B52FE8" w:rsidRDefault="00161B48" w:rsidP="00161B48">
      <w:r w:rsidRPr="01257A3D">
        <w:rPr>
          <w:rFonts w:cs="Times New Roman"/>
        </w:rPr>
        <w:t xml:space="preserve">Spineway </w:t>
      </w:r>
      <w:r w:rsidRPr="00B52FE8">
        <w:rPr>
          <w:rFonts w:cs="Times New Roman"/>
          <w:szCs w:val="20"/>
        </w:rPr>
        <w:t xml:space="preserve">a également </w:t>
      </w:r>
      <w:r w:rsidRPr="00B52FE8">
        <w:t>émis des instruments financiers dilutifs par le biais de</w:t>
      </w:r>
      <w:r>
        <w:t xml:space="preserve"> </w:t>
      </w:r>
      <w:r w:rsidRPr="00B52FE8">
        <w:t>:</w:t>
      </w:r>
    </w:p>
    <w:p w14:paraId="07372912" w14:textId="77777777" w:rsidR="00161B48" w:rsidRPr="00436C52" w:rsidRDefault="00161B48" w:rsidP="00161B48">
      <w:pPr>
        <w:pStyle w:val="Paragraphedeliste"/>
        <w:widowControl w:val="0"/>
        <w:numPr>
          <w:ilvl w:val="0"/>
          <w:numId w:val="53"/>
        </w:numPr>
        <w:autoSpaceDE w:val="0"/>
        <w:autoSpaceDN w:val="0"/>
        <w:adjustRightInd w:val="0"/>
        <w:rPr>
          <w:rFonts w:cs="Times New Roman"/>
          <w:b/>
          <w:i/>
          <w:szCs w:val="20"/>
        </w:rPr>
      </w:pPr>
      <w:r w:rsidRPr="00436C52">
        <w:rPr>
          <w:rFonts w:cs="Times New Roman"/>
          <w:b/>
          <w:i/>
          <w:szCs w:val="20"/>
        </w:rPr>
        <w:t>l’émission et l’exercice des ORNANE</w:t>
      </w:r>
      <w:r>
        <w:rPr>
          <w:rFonts w:cs="Times New Roman"/>
          <w:b/>
          <w:i/>
          <w:szCs w:val="20"/>
        </w:rPr>
        <w:t xml:space="preserve"> (</w:t>
      </w:r>
      <w:r w:rsidRPr="00EE1506">
        <w:rPr>
          <w:rFonts w:cs="Times New Roman"/>
          <w:b/>
          <w:i/>
          <w:szCs w:val="20"/>
        </w:rPr>
        <w:t>Obligations Remboursables en Numéraire et en Actions Nouvelles et Existantes)</w:t>
      </w:r>
      <w:r w:rsidRPr="00436C52">
        <w:rPr>
          <w:rFonts w:cs="Times New Roman"/>
          <w:b/>
          <w:i/>
          <w:szCs w:val="20"/>
        </w:rPr>
        <w:t xml:space="preserve"> réservées au profit du fonds d’investissement YA II PN Ltd, géré par Yorkville SPV Ltd (ORNANE Yorkville)</w:t>
      </w:r>
      <w:r>
        <w:rPr>
          <w:rFonts w:cs="Times New Roman"/>
          <w:b/>
          <w:i/>
          <w:szCs w:val="20"/>
        </w:rPr>
        <w:t> :</w:t>
      </w:r>
    </w:p>
    <w:p w14:paraId="6A2F4445" w14:textId="77777777" w:rsidR="00161B48" w:rsidRPr="009F2E0C" w:rsidRDefault="00161B48" w:rsidP="00161B48">
      <w:pPr>
        <w:pStyle w:val="Paragraphedeliste"/>
        <w:rPr>
          <w:rFonts w:ascii="Calibri" w:hAnsi="Calibri" w:cs="Calibri"/>
          <w:szCs w:val="20"/>
        </w:rPr>
      </w:pPr>
      <w:r w:rsidRPr="009F2E0C">
        <w:rPr>
          <w:rFonts w:ascii="Calibri" w:hAnsi="Calibri" w:cs="Calibri"/>
          <w:szCs w:val="20"/>
        </w:rPr>
        <w:t xml:space="preserve">A la date du Document d’enregistrement universel, </w:t>
      </w:r>
      <w:r>
        <w:rPr>
          <w:rFonts w:ascii="Calibri" w:hAnsi="Calibri" w:cs="Calibri"/>
          <w:szCs w:val="20"/>
        </w:rPr>
        <w:t>l</w:t>
      </w:r>
      <w:r w:rsidRPr="009F2E0C">
        <w:rPr>
          <w:rFonts w:ascii="Calibri" w:hAnsi="Calibri" w:cs="Calibri"/>
          <w:szCs w:val="20"/>
        </w:rPr>
        <w:t>es 100 obligations</w:t>
      </w:r>
      <w:r>
        <w:rPr>
          <w:rFonts w:ascii="Calibri" w:hAnsi="Calibri" w:cs="Calibri"/>
          <w:szCs w:val="20"/>
        </w:rPr>
        <w:t xml:space="preserve"> ainsi</w:t>
      </w:r>
      <w:r w:rsidRPr="009F2E0C">
        <w:rPr>
          <w:rFonts w:ascii="Calibri" w:hAnsi="Calibri" w:cs="Calibri"/>
          <w:szCs w:val="20"/>
        </w:rPr>
        <w:t xml:space="preserve"> émises ont toutes été converties.</w:t>
      </w:r>
    </w:p>
    <w:p w14:paraId="325AF5C4" w14:textId="77777777" w:rsidR="00161B48" w:rsidRPr="009F2E0C" w:rsidRDefault="00161B48" w:rsidP="00161B48">
      <w:pPr>
        <w:pStyle w:val="Paragraphedeliste"/>
        <w:rPr>
          <w:rFonts w:ascii="Calibri" w:hAnsi="Calibri" w:cs="Calibri"/>
          <w:szCs w:val="20"/>
        </w:rPr>
      </w:pPr>
      <w:r w:rsidRPr="009F2E0C">
        <w:rPr>
          <w:rFonts w:ascii="Calibri" w:hAnsi="Calibri" w:cs="Calibri"/>
          <w:szCs w:val="20"/>
        </w:rPr>
        <w:t>129.574 BSA</w:t>
      </w:r>
      <w:r>
        <w:rPr>
          <w:rFonts w:ascii="Calibri" w:hAnsi="Calibri" w:cs="Calibri"/>
          <w:szCs w:val="20"/>
        </w:rPr>
        <w:t xml:space="preserve"> (Bons de Souscription d’Actions)</w:t>
      </w:r>
      <w:r w:rsidRPr="009F2E0C">
        <w:rPr>
          <w:rFonts w:ascii="Calibri" w:hAnsi="Calibri" w:cs="Calibri"/>
          <w:szCs w:val="20"/>
        </w:rPr>
        <w:t xml:space="preserve"> ont été exercés. Subsistent 137.805 BSA en circulation</w:t>
      </w:r>
      <w:r>
        <w:rPr>
          <w:rFonts w:ascii="Calibri" w:hAnsi="Calibri" w:cs="Calibri"/>
          <w:szCs w:val="20"/>
        </w:rPr>
        <w:t xml:space="preserve">, lesquels </w:t>
      </w:r>
      <w:r w:rsidRPr="009F2E0C">
        <w:rPr>
          <w:rFonts w:ascii="Calibri" w:hAnsi="Calibri" w:cs="Calibri"/>
          <w:szCs w:val="20"/>
        </w:rPr>
        <w:t>peuvent être exercés jusqu’au 20 décembre 2022.</w:t>
      </w:r>
    </w:p>
    <w:p w14:paraId="66932CDA" w14:textId="7F58DCB0" w:rsidR="00161B48" w:rsidRPr="00436C52" w:rsidRDefault="00161B48" w:rsidP="00161B48">
      <w:pPr>
        <w:pStyle w:val="Paragraphedeliste"/>
        <w:widowControl w:val="0"/>
        <w:numPr>
          <w:ilvl w:val="0"/>
          <w:numId w:val="53"/>
        </w:numPr>
        <w:autoSpaceDE w:val="0"/>
        <w:autoSpaceDN w:val="0"/>
        <w:adjustRightInd w:val="0"/>
        <w:rPr>
          <w:rFonts w:cs="Times New Roman"/>
          <w:b/>
          <w:i/>
          <w:szCs w:val="20"/>
        </w:rPr>
      </w:pPr>
      <w:r w:rsidRPr="00436C52">
        <w:rPr>
          <w:rFonts w:cs="Times New Roman"/>
          <w:b/>
          <w:i/>
          <w:szCs w:val="20"/>
        </w:rPr>
        <w:t>l’émission et l’exercice des OCEANE</w:t>
      </w:r>
      <w:r>
        <w:rPr>
          <w:rFonts w:cs="Times New Roman"/>
          <w:b/>
          <w:i/>
          <w:szCs w:val="20"/>
        </w:rPr>
        <w:t xml:space="preserve"> (Obligations Convertibles Echangeable</w:t>
      </w:r>
      <w:r w:rsidR="00FA001C">
        <w:rPr>
          <w:rFonts w:cs="Times New Roman"/>
          <w:b/>
          <w:i/>
          <w:szCs w:val="20"/>
        </w:rPr>
        <w:t>s en Actions Nouvelles ou Exista</w:t>
      </w:r>
      <w:r>
        <w:rPr>
          <w:rFonts w:cs="Times New Roman"/>
          <w:b/>
          <w:i/>
          <w:szCs w:val="20"/>
        </w:rPr>
        <w:t>ntes</w:t>
      </w:r>
      <w:r w:rsidRPr="00436C52">
        <w:rPr>
          <w:rFonts w:cs="Times New Roman"/>
          <w:b/>
          <w:i/>
          <w:szCs w:val="20"/>
        </w:rPr>
        <w:t xml:space="preserve"> réservées au profit du fonds European High Growth Opportunities Securization Fund (</w:t>
      </w:r>
      <w:r w:rsidRPr="00436C52">
        <w:rPr>
          <w:rFonts w:ascii="Calibri" w:hAnsi="Calibri" w:cs="Calibri"/>
          <w:b/>
          <w:i/>
          <w:szCs w:val="20"/>
        </w:rPr>
        <w:t>OCEANE ABO)</w:t>
      </w:r>
      <w:r>
        <w:rPr>
          <w:rFonts w:ascii="Calibri" w:hAnsi="Calibri" w:cs="Calibri"/>
          <w:b/>
          <w:i/>
          <w:szCs w:val="20"/>
        </w:rPr>
        <w:t> </w:t>
      </w:r>
      <w:r>
        <w:rPr>
          <w:rFonts w:cs="Times New Roman"/>
          <w:b/>
          <w:i/>
          <w:szCs w:val="20"/>
        </w:rPr>
        <w:t>:</w:t>
      </w:r>
    </w:p>
    <w:p w14:paraId="372CA06E" w14:textId="77777777" w:rsidR="00161B48" w:rsidRPr="009F2E0C" w:rsidRDefault="00161B48" w:rsidP="00161B48">
      <w:pPr>
        <w:pStyle w:val="Paragraphedeliste"/>
      </w:pPr>
      <w:r>
        <w:rPr>
          <w:rFonts w:ascii="Calibri" w:hAnsi="Calibri" w:cs="Calibri"/>
        </w:rPr>
        <w:t xml:space="preserve">A la date du Document d’enregistrement universel, et </w:t>
      </w:r>
      <w:r w:rsidRPr="009F2E0C">
        <w:rPr>
          <w:rFonts w:ascii="Calibri" w:hAnsi="Calibri" w:cs="Calibri"/>
        </w:rPr>
        <w:t>sur les 1.040 obligations émises</w:t>
      </w:r>
      <w:r>
        <w:rPr>
          <w:rFonts w:ascii="Calibri" w:hAnsi="Calibri" w:cs="Calibri"/>
        </w:rPr>
        <w:t>,</w:t>
      </w:r>
      <w:r w:rsidRPr="009F2E0C">
        <w:rPr>
          <w:rFonts w:ascii="Calibri" w:hAnsi="Calibri" w:cs="Calibri"/>
        </w:rPr>
        <w:t xml:space="preserve"> 1.039 obligations ont été converties</w:t>
      </w:r>
      <w:r>
        <w:rPr>
          <w:rFonts w:ascii="Calibri" w:hAnsi="Calibri" w:cs="Calibri"/>
        </w:rPr>
        <w:t xml:space="preserve"> et </w:t>
      </w:r>
      <w:r w:rsidRPr="009F2E0C">
        <w:rPr>
          <w:rFonts w:ascii="Calibri" w:hAnsi="Calibri" w:cs="Calibri"/>
        </w:rPr>
        <w:t xml:space="preserve">1 obligation est arrivée à échéance sans être convertie </w:t>
      </w:r>
      <w:r>
        <w:rPr>
          <w:rFonts w:ascii="Calibri" w:hAnsi="Calibri" w:cs="Calibri"/>
        </w:rPr>
        <w:t xml:space="preserve">(cette obligation </w:t>
      </w:r>
      <w:r w:rsidRPr="009F2E0C">
        <w:rPr>
          <w:rFonts w:ascii="Calibri" w:hAnsi="Calibri" w:cs="Calibri"/>
        </w:rPr>
        <w:t xml:space="preserve">a été annulée </w:t>
      </w:r>
      <w:r>
        <w:rPr>
          <w:rFonts w:ascii="Calibri" w:hAnsi="Calibri" w:cs="Calibri"/>
        </w:rPr>
        <w:t>au cours de</w:t>
      </w:r>
      <w:r w:rsidRPr="009F2E0C">
        <w:rPr>
          <w:rFonts w:ascii="Calibri" w:hAnsi="Calibri" w:cs="Calibri"/>
        </w:rPr>
        <w:t xml:space="preserve"> l’exercice 2020</w:t>
      </w:r>
      <w:r>
        <w:rPr>
          <w:rFonts w:ascii="Calibri" w:hAnsi="Calibri" w:cs="Calibri"/>
        </w:rPr>
        <w:t>)</w:t>
      </w:r>
      <w:r w:rsidRPr="009F2E0C">
        <w:rPr>
          <w:rFonts w:ascii="Calibri" w:hAnsi="Calibri" w:cs="Calibri"/>
        </w:rPr>
        <w:t>.</w:t>
      </w:r>
    </w:p>
    <w:p w14:paraId="461371C1" w14:textId="77777777" w:rsidR="00161B48" w:rsidRPr="009F2E0C" w:rsidRDefault="00161B48" w:rsidP="00161B48">
      <w:pPr>
        <w:pStyle w:val="Paragraphedeliste"/>
        <w:rPr>
          <w:rFonts w:ascii="Calibri" w:hAnsi="Calibri" w:cs="Calibri"/>
          <w:szCs w:val="20"/>
        </w:rPr>
      </w:pPr>
      <w:r w:rsidRPr="009F2E0C">
        <w:rPr>
          <w:rFonts w:ascii="Calibri" w:hAnsi="Calibri" w:cs="Calibri"/>
          <w:szCs w:val="20"/>
        </w:rPr>
        <w:t xml:space="preserve">333.333 BSA ont été exercés sur les 81.249.999 BSA attachés aux OCEANE ABO. </w:t>
      </w:r>
      <w:r w:rsidRPr="009F2E0C">
        <w:rPr>
          <w:rFonts w:ascii="Calibri" w:hAnsi="Calibri" w:cs="Calibri"/>
        </w:rPr>
        <w:t xml:space="preserve">80.916.666 BSA restent en circulation et peuvent être exercés 5 années à compter de leur détachement des OCEANE. </w:t>
      </w:r>
    </w:p>
    <w:p w14:paraId="72FFD220" w14:textId="77777777" w:rsidR="00161B48" w:rsidRDefault="00161B48" w:rsidP="00161B48">
      <w:pPr>
        <w:pStyle w:val="Paragraphedeliste"/>
        <w:widowControl w:val="0"/>
        <w:numPr>
          <w:ilvl w:val="0"/>
          <w:numId w:val="53"/>
        </w:numPr>
        <w:autoSpaceDE w:val="0"/>
        <w:autoSpaceDN w:val="0"/>
        <w:adjustRightInd w:val="0"/>
        <w:rPr>
          <w:rFonts w:ascii="Calibri" w:hAnsi="Calibri" w:cs="Calibri"/>
        </w:rPr>
      </w:pPr>
      <w:r w:rsidRPr="00436C52">
        <w:rPr>
          <w:rFonts w:cs="Times New Roman"/>
          <w:b/>
          <w:i/>
        </w:rPr>
        <w:t>l’émission et de l’exercice d’OCABSA</w:t>
      </w:r>
      <w:r>
        <w:rPr>
          <w:rFonts w:cs="Times New Roman"/>
          <w:b/>
          <w:i/>
        </w:rPr>
        <w:t xml:space="preserve"> (</w:t>
      </w:r>
      <w:r w:rsidRPr="00887696">
        <w:rPr>
          <w:rFonts w:cs="Times New Roman"/>
          <w:b/>
          <w:i/>
        </w:rPr>
        <w:t>Obligations Convertibles en Actions assorties de Bons de Souscription d’Actions)</w:t>
      </w:r>
      <w:r w:rsidRPr="00436C52">
        <w:rPr>
          <w:rFonts w:cs="Times New Roman"/>
          <w:b/>
          <w:i/>
        </w:rPr>
        <w:t xml:space="preserve"> au profit de Negma Group Ltd (OCABSA Negma)</w:t>
      </w:r>
      <w:r>
        <w:rPr>
          <w:rFonts w:cs="Times New Roman"/>
          <w:b/>
          <w:i/>
        </w:rPr>
        <w:t> :</w:t>
      </w:r>
      <w:r>
        <w:rPr>
          <w:rFonts w:ascii="Calibri" w:hAnsi="Calibri" w:cs="Calibri"/>
        </w:rPr>
        <w:t xml:space="preserve"> </w:t>
      </w:r>
    </w:p>
    <w:p w14:paraId="5B2D0DBC" w14:textId="0D78CE68" w:rsidR="00161B48" w:rsidRPr="001C1414" w:rsidRDefault="00161B48" w:rsidP="00161B48">
      <w:pPr>
        <w:pStyle w:val="Paragraphedeliste"/>
        <w:widowControl w:val="0"/>
        <w:autoSpaceDE w:val="0"/>
        <w:autoSpaceDN w:val="0"/>
        <w:adjustRightInd w:val="0"/>
        <w:rPr>
          <w:rFonts w:ascii="Calibri" w:hAnsi="Calibri" w:cs="Calibri"/>
        </w:rPr>
      </w:pPr>
      <w:r w:rsidRPr="001C1414">
        <w:rPr>
          <w:rFonts w:ascii="Calibri" w:hAnsi="Calibri" w:cs="Calibri"/>
        </w:rPr>
        <w:t xml:space="preserve">A la date du Document d’enregistrement universel, </w:t>
      </w:r>
      <w:r w:rsidR="005B42F0">
        <w:rPr>
          <w:rFonts w:ascii="Calibri" w:hAnsi="Calibri" w:cs="Calibri"/>
        </w:rPr>
        <w:t>5.940</w:t>
      </w:r>
      <w:r w:rsidRPr="001C1414">
        <w:rPr>
          <w:rFonts w:ascii="Calibri" w:hAnsi="Calibri" w:cs="Calibri"/>
        </w:rPr>
        <w:t xml:space="preserve"> </w:t>
      </w:r>
      <w:r w:rsidRPr="001C1414">
        <w:rPr>
          <w:rFonts w:cs="Times New Roman"/>
        </w:rPr>
        <w:t xml:space="preserve">OC (Obligations Convertibles) </w:t>
      </w:r>
      <w:r w:rsidRPr="001C1414">
        <w:rPr>
          <w:rFonts w:ascii="Calibri" w:hAnsi="Calibri" w:cs="Calibri"/>
        </w:rPr>
        <w:t>ont été émises</w:t>
      </w:r>
      <w:r w:rsidR="001C1414" w:rsidRPr="005B42F0">
        <w:rPr>
          <w:rFonts w:ascii="Calibri" w:hAnsi="Calibri" w:cs="Calibri"/>
        </w:rPr>
        <w:t xml:space="preserve"> et converties. </w:t>
      </w:r>
      <w:r w:rsidR="005B42F0">
        <w:rPr>
          <w:rFonts w:ascii="Calibri" w:hAnsi="Calibri" w:cs="Calibri"/>
        </w:rPr>
        <w:t>10.060</w:t>
      </w:r>
      <w:r w:rsidRPr="001C1414">
        <w:rPr>
          <w:rFonts w:ascii="Calibri" w:hAnsi="Calibri" w:cs="Calibri"/>
        </w:rPr>
        <w:t xml:space="preserve"> OC </w:t>
      </w:r>
      <w:r w:rsidR="001C1414">
        <w:rPr>
          <w:rFonts w:ascii="Calibri" w:hAnsi="Calibri" w:cs="Calibri"/>
        </w:rPr>
        <w:t>peuvent encore</w:t>
      </w:r>
      <w:r w:rsidRPr="001C1414">
        <w:rPr>
          <w:rFonts w:ascii="Calibri" w:hAnsi="Calibri" w:cs="Calibri"/>
        </w:rPr>
        <w:t xml:space="preserve"> être émises.</w:t>
      </w:r>
    </w:p>
    <w:p w14:paraId="6A74C5BA" w14:textId="53FA89DF" w:rsidR="00161B48" w:rsidRDefault="00161B48" w:rsidP="00161B48">
      <w:pPr>
        <w:pStyle w:val="Paragraphedeliste"/>
        <w:rPr>
          <w:rFonts w:ascii="Calibri" w:hAnsi="Calibri" w:cs="Calibri"/>
          <w:szCs w:val="20"/>
        </w:rPr>
      </w:pPr>
      <w:r w:rsidRPr="001C1414">
        <w:rPr>
          <w:rFonts w:cs="Times New Roman"/>
        </w:rPr>
        <w:t>Negma Group Ltd</w:t>
      </w:r>
      <w:r w:rsidRPr="001C1414">
        <w:rPr>
          <w:rFonts w:ascii="Calibri" w:hAnsi="Calibri" w:cs="Calibri"/>
          <w:szCs w:val="20"/>
        </w:rPr>
        <w:t xml:space="preserve"> dispose également de </w:t>
      </w:r>
      <w:r w:rsidR="000511BB">
        <w:rPr>
          <w:rFonts w:ascii="Calibri" w:hAnsi="Calibri"/>
          <w:color w:val="000000"/>
        </w:rPr>
        <w:t>865.113.</w:t>
      </w:r>
      <w:r w:rsidR="001C1414" w:rsidRPr="001C1414">
        <w:rPr>
          <w:rFonts w:ascii="Calibri" w:hAnsi="Calibri"/>
          <w:color w:val="000000"/>
        </w:rPr>
        <w:t xml:space="preserve">821 </w:t>
      </w:r>
      <w:r w:rsidR="001C1414" w:rsidRPr="001C1414">
        <w:rPr>
          <w:rFonts w:ascii="Calibri" w:hAnsi="Calibri" w:cs="Calibri"/>
          <w:szCs w:val="20"/>
        </w:rPr>
        <w:t xml:space="preserve">BSA </w:t>
      </w:r>
      <w:r w:rsidRPr="001C1414">
        <w:rPr>
          <w:rFonts w:ascii="Calibri" w:hAnsi="Calibri" w:cs="Calibri"/>
          <w:szCs w:val="20"/>
        </w:rPr>
        <w:t xml:space="preserve">non exercés sur les </w:t>
      </w:r>
      <w:r w:rsidR="001C1414" w:rsidRPr="001C1414">
        <w:rPr>
          <w:rFonts w:ascii="Calibri" w:hAnsi="Calibri" w:cs="Calibri"/>
          <w:szCs w:val="20"/>
        </w:rPr>
        <w:t xml:space="preserve">1.205.227.636 BSA </w:t>
      </w:r>
      <w:r w:rsidRPr="001C1414">
        <w:rPr>
          <w:rFonts w:ascii="Calibri" w:hAnsi="Calibri" w:cs="Calibri"/>
          <w:szCs w:val="20"/>
        </w:rPr>
        <w:t>émis. La différence (soit 340.113.815 BSA) correspond à des BSA cédés à Spineway par accord en date du 6 janvier 2021.</w:t>
      </w:r>
    </w:p>
    <w:p w14:paraId="1CD26802" w14:textId="77777777" w:rsidR="00161B48" w:rsidRDefault="00161B48" w:rsidP="00161B48">
      <w:pPr>
        <w:ind w:left="709"/>
        <w:rPr>
          <w:rFonts w:ascii="Calibri" w:hAnsi="Calibri" w:cs="Calibri"/>
        </w:rPr>
      </w:pPr>
      <w:r>
        <w:rPr>
          <w:rFonts w:ascii="Calibri" w:hAnsi="Calibri" w:cs="Calibri"/>
        </w:rPr>
        <w:t>Les</w:t>
      </w:r>
      <w:r w:rsidRPr="005B2043">
        <w:rPr>
          <w:rFonts w:ascii="Calibri" w:hAnsi="Calibri" w:cs="Calibri"/>
        </w:rPr>
        <w:t xml:space="preserve"> BSA émis récemment </w:t>
      </w:r>
      <w:r>
        <w:rPr>
          <w:rFonts w:ascii="Calibri" w:hAnsi="Calibri" w:cs="Calibri"/>
        </w:rPr>
        <w:t>(</w:t>
      </w:r>
      <w:r w:rsidRPr="005B2043">
        <w:rPr>
          <w:rFonts w:ascii="Calibri" w:hAnsi="Calibri" w:cs="Calibri"/>
        </w:rPr>
        <w:t>janvier 2021</w:t>
      </w:r>
      <w:r>
        <w:rPr>
          <w:rFonts w:ascii="Calibri" w:hAnsi="Calibri" w:cs="Calibri"/>
        </w:rPr>
        <w:t xml:space="preserve">) </w:t>
      </w:r>
      <w:r w:rsidRPr="005B2043">
        <w:rPr>
          <w:rFonts w:ascii="Calibri" w:hAnsi="Calibri" w:cs="Calibri"/>
        </w:rPr>
        <w:t>peuvent être exercés jusqu’au 18 septembre 2023.</w:t>
      </w:r>
    </w:p>
    <w:p w14:paraId="4EECDCBB" w14:textId="77777777" w:rsidR="00161B48" w:rsidRPr="00436C52" w:rsidRDefault="00161B48" w:rsidP="00161B48">
      <w:pPr>
        <w:pStyle w:val="Paragraphedeliste"/>
        <w:numPr>
          <w:ilvl w:val="0"/>
          <w:numId w:val="53"/>
        </w:numPr>
        <w:ind w:left="709"/>
        <w:rPr>
          <w:b/>
          <w:i/>
        </w:rPr>
      </w:pPr>
      <w:r>
        <w:rPr>
          <w:rFonts w:ascii="Calibri" w:hAnsi="Calibri" w:cs="Calibri"/>
          <w:b/>
          <w:i/>
        </w:rPr>
        <w:t>l</w:t>
      </w:r>
      <w:r w:rsidRPr="00436C52">
        <w:rPr>
          <w:rFonts w:ascii="Calibri" w:hAnsi="Calibri" w:cs="Calibri"/>
          <w:b/>
          <w:i/>
        </w:rPr>
        <w:t xml:space="preserve">’acquisition par Spineway de </w:t>
      </w:r>
      <w:r w:rsidRPr="00436C52">
        <w:rPr>
          <w:rFonts w:ascii="Calibri" w:hAnsi="Calibri" w:cs="Calibri"/>
          <w:b/>
          <w:i/>
          <w:szCs w:val="20"/>
        </w:rPr>
        <w:t>340.113.815 BSA Negma</w:t>
      </w:r>
      <w:r>
        <w:rPr>
          <w:rFonts w:ascii="Calibri" w:hAnsi="Calibri" w:cs="Calibri"/>
          <w:b/>
          <w:i/>
          <w:szCs w:val="20"/>
        </w:rPr>
        <w:t xml:space="preserve"> </w:t>
      </w:r>
      <w:bookmarkStart w:id="38" w:name="_Hlk63843214"/>
      <w:r>
        <w:rPr>
          <w:rFonts w:ascii="Calibri" w:hAnsi="Calibri" w:cs="Calibri"/>
          <w:b/>
          <w:i/>
          <w:szCs w:val="20"/>
        </w:rPr>
        <w:t>Group Ltd</w:t>
      </w:r>
      <w:r w:rsidRPr="00436C52">
        <w:rPr>
          <w:rFonts w:ascii="Calibri" w:hAnsi="Calibri" w:cs="Calibri"/>
          <w:b/>
          <w:i/>
          <w:szCs w:val="20"/>
        </w:rPr>
        <w:t xml:space="preserve"> </w:t>
      </w:r>
      <w:bookmarkEnd w:id="38"/>
      <w:r w:rsidRPr="00436C52">
        <w:rPr>
          <w:rFonts w:ascii="Calibri" w:hAnsi="Calibri" w:cs="Calibri"/>
          <w:b/>
          <w:i/>
          <w:szCs w:val="20"/>
        </w:rPr>
        <w:t xml:space="preserve">par accord </w:t>
      </w:r>
      <w:r>
        <w:rPr>
          <w:rFonts w:ascii="Calibri" w:hAnsi="Calibri" w:cs="Calibri"/>
          <w:b/>
          <w:i/>
          <w:szCs w:val="20"/>
        </w:rPr>
        <w:t xml:space="preserve">en date </w:t>
      </w:r>
      <w:r w:rsidRPr="00436C52">
        <w:rPr>
          <w:rFonts w:ascii="Calibri" w:hAnsi="Calibri" w:cs="Calibri"/>
          <w:b/>
          <w:i/>
          <w:szCs w:val="20"/>
        </w:rPr>
        <w:t>du 6 janvier 2021</w:t>
      </w:r>
      <w:r>
        <w:rPr>
          <w:rFonts w:ascii="Calibri" w:hAnsi="Calibri" w:cs="Calibri"/>
          <w:b/>
          <w:i/>
          <w:szCs w:val="20"/>
        </w:rPr>
        <w:t> :</w:t>
      </w:r>
    </w:p>
    <w:p w14:paraId="6FDCE120" w14:textId="77777777" w:rsidR="00161B48" w:rsidRPr="00EE0DAE" w:rsidRDefault="00161B48" w:rsidP="00161B48">
      <w:pPr>
        <w:pStyle w:val="Paragraphedeliste"/>
        <w:rPr>
          <w:rFonts w:ascii="Calibri" w:hAnsi="Calibri" w:cs="Calibri"/>
        </w:rPr>
      </w:pPr>
      <w:r>
        <w:rPr>
          <w:rFonts w:ascii="Calibri" w:hAnsi="Calibri" w:cs="Calibri"/>
        </w:rPr>
        <w:t xml:space="preserve">Ces </w:t>
      </w:r>
      <w:r w:rsidRPr="00EE0DAE">
        <w:rPr>
          <w:rFonts w:ascii="Calibri" w:hAnsi="Calibri" w:cs="Calibri"/>
        </w:rPr>
        <w:t>BSA émis récemment peuvent être exercés jusqu’au 18 septembre 2023.</w:t>
      </w:r>
    </w:p>
    <w:p w14:paraId="1306ABE5" w14:textId="74B54ECA" w:rsidR="00976C36" w:rsidRPr="00EE0DAE" w:rsidRDefault="00976C36" w:rsidP="00976C36">
      <w:pPr>
        <w:pStyle w:val="Paragraphedeliste"/>
        <w:rPr>
          <w:rFonts w:ascii="Calibri" w:hAnsi="Calibri" w:cs="Calibri"/>
        </w:rPr>
      </w:pPr>
    </w:p>
    <w:p w14:paraId="01FD3DF9" w14:textId="77777777" w:rsidR="00976C36" w:rsidRDefault="00976C36" w:rsidP="00976C36">
      <w:pPr>
        <w:sectPr w:rsidR="00976C36" w:rsidSect="00036E0A">
          <w:headerReference w:type="default" r:id="rId19"/>
          <w:footerReference w:type="even" r:id="rId20"/>
          <w:footerReference w:type="default" r:id="rId21"/>
          <w:pgSz w:w="11906" w:h="16838"/>
          <w:pgMar w:top="1388" w:right="1133" w:bottom="899" w:left="1418" w:header="426" w:footer="709" w:gutter="0"/>
          <w:cols w:space="708"/>
          <w:docGrid w:linePitch="360"/>
        </w:sectPr>
      </w:pPr>
    </w:p>
    <w:p w14:paraId="726AB43C" w14:textId="3B97A978" w:rsidR="004B7C45" w:rsidRDefault="000B09C4" w:rsidP="004B7C45">
      <w:r>
        <w:lastRenderedPageBreak/>
        <w:t>Le capital social</w:t>
      </w:r>
      <w:r w:rsidR="001B0F81">
        <w:t xml:space="preserve"> mentionné dans le tableau ci-dessous et pris en compte pour les calculs de dilution correspond </w:t>
      </w:r>
      <w:r w:rsidR="005B42F0">
        <w:t xml:space="preserve">au </w:t>
      </w:r>
      <w:r w:rsidR="001B0F81">
        <w:t>capital comptable de Spineway (et non au capital social juridique) soit, à la date du Docum</w:t>
      </w:r>
      <w:r w:rsidR="00921F8C">
        <w:t xml:space="preserve">ent d’enregistrement universel, </w:t>
      </w:r>
      <w:r w:rsidR="001B0F81">
        <w:t>803.161 € composé de 8.031.612.656 actions : Cf. paragraphe « </w:t>
      </w:r>
      <w:r w:rsidR="001B0F81">
        <w:fldChar w:fldCharType="begin"/>
      </w:r>
      <w:r w:rsidR="001B0F81">
        <w:instrText xml:space="preserve"> REF _Ref474073183 \h </w:instrText>
      </w:r>
      <w:r w:rsidR="001B0F81">
        <w:fldChar w:fldCharType="separate"/>
      </w:r>
      <w:r w:rsidR="001B0F81">
        <w:t>19.1.1 Montant du capital social</w:t>
      </w:r>
      <w:r w:rsidR="001B0F81">
        <w:fldChar w:fldCharType="end"/>
      </w:r>
      <w:r w:rsidR="001B0F81">
        <w:t> » du Docum</w:t>
      </w:r>
      <w:r w:rsidR="0027332A">
        <w:t xml:space="preserve">ent d’enregistrement universel. Par ailleurs, les informations fully diluted fournies </w:t>
      </w:r>
      <w:r w:rsidR="00EF3B70">
        <w:t xml:space="preserve">dans le tableau </w:t>
      </w:r>
      <w:r w:rsidR="0027332A">
        <w:t>ci-dessous implique</w:t>
      </w:r>
      <w:r w:rsidR="00EF3B70">
        <w:t>nt</w:t>
      </w:r>
      <w:r w:rsidR="0027332A">
        <w:t xml:space="preserve"> que l</w:t>
      </w:r>
      <w:r w:rsidR="00EF3B70">
        <w:t>’ensemble d</w:t>
      </w:r>
      <w:r w:rsidR="0027332A">
        <w:t>es instru</w:t>
      </w:r>
      <w:r w:rsidR="000511BB">
        <w:t>ments dilutifs soit exerçable</w:t>
      </w:r>
      <w:r w:rsidR="0027332A">
        <w:t xml:space="preserve"> </w:t>
      </w:r>
      <w:r w:rsidR="00EF3B70">
        <w:t>(ce qui dépend d</w:t>
      </w:r>
      <w:r w:rsidR="0027332A">
        <w:t>es futurs cours de bourse de Spineway</w:t>
      </w:r>
      <w:r w:rsidR="00EF3B70">
        <w:t>)</w:t>
      </w:r>
      <w:r w:rsidR="0027332A">
        <w:t>.</w:t>
      </w:r>
    </w:p>
    <w:p w14:paraId="2C4A36DF" w14:textId="28408DBF" w:rsidR="00912B16" w:rsidRDefault="00FA001C" w:rsidP="00976C36">
      <w:pPr>
        <w:rPr>
          <w:vertAlign w:val="superscript"/>
        </w:rPr>
      </w:pPr>
      <w:r w:rsidRPr="00FA001C">
        <w:rPr>
          <w:vertAlign w:val="superscript"/>
        </w:rPr>
        <w:t xml:space="preserve"> </w:t>
      </w:r>
      <w:r w:rsidR="002D7816">
        <w:rPr>
          <w:noProof/>
          <w:vertAlign w:val="superscript"/>
        </w:rPr>
        <w:drawing>
          <wp:inline distT="0" distB="0" distL="0" distR="0" wp14:anchorId="66129AED" wp14:editId="041F7E58">
            <wp:extent cx="9573588" cy="4578792"/>
            <wp:effectExtent l="0" t="0" r="2540" b="0"/>
            <wp:docPr id="1214375496"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9575531" cy="4579721"/>
                    </a:xfrm>
                    <a:prstGeom prst="rect">
                      <a:avLst/>
                    </a:prstGeom>
                    <a:noFill/>
                    <a:ln>
                      <a:noFill/>
                    </a:ln>
                  </pic:spPr>
                </pic:pic>
              </a:graphicData>
            </a:graphic>
          </wp:inline>
        </w:drawing>
      </w:r>
    </w:p>
    <w:p w14:paraId="2CCD64BE" w14:textId="7AF1E0CE" w:rsidR="00976C36" w:rsidRDefault="000B09C4" w:rsidP="00976C36">
      <w:r>
        <w:rPr>
          <w:vertAlign w:val="superscript"/>
        </w:rPr>
        <w:t>(1</w:t>
      </w:r>
      <w:r w:rsidRPr="0044426D">
        <w:rPr>
          <w:vertAlign w:val="superscript"/>
        </w:rPr>
        <w:t>)</w:t>
      </w:r>
      <w:r>
        <w:rPr>
          <w:vertAlign w:val="superscript"/>
        </w:rPr>
        <w:t xml:space="preserve"> </w:t>
      </w:r>
      <w:r w:rsidR="00976C36" w:rsidRPr="0044426D">
        <w:t xml:space="preserve">Selon contrat de cession de BSA à Spineway de la part de Negma </w:t>
      </w:r>
      <w:r w:rsidR="00161B48" w:rsidRPr="00086BC9">
        <w:t xml:space="preserve">Group Ltd </w:t>
      </w:r>
      <w:r w:rsidR="00976C36" w:rsidRPr="0044426D">
        <w:t xml:space="preserve">en date du </w:t>
      </w:r>
      <w:r w:rsidR="00976C36">
        <w:t>6 janvier 2021.</w:t>
      </w:r>
    </w:p>
    <w:p w14:paraId="5E9EA7E9" w14:textId="73D0E799" w:rsidR="00976C36" w:rsidRDefault="00976C36" w:rsidP="00976C36">
      <w:r>
        <w:rPr>
          <w:vertAlign w:val="superscript"/>
        </w:rPr>
        <w:t>(2</w:t>
      </w:r>
      <w:r w:rsidRPr="0044426D">
        <w:rPr>
          <w:vertAlign w:val="superscript"/>
        </w:rPr>
        <w:t>)</w:t>
      </w:r>
      <w:r>
        <w:rPr>
          <w:vertAlign w:val="superscript"/>
        </w:rPr>
        <w:t xml:space="preserve"> </w:t>
      </w:r>
      <w:r w:rsidRPr="00F41022">
        <w:t>Cf. paragraphe</w:t>
      </w:r>
      <w:r>
        <w:t xml:space="preserve"> « </w:t>
      </w:r>
      <w:r>
        <w:rPr>
          <w:vertAlign w:val="superscript"/>
        </w:rPr>
        <w:t xml:space="preserve"> </w:t>
      </w:r>
      <w:r>
        <w:rPr>
          <w:vertAlign w:val="superscript"/>
        </w:rPr>
        <w:fldChar w:fldCharType="begin"/>
      </w:r>
      <w:r>
        <w:rPr>
          <w:vertAlign w:val="superscript"/>
        </w:rPr>
        <w:instrText xml:space="preserve"> REF _Ref471635099 \h </w:instrText>
      </w:r>
      <w:r>
        <w:rPr>
          <w:vertAlign w:val="superscript"/>
        </w:rPr>
      </w:r>
      <w:r>
        <w:rPr>
          <w:vertAlign w:val="superscript"/>
        </w:rPr>
        <w:fldChar w:fldCharType="separate"/>
      </w:r>
      <w:r w:rsidR="003A0AD1" w:rsidRPr="0067311E">
        <w:t>2</w:t>
      </w:r>
      <w:r w:rsidR="003A0AD1">
        <w:t>0</w:t>
      </w:r>
      <w:r w:rsidR="003A0AD1" w:rsidRPr="0067311E">
        <w:t>.</w:t>
      </w:r>
      <w:r w:rsidR="003A0AD1">
        <w:t>1</w:t>
      </w:r>
      <w:r w:rsidR="003A0AD1" w:rsidRPr="0067311E">
        <w:t xml:space="preserve"> Contrat </w:t>
      </w:r>
      <w:r w:rsidR="003A0AD1">
        <w:t xml:space="preserve">de financement signé le 18 octobre 2019 avec Negma Group Ltd </w:t>
      </w:r>
      <w:r w:rsidR="003A0AD1" w:rsidRPr="0067311E">
        <w:t>(« </w:t>
      </w:r>
      <w:r w:rsidR="003A0AD1">
        <w:t xml:space="preserve">OCABSA Negma </w:t>
      </w:r>
      <w:r w:rsidR="003A0AD1" w:rsidRPr="0067311E">
        <w:t>»)</w:t>
      </w:r>
      <w:r>
        <w:rPr>
          <w:vertAlign w:val="superscript"/>
        </w:rPr>
        <w:fldChar w:fldCharType="end"/>
      </w:r>
      <w:r>
        <w:rPr>
          <w:vertAlign w:val="superscript"/>
        </w:rPr>
        <w:t> </w:t>
      </w:r>
      <w:r w:rsidRPr="00F41022">
        <w:rPr>
          <w:szCs w:val="20"/>
        </w:rPr>
        <w:t xml:space="preserve">» </w:t>
      </w:r>
      <w:r>
        <w:t>du Document d’enregistrement universel.</w:t>
      </w:r>
    </w:p>
    <w:p w14:paraId="079C7C26" w14:textId="77777777" w:rsidR="00976C36" w:rsidRDefault="00976C36" w:rsidP="00976C36">
      <w:pPr>
        <w:sectPr w:rsidR="00976C36" w:rsidSect="004706C5">
          <w:headerReference w:type="default" r:id="rId23"/>
          <w:footerReference w:type="even" r:id="rId24"/>
          <w:footerReference w:type="default" r:id="rId25"/>
          <w:pgSz w:w="16838" w:h="11906" w:orient="landscape"/>
          <w:pgMar w:top="1418" w:right="1388" w:bottom="1133" w:left="899" w:header="426" w:footer="709" w:gutter="0"/>
          <w:cols w:space="708"/>
          <w:docGrid w:linePitch="360"/>
        </w:sectPr>
      </w:pPr>
    </w:p>
    <w:p w14:paraId="195383DE" w14:textId="4F01E840" w:rsidR="00976C36" w:rsidRDefault="00976C36" w:rsidP="00976C36">
      <w:r>
        <w:lastRenderedPageBreak/>
        <w:t xml:space="preserve">Les caractéristiques et l’impact dilutif de ces instruments financiers existants ou susceptibles d’être </w:t>
      </w:r>
      <w:r w:rsidR="009F0CB3">
        <w:t>émis</w:t>
      </w:r>
      <w:r w:rsidR="00161B48">
        <w:t xml:space="preserve">, convertis ou exercés </w:t>
      </w:r>
      <w:r>
        <w:t>sont détaillés dans le paragraphe « </w:t>
      </w:r>
      <w:r>
        <w:fldChar w:fldCharType="begin"/>
      </w:r>
      <w:r>
        <w:instrText xml:space="preserve"> REF _Ref337397328 \h </w:instrText>
      </w:r>
      <w:r>
        <w:fldChar w:fldCharType="separate"/>
      </w:r>
      <w:r w:rsidR="003A0AD1">
        <w:t xml:space="preserve">19.1.4 Valeurs mobilières ouvrant droit à une quote-part de </w:t>
      </w:r>
      <w:r>
        <w:fldChar w:fldCharType="end"/>
      </w:r>
      <w:r>
        <w:t xml:space="preserve"> » du Document d’enregistrement universel.  </w:t>
      </w:r>
    </w:p>
    <w:p w14:paraId="33F688C2" w14:textId="77777777" w:rsidR="00976C36" w:rsidRDefault="00976C36" w:rsidP="00976C36">
      <w:pPr>
        <w:tabs>
          <w:tab w:val="right" w:leader="dot" w:pos="8505"/>
        </w:tabs>
      </w:pPr>
    </w:p>
    <w:p w14:paraId="13E93B4B" w14:textId="77777777" w:rsidR="00976C36" w:rsidRDefault="00976C36" w:rsidP="00976C36">
      <w:pPr>
        <w:tabs>
          <w:tab w:val="right" w:leader="dot" w:pos="8505"/>
        </w:tabs>
        <w:rPr>
          <w:szCs w:val="20"/>
        </w:rPr>
      </w:pPr>
      <w:r>
        <w:rPr>
          <w:szCs w:val="20"/>
        </w:rPr>
        <w:t>Plus généralement, t</w:t>
      </w:r>
      <w:r w:rsidRPr="00D93A07">
        <w:rPr>
          <w:szCs w:val="20"/>
        </w:rPr>
        <w:t>oute attribution ou émission complémentaire</w:t>
      </w:r>
      <w:r>
        <w:rPr>
          <w:szCs w:val="20"/>
        </w:rPr>
        <w:t xml:space="preserve"> d'instruments financiers donnant accès au capital</w:t>
      </w:r>
      <w:r w:rsidRPr="00D93A07">
        <w:rPr>
          <w:szCs w:val="20"/>
        </w:rPr>
        <w:t xml:space="preserve"> entraînerait une dilution supplémentaire, potentiellement significative, pour les actionnaires de la Société.</w:t>
      </w:r>
    </w:p>
    <w:p w14:paraId="7594644A" w14:textId="77777777" w:rsidR="00976C36" w:rsidRDefault="00976C36" w:rsidP="00976C36">
      <w:pPr>
        <w:tabs>
          <w:tab w:val="right" w:leader="dot" w:pos="8505"/>
        </w:tabs>
        <w:rPr>
          <w:szCs w:val="20"/>
        </w:rPr>
      </w:pPr>
    </w:p>
    <w:p w14:paraId="58D865FD" w14:textId="77777777" w:rsidR="00976C36" w:rsidRPr="005B4F5A" w:rsidRDefault="00976C36" w:rsidP="00976C36">
      <w:pPr>
        <w:autoSpaceDE w:val="0"/>
        <w:autoSpaceDN w:val="0"/>
        <w:adjustRightInd w:val="0"/>
        <w:rPr>
          <w:szCs w:val="20"/>
        </w:rPr>
      </w:pPr>
      <w:r w:rsidRPr="005B4F5A">
        <w:rPr>
          <w:szCs w:val="20"/>
        </w:rPr>
        <w:t>Consciente de ce risque de dilution et de son impact sur la gouvernance de la Société, Spineway a mis en place une gouvernance adaptée permettant de sécuriser le process décisionnaire et la mise en œuvre des plans stratégiques et opérationnels, notamment au travers de l’usage de délégations de compétences au Conseil d’administration.</w:t>
      </w:r>
    </w:p>
    <w:p w14:paraId="00CD858A" w14:textId="77777777" w:rsidR="00976C36" w:rsidRDefault="00976C36" w:rsidP="00976C36">
      <w:pPr>
        <w:tabs>
          <w:tab w:val="right" w:leader="dot" w:pos="8505"/>
        </w:tabs>
      </w:pPr>
      <w:r>
        <w:t>Spineway cherche également à davantage développer des relations de proximité avec ses actionnaires afin de leur permettre d’accompagner les besoins juridiques et opérationnels du groupe.</w:t>
      </w:r>
    </w:p>
    <w:p w14:paraId="67889E73" w14:textId="77777777" w:rsidR="00976C36" w:rsidRDefault="00976C36" w:rsidP="00976C36">
      <w:pPr>
        <w:tabs>
          <w:tab w:val="right" w:leader="dot" w:pos="8505"/>
        </w:tabs>
      </w:pPr>
    </w:p>
    <w:p w14:paraId="7F339F21" w14:textId="77777777" w:rsidR="00976C36" w:rsidRDefault="00976C36" w:rsidP="00976C36">
      <w:pPr>
        <w:tabs>
          <w:tab w:val="right" w:leader="dot" w:pos="8505"/>
        </w:tabs>
      </w:pPr>
      <w:r>
        <w:t>Enfin la Société, en accord avec le financeur, est en recherche d’opportunités de diversification de financement moins dilutifs avec une volonté affichée de cesser de recourir à ce mode de financement</w:t>
      </w:r>
      <w:r w:rsidRPr="004706C5">
        <w:t xml:space="preserve"> </w:t>
      </w:r>
      <w:r>
        <w:t>dès que possible.</w:t>
      </w:r>
    </w:p>
    <w:p w14:paraId="7A6CBC3B" w14:textId="77777777" w:rsidR="00976C36" w:rsidRDefault="00976C36" w:rsidP="00976C36">
      <w:pPr>
        <w:tabs>
          <w:tab w:val="right" w:leader="dot" w:pos="8505"/>
        </w:tabs>
        <w:rPr>
          <w:szCs w:val="20"/>
        </w:rPr>
      </w:pPr>
    </w:p>
    <w:p w14:paraId="387E1E64" w14:textId="77777777" w:rsidR="00976C36" w:rsidRDefault="00976C36" w:rsidP="00976C36">
      <w:pPr>
        <w:rPr>
          <w:b/>
          <w:u w:val="single"/>
        </w:rPr>
      </w:pPr>
      <w:r w:rsidRPr="005B4F5A">
        <w:t xml:space="preserve">La Société attribue à ce risque un niveau </w:t>
      </w:r>
      <w:r w:rsidRPr="005B4F5A">
        <w:rPr>
          <w:b/>
          <w:u w:val="single"/>
        </w:rPr>
        <w:t>élevé.</w:t>
      </w:r>
    </w:p>
    <w:p w14:paraId="5960BF03" w14:textId="77777777" w:rsidR="00976C36" w:rsidRDefault="00976C36" w:rsidP="00976C36">
      <w:pPr>
        <w:rPr>
          <w:b/>
          <w:u w:val="single"/>
        </w:rPr>
      </w:pPr>
    </w:p>
    <w:p w14:paraId="6F8CCA60" w14:textId="77777777" w:rsidR="00976C36" w:rsidRDefault="00976C36" w:rsidP="00976C36"/>
    <w:p w14:paraId="073CC17C" w14:textId="19ECA90B" w:rsidR="00976C36" w:rsidRDefault="00976C36" w:rsidP="00976C36">
      <w:pPr>
        <w:pStyle w:val="Titre3"/>
      </w:pPr>
      <w:bookmarkStart w:id="39" w:name="_Toc475033158"/>
      <w:r>
        <w:t>3</w:t>
      </w:r>
      <w:r w:rsidRPr="00B52D33">
        <w:t>.</w:t>
      </w:r>
      <w:r>
        <w:t>1</w:t>
      </w:r>
      <w:r w:rsidRPr="00B52D33">
        <w:t>.</w:t>
      </w:r>
      <w:r>
        <w:t>2</w:t>
      </w:r>
      <w:r w:rsidRPr="00B52D33">
        <w:t xml:space="preserve">. Risques liés </w:t>
      </w:r>
      <w:r>
        <w:t>à la maitrise du besoin en fonds de roulement</w:t>
      </w:r>
      <w:bookmarkEnd w:id="29"/>
      <w:bookmarkEnd w:id="39"/>
    </w:p>
    <w:p w14:paraId="40D76838" w14:textId="77777777" w:rsidR="00976C36" w:rsidRDefault="00976C36" w:rsidP="00976C36">
      <w:pPr>
        <w:tabs>
          <w:tab w:val="right" w:leader="dot" w:pos="8505"/>
        </w:tabs>
        <w:rPr>
          <w:color w:val="FF0000"/>
        </w:rPr>
      </w:pPr>
    </w:p>
    <w:p w14:paraId="22C612B3" w14:textId="77777777" w:rsidR="00976C36" w:rsidRDefault="00976C36" w:rsidP="00976C36">
      <w:r>
        <w:t>Des niveaux de stock élevés en lien avec une profondeur de gammes importante, des délais de règlement clients élevés en lien avec les pays clients et des fournisseurs concentrés en France maximisent les besoins en fonds de roulement. Ces besoins deviennent bien plus prégnants en période de croissance ou lors de la nécessaire anticipation d’une reprise d’activité à son niveau normal pour être réactifs face aux besoins clients.</w:t>
      </w:r>
    </w:p>
    <w:p w14:paraId="23C81527" w14:textId="77777777" w:rsidR="00976C36" w:rsidRPr="00A34990" w:rsidRDefault="00976C36" w:rsidP="00976C36"/>
    <w:p w14:paraId="4DE02E84" w14:textId="77777777" w:rsidR="00976C36" w:rsidRPr="00A34990" w:rsidRDefault="00976C36" w:rsidP="00976C36">
      <w:pPr>
        <w:pStyle w:val="Paragraphedeliste"/>
        <w:numPr>
          <w:ilvl w:val="0"/>
          <w:numId w:val="44"/>
        </w:numPr>
        <w:rPr>
          <w:b/>
        </w:rPr>
      </w:pPr>
      <w:r>
        <w:rPr>
          <w:b/>
        </w:rPr>
        <w:t xml:space="preserve">Gestion des stocks </w:t>
      </w:r>
      <w:r w:rsidRPr="00A34990">
        <w:rPr>
          <w:b/>
        </w:rPr>
        <w:t xml:space="preserve">: </w:t>
      </w:r>
    </w:p>
    <w:p w14:paraId="2C656462" w14:textId="77777777" w:rsidR="00976C36" w:rsidRPr="00A34990" w:rsidRDefault="00976C36" w:rsidP="00976C36">
      <w:pPr>
        <w:rPr>
          <w:b/>
          <w:i/>
        </w:rPr>
      </w:pPr>
    </w:p>
    <w:p w14:paraId="48C8C2B1" w14:textId="77777777" w:rsidR="00976C36" w:rsidRDefault="00976C36" w:rsidP="00976C36">
      <w:r>
        <w:t>Les exigences fortes des clients en matière de délai d’approvisionnement (plus marqués et contraignants en zone grand export) obligent Spineway à disposer d’un large stock de produits dans ses locaux et ce dans toutes les références. Or, une partie du stock est constituée de produits stériles donc affectés d’une date de péremption ce qui accroit les risques de dépréciation. Ce risque est amplifié par une autre pratique inhérente au secteur d’activité qui rend difficile la rotation des stocks et la gestion des dates de péremption : les stocks en dépôt et consignation dans les hôpitaux. Ce risque est amplifié par une gestion de plus en plus en flux tendus de la part des distributeurs qui en cette période de crise sont de moins en moins enclin à porter les besoins en fonds de roulement. Ainsi à l’issue de la crise sanitaire actuelle, les besoins en reconstitution de stocks pourraient être importants.</w:t>
      </w:r>
    </w:p>
    <w:p w14:paraId="58E1D7E4" w14:textId="77777777" w:rsidR="00976C36" w:rsidRDefault="00976C36" w:rsidP="00976C36"/>
    <w:p w14:paraId="163597EF" w14:textId="4E462A3A" w:rsidR="00161B48" w:rsidRDefault="00976C36" w:rsidP="00161B48">
      <w:pPr>
        <w:autoSpaceDE w:val="0"/>
        <w:autoSpaceDN w:val="0"/>
        <w:adjustRightInd w:val="0"/>
      </w:pPr>
      <w:r>
        <w:t xml:space="preserve">Le Groupe a néanmoins mis en place des procédures de manière à diminuer au maximum ce risque et à optimiser au mieux ses stocks. Un travail important de revue des stocks a été effectué depuis 2019 et devrait porter pleinement ses fruits à compter de 2021. La revue des process avec les hôpitaux vise à diminuer les stocks en dépôts et consignation, notamment grâce à la mise en place d’un reporting et d’inventaires plus fréquents afin de réduire l’immobilisation des kits d’instruments et les problèmes de péremption par davantage de pédagogie </w:t>
      </w:r>
      <w:r w:rsidR="00161B48">
        <w:t xml:space="preserve">et de suivi. De même, la nouvelle politique commerciale repose sur davantage de ventes DDI et devrait donc permettre de réduire les kits d’instruments en dépôt. </w:t>
      </w:r>
    </w:p>
    <w:p w14:paraId="65D0FE6B" w14:textId="77777777" w:rsidR="00976C36" w:rsidRDefault="00976C36" w:rsidP="00976C36"/>
    <w:p w14:paraId="1DBD384C" w14:textId="3E2D2615" w:rsidR="00976C36" w:rsidRDefault="00976C36" w:rsidP="00976C36">
      <w:pPr>
        <w:autoSpaceDE w:val="0"/>
        <w:autoSpaceDN w:val="0"/>
        <w:adjustRightInd w:val="0"/>
      </w:pPr>
      <w:r>
        <w:t xml:space="preserve">De plus, dans un contexte d’évolutions règlementaires, les échéances de prolongation de certificats MDD vont nécessiter de renforcer une gestion fine des stocks dans la mesure où les stocks concernés vont devoir être écoulés nécessitant des prévisions </w:t>
      </w:r>
      <w:r w:rsidR="00161B48">
        <w:t xml:space="preserve">précises </w:t>
      </w:r>
      <w:r>
        <w:t>des besoins clients afin d’éviter toute rupture.</w:t>
      </w:r>
    </w:p>
    <w:p w14:paraId="7F2584E3" w14:textId="77777777" w:rsidR="00976C36" w:rsidRPr="00ED745B" w:rsidRDefault="00976C36" w:rsidP="00976C36">
      <w:pPr>
        <w:autoSpaceDE w:val="0"/>
        <w:autoSpaceDN w:val="0"/>
        <w:adjustRightInd w:val="0"/>
      </w:pPr>
    </w:p>
    <w:p w14:paraId="5D67EB07" w14:textId="77777777" w:rsidR="00976C36" w:rsidRDefault="00976C36" w:rsidP="00976C36">
      <w:pPr>
        <w:rPr>
          <w:rFonts w:ascii="Segoe UI" w:hAnsi="Segoe UI" w:cs="Segoe UI"/>
          <w:sz w:val="18"/>
          <w:szCs w:val="18"/>
        </w:rPr>
      </w:pPr>
    </w:p>
    <w:p w14:paraId="76B06167" w14:textId="77777777" w:rsidR="00976C36" w:rsidRPr="00A34990" w:rsidRDefault="00976C36" w:rsidP="00976C36">
      <w:pPr>
        <w:pStyle w:val="Paragraphedeliste"/>
        <w:numPr>
          <w:ilvl w:val="0"/>
          <w:numId w:val="44"/>
        </w:numPr>
        <w:rPr>
          <w:b/>
        </w:rPr>
      </w:pPr>
      <w:r w:rsidRPr="00A34990">
        <w:rPr>
          <w:b/>
        </w:rPr>
        <w:t>Délais de paiement :</w:t>
      </w:r>
    </w:p>
    <w:p w14:paraId="6795A1E7" w14:textId="77777777" w:rsidR="00976C36" w:rsidRDefault="00976C36" w:rsidP="00976C36"/>
    <w:p w14:paraId="727113ED" w14:textId="77777777" w:rsidR="00976C36" w:rsidRDefault="00976C36" w:rsidP="00976C36">
      <w:r>
        <w:t xml:space="preserve">Le mode de commercialisation en France ainsi que les délais de paiement des distributeurs à l’export se matérialisent par un poste clients significatif au regard du chiffre d’affaires de la Société. Les délais de paiement </w:t>
      </w:r>
      <w:r>
        <w:lastRenderedPageBreak/>
        <w:t xml:space="preserve">de Spineway par ses distributeurs sont effectivement assez longs puisque ceux-ci doivent préalablement être payés par les établissements de soins. </w:t>
      </w:r>
    </w:p>
    <w:p w14:paraId="77165259" w14:textId="651AC779" w:rsidR="00976C36" w:rsidRPr="00A34990" w:rsidRDefault="00161B48" w:rsidP="00976C36">
      <w:r>
        <w:t>Il convient de</w:t>
      </w:r>
      <w:r w:rsidRPr="003727B4">
        <w:t xml:space="preserve"> </w:t>
      </w:r>
      <w:r>
        <w:t xml:space="preserve">noter </w:t>
      </w:r>
      <w:r w:rsidR="00976C36" w:rsidRPr="003727B4">
        <w:t xml:space="preserve">que la Société </w:t>
      </w:r>
      <w:r w:rsidR="00976C36">
        <w:t xml:space="preserve">a réduit son délai de paiement moyen depuis 2017 en renforçant ses procédures et son contrôle interne, a mis en place des lignes de trésorerie court terme et pourrait </w:t>
      </w:r>
      <w:r w:rsidR="00976C36" w:rsidRPr="00A34990">
        <w:t xml:space="preserve">avoir recours à d’autres modes de financement de type affacturage non encore déployés à ce jour pour limiter ce risque. </w:t>
      </w:r>
    </w:p>
    <w:p w14:paraId="2E6205DC" w14:textId="25AB6496" w:rsidR="00976C36" w:rsidRDefault="00CF3ED7" w:rsidP="00976C36">
      <w:pPr>
        <w:autoSpaceDE w:val="0"/>
        <w:autoSpaceDN w:val="0"/>
        <w:adjustRightInd w:val="0"/>
      </w:pPr>
      <w:r>
        <w:t xml:space="preserve">Egalement, une </w:t>
      </w:r>
      <w:r w:rsidR="00976C36">
        <w:t xml:space="preserve">meilleure proximité et </w:t>
      </w:r>
      <w:r>
        <w:t xml:space="preserve">le renforcement du </w:t>
      </w:r>
      <w:r w:rsidR="00976C36">
        <w:t xml:space="preserve">suivi des clients </w:t>
      </w:r>
      <w:r w:rsidR="009F0CB3">
        <w:t>conjugué</w:t>
      </w:r>
      <w:r>
        <w:t>s</w:t>
      </w:r>
      <w:r w:rsidR="009F0CB3">
        <w:t xml:space="preserve"> au</w:t>
      </w:r>
      <w:r w:rsidR="00976C36">
        <w:t xml:space="preserve"> déploiement d’une nouvelle politique commerciale en cours ont permis d’imposer</w:t>
      </w:r>
      <w:r>
        <w:t>,</w:t>
      </w:r>
      <w:r w:rsidR="00976C36">
        <w:t xml:space="preserve"> pour certains clients</w:t>
      </w:r>
      <w:r>
        <w:t xml:space="preserve"> et pour</w:t>
      </w:r>
      <w:r w:rsidR="00976C36">
        <w:t xml:space="preserve"> des commandes importantes</w:t>
      </w:r>
      <w:r>
        <w:t>,</w:t>
      </w:r>
      <w:r w:rsidR="00976C36">
        <w:t xml:space="preserve"> des paiements comptant</w:t>
      </w:r>
      <w:r>
        <w:t xml:space="preserve">s et </w:t>
      </w:r>
      <w:r w:rsidR="00976C36">
        <w:t>la vente d’instruments en lieu et place d’une mise à disposition. L’ensemble des nouveaux clients sont dorénavant assujettis à des conditions de paiement plus contraignantes validées contractuellement. Ces mesures ont ainsi déjà permis d’améliorer le délai de règlement malgré la crise Covid-19 et le délai moyen de paiement constaté est de 3,1 mois à la fin de l’exercice 2020.</w:t>
      </w:r>
    </w:p>
    <w:p w14:paraId="0187A78F" w14:textId="77777777" w:rsidR="00976C36" w:rsidRDefault="00976C36" w:rsidP="00976C36">
      <w:pPr>
        <w:autoSpaceDE w:val="0"/>
        <w:autoSpaceDN w:val="0"/>
        <w:adjustRightInd w:val="0"/>
      </w:pPr>
    </w:p>
    <w:p w14:paraId="4C33DC3C" w14:textId="77777777" w:rsidR="00976C36" w:rsidRPr="000E74FB" w:rsidRDefault="00976C36" w:rsidP="00976C36">
      <w:pPr>
        <w:autoSpaceDE w:val="0"/>
        <w:autoSpaceDN w:val="0"/>
        <w:adjustRightInd w:val="0"/>
        <w:rPr>
          <w:rFonts w:ascii="Segoe UI" w:hAnsi="Segoe UI" w:cs="Segoe UI"/>
          <w:sz w:val="18"/>
          <w:szCs w:val="18"/>
        </w:rPr>
      </w:pPr>
      <w:r w:rsidRPr="01257A3D">
        <w:rPr>
          <w:rFonts w:ascii="Segoe UI" w:hAnsi="Segoe UI" w:cs="Segoe UI"/>
          <w:sz w:val="18"/>
          <w:szCs w:val="18"/>
        </w:rPr>
        <w:t>E</w:t>
      </w:r>
      <w:r>
        <w:t>nfin, Spineway travaille notamment avec la BPI pour une mise en place courant 2021 de garanties relatives aux défaillances clients.</w:t>
      </w:r>
    </w:p>
    <w:p w14:paraId="7C94C7FB" w14:textId="77777777" w:rsidR="00976C36" w:rsidRDefault="00976C36" w:rsidP="00976C36"/>
    <w:p w14:paraId="72C8D9D9" w14:textId="77777777" w:rsidR="00976C36" w:rsidRDefault="00976C36" w:rsidP="00976C36">
      <w:r>
        <w:t>Compte tenu de ces contraintes et malgré l’ensemble des mesures prises, la Société pourrait être sujette à une augmentation de son besoin en fonds de roulement ce qui pourrait avoir une incidence significative sur sa situation financière. En particulier, une forte hausse des délais de règlement des clients en lien avec la situation sanitaire et/ou des stocks pourraient dégrader la situation de trésorerie de la Société.</w:t>
      </w:r>
    </w:p>
    <w:p w14:paraId="1E5A48CE" w14:textId="77777777" w:rsidR="00976C36" w:rsidRDefault="00976C36" w:rsidP="00976C36"/>
    <w:p w14:paraId="08A7BAC4" w14:textId="77777777" w:rsidR="00976C36" w:rsidRPr="004706C5" w:rsidRDefault="00976C36" w:rsidP="00976C36">
      <w:r w:rsidRPr="00CC11D4">
        <w:t>La Société attribue à ce risque un niveau</w:t>
      </w:r>
      <w:r w:rsidRPr="004706C5">
        <w:t xml:space="preserve"> </w:t>
      </w:r>
      <w:r w:rsidRPr="004706C5">
        <w:rPr>
          <w:b/>
          <w:u w:val="single"/>
        </w:rPr>
        <w:t>élevé</w:t>
      </w:r>
      <w:r w:rsidRPr="004706C5">
        <w:rPr>
          <w:b/>
        </w:rPr>
        <w:t>.</w:t>
      </w:r>
    </w:p>
    <w:p w14:paraId="25B49FF6" w14:textId="77777777" w:rsidR="00976C36" w:rsidRDefault="00976C36" w:rsidP="00976C36">
      <w:pPr>
        <w:tabs>
          <w:tab w:val="right" w:leader="dot" w:pos="8505"/>
        </w:tabs>
        <w:rPr>
          <w:color w:val="FF0000"/>
        </w:rPr>
      </w:pPr>
    </w:p>
    <w:p w14:paraId="1D696108" w14:textId="3AC4FDC5" w:rsidR="00976C36" w:rsidRDefault="00976C36" w:rsidP="00976C36">
      <w:pPr>
        <w:pStyle w:val="Titre3"/>
      </w:pPr>
      <w:bookmarkStart w:id="40" w:name="_Ref369769549"/>
      <w:bookmarkStart w:id="41" w:name="_Toc475033159"/>
      <w:r>
        <w:t>3</w:t>
      </w:r>
      <w:r w:rsidRPr="00B52D33">
        <w:t>.</w:t>
      </w:r>
      <w:r>
        <w:t>1</w:t>
      </w:r>
      <w:r w:rsidRPr="00B52D33">
        <w:t>.</w:t>
      </w:r>
      <w:r>
        <w:t>3</w:t>
      </w:r>
      <w:r w:rsidRPr="00B52D33">
        <w:t xml:space="preserve">. Risques </w:t>
      </w:r>
      <w:r>
        <w:t>de liquidité</w:t>
      </w:r>
      <w:bookmarkEnd w:id="40"/>
      <w:bookmarkEnd w:id="41"/>
    </w:p>
    <w:p w14:paraId="6EBC4060" w14:textId="77777777" w:rsidR="00976C36" w:rsidRDefault="00976C36" w:rsidP="00976C36">
      <w:pPr>
        <w:tabs>
          <w:tab w:val="right" w:leader="dot" w:pos="8505"/>
        </w:tabs>
        <w:rPr>
          <w:color w:val="FF0000"/>
        </w:rPr>
      </w:pPr>
    </w:p>
    <w:p w14:paraId="46FEA639" w14:textId="3B3E8C9C" w:rsidR="00976C36" w:rsidRDefault="00976C36" w:rsidP="00976C36">
      <w:r>
        <w:t xml:space="preserve">La </w:t>
      </w:r>
      <w:r w:rsidR="00E02949">
        <w:t xml:space="preserve">Société </w:t>
      </w:r>
      <w:r>
        <w:t>a des besoins de financement importants compte-tenu, d’une part, de frais de fonctionnement élevés notamment en lien avec des enjeux réglementaires coûteux et des difficultés conjoncturelles, et, d’autre part, de la crise sanitaire actuelle liée à l’épidémie de Covid-19.</w:t>
      </w:r>
    </w:p>
    <w:p w14:paraId="323BC295" w14:textId="77777777" w:rsidR="00976C36" w:rsidRDefault="00976C36" w:rsidP="00976C36"/>
    <w:p w14:paraId="39A49ADB" w14:textId="77777777" w:rsidR="00976C36" w:rsidRDefault="00976C36" w:rsidP="00976C36">
      <w:r>
        <w:t>Le financement de la Société s’est ainsi effectué principalement par un renforcement de ses fonds propres par voie d’augmentations de capital mais aussi par dettes bancaires en lien avec les mesures gouvernementales de soutien.</w:t>
      </w:r>
    </w:p>
    <w:p w14:paraId="7AD59D65" w14:textId="77777777" w:rsidR="00976C36" w:rsidRDefault="00976C36" w:rsidP="00976C36"/>
    <w:p w14:paraId="700423B9" w14:textId="77777777" w:rsidR="00976C36" w:rsidRDefault="00976C36" w:rsidP="00976C36">
      <w:pPr>
        <w:rPr>
          <w:rFonts w:cs="Times New Roman"/>
        </w:rPr>
      </w:pPr>
      <w:r>
        <w:t xml:space="preserve">Pour cela, </w:t>
      </w:r>
      <w:r w:rsidRPr="01257A3D">
        <w:rPr>
          <w:rFonts w:cs="Times New Roman"/>
        </w:rPr>
        <w:t>la Société a :</w:t>
      </w:r>
    </w:p>
    <w:p w14:paraId="69DB701B" w14:textId="69A50666" w:rsidR="00976C36" w:rsidRDefault="00976C36" w:rsidP="00976C36">
      <w:pPr>
        <w:pStyle w:val="Paragraphedeliste"/>
        <w:widowControl w:val="0"/>
        <w:numPr>
          <w:ilvl w:val="0"/>
          <w:numId w:val="53"/>
        </w:numPr>
        <w:autoSpaceDE w:val="0"/>
        <w:autoSpaceDN w:val="0"/>
        <w:adjustRightInd w:val="0"/>
      </w:pPr>
      <w:r>
        <w:t xml:space="preserve">souscrit 4 PGE </w:t>
      </w:r>
      <w:r w:rsidR="00161B48">
        <w:t xml:space="preserve">(Prêt garanti par l’Etat) </w:t>
      </w:r>
      <w:r>
        <w:t xml:space="preserve">pour un montant total de 1.270 K€ sur 12 mois au taux de 0% auprès de 3 </w:t>
      </w:r>
      <w:r w:rsidR="00161B48">
        <w:t xml:space="preserve">établissements </w:t>
      </w:r>
      <w:r>
        <w:t>partenaires historiques et d’un nouveau partenaire bancaire ;</w:t>
      </w:r>
    </w:p>
    <w:p w14:paraId="275D8CA0" w14:textId="7AF36D10" w:rsidR="00976C36" w:rsidRPr="0009168E" w:rsidRDefault="00976C36" w:rsidP="00CF3ED7">
      <w:pPr>
        <w:pStyle w:val="Paragraphedeliste"/>
        <w:rPr>
          <w:rFonts w:ascii="Calibri" w:hAnsi="Calibri" w:cs="Calibri"/>
        </w:rPr>
      </w:pPr>
      <w:r>
        <w:t xml:space="preserve">recours à des instruments dilutifs émis dans le cadre de financements apportés par des fonds de type equity line n’ayant pas pour finalité de rester durablement actionnaires. A ce titre, la société a </w:t>
      </w:r>
      <w:r w:rsidRPr="0063448B">
        <w:rPr>
          <w:rFonts w:eastAsiaTheme="majorEastAsia" w:cstheme="majorBidi"/>
        </w:rPr>
        <w:t>poursuivi le contrat de financement (emprunt obligataire d’un montant nominal maximum potentiel de 40 M€) signé en octobre 2019 avec Negma Group Ltd (contrat d’émission d’OCABSA). A ce titre</w:t>
      </w:r>
      <w:r>
        <w:rPr>
          <w:rFonts w:eastAsiaTheme="majorEastAsia" w:cstheme="majorBidi"/>
        </w:rPr>
        <w:t>,</w:t>
      </w:r>
      <w:r w:rsidRPr="0063448B">
        <w:rPr>
          <w:rFonts w:eastAsiaTheme="majorEastAsia" w:cstheme="majorBidi"/>
        </w:rPr>
        <w:t xml:space="preserve"> Spineway a lancé 3 tranches de souscription d’</w:t>
      </w:r>
      <w:r w:rsidR="00161B48">
        <w:rPr>
          <w:rFonts w:eastAsiaTheme="majorEastAsia" w:cstheme="majorBidi"/>
        </w:rPr>
        <w:t xml:space="preserve">OC </w:t>
      </w:r>
      <w:r w:rsidRPr="0063448B">
        <w:rPr>
          <w:rFonts w:eastAsiaTheme="majorEastAsia" w:cstheme="majorBidi"/>
        </w:rPr>
        <w:t xml:space="preserve">entre fin 2019 et fin 2020 </w:t>
      </w:r>
      <w:r>
        <w:rPr>
          <w:rFonts w:eastAsiaTheme="majorEastAsia" w:cstheme="majorBidi"/>
        </w:rPr>
        <w:t xml:space="preserve">(pour un montant global de </w:t>
      </w:r>
      <w:r>
        <w:t xml:space="preserve">5.388 K€ par apport en numéraire dont 3.388 K€ versés en 2020 et 2.000 K€ en 2019) </w:t>
      </w:r>
      <w:r w:rsidRPr="0063448B">
        <w:rPr>
          <w:rFonts w:eastAsiaTheme="majorEastAsia" w:cstheme="majorBidi"/>
        </w:rPr>
        <w:t xml:space="preserve">et a réussi à maintenir ce financement en place malgré la crise sanitaire et les difficultés des marchés financiers. </w:t>
      </w:r>
    </w:p>
    <w:p w14:paraId="4AE89EBB" w14:textId="77777777" w:rsidR="00976C36" w:rsidRDefault="00976C36" w:rsidP="00976C36">
      <w:pPr>
        <w:tabs>
          <w:tab w:val="left" w:pos="1125"/>
        </w:tabs>
        <w:spacing w:after="160" w:line="259" w:lineRule="auto"/>
      </w:pPr>
      <w:r>
        <w:t>Spineway fait un point précis et régulier sur sa situation de trésorerie (au moins une fois par mois) et a mis en place des outils de prévisionnels de trésorerie tant court terme que moyens terme ainsi qu’un suivi budgétaire mensuel afin de gagner en agilité et réactivité face à cet enjeu</w:t>
      </w:r>
    </w:p>
    <w:p w14:paraId="591E4625" w14:textId="77777777" w:rsidR="00976C36" w:rsidRPr="008039D9" w:rsidRDefault="00976C36" w:rsidP="00976C36">
      <w:pPr>
        <w:widowControl w:val="0"/>
        <w:autoSpaceDE w:val="0"/>
        <w:autoSpaceDN w:val="0"/>
        <w:adjustRightInd w:val="0"/>
      </w:pPr>
      <w:r>
        <w:t xml:space="preserve">Au 31 décembre 2020, la trésorerie du Groupe grâce à l’ensemble de ces mesures atteint 4.857 K€. </w:t>
      </w:r>
    </w:p>
    <w:p w14:paraId="7975EDF4" w14:textId="77777777" w:rsidR="00976C36" w:rsidRDefault="00976C36" w:rsidP="00976C36"/>
    <w:p w14:paraId="3C3694CA" w14:textId="77777777" w:rsidR="00976C36" w:rsidRPr="00B53DC6" w:rsidRDefault="00976C36" w:rsidP="00976C36">
      <w:r w:rsidRPr="01257A3D">
        <w:rPr>
          <w:rFonts w:cs="Arial"/>
        </w:rPr>
        <w:t xml:space="preserve">Les échéances de remboursement à moins d’un an correspondent essentiellement à des prêts court terme et plus précisément à </w:t>
      </w:r>
      <w:r>
        <w:t xml:space="preserve">des billets financiers et aux </w:t>
      </w:r>
      <w:r w:rsidRPr="01257A3D">
        <w:rPr>
          <w:rFonts w:eastAsia="Times New Roman" w:cs="Times New Roman"/>
        </w:rPr>
        <w:t>mobilisations de créances nées à l’étranger</w:t>
      </w:r>
      <w:r>
        <w:t xml:space="preserve"> qui, en pratique, sont renouvelés au fur et à mesure des besoins de l’entreprise.</w:t>
      </w:r>
    </w:p>
    <w:p w14:paraId="14F6D9A2" w14:textId="77777777" w:rsidR="00976C36" w:rsidRDefault="00976C36" w:rsidP="00976C36"/>
    <w:p w14:paraId="5D07E3EE" w14:textId="4FB59A88" w:rsidR="00976C36" w:rsidRDefault="00976C36" w:rsidP="00976C36">
      <w:r>
        <w:t xml:space="preserve">Certains emprunts souscrits comportent des covenants bancaires non financiers qui sont respectés </w:t>
      </w:r>
      <w:r w:rsidR="00222F98">
        <w:t xml:space="preserve">au </w:t>
      </w:r>
      <w:r>
        <w:t>31 décembre 2020. La société n’anticipe, à 12 mois, aucun non respect de covenants.</w:t>
      </w:r>
    </w:p>
    <w:p w14:paraId="12C017A0" w14:textId="77777777" w:rsidR="00976C36" w:rsidRDefault="00976C36" w:rsidP="00976C36">
      <w:pPr>
        <w:rPr>
          <w:szCs w:val="20"/>
        </w:rPr>
      </w:pPr>
    </w:p>
    <w:p w14:paraId="6E3D1AE8" w14:textId="77777777" w:rsidR="005B42F0" w:rsidRDefault="005B42F0" w:rsidP="004B7C45">
      <w:pPr>
        <w:tabs>
          <w:tab w:val="left" w:pos="1125"/>
        </w:tabs>
        <w:spacing w:line="259" w:lineRule="auto"/>
        <w:rPr>
          <w:szCs w:val="20"/>
        </w:rPr>
      </w:pPr>
    </w:p>
    <w:p w14:paraId="393E374F" w14:textId="77777777" w:rsidR="005B42F0" w:rsidRDefault="005B42F0" w:rsidP="004B7C45">
      <w:pPr>
        <w:tabs>
          <w:tab w:val="left" w:pos="1125"/>
        </w:tabs>
        <w:spacing w:line="259" w:lineRule="auto"/>
        <w:rPr>
          <w:szCs w:val="20"/>
        </w:rPr>
      </w:pPr>
    </w:p>
    <w:p w14:paraId="22DCA373" w14:textId="77777777" w:rsidR="005B42F0" w:rsidRDefault="005B42F0" w:rsidP="004B7C45">
      <w:pPr>
        <w:tabs>
          <w:tab w:val="left" w:pos="1125"/>
        </w:tabs>
        <w:spacing w:line="259" w:lineRule="auto"/>
        <w:rPr>
          <w:szCs w:val="20"/>
        </w:rPr>
      </w:pPr>
    </w:p>
    <w:p w14:paraId="6205B864" w14:textId="77777777" w:rsidR="004B7C45" w:rsidRPr="0009168E" w:rsidRDefault="004B7C45" w:rsidP="004B7C45">
      <w:pPr>
        <w:tabs>
          <w:tab w:val="left" w:pos="1125"/>
        </w:tabs>
        <w:spacing w:line="259" w:lineRule="auto"/>
        <w:rPr>
          <w:szCs w:val="20"/>
        </w:rPr>
      </w:pPr>
      <w:r w:rsidRPr="0009168E">
        <w:rPr>
          <w:szCs w:val="20"/>
        </w:rPr>
        <w:lastRenderedPageBreak/>
        <w:t>La continuité d'exploitation 2021 est basée sur :</w:t>
      </w:r>
    </w:p>
    <w:p w14:paraId="6BE9128D" w14:textId="6D9E887A" w:rsidR="004B7C45" w:rsidRPr="0009168E" w:rsidRDefault="004B7C45" w:rsidP="0009168E">
      <w:pPr>
        <w:pStyle w:val="Paragraphedeliste"/>
        <w:numPr>
          <w:ilvl w:val="0"/>
          <w:numId w:val="59"/>
        </w:numPr>
        <w:tabs>
          <w:tab w:val="left" w:pos="1125"/>
        </w:tabs>
        <w:spacing w:line="259" w:lineRule="auto"/>
      </w:pPr>
      <w:r w:rsidRPr="0009168E">
        <w:t>des hypothèses d'encaissements liées au budget de chiffre d'affaires et de dépenses de fonctionnement,</w:t>
      </w:r>
      <w:r w:rsidR="008E65FA" w:rsidRPr="0009168E">
        <w:t xml:space="preserve"> </w:t>
      </w:r>
      <w:r w:rsidRPr="0009168E">
        <w:t xml:space="preserve">les lignes de financement </w:t>
      </w:r>
      <w:r w:rsidR="008E65FA" w:rsidRPr="0009168E">
        <w:t>de</w:t>
      </w:r>
      <w:r w:rsidRPr="0009168E">
        <w:t xml:space="preserve"> BFR </w:t>
      </w:r>
      <w:r w:rsidR="008E65FA" w:rsidRPr="0009168E">
        <w:t xml:space="preserve">octroyées </w:t>
      </w:r>
      <w:r w:rsidRPr="0009168E">
        <w:t>par le pool bancai</w:t>
      </w:r>
      <w:r w:rsidR="008E65FA" w:rsidRPr="0009168E">
        <w:t xml:space="preserve">re. Au </w:t>
      </w:r>
      <w:r w:rsidRPr="0009168E">
        <w:t xml:space="preserve">31 décembre 2020, </w:t>
      </w:r>
      <w:r w:rsidR="008E65FA" w:rsidRPr="0009168E">
        <w:t xml:space="preserve">seules </w:t>
      </w:r>
      <w:r w:rsidRPr="0009168E">
        <w:t>46</w:t>
      </w:r>
      <w:r w:rsidRPr="0009168E">
        <w:rPr>
          <w:szCs w:val="20"/>
        </w:rPr>
        <w:t xml:space="preserve"> </w:t>
      </w:r>
      <w:r w:rsidRPr="0009168E">
        <w:t xml:space="preserve">% des lignes ont été renouvelées </w:t>
      </w:r>
      <w:r w:rsidR="008E65FA" w:rsidRPr="0009168E">
        <w:t>(</w:t>
      </w:r>
      <w:r w:rsidRPr="0009168E">
        <w:t>non reconduction de billets financiers pour un total de 380 K€</w:t>
      </w:r>
      <w:r w:rsidR="008E65FA" w:rsidRPr="0009168E">
        <w:t>,</w:t>
      </w:r>
      <w:r w:rsidRPr="0009168E">
        <w:t> </w:t>
      </w:r>
      <w:r w:rsidR="008E65FA" w:rsidRPr="0009168E">
        <w:t>la Société ayant privilégié</w:t>
      </w:r>
      <w:r w:rsidRPr="0009168E">
        <w:t xml:space="preserve"> l’obtention de PGE</w:t>
      </w:r>
      <w:r w:rsidR="008E65FA" w:rsidRPr="0009168E">
        <w:t>)</w:t>
      </w:r>
      <w:r w:rsidRPr="0009168E">
        <w:t>.</w:t>
      </w:r>
      <w:r w:rsidR="0009168E">
        <w:t xml:space="preserve"> </w:t>
      </w:r>
      <w:r w:rsidR="008E65FA" w:rsidRPr="0009168E">
        <w:t>C</w:t>
      </w:r>
      <w:r w:rsidRPr="0009168E">
        <w:t xml:space="preserve">es lignes de financement seront renégociées selon un process annuel </w:t>
      </w:r>
      <w:r w:rsidR="008E65FA" w:rsidRPr="0009168E">
        <w:t>en cohérence avec les axes de développement stratégiques et l’avancement des projets en cours ;</w:t>
      </w:r>
    </w:p>
    <w:p w14:paraId="663F5BD0" w14:textId="308F99A5" w:rsidR="00976C36" w:rsidRPr="00F24D6A" w:rsidRDefault="00976C36" w:rsidP="00976C36">
      <w:pPr>
        <w:pStyle w:val="Paragraphedeliste"/>
        <w:numPr>
          <w:ilvl w:val="0"/>
          <w:numId w:val="59"/>
        </w:numPr>
        <w:tabs>
          <w:tab w:val="left" w:pos="1125"/>
        </w:tabs>
        <w:spacing w:after="160" w:line="259" w:lineRule="auto"/>
      </w:pPr>
      <w:r>
        <w:t xml:space="preserve">les financements garantis dans le cadre du contrat Negma </w:t>
      </w:r>
      <w:r w:rsidR="00222F98" w:rsidRPr="00086BC9">
        <w:t xml:space="preserve">Group Ltd </w:t>
      </w:r>
      <w:r>
        <w:t>dédiés aux besoins de trésorerie liés à l'activité et à la croissance organique qui sécurisent les besoins de trésorerie a minima de l'année à venir</w:t>
      </w:r>
      <w:r w:rsidR="008E65FA">
        <w:t> ;</w:t>
      </w:r>
    </w:p>
    <w:p w14:paraId="27B22D5B" w14:textId="77777777" w:rsidR="00976C36" w:rsidRDefault="00976C36" w:rsidP="00976C36">
      <w:pPr>
        <w:pStyle w:val="Paragraphedeliste"/>
        <w:numPr>
          <w:ilvl w:val="0"/>
          <w:numId w:val="59"/>
        </w:numPr>
      </w:pPr>
      <w:r>
        <w:t>Spineway anticipe le maintien de la confiance de ses partenaires bancaires, lesquels l’accompagnent depuis une dizaine d’années et lui permettent de disposer d’outils de financement court terme. Dans ce contexte, Spineway n’anticipe pas de rupture dans ces relations. Par ailleurs, des négociations ont eu lieu avec d’autres banques de manière à sécuriser les besoins de trésorerie, ce qui a permis de faire entrer un nouveau partenaire bancaire de qualité prêt à monter en puissance pour participer au financement du BFR et ayant contribué à l’obtention de 100 % du montant possible de PGE.</w:t>
      </w:r>
    </w:p>
    <w:p w14:paraId="7982BA05" w14:textId="77777777" w:rsidR="00976C36" w:rsidRDefault="00976C36" w:rsidP="00976C36"/>
    <w:p w14:paraId="27275A56" w14:textId="100618E6" w:rsidR="00976C36" w:rsidRDefault="00976C36" w:rsidP="00976C36">
      <w:r>
        <w:t xml:space="preserve">Enfin, Spineway a sécurisé ses besoins de trésorerie courante et le financement d’éventuels projet de croissance externe pour les prochains mois grâce à l’enveloppe de financements Negma </w:t>
      </w:r>
      <w:r w:rsidR="00222F98" w:rsidRPr="00086BC9">
        <w:t xml:space="preserve">Group Ltd </w:t>
      </w:r>
      <w:r>
        <w:t xml:space="preserve">dont le solde est de </w:t>
      </w:r>
      <w:r w:rsidR="001709AE">
        <w:t>23,7</w:t>
      </w:r>
      <w:r>
        <w:t xml:space="preserve"> M€ à la date du Document d’enregistrement universel, étant précisé que les levées de tranche sont à l’initiative de la Société.</w:t>
      </w:r>
    </w:p>
    <w:p w14:paraId="2BC16D49" w14:textId="77777777" w:rsidR="00976C36" w:rsidRDefault="00976C36" w:rsidP="00976C36">
      <w:pPr>
        <w:rPr>
          <w:rFonts w:ascii="Calibri" w:hAnsi="Calibri" w:cs="Calibri"/>
        </w:rPr>
      </w:pPr>
    </w:p>
    <w:p w14:paraId="141C531A" w14:textId="093C80F8" w:rsidR="00BD7551" w:rsidRPr="00DB5FDD" w:rsidRDefault="00DB5FDD" w:rsidP="00BD7551">
      <w:pPr>
        <w:rPr>
          <w:rFonts w:ascii="Calibri" w:hAnsi="Calibri" w:cs="Calibri"/>
        </w:rPr>
      </w:pPr>
      <w:r>
        <w:rPr>
          <w:rFonts w:ascii="Calibri" w:hAnsi="Calibri" w:cs="Calibri"/>
        </w:rPr>
        <w:t>Le</w:t>
      </w:r>
      <w:r w:rsidR="00BD7551" w:rsidRPr="00805041">
        <w:rPr>
          <w:rFonts w:ascii="Calibri" w:hAnsi="Calibri" w:cs="Calibri"/>
        </w:rPr>
        <w:t xml:space="preserve"> contrat liant Spineway à Negma </w:t>
      </w:r>
      <w:r w:rsidR="00222F98" w:rsidRPr="00086BC9">
        <w:t xml:space="preserve">Group Ltd </w:t>
      </w:r>
      <w:r w:rsidR="00BD7551" w:rsidRPr="00805041">
        <w:rPr>
          <w:rFonts w:ascii="Calibri" w:hAnsi="Calibri" w:cs="Calibri"/>
        </w:rPr>
        <w:t xml:space="preserve">prévoit une indemnisation en cas de cours de bourse inférieur au nominal de l’action. L’évolution boursière sur 2020 ayant été très défavorable au cours de l’action Spineway, les levées de tranches se sont accompagnées de </w:t>
      </w:r>
      <w:r w:rsidR="00BD7551">
        <w:rPr>
          <w:rFonts w:ascii="Calibri" w:hAnsi="Calibri" w:cs="Calibri"/>
        </w:rPr>
        <w:t>fortes compensations qui ont engendré,</w:t>
      </w:r>
      <w:r w:rsidR="00BD7551" w:rsidRPr="006B3490">
        <w:rPr>
          <w:rFonts w:ascii="Calibri" w:hAnsi="Calibri" w:cs="Calibri"/>
        </w:rPr>
        <w:t xml:space="preserve"> </w:t>
      </w:r>
      <w:r w:rsidR="00BD7551">
        <w:rPr>
          <w:rFonts w:ascii="Calibri" w:hAnsi="Calibri" w:cs="Calibri"/>
        </w:rPr>
        <w:t xml:space="preserve">au titre de 2020, </w:t>
      </w:r>
      <w:r w:rsidR="00BD7551" w:rsidRPr="006B3490">
        <w:rPr>
          <w:rFonts w:ascii="Calibri" w:hAnsi="Calibri" w:cs="Calibri"/>
        </w:rPr>
        <w:t xml:space="preserve">une charge financière </w:t>
      </w:r>
      <w:r w:rsidR="00BD7551">
        <w:rPr>
          <w:rFonts w:ascii="Calibri" w:hAnsi="Calibri" w:cs="Calibri"/>
        </w:rPr>
        <w:t>de</w:t>
      </w:r>
      <w:r w:rsidR="00BD7551" w:rsidRPr="006B3490">
        <w:rPr>
          <w:rFonts w:ascii="Calibri" w:hAnsi="Calibri" w:cs="Calibri"/>
        </w:rPr>
        <w:t xml:space="preserve"> 12 M€</w:t>
      </w:r>
      <w:r>
        <w:rPr>
          <w:rFonts w:ascii="Calibri" w:hAnsi="Calibri" w:cs="Calibri"/>
        </w:rPr>
        <w:t xml:space="preserve">. Cette charge </w:t>
      </w:r>
      <w:r w:rsidR="00BD7551" w:rsidRPr="006B3490">
        <w:rPr>
          <w:rFonts w:ascii="Calibri" w:hAnsi="Calibri" w:cs="Calibri"/>
          <w:szCs w:val="20"/>
        </w:rPr>
        <w:t xml:space="preserve">n’a </w:t>
      </w:r>
      <w:r w:rsidR="00BD7551">
        <w:rPr>
          <w:rFonts w:ascii="Calibri" w:hAnsi="Calibri" w:cs="Calibri"/>
          <w:szCs w:val="20"/>
        </w:rPr>
        <w:t xml:space="preserve">toutefois </w:t>
      </w:r>
      <w:r w:rsidR="00BD7551" w:rsidRPr="006B3490">
        <w:rPr>
          <w:rFonts w:ascii="Calibri" w:hAnsi="Calibri" w:cs="Calibri"/>
          <w:szCs w:val="20"/>
        </w:rPr>
        <w:t>fait l’objet d’aucune sortie de trésorerie pour le Groupe et a été intégralement financée en titres Spineway</w:t>
      </w:r>
      <w:r w:rsidR="00BD7551">
        <w:rPr>
          <w:rFonts w:ascii="Calibri" w:hAnsi="Calibri" w:cs="Calibri"/>
          <w:szCs w:val="20"/>
        </w:rPr>
        <w:t>.</w:t>
      </w:r>
      <w:r>
        <w:rPr>
          <w:rFonts w:ascii="Calibri" w:hAnsi="Calibri" w:cs="Calibri"/>
        </w:rPr>
        <w:t xml:space="preserve"> </w:t>
      </w:r>
      <w:r w:rsidR="00BD7551" w:rsidRPr="00805041">
        <w:rPr>
          <w:rFonts w:ascii="Calibri" w:hAnsi="Calibri" w:cs="Calibri"/>
          <w:szCs w:val="20"/>
        </w:rPr>
        <w:t xml:space="preserve">Afin de se protéger de </w:t>
      </w:r>
      <w:r w:rsidR="00BD7551">
        <w:t>l’incidence de ces compensations</w:t>
      </w:r>
      <w:r w:rsidR="00BD7551" w:rsidRPr="00805041">
        <w:rPr>
          <w:rFonts w:ascii="Calibri" w:hAnsi="Calibri" w:cs="Calibri"/>
          <w:szCs w:val="20"/>
        </w:rPr>
        <w:t>, Spineway a</w:t>
      </w:r>
      <w:r w:rsidR="00BD7551">
        <w:rPr>
          <w:rFonts w:ascii="Calibri" w:hAnsi="Calibri" w:cs="Calibri"/>
          <w:szCs w:val="20"/>
        </w:rPr>
        <w:t> :</w:t>
      </w:r>
    </w:p>
    <w:p w14:paraId="1DACC9BD" w14:textId="77777777" w:rsidR="00BD7551" w:rsidRPr="006B3490" w:rsidRDefault="00BD7551" w:rsidP="00BD7551">
      <w:pPr>
        <w:pStyle w:val="Paragraphedeliste"/>
        <w:numPr>
          <w:ilvl w:val="0"/>
          <w:numId w:val="53"/>
        </w:numPr>
        <w:rPr>
          <w:rFonts w:ascii="Calibri" w:hAnsi="Calibri" w:cs="Calibri"/>
          <w:szCs w:val="20"/>
        </w:rPr>
      </w:pPr>
      <w:r w:rsidRPr="006B3490">
        <w:rPr>
          <w:rFonts w:ascii="Calibri" w:hAnsi="Calibri" w:cs="Calibri"/>
          <w:szCs w:val="20"/>
        </w:rPr>
        <w:t xml:space="preserve">procédé à deux réductions du nominal de l’action </w:t>
      </w:r>
      <w:r>
        <w:rPr>
          <w:rFonts w:ascii="Calibri" w:hAnsi="Calibri" w:cs="Calibri"/>
          <w:szCs w:val="20"/>
        </w:rPr>
        <w:t>au cours de</w:t>
      </w:r>
      <w:r w:rsidRPr="006B3490">
        <w:rPr>
          <w:rFonts w:ascii="Calibri" w:hAnsi="Calibri" w:cs="Calibri"/>
          <w:szCs w:val="20"/>
        </w:rPr>
        <w:t xml:space="preserve"> l’exercice </w:t>
      </w:r>
      <w:r>
        <w:rPr>
          <w:rFonts w:ascii="Calibri" w:hAnsi="Calibri" w:cs="Calibri"/>
          <w:szCs w:val="20"/>
        </w:rPr>
        <w:t xml:space="preserve">2020 </w:t>
      </w:r>
      <w:r w:rsidRPr="006B3490">
        <w:rPr>
          <w:rFonts w:ascii="Calibri" w:hAnsi="Calibri" w:cs="Calibri"/>
          <w:szCs w:val="20"/>
        </w:rPr>
        <w:t>(26 mai et 19 septembre 2020) ; et,</w:t>
      </w:r>
    </w:p>
    <w:p w14:paraId="08C42178" w14:textId="1931093F" w:rsidR="00BD7551" w:rsidRDefault="00BD7551" w:rsidP="00BD7551">
      <w:pPr>
        <w:pStyle w:val="Paragraphedeliste"/>
        <w:numPr>
          <w:ilvl w:val="0"/>
          <w:numId w:val="53"/>
        </w:numPr>
      </w:pPr>
      <w:r>
        <w:rPr>
          <w:rFonts w:ascii="Calibri" w:hAnsi="Calibri" w:cs="Calibri"/>
          <w:szCs w:val="20"/>
        </w:rPr>
        <w:t xml:space="preserve">signé, le </w:t>
      </w:r>
      <w:r w:rsidRPr="00165A52">
        <w:t>19 mai 2020</w:t>
      </w:r>
      <w:r w:rsidRPr="00D547F0">
        <w:rPr>
          <w:rFonts w:ascii="Calibri" w:hAnsi="Calibri" w:cs="Calibri"/>
          <w:szCs w:val="20"/>
        </w:rPr>
        <w:t xml:space="preserve"> </w:t>
      </w:r>
      <w:r>
        <w:rPr>
          <w:rFonts w:ascii="Calibri" w:hAnsi="Calibri" w:cs="Calibri"/>
          <w:szCs w:val="20"/>
        </w:rPr>
        <w:t>et avec Negma</w:t>
      </w:r>
      <w:r w:rsidR="00222F98" w:rsidRPr="00222F98">
        <w:t xml:space="preserve"> </w:t>
      </w:r>
      <w:r w:rsidR="00222F98" w:rsidRPr="00086BC9">
        <w:t>Group Ltd</w:t>
      </w:r>
      <w:r>
        <w:t>, un avenant</w:t>
      </w:r>
      <w:r w:rsidRPr="00165A52">
        <w:t xml:space="preserve"> </w:t>
      </w:r>
      <w:r>
        <w:t>afin d’amender la règle de calcul des compensations.</w:t>
      </w:r>
    </w:p>
    <w:p w14:paraId="78B2F1B0" w14:textId="77777777" w:rsidR="00976C36" w:rsidRPr="006B3490" w:rsidRDefault="00976C36" w:rsidP="00976C36">
      <w:pPr>
        <w:rPr>
          <w:rFonts w:ascii="Calibri" w:hAnsi="Calibri" w:cs="Calibri"/>
          <w:szCs w:val="20"/>
        </w:rPr>
      </w:pPr>
    </w:p>
    <w:p w14:paraId="03EEEDBE" w14:textId="77777777" w:rsidR="00976C36" w:rsidRDefault="00976C36" w:rsidP="00976C36">
      <w:pPr>
        <w:rPr>
          <w:b/>
        </w:rPr>
      </w:pPr>
      <w:r w:rsidRPr="00966FDD">
        <w:t xml:space="preserve">La Société attribue </w:t>
      </w:r>
      <w:r>
        <w:t>au</w:t>
      </w:r>
      <w:r w:rsidRPr="00966FDD">
        <w:t xml:space="preserve"> risque</w:t>
      </w:r>
      <w:r>
        <w:t xml:space="preserve"> de liquidité</w:t>
      </w:r>
      <w:r w:rsidRPr="00966FDD">
        <w:t xml:space="preserve"> un niveau</w:t>
      </w:r>
      <w:r w:rsidRPr="00966FDD">
        <w:rPr>
          <w:b/>
        </w:rPr>
        <w:t xml:space="preserve"> </w:t>
      </w:r>
      <w:r w:rsidRPr="006B3490">
        <w:rPr>
          <w:b/>
          <w:u w:val="single"/>
        </w:rPr>
        <w:t>faible</w:t>
      </w:r>
      <w:r w:rsidRPr="00966FDD">
        <w:rPr>
          <w:b/>
        </w:rPr>
        <w:t>.</w:t>
      </w:r>
    </w:p>
    <w:p w14:paraId="00234ECB" w14:textId="77777777" w:rsidR="00976C36" w:rsidRDefault="00976C36" w:rsidP="00976C36">
      <w:pPr>
        <w:rPr>
          <w:b/>
        </w:rPr>
      </w:pPr>
    </w:p>
    <w:p w14:paraId="65928122" w14:textId="79AE8915" w:rsidR="00976C36" w:rsidRDefault="00976C36" w:rsidP="00976C36">
      <w:r>
        <w:t>La trésorerie, les capitaux propres et l’endettement sont présentés plus en détail au chapitre « </w:t>
      </w:r>
      <w:r>
        <w:fldChar w:fldCharType="begin"/>
      </w:r>
      <w:r>
        <w:instrText xml:space="preserve"> REF _Ref474072534 \h </w:instrText>
      </w:r>
      <w:r>
        <w:fldChar w:fldCharType="separate"/>
      </w:r>
      <w:r w:rsidR="003A0AD1">
        <w:t xml:space="preserve">8. </w:t>
      </w:r>
      <w:r w:rsidR="003A0AD1" w:rsidRPr="00050AF3">
        <w:t>Trésorerie et capitaux</w:t>
      </w:r>
      <w:r>
        <w:fldChar w:fldCharType="end"/>
      </w:r>
      <w:r>
        <w:t> » du Document d’enregistrement universel.</w:t>
      </w:r>
    </w:p>
    <w:p w14:paraId="4070E8D1" w14:textId="77777777" w:rsidR="00976C36" w:rsidRPr="00966FDD" w:rsidRDefault="00976C36" w:rsidP="00976C36"/>
    <w:p w14:paraId="46A07EA1" w14:textId="16C1757A" w:rsidR="00976C36" w:rsidRDefault="00976C36" w:rsidP="00976C36">
      <w:pPr>
        <w:pStyle w:val="Titre3"/>
      </w:pPr>
      <w:bookmarkStart w:id="42" w:name="_Toc349133523"/>
      <w:bookmarkStart w:id="43" w:name="_Toc475033160"/>
      <w:r>
        <w:t>3</w:t>
      </w:r>
      <w:r w:rsidRPr="00D93A07">
        <w:t>.</w:t>
      </w:r>
      <w:r>
        <w:t>1</w:t>
      </w:r>
      <w:r w:rsidRPr="00D93A07">
        <w:t>.</w:t>
      </w:r>
      <w:r>
        <w:t>4</w:t>
      </w:r>
      <w:r w:rsidRPr="00D93A07">
        <w:t>. Risque</w:t>
      </w:r>
      <w:r>
        <w:t>s</w:t>
      </w:r>
      <w:r w:rsidRPr="00D93A07">
        <w:t xml:space="preserve"> de taux </w:t>
      </w:r>
      <w:bookmarkEnd w:id="42"/>
      <w:r>
        <w:t>d’intérêts</w:t>
      </w:r>
      <w:bookmarkEnd w:id="43"/>
    </w:p>
    <w:p w14:paraId="1626C520" w14:textId="77777777" w:rsidR="00976C36" w:rsidRDefault="00976C36" w:rsidP="00976C36">
      <w:pPr>
        <w:tabs>
          <w:tab w:val="right" w:leader="dot" w:pos="8505"/>
        </w:tabs>
        <w:rPr>
          <w:color w:val="FF0000"/>
        </w:rPr>
      </w:pPr>
    </w:p>
    <w:p w14:paraId="68651FE9" w14:textId="77777777" w:rsidR="00976C36" w:rsidRDefault="00976C36" w:rsidP="00976C36">
      <w:r w:rsidRPr="00921DB7">
        <w:t>Les dettes court termes sont utilisées par Spineway pour financer son BFR notamment via des billets financiers et des mobilisations de créances</w:t>
      </w:r>
      <w:r>
        <w:t xml:space="preserve"> étrangères</w:t>
      </w:r>
      <w:r w:rsidRPr="00921DB7">
        <w:t>.</w:t>
      </w:r>
      <w:bookmarkStart w:id="44" w:name="_Toc369984583"/>
    </w:p>
    <w:bookmarkEnd w:id="44"/>
    <w:p w14:paraId="0A860BD5" w14:textId="77777777" w:rsidR="00976C36" w:rsidRDefault="00976C36" w:rsidP="00976C36"/>
    <w:p w14:paraId="11832395" w14:textId="6048632E" w:rsidR="00222F98" w:rsidRDefault="00976C36" w:rsidP="00976C36">
      <w:r>
        <w:t xml:space="preserve">Or, la dette financière de la Société, notamment pour sa partie court terme, est à taux variable et principalement indexée sur l’Euribor. Une brusque remontée des taux influencerait négativement le résultat financier de la Société. </w:t>
      </w:r>
      <w:r w:rsidR="00222F98">
        <w:t xml:space="preserve">Ce </w:t>
      </w:r>
      <w:r>
        <w:t xml:space="preserve">risque est </w:t>
      </w:r>
      <w:r w:rsidR="00222F98">
        <w:t xml:space="preserve">néanmoins </w:t>
      </w:r>
      <w:r>
        <w:t xml:space="preserve">limité par le </w:t>
      </w:r>
      <w:r w:rsidR="00222F98">
        <w:t xml:space="preserve">niveau des </w:t>
      </w:r>
      <w:r>
        <w:t xml:space="preserve">taux actuels d’Euribor 3 mois. </w:t>
      </w:r>
    </w:p>
    <w:p w14:paraId="5380AA38" w14:textId="5411C9DB" w:rsidR="00976C36" w:rsidRPr="00966FDD" w:rsidRDefault="00976C36" w:rsidP="00976C36">
      <w:r w:rsidRPr="00966FDD">
        <w:rPr>
          <w:rFonts w:eastAsiaTheme="majorEastAsia" w:cstheme="majorBidi"/>
        </w:rPr>
        <w:t>L</w:t>
      </w:r>
      <w:r w:rsidRPr="00966FDD">
        <w:t>a société n’a pas jugé opportun pour l’instant de se couvrir sur une remontée de l’Euribor 3 mois, mais reste vigilante quant à son évolution et ne s’interdit pas cette possibilité dans le futur</w:t>
      </w:r>
      <w:r>
        <w:t>.</w:t>
      </w:r>
    </w:p>
    <w:p w14:paraId="0A0EF6E5" w14:textId="77777777" w:rsidR="00976C36" w:rsidRDefault="00976C36" w:rsidP="00976C36"/>
    <w:p w14:paraId="7B226CC7" w14:textId="77777777" w:rsidR="00976C36" w:rsidRDefault="00976C36" w:rsidP="00976C36">
      <w:pPr>
        <w:tabs>
          <w:tab w:val="left" w:pos="1125"/>
        </w:tabs>
      </w:pPr>
      <w:r>
        <w:t>L’impact d’une éventuelle augmentation du taux de l’Euribor 3 mois a été quantifié comme suit :</w:t>
      </w:r>
    </w:p>
    <w:p w14:paraId="72B41A55" w14:textId="77777777" w:rsidR="00976C36" w:rsidRDefault="00976C36" w:rsidP="00976C36">
      <w:pPr>
        <w:tabs>
          <w:tab w:val="left" w:pos="1125"/>
        </w:tabs>
      </w:pPr>
    </w:p>
    <w:p w14:paraId="02631B74" w14:textId="77777777" w:rsidR="00976C36" w:rsidRDefault="00976C36" w:rsidP="00976C36">
      <w:pPr>
        <w:tabs>
          <w:tab w:val="left" w:pos="1125"/>
        </w:tabs>
      </w:pPr>
      <w:r>
        <w:rPr>
          <w:noProof/>
        </w:rPr>
        <w:lastRenderedPageBreak/>
        <w:drawing>
          <wp:inline distT="0" distB="0" distL="0" distR="0" wp14:anchorId="7256BED7" wp14:editId="04E43120">
            <wp:extent cx="5940425" cy="1496469"/>
            <wp:effectExtent l="0" t="0" r="3175" b="2540"/>
            <wp:docPr id="12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940425" cy="1496469"/>
                    </a:xfrm>
                    <a:prstGeom prst="rect">
                      <a:avLst/>
                    </a:prstGeom>
                    <a:noFill/>
                    <a:ln>
                      <a:noFill/>
                    </a:ln>
                  </pic:spPr>
                </pic:pic>
              </a:graphicData>
            </a:graphic>
          </wp:inline>
        </w:drawing>
      </w:r>
    </w:p>
    <w:p w14:paraId="2F20EC43" w14:textId="77777777" w:rsidR="00976C36" w:rsidRDefault="00976C36" w:rsidP="00976C36">
      <w:pPr>
        <w:tabs>
          <w:tab w:val="left" w:pos="1125"/>
        </w:tabs>
      </w:pPr>
    </w:p>
    <w:p w14:paraId="1D1485E2" w14:textId="77777777" w:rsidR="00976C36" w:rsidRDefault="00976C36" w:rsidP="00976C36">
      <w:pPr>
        <w:tabs>
          <w:tab w:val="right" w:leader="dot" w:pos="8505"/>
        </w:tabs>
        <w:rPr>
          <w:szCs w:val="20"/>
        </w:rPr>
      </w:pPr>
      <w:r>
        <w:rPr>
          <w:szCs w:val="20"/>
        </w:rPr>
        <w:t>Dans ce contexte, le recours, par Spineway, à des dettes financières court terme à taux variable pour financer son BFR présente un risque qui pourrait avoir un effet défavorable sur les résultats et la situation financière du Groupe.</w:t>
      </w:r>
    </w:p>
    <w:p w14:paraId="3760FAC8" w14:textId="77777777" w:rsidR="00976C36" w:rsidRPr="007C2F5D" w:rsidRDefault="00976C36" w:rsidP="00976C36">
      <w:pPr>
        <w:tabs>
          <w:tab w:val="right" w:leader="dot" w:pos="8505"/>
        </w:tabs>
        <w:rPr>
          <w:szCs w:val="20"/>
        </w:rPr>
      </w:pPr>
      <w:r w:rsidRPr="007C2F5D">
        <w:rPr>
          <w:szCs w:val="20"/>
        </w:rPr>
        <w:t>Néanmoins, compte-tenu de la diminution de ces financements cet impact resterait très limité.</w:t>
      </w:r>
    </w:p>
    <w:p w14:paraId="1E818FAB" w14:textId="77777777" w:rsidR="00976C36" w:rsidRPr="004B0363" w:rsidRDefault="00976C36" w:rsidP="00976C36">
      <w:pPr>
        <w:tabs>
          <w:tab w:val="right" w:leader="dot" w:pos="8505"/>
        </w:tabs>
        <w:rPr>
          <w:szCs w:val="20"/>
        </w:rPr>
      </w:pPr>
    </w:p>
    <w:p w14:paraId="6B7151C2" w14:textId="77777777" w:rsidR="00976C36" w:rsidRDefault="00976C36" w:rsidP="00976C36">
      <w:r>
        <w:t>Les dettes long terme sont quant à elles à taux fixe.</w:t>
      </w:r>
    </w:p>
    <w:p w14:paraId="755A79FB" w14:textId="77777777" w:rsidR="00976C36" w:rsidRDefault="00976C36" w:rsidP="00976C36"/>
    <w:p w14:paraId="2B0691CA" w14:textId="4979B0D9" w:rsidR="00976C36" w:rsidRPr="00E46B2C" w:rsidRDefault="00222F98" w:rsidP="00976C36">
      <w:r>
        <w:t xml:space="preserve">Le Groupe </w:t>
      </w:r>
      <w:r w:rsidR="00976C36">
        <w:t xml:space="preserve">a payé 50 K€ d’intérêts et charges en 2020 et 52 K€ en 2019 (données consolidées). </w:t>
      </w:r>
    </w:p>
    <w:p w14:paraId="3613B2BF" w14:textId="77777777" w:rsidR="00976C36" w:rsidRDefault="00976C36" w:rsidP="00976C36">
      <w:pPr>
        <w:tabs>
          <w:tab w:val="right" w:leader="dot" w:pos="8505"/>
        </w:tabs>
      </w:pPr>
    </w:p>
    <w:p w14:paraId="2CBD245A" w14:textId="77777777" w:rsidR="00976C36" w:rsidRPr="007C2F5D" w:rsidRDefault="00976C36" w:rsidP="00976C36">
      <w:pPr>
        <w:rPr>
          <w:b/>
        </w:rPr>
      </w:pPr>
      <w:r w:rsidRPr="007C2F5D">
        <w:rPr>
          <w:b/>
        </w:rPr>
        <w:t xml:space="preserve">La Société attribue à ce risque un niveau </w:t>
      </w:r>
      <w:r w:rsidRPr="007C2F5D">
        <w:rPr>
          <w:b/>
          <w:u w:val="single"/>
        </w:rPr>
        <w:t>faible</w:t>
      </w:r>
      <w:r w:rsidRPr="007C2F5D">
        <w:rPr>
          <w:b/>
        </w:rPr>
        <w:t>.</w:t>
      </w:r>
    </w:p>
    <w:p w14:paraId="6F2857CD" w14:textId="77777777" w:rsidR="00976C36" w:rsidRDefault="00976C36" w:rsidP="00976C36">
      <w:pPr>
        <w:tabs>
          <w:tab w:val="right" w:leader="dot" w:pos="8505"/>
        </w:tabs>
      </w:pPr>
    </w:p>
    <w:p w14:paraId="179705A9" w14:textId="0E3BCA05" w:rsidR="00976C36" w:rsidRPr="00FA4813" w:rsidRDefault="00976C36" w:rsidP="00976C36">
      <w:pPr>
        <w:pStyle w:val="Titre3"/>
      </w:pPr>
      <w:bookmarkStart w:id="45" w:name="_Toc475033161"/>
      <w:r>
        <w:t>3.1.5</w:t>
      </w:r>
      <w:r w:rsidRPr="00D93A07">
        <w:t xml:space="preserve"> Risque</w:t>
      </w:r>
      <w:r>
        <w:t>s de change</w:t>
      </w:r>
      <w:bookmarkEnd w:id="45"/>
    </w:p>
    <w:p w14:paraId="17C0F53F" w14:textId="77777777" w:rsidR="00976C36" w:rsidRPr="00DB7E98" w:rsidRDefault="00976C36" w:rsidP="00976C36">
      <w:pPr>
        <w:rPr>
          <w:i/>
          <w:szCs w:val="20"/>
        </w:rPr>
      </w:pPr>
    </w:p>
    <w:p w14:paraId="608D24FC" w14:textId="17393ED0" w:rsidR="00976C36" w:rsidRPr="00DB7E98" w:rsidRDefault="00222F98" w:rsidP="00976C36">
      <w:r>
        <w:t>Le Groupe</w:t>
      </w:r>
      <w:r w:rsidRPr="00DB7E98">
        <w:t xml:space="preserve"> </w:t>
      </w:r>
      <w:r w:rsidR="00976C36" w:rsidRPr="00DB7E98">
        <w:t xml:space="preserve">réalise, au 31 décembre 2020, 88 % </w:t>
      </w:r>
      <w:r w:rsidR="00976C36">
        <w:t>de</w:t>
      </w:r>
      <w:r w:rsidR="00976C36" w:rsidRPr="00DB7E98">
        <w:t xml:space="preserve"> son chiffre d’affaires consolidé à l’international. Ces ventes sont en majorité réalisées dans des zones exposées, pour les monnaies locales, à des fluctuations de change qui peuvent-être importantes. Néanmoins, la quasi-totalité des ventes est réalisée en euros. Par ailleurs, la baisse d’activité de la filiale </w:t>
      </w:r>
      <w:r w:rsidR="00976C36">
        <w:t>américaine</w:t>
      </w:r>
      <w:r w:rsidR="00976C36" w:rsidRPr="00DB7E98">
        <w:t xml:space="preserve"> très conséquente en lien avec la crise sanitaire et la restructuration en cours limite au minimum le risque d’exposition au </w:t>
      </w:r>
      <w:r>
        <w:t>d</w:t>
      </w:r>
      <w:r w:rsidRPr="00DB7E98">
        <w:t xml:space="preserve">ollar </w:t>
      </w:r>
      <w:r>
        <w:t xml:space="preserve">américain </w:t>
      </w:r>
      <w:r w:rsidR="00976C36" w:rsidRPr="00DB7E98">
        <w:t>en ce qui concerne les flux. En effet, titre de l’exercice 2020, Spineway a réalisé seulement 1</w:t>
      </w:r>
      <w:r w:rsidR="00C32059">
        <w:t xml:space="preserve"> </w:t>
      </w:r>
      <w:r w:rsidR="00976C36" w:rsidRPr="00DB7E98">
        <w:t xml:space="preserve">% de son chiffre d’affaires en dollars américains dans le cadre de ses ventes aux Etats-Unis (47 K€ au 31 décembre 2020). La baisse d’activité de la filiale </w:t>
      </w:r>
      <w:r w:rsidR="00976C36">
        <w:t>américaine</w:t>
      </w:r>
      <w:r w:rsidR="00976C36" w:rsidRPr="00DB7E98">
        <w:t xml:space="preserve"> diminue de fait le risque de change.</w:t>
      </w:r>
    </w:p>
    <w:p w14:paraId="21D0D31B" w14:textId="77777777" w:rsidR="00976C36" w:rsidRPr="00DB7E98" w:rsidRDefault="00976C36" w:rsidP="00976C36">
      <w:pPr>
        <w:rPr>
          <w:szCs w:val="20"/>
        </w:rPr>
      </w:pPr>
      <w:r w:rsidRPr="00DB7E98">
        <w:rPr>
          <w:szCs w:val="20"/>
        </w:rPr>
        <w:t>Les autres ventes réalisées par le Groupe à l’international sont facturées en euros.</w:t>
      </w:r>
    </w:p>
    <w:p w14:paraId="633F7A70" w14:textId="77777777" w:rsidR="00976C36" w:rsidRPr="00DB7E98" w:rsidRDefault="00976C36" w:rsidP="00976C36">
      <w:pPr>
        <w:rPr>
          <w:szCs w:val="20"/>
        </w:rPr>
      </w:pPr>
    </w:p>
    <w:p w14:paraId="15490D68" w14:textId="7B28EAC7" w:rsidR="00976C36" w:rsidRPr="00DB7E98" w:rsidRDefault="00976C36" w:rsidP="00976C36">
      <w:pPr>
        <w:rPr>
          <w:szCs w:val="20"/>
        </w:rPr>
      </w:pPr>
      <w:r w:rsidRPr="00DB7E98">
        <w:rPr>
          <w:szCs w:val="20"/>
        </w:rPr>
        <w:t xml:space="preserve">S’agissant des achats de marchandises et </w:t>
      </w:r>
      <w:r w:rsidR="00222F98">
        <w:rPr>
          <w:szCs w:val="20"/>
        </w:rPr>
        <w:t xml:space="preserve">de </w:t>
      </w:r>
      <w:r w:rsidRPr="00DB7E98">
        <w:rPr>
          <w:szCs w:val="20"/>
        </w:rPr>
        <w:t xml:space="preserve">matières premières, ceux-ci sont quasi-exclusivement réalisés en euros. </w:t>
      </w:r>
    </w:p>
    <w:p w14:paraId="2E9405C8" w14:textId="77777777" w:rsidR="00976C36" w:rsidRPr="00DB7E98" w:rsidRDefault="00976C36" w:rsidP="00976C36">
      <w:pPr>
        <w:rPr>
          <w:szCs w:val="20"/>
        </w:rPr>
      </w:pPr>
    </w:p>
    <w:p w14:paraId="7FAE8991" w14:textId="100C275D" w:rsidR="00976C36" w:rsidRPr="00DB7E98" w:rsidRDefault="00976C36" w:rsidP="00976C36">
      <w:r w:rsidRPr="00DB7E98">
        <w:t>Les dépenses opérationnelles (</w:t>
      </w:r>
      <w:r w:rsidR="00C32059">
        <w:t>a</w:t>
      </w:r>
      <w:r w:rsidR="00C32059" w:rsidRPr="00DB7E98">
        <w:t xml:space="preserve">utres </w:t>
      </w:r>
      <w:r w:rsidRPr="00DB7E98">
        <w:t>achats</w:t>
      </w:r>
      <w:r w:rsidR="00C32059">
        <w:t>, c</w:t>
      </w:r>
      <w:r w:rsidR="00C32059" w:rsidRPr="00DB7E98">
        <w:t xml:space="preserve">harges </w:t>
      </w:r>
      <w:r w:rsidRPr="00DB7E98">
        <w:t>externes</w:t>
      </w:r>
      <w:r w:rsidR="00C32059">
        <w:t xml:space="preserve"> et</w:t>
      </w:r>
      <w:r w:rsidR="00C32059" w:rsidRPr="00DB7E98">
        <w:t xml:space="preserve"> </w:t>
      </w:r>
      <w:r w:rsidR="00C32059">
        <w:t>c</w:t>
      </w:r>
      <w:r w:rsidR="00C32059" w:rsidRPr="00DB7E98">
        <w:t xml:space="preserve">harges </w:t>
      </w:r>
      <w:r w:rsidRPr="00DB7E98">
        <w:t xml:space="preserve">de </w:t>
      </w:r>
      <w:r w:rsidR="00696043">
        <w:t>p</w:t>
      </w:r>
      <w:r w:rsidR="00696043" w:rsidRPr="00DB7E98">
        <w:t>ersonnel</w:t>
      </w:r>
      <w:r w:rsidRPr="00DB7E98">
        <w:t>) de la filiale américaine sont quant à elles réglées en dollars par la filiale. Au 31 décembre 2020, les dépenses opérationnelles de la filiale américaine représentaient de l’ordre de 8</w:t>
      </w:r>
      <w:r w:rsidR="00C32059">
        <w:t xml:space="preserve"> </w:t>
      </w:r>
      <w:r w:rsidRPr="00DB7E98">
        <w:t xml:space="preserve">% des dépenses totales du Groupe. </w:t>
      </w:r>
    </w:p>
    <w:p w14:paraId="65E07D8E" w14:textId="77777777" w:rsidR="00976C36" w:rsidRPr="00DB7E98" w:rsidRDefault="00976C36" w:rsidP="00976C36">
      <w:pPr>
        <w:rPr>
          <w:szCs w:val="20"/>
        </w:rPr>
      </w:pPr>
    </w:p>
    <w:p w14:paraId="703D906B" w14:textId="77777777" w:rsidR="00976C36" w:rsidRPr="00DB7E98" w:rsidRDefault="00976C36" w:rsidP="00976C36">
      <w:pPr>
        <w:spacing w:line="259" w:lineRule="auto"/>
      </w:pPr>
      <w:r w:rsidRPr="00DB7E98">
        <w:t>Le risque de change lié à la conversion du bilan de la filiale américaine porte essentiellement sur les créances rattachées à participation qui sont entièrement amorties et éliminées en consolidation.</w:t>
      </w:r>
    </w:p>
    <w:p w14:paraId="04DA3EED" w14:textId="77777777" w:rsidR="00976C36" w:rsidRPr="00DB7E98" w:rsidRDefault="00976C36" w:rsidP="00976C36">
      <w:pPr>
        <w:rPr>
          <w:szCs w:val="20"/>
        </w:rPr>
      </w:pPr>
    </w:p>
    <w:p w14:paraId="43ACCCDC" w14:textId="3D4ED155" w:rsidR="00976C36" w:rsidRPr="00DB7E98" w:rsidRDefault="00976C36" w:rsidP="00976C36">
      <w:pPr>
        <w:rPr>
          <w:szCs w:val="20"/>
        </w:rPr>
      </w:pPr>
      <w:r w:rsidRPr="00DB7E98">
        <w:rPr>
          <w:szCs w:val="20"/>
        </w:rPr>
        <w:t xml:space="preserve">Au 31 décembre 2020, le risque de change du Groupe est donc quasi-exclusivement un risque de change opérationnel (chiffre </w:t>
      </w:r>
      <w:r w:rsidR="00696043" w:rsidRPr="00DB7E98">
        <w:rPr>
          <w:szCs w:val="20"/>
        </w:rPr>
        <w:t>d’</w:t>
      </w:r>
      <w:r w:rsidR="00696043">
        <w:rPr>
          <w:szCs w:val="20"/>
        </w:rPr>
        <w:t>a</w:t>
      </w:r>
      <w:r w:rsidR="00696043" w:rsidRPr="00DB7E98">
        <w:rPr>
          <w:szCs w:val="20"/>
        </w:rPr>
        <w:t xml:space="preserve">ffaires </w:t>
      </w:r>
      <w:r w:rsidRPr="00DB7E98">
        <w:rPr>
          <w:szCs w:val="20"/>
        </w:rPr>
        <w:t xml:space="preserve">et dépenses opérationnelles) avec une situation excédentaire en dollar. </w:t>
      </w:r>
    </w:p>
    <w:p w14:paraId="573BE7B1" w14:textId="77777777" w:rsidR="00976C36" w:rsidRPr="00DB7E98" w:rsidRDefault="00976C36" w:rsidP="00976C36">
      <w:pPr>
        <w:rPr>
          <w:szCs w:val="20"/>
        </w:rPr>
      </w:pPr>
    </w:p>
    <w:p w14:paraId="30344DFD" w14:textId="77777777" w:rsidR="00976C36" w:rsidRPr="00DB7E98" w:rsidRDefault="00976C36" w:rsidP="00976C36">
      <w:pPr>
        <w:rPr>
          <w:szCs w:val="20"/>
        </w:rPr>
      </w:pPr>
      <w:r w:rsidRPr="00DB7E98">
        <w:rPr>
          <w:szCs w:val="20"/>
        </w:rPr>
        <w:t xml:space="preserve">Compte tenu de sa stratégie de développement à l’international, Spineway estime, à la date du </w:t>
      </w:r>
      <w:r w:rsidRPr="00DB7E98">
        <w:t>Document d’enregistrement universel</w:t>
      </w:r>
      <w:r w:rsidRPr="00DB7E98">
        <w:rPr>
          <w:szCs w:val="20"/>
        </w:rPr>
        <w:t>, que le risque de change opérationnel va perdurer à moyen - long terme.</w:t>
      </w:r>
    </w:p>
    <w:p w14:paraId="61A0B0D5" w14:textId="77777777" w:rsidR="00976C36" w:rsidRPr="00DB7E98" w:rsidRDefault="00976C36" w:rsidP="00976C36">
      <w:pPr>
        <w:rPr>
          <w:szCs w:val="20"/>
        </w:rPr>
      </w:pPr>
    </w:p>
    <w:p w14:paraId="6CACD7FB" w14:textId="77777777" w:rsidR="00976C36" w:rsidRPr="00DB7E98" w:rsidRDefault="00976C36" w:rsidP="00976C36">
      <w:pPr>
        <w:rPr>
          <w:szCs w:val="20"/>
        </w:rPr>
      </w:pPr>
      <w:r w:rsidRPr="00DB7E98">
        <w:rPr>
          <w:szCs w:val="20"/>
        </w:rPr>
        <w:t xml:space="preserve">Spineway adaptera sa stratégie de couverture future en fonction de l’évolution de la part du chiffre d’affaires réalisée en dollars, de la parité dollar/euro et de l‘évolution du coût des instruments de couverture. Ainsi il est possible que la Société doive faire des arbitrages dans le futur si jamais ce coût de couverture devenait trop prohibitif compte tenu des évolutions macro-économiques. </w:t>
      </w:r>
    </w:p>
    <w:p w14:paraId="3DE6BB02" w14:textId="77777777" w:rsidR="00976C36" w:rsidRPr="00DB7E98" w:rsidRDefault="00976C36" w:rsidP="00976C36">
      <w:pPr>
        <w:rPr>
          <w:szCs w:val="20"/>
        </w:rPr>
      </w:pPr>
    </w:p>
    <w:p w14:paraId="7D0032EF" w14:textId="0BAEE7EC" w:rsidR="00976C36" w:rsidRDefault="00976C36" w:rsidP="00976C36">
      <w:pPr>
        <w:rPr>
          <w:b/>
        </w:rPr>
      </w:pPr>
      <w:r w:rsidRPr="007C2F5D">
        <w:rPr>
          <w:b/>
        </w:rPr>
        <w:t xml:space="preserve">La Société attribue à ce risque un niveau </w:t>
      </w:r>
      <w:r w:rsidRPr="007C2F5D">
        <w:rPr>
          <w:b/>
          <w:u w:val="single"/>
        </w:rPr>
        <w:t>faible</w:t>
      </w:r>
      <w:r w:rsidRPr="007C2F5D">
        <w:rPr>
          <w:b/>
        </w:rPr>
        <w:t>.</w:t>
      </w:r>
      <w:bookmarkEnd w:id="30"/>
      <w:bookmarkEnd w:id="31"/>
    </w:p>
    <w:p w14:paraId="50040E31" w14:textId="77777777" w:rsidR="00976C36" w:rsidRPr="00976C36" w:rsidRDefault="00976C36" w:rsidP="00976C36">
      <w:pPr>
        <w:rPr>
          <w:b/>
        </w:rPr>
      </w:pPr>
    </w:p>
    <w:p w14:paraId="528BEA10" w14:textId="3676B708" w:rsidR="003A794F" w:rsidRDefault="00D76C89" w:rsidP="00A601E8">
      <w:pPr>
        <w:pStyle w:val="Titre2"/>
      </w:pPr>
      <w:bookmarkStart w:id="46" w:name="_Toc475033162"/>
      <w:r>
        <w:lastRenderedPageBreak/>
        <w:t>3</w:t>
      </w:r>
      <w:r w:rsidR="003A794F" w:rsidRPr="00A601E8">
        <w:t>.</w:t>
      </w:r>
      <w:r w:rsidR="00976C36">
        <w:t>2</w:t>
      </w:r>
      <w:r w:rsidR="003A794F" w:rsidRPr="00A601E8">
        <w:t>. R</w:t>
      </w:r>
      <w:r w:rsidR="00036E0A">
        <w:t>isques relatifs à l’activité et au marché sur lequel intervient la Société</w:t>
      </w:r>
      <w:bookmarkEnd w:id="26"/>
      <w:bookmarkEnd w:id="27"/>
      <w:bookmarkEnd w:id="46"/>
    </w:p>
    <w:p w14:paraId="4417DA35" w14:textId="7698D957" w:rsidR="00FC353F" w:rsidRDefault="00FC353F" w:rsidP="00FC353F">
      <w:pPr>
        <w:pStyle w:val="Titre3"/>
      </w:pPr>
      <w:bookmarkStart w:id="47" w:name="_Ref474073627"/>
      <w:bookmarkStart w:id="48" w:name="_Toc475033163"/>
      <w:r>
        <w:t>3</w:t>
      </w:r>
      <w:r w:rsidRPr="00A601E8">
        <w:t>.</w:t>
      </w:r>
      <w:r w:rsidR="00976C36">
        <w:t>2</w:t>
      </w:r>
      <w:r w:rsidRPr="00A601E8">
        <w:t>.</w:t>
      </w:r>
      <w:r>
        <w:t>1</w:t>
      </w:r>
      <w:r w:rsidRPr="00A601E8">
        <w:t>.</w:t>
      </w:r>
      <w:r>
        <w:t xml:space="preserve"> Risques liés au Covid-19</w:t>
      </w:r>
      <w:bookmarkEnd w:id="47"/>
      <w:bookmarkEnd w:id="48"/>
    </w:p>
    <w:p w14:paraId="6CC2A37F" w14:textId="77777777" w:rsidR="00FC353F" w:rsidRPr="00FC353F" w:rsidRDefault="00FC353F" w:rsidP="00FC353F"/>
    <w:p w14:paraId="4F643969" w14:textId="464D7339" w:rsidR="00FC353F" w:rsidRPr="00CE3119" w:rsidRDefault="00FC353F" w:rsidP="00FC353F">
      <w:r>
        <w:t>Dans un contexte de</w:t>
      </w:r>
      <w:r w:rsidRPr="00CE3119">
        <w:t xml:space="preserve"> crise sanitaire mondiale liée au Covid-19</w:t>
      </w:r>
      <w:r>
        <w:t xml:space="preserve">, le Groupe s’est immédiatement mobilisé afin d’assurer une continuité de ses activités tout en </w:t>
      </w:r>
      <w:r w:rsidRPr="00CE3119">
        <w:t>préserv</w:t>
      </w:r>
      <w:r>
        <w:t>ant</w:t>
      </w:r>
      <w:r w:rsidRPr="00CE3119">
        <w:t xml:space="preserve"> la santé de ses collaborateurs</w:t>
      </w:r>
      <w:r w:rsidR="001108F0">
        <w:t>,</w:t>
      </w:r>
      <w:r w:rsidRPr="00CE3119">
        <w:t xml:space="preserve"> </w:t>
      </w:r>
      <w:r>
        <w:t>en mettant</w:t>
      </w:r>
      <w:r w:rsidRPr="00CE3119">
        <w:t xml:space="preserve"> en place les conditions </w:t>
      </w:r>
      <w:r>
        <w:t>adéquates pour</w:t>
      </w:r>
      <w:r w:rsidRPr="00CE3119">
        <w:t xml:space="preserve"> travailler avec le maximum de sécurité </w:t>
      </w:r>
      <w:r w:rsidR="00455997">
        <w:t>ou bien</w:t>
      </w:r>
      <w:r w:rsidRPr="00CE3119">
        <w:t xml:space="preserve"> </w:t>
      </w:r>
      <w:r w:rsidR="00696043">
        <w:t>par la mise en place du télétravail</w:t>
      </w:r>
      <w:r w:rsidRPr="00CE3119">
        <w:t xml:space="preserve"> lorsque les activités le permettent. </w:t>
      </w:r>
    </w:p>
    <w:p w14:paraId="705580BC" w14:textId="77777777" w:rsidR="00B35256" w:rsidRDefault="00B35256" w:rsidP="00FC353F"/>
    <w:p w14:paraId="750F83E3" w14:textId="4FD82E9C" w:rsidR="003C0FC4" w:rsidRDefault="0014005A" w:rsidP="003C0FC4">
      <w:r>
        <w:t>Cette</w:t>
      </w:r>
      <w:r w:rsidRPr="000D07E7">
        <w:rPr>
          <w:rFonts w:eastAsiaTheme="majorEastAsia" w:cstheme="majorBidi"/>
          <w:bCs/>
          <w:szCs w:val="20"/>
        </w:rPr>
        <w:t xml:space="preserve"> pandémie </w:t>
      </w:r>
      <w:r>
        <w:rPr>
          <w:rFonts w:eastAsiaTheme="majorEastAsia" w:cstheme="majorBidi"/>
          <w:bCs/>
          <w:szCs w:val="20"/>
        </w:rPr>
        <w:t xml:space="preserve">devenue </w:t>
      </w:r>
      <w:r w:rsidRPr="000D07E7">
        <w:rPr>
          <w:rFonts w:eastAsiaTheme="majorEastAsia" w:cstheme="majorBidi"/>
          <w:bCs/>
          <w:szCs w:val="20"/>
        </w:rPr>
        <w:t>mondiale</w:t>
      </w:r>
      <w:r>
        <w:rPr>
          <w:rFonts w:eastAsiaTheme="majorEastAsia" w:cstheme="majorBidi"/>
          <w:bCs/>
          <w:szCs w:val="20"/>
        </w:rPr>
        <w:t xml:space="preserve"> début 2020</w:t>
      </w:r>
      <w:r w:rsidRPr="000D07E7">
        <w:rPr>
          <w:rFonts w:eastAsiaTheme="majorEastAsia" w:cstheme="majorBidi"/>
          <w:bCs/>
          <w:szCs w:val="20"/>
        </w:rPr>
        <w:t xml:space="preserve"> a entrainé l’arrêt de bon nombre de chirurgies non vitale</w:t>
      </w:r>
      <w:r w:rsidR="00B32317">
        <w:rPr>
          <w:rFonts w:eastAsiaTheme="majorEastAsia" w:cstheme="majorBidi"/>
          <w:bCs/>
          <w:szCs w:val="20"/>
        </w:rPr>
        <w:t>s</w:t>
      </w:r>
      <w:r w:rsidRPr="000D07E7">
        <w:rPr>
          <w:rFonts w:eastAsiaTheme="majorEastAsia" w:cstheme="majorBidi"/>
          <w:bCs/>
          <w:szCs w:val="20"/>
        </w:rPr>
        <w:t xml:space="preserve"> </w:t>
      </w:r>
      <w:r w:rsidR="00366F6C">
        <w:rPr>
          <w:rFonts w:eastAsiaTheme="majorEastAsia" w:cstheme="majorBidi"/>
          <w:bCs/>
          <w:szCs w:val="20"/>
        </w:rPr>
        <w:t>à</w:t>
      </w:r>
      <w:r w:rsidR="00366F6C" w:rsidRPr="000D07E7">
        <w:rPr>
          <w:rFonts w:eastAsiaTheme="majorEastAsia" w:cstheme="majorBidi"/>
          <w:bCs/>
          <w:szCs w:val="20"/>
        </w:rPr>
        <w:t xml:space="preserve"> </w:t>
      </w:r>
      <w:r w:rsidRPr="00421183">
        <w:t>travers le monde</w:t>
      </w:r>
      <w:r w:rsidR="00421183" w:rsidRPr="00421183">
        <w:t xml:space="preserve"> et a par conséquent impacté le </w:t>
      </w:r>
      <w:r w:rsidR="00B35256" w:rsidRPr="00B35256">
        <w:t xml:space="preserve">chiffre d’affaires </w:t>
      </w:r>
      <w:r w:rsidR="00421183">
        <w:t xml:space="preserve">du Groupe. </w:t>
      </w:r>
    </w:p>
    <w:p w14:paraId="0B3EDB2C" w14:textId="4B5970C2" w:rsidR="00421183" w:rsidRDefault="00455997" w:rsidP="00421183">
      <w:r>
        <w:t>Cet impact</w:t>
      </w:r>
      <w:r w:rsidR="003C0FC4">
        <w:t xml:space="preserve"> sur le chiffre d’affaires consolidé de Spineway est amplifié par la présence du Groupe à l’export dans des pays fortement touchés.</w:t>
      </w:r>
    </w:p>
    <w:p w14:paraId="350CCE3D" w14:textId="77777777" w:rsidR="00455997" w:rsidRDefault="00455997" w:rsidP="00455997">
      <w:pPr>
        <w:shd w:val="clear" w:color="auto" w:fill="FFFFFF" w:themeFill="background1"/>
      </w:pPr>
    </w:p>
    <w:p w14:paraId="55DC3ABC" w14:textId="00D8D2A0" w:rsidR="00B35256" w:rsidRDefault="00455997" w:rsidP="00455997">
      <w:pPr>
        <w:shd w:val="clear" w:color="auto" w:fill="FFFFFF" w:themeFill="background1"/>
      </w:pPr>
      <w:r>
        <w:t>Malgré un contexte international très compliqué, l</w:t>
      </w:r>
      <w:r w:rsidR="47E243A0">
        <w:t>es efforts du Groupe lui ont permis de maintenir le chiffre d’affaires du 2ème trimestre 2020 à près de 30</w:t>
      </w:r>
      <w:r w:rsidR="00C32059">
        <w:t xml:space="preserve"> </w:t>
      </w:r>
      <w:r w:rsidR="47E243A0">
        <w:t>% du niveau de l’année précédente et de porter le chiffre d’affaires semestriel à 1.432 K€ au 30 juin 2020 (- 45</w:t>
      </w:r>
      <w:r w:rsidR="00C32059">
        <w:t xml:space="preserve"> </w:t>
      </w:r>
      <w:r w:rsidR="47E243A0">
        <w:t xml:space="preserve">% par rapport au 1er semestre 2019). </w:t>
      </w:r>
      <w:r>
        <w:t>Au</w:t>
      </w:r>
      <w:r w:rsidR="47E243A0">
        <w:t xml:space="preserve"> mois de décembre 2020, Spineway affiche </w:t>
      </w:r>
      <w:r>
        <w:t xml:space="preserve">même </w:t>
      </w:r>
      <w:r w:rsidR="47E243A0">
        <w:t>un net redressement de ses ventes (+ 30</w:t>
      </w:r>
      <w:r w:rsidR="00C32059">
        <w:t xml:space="preserve"> </w:t>
      </w:r>
      <w:r w:rsidR="47E243A0">
        <w:t>% par rapport à décembre 2019) qui lui permet d'enregistrer au 4ème trimestre un chiffre d'affaires de 1.068 K€, en progression de 21</w:t>
      </w:r>
      <w:r w:rsidR="00C32059">
        <w:t xml:space="preserve"> </w:t>
      </w:r>
      <w:r w:rsidR="47E243A0">
        <w:t>% par rapport au 3ème trimestre 2020. Le chiffre d’affaires du second semestre est ainsi porté à 1.954 K€, soit en retrait de 18</w:t>
      </w:r>
      <w:r w:rsidR="00C32059">
        <w:t xml:space="preserve"> </w:t>
      </w:r>
      <w:r w:rsidR="47E243A0">
        <w:t>% par rapport à l’année précédente. Cette dynamique positive porte le chiffre d'affaires consolidé du Groupe au 31 décembre 2020 à 3.379 K€ et réduit l'écart par rapport à 2019 (- 33</w:t>
      </w:r>
      <w:r w:rsidR="00C32059">
        <w:t xml:space="preserve"> </w:t>
      </w:r>
      <w:r w:rsidR="47E243A0">
        <w:t xml:space="preserve">%) dans une année </w:t>
      </w:r>
      <w:r w:rsidR="00F7632A">
        <w:t xml:space="preserve">pourtant </w:t>
      </w:r>
      <w:r w:rsidR="47E243A0">
        <w:t xml:space="preserve">très perturbée par la crise du Covid-19. </w:t>
      </w:r>
    </w:p>
    <w:p w14:paraId="350DA5B2" w14:textId="244A2688" w:rsidR="00F7632A" w:rsidRPr="00B35256" w:rsidRDefault="00F7632A" w:rsidP="001108F0">
      <w:r>
        <w:t>Compte tenu de la baisse du chiffre d’affaires</w:t>
      </w:r>
      <w:r w:rsidR="001108F0">
        <w:t>,</w:t>
      </w:r>
      <w:r>
        <w:t xml:space="preserve"> la </w:t>
      </w:r>
      <w:r w:rsidR="001108F0">
        <w:t xml:space="preserve">Société </w:t>
      </w:r>
      <w:r>
        <w:t>a poursuivi par ailleurs ses actions de rationalisation des stocks et de recherche d’amélioration du BFR.</w:t>
      </w:r>
    </w:p>
    <w:p w14:paraId="3A224B9C" w14:textId="77777777" w:rsidR="00F7632A" w:rsidRPr="00B35256" w:rsidRDefault="00F7632A" w:rsidP="00455997">
      <w:pPr>
        <w:shd w:val="clear" w:color="auto" w:fill="FFFFFF" w:themeFill="background1"/>
      </w:pPr>
    </w:p>
    <w:p w14:paraId="59A88A11" w14:textId="2EE3B6F2" w:rsidR="00B35256" w:rsidRPr="00B35256" w:rsidRDefault="47E243A0" w:rsidP="00421183">
      <w:r>
        <w:t>L’impact de la pandémie</w:t>
      </w:r>
      <w:r w:rsidR="00D17D9F">
        <w:t xml:space="preserve"> </w:t>
      </w:r>
      <w:r>
        <w:t>est légèrement atténué au niveau du résultat et de la trésorerie par :</w:t>
      </w:r>
    </w:p>
    <w:p w14:paraId="49EE8342" w14:textId="5306C7EA" w:rsidR="00B35256" w:rsidRPr="00D17D9F" w:rsidRDefault="47E243A0" w:rsidP="00C622C2">
      <w:pPr>
        <w:pStyle w:val="Paragraphedeliste"/>
        <w:numPr>
          <w:ilvl w:val="1"/>
          <w:numId w:val="64"/>
        </w:numPr>
        <w:ind w:left="709"/>
        <w:rPr>
          <w:rFonts w:eastAsiaTheme="majorEastAsia" w:cstheme="majorBidi"/>
          <w:szCs w:val="20"/>
        </w:rPr>
      </w:pPr>
      <w:r>
        <w:t>des économies de coûts notamment en lien avec :</w:t>
      </w:r>
    </w:p>
    <w:p w14:paraId="34B78DBC" w14:textId="70EE238C" w:rsidR="00B35256" w:rsidRPr="00B35256" w:rsidRDefault="00D17D9F" w:rsidP="00D17D9F">
      <w:pPr>
        <w:ind w:firstLine="709"/>
        <w:jc w:val="left"/>
      </w:pPr>
      <w:r>
        <w:t xml:space="preserve">. la </w:t>
      </w:r>
      <w:r w:rsidR="47E243A0">
        <w:t>suppression des salons et congrès ainsi que des déplacements des commerciaux et chirurgiens ;</w:t>
      </w:r>
    </w:p>
    <w:p w14:paraId="00C52C1C" w14:textId="45CEFBAF" w:rsidR="00B35256" w:rsidRPr="00B35256" w:rsidRDefault="00D17D9F" w:rsidP="00D17D9F">
      <w:pPr>
        <w:ind w:firstLine="709"/>
      </w:pPr>
      <w:r>
        <w:t xml:space="preserve">. la </w:t>
      </w:r>
      <w:r w:rsidR="47E243A0">
        <w:t>mise en place</w:t>
      </w:r>
      <w:r w:rsidR="001108F0">
        <w:t>,</w:t>
      </w:r>
      <w:r w:rsidR="47E243A0">
        <w:t xml:space="preserve"> dès mars 2020</w:t>
      </w:r>
      <w:r w:rsidR="001108F0">
        <w:t>,</w:t>
      </w:r>
      <w:r w:rsidR="47E243A0">
        <w:t xml:space="preserve"> d’</w:t>
      </w:r>
      <w:r w:rsidR="001108F0">
        <w:t xml:space="preserve">une </w:t>
      </w:r>
      <w:r w:rsidR="47E243A0">
        <w:t>activité partielle et de reports de charges ;</w:t>
      </w:r>
    </w:p>
    <w:p w14:paraId="18FCE29B" w14:textId="103447CF" w:rsidR="003C0FC4" w:rsidRPr="00F7632A" w:rsidRDefault="47E243A0" w:rsidP="00C622C2">
      <w:pPr>
        <w:pStyle w:val="Paragraphedeliste"/>
        <w:numPr>
          <w:ilvl w:val="0"/>
          <w:numId w:val="51"/>
        </w:numPr>
        <w:rPr>
          <w:rFonts w:eastAsiaTheme="majorEastAsia" w:cstheme="majorBidi"/>
          <w:szCs w:val="20"/>
        </w:rPr>
      </w:pPr>
      <w:r w:rsidRPr="47E243A0">
        <w:t>d’indispensables dépenses spécifique</w:t>
      </w:r>
      <w:r w:rsidR="003C0FC4">
        <w:t>s</w:t>
      </w:r>
      <w:r>
        <w:t xml:space="preserve"> liées à la mise en place des protocoles sanitaires au niveau du Groupe et à la sécurisation des sites et du travail des salariés et notamment : signalétiques révisées, achat de gel, achat de masques et achat de désinfectant. </w:t>
      </w:r>
    </w:p>
    <w:p w14:paraId="394FA557" w14:textId="77777777" w:rsidR="00F833D6" w:rsidRDefault="00F833D6" w:rsidP="00B35256">
      <w:pPr>
        <w:jc w:val="left"/>
      </w:pPr>
    </w:p>
    <w:p w14:paraId="04578B7C" w14:textId="77777777" w:rsidR="00696043" w:rsidRPr="00B35256" w:rsidRDefault="00696043" w:rsidP="00696043">
      <w:r w:rsidRPr="00CE3119">
        <w:t xml:space="preserve">Financièrement, le Groupe a d'ores et déjà activé l’ensemble des dispositifs </w:t>
      </w:r>
      <w:r>
        <w:t>envisageables</w:t>
      </w:r>
      <w:r w:rsidRPr="00CE3119">
        <w:t xml:space="preserve"> proposés par le </w:t>
      </w:r>
      <w:r>
        <w:t>g</w:t>
      </w:r>
      <w:r w:rsidRPr="00CE3119">
        <w:t xml:space="preserve">ouvernement afin </w:t>
      </w:r>
      <w:r>
        <w:t>d’assurer</w:t>
      </w:r>
      <w:r w:rsidRPr="00CE3119">
        <w:t xml:space="preserve"> sa continuité d’exploitation et faire face à cette crise sanitaire mondiale.</w:t>
      </w:r>
      <w:r>
        <w:t xml:space="preserve"> </w:t>
      </w:r>
      <w:r w:rsidRPr="00B35256">
        <w:t>Ainsi, Spineway a</w:t>
      </w:r>
      <w:r>
        <w:t xml:space="preserve"> </w:t>
      </w:r>
      <w:r w:rsidRPr="00B35256">
        <w:t xml:space="preserve">obtenu l’accord de ses banques pour l’octroi d’un </w:t>
      </w:r>
      <w:r>
        <w:t>PGE</w:t>
      </w:r>
      <w:r w:rsidRPr="00B35256">
        <w:t xml:space="preserve"> d’un montant de </w:t>
      </w:r>
      <w:r>
        <w:t>1.270 K€</w:t>
      </w:r>
      <w:r w:rsidRPr="00B35256">
        <w:t>. Ce pr</w:t>
      </w:r>
      <w:r>
        <w:t>ê</w:t>
      </w:r>
      <w:r w:rsidRPr="00B35256">
        <w:t>t vient renforcer la tr</w:t>
      </w:r>
      <w:r>
        <w:t>é</w:t>
      </w:r>
      <w:r w:rsidRPr="00B35256">
        <w:t>sorerie du Groupe et lui permet</w:t>
      </w:r>
      <w:r>
        <w:t xml:space="preserve"> </w:t>
      </w:r>
      <w:r w:rsidRPr="00B35256">
        <w:t>de maintenir ses activit</w:t>
      </w:r>
      <w:r>
        <w:t>é</w:t>
      </w:r>
      <w:r w:rsidRPr="00B35256">
        <w:t>s jusqu’</w:t>
      </w:r>
      <w:r>
        <w:t>à</w:t>
      </w:r>
      <w:r w:rsidRPr="00B35256">
        <w:t xml:space="preserve"> la reprise des chirurgies sur l’ensemble de ses zones d’implantation.</w:t>
      </w:r>
    </w:p>
    <w:p w14:paraId="2D8EC1D4" w14:textId="77777777" w:rsidR="00696043" w:rsidRDefault="00696043" w:rsidP="00696043"/>
    <w:p w14:paraId="58AEBB2E" w14:textId="77777777" w:rsidR="00696043" w:rsidRPr="00B35256" w:rsidRDefault="00696043" w:rsidP="00696043">
      <w:r w:rsidRPr="00B35256">
        <w:t>Diff</w:t>
      </w:r>
      <w:r>
        <w:t>é</w:t>
      </w:r>
      <w:r w:rsidRPr="00B35256">
        <w:t xml:space="preserve">rents impacts additionnels potentiels pourraient </w:t>
      </w:r>
      <w:r>
        <w:t>affecter le Groupe à</w:t>
      </w:r>
      <w:r w:rsidRPr="00B35256">
        <w:t xml:space="preserve"> moyen terme dont :</w:t>
      </w:r>
    </w:p>
    <w:p w14:paraId="424FB365" w14:textId="77777777" w:rsidR="00696043" w:rsidRPr="00F833D6" w:rsidRDefault="00696043" w:rsidP="00696043">
      <w:pPr>
        <w:pStyle w:val="Paragraphedeliste"/>
        <w:numPr>
          <w:ilvl w:val="0"/>
          <w:numId w:val="52"/>
        </w:numPr>
      </w:pPr>
      <w:r>
        <w:t>des problèmes de solvabilité de certains de clients ou a minima une augmentation des délais de règlement quand bien même à fin 2020 la Société a, au contraire, réussi à les améliorer ;</w:t>
      </w:r>
    </w:p>
    <w:p w14:paraId="06A201D0" w14:textId="77777777" w:rsidR="00696043" w:rsidRPr="00F833D6" w:rsidRDefault="00696043" w:rsidP="00696043">
      <w:pPr>
        <w:pStyle w:val="Paragraphedeliste"/>
        <w:numPr>
          <w:ilvl w:val="0"/>
          <w:numId w:val="52"/>
        </w:numPr>
      </w:pPr>
      <w:r>
        <w:t>u</w:t>
      </w:r>
      <w:r w:rsidRPr="00F833D6">
        <w:t>ne baisse ou retard du chiffre d’affaires attendu ;</w:t>
      </w:r>
    </w:p>
    <w:p w14:paraId="102C2D0E" w14:textId="77777777" w:rsidR="00696043" w:rsidRPr="00F833D6" w:rsidRDefault="00696043" w:rsidP="00696043">
      <w:pPr>
        <w:pStyle w:val="Paragraphedeliste"/>
        <w:numPr>
          <w:ilvl w:val="0"/>
          <w:numId w:val="52"/>
        </w:numPr>
      </w:pPr>
      <w:r>
        <w:t>des retards et difficultés dans la collecte de données cliniques pouvant induire un ralentissement du volet règlementaire nécessaire au passage au nouveau Règlement européen 2017/745 relatif aux Dispositifs Médicaux (« RMD »).</w:t>
      </w:r>
    </w:p>
    <w:p w14:paraId="09C9372C" w14:textId="77777777" w:rsidR="00696043" w:rsidRDefault="00696043" w:rsidP="00696043">
      <w:pPr>
        <w:pStyle w:val="Paragraphedeliste"/>
        <w:jc w:val="left"/>
      </w:pPr>
    </w:p>
    <w:p w14:paraId="07565899" w14:textId="77777777" w:rsidR="00696043" w:rsidRDefault="00696043" w:rsidP="00696043">
      <w:r>
        <w:t xml:space="preserve">A ce stade de la pandémie et à la date du Document d’enregistrement universel, il est néanmoins impossible d’évaluer la duréede la crise, ainsi que ses impacts exacts sur le chiffre d’affaires et les coûts du Groupe, des répercussions sont également à prévoir sur 2021. </w:t>
      </w:r>
    </w:p>
    <w:p w14:paraId="742DBFEA" w14:textId="77777777" w:rsidR="003C0FC4" w:rsidRPr="00CE3119" w:rsidRDefault="003C0FC4" w:rsidP="003C0FC4"/>
    <w:p w14:paraId="656FD38F" w14:textId="2543E77F" w:rsidR="00DC3B46" w:rsidRPr="00CE3119" w:rsidRDefault="47E243A0" w:rsidP="00DC3B46">
      <w:r>
        <w:t>Les équipes Spineway sont pleinement mobilisées pour assurer la continuité de l’activité et ajustent en temps réel des plans d’actions de manière à pouvoir d’une part se préparer au mieux à la reprise et à ses inévitables à-coups et d’autre part limiter au maximum les incidences de cette crise sanitaire.</w:t>
      </w:r>
    </w:p>
    <w:p w14:paraId="11D56F34" w14:textId="77777777" w:rsidR="00FC353F" w:rsidRDefault="00FC353F" w:rsidP="00FC353F"/>
    <w:p w14:paraId="266644E7" w14:textId="562B4450" w:rsidR="003E5665" w:rsidRPr="00671771" w:rsidRDefault="003E5665" w:rsidP="003E5665">
      <w:r w:rsidRPr="00671771">
        <w:rPr>
          <w:b/>
        </w:rPr>
        <w:t>La Société attribue à ce risque un niveau</w:t>
      </w:r>
      <w:r w:rsidRPr="00671771">
        <w:t xml:space="preserve"> </w:t>
      </w:r>
      <w:r w:rsidR="00AA157E" w:rsidRPr="00671771">
        <w:rPr>
          <w:b/>
          <w:u w:val="single"/>
        </w:rPr>
        <w:t>élevé</w:t>
      </w:r>
      <w:r w:rsidRPr="00671771">
        <w:rPr>
          <w:b/>
        </w:rPr>
        <w:t>.</w:t>
      </w:r>
    </w:p>
    <w:p w14:paraId="359EC131" w14:textId="77777777" w:rsidR="003E5665" w:rsidRPr="00FC353F" w:rsidRDefault="003E5665" w:rsidP="00FC353F"/>
    <w:p w14:paraId="0228739C" w14:textId="2CA4AEBD" w:rsidR="00FD6EE8" w:rsidRPr="00511FDC" w:rsidRDefault="00D76C89" w:rsidP="00FD6EE8">
      <w:pPr>
        <w:pStyle w:val="Titre3"/>
      </w:pPr>
      <w:bookmarkStart w:id="49" w:name="_Toc351994591"/>
      <w:bookmarkStart w:id="50" w:name="_Ref353120075"/>
      <w:bookmarkStart w:id="51" w:name="_Toc475033164"/>
      <w:r>
        <w:lastRenderedPageBreak/>
        <w:t>3</w:t>
      </w:r>
      <w:r w:rsidR="003A794F" w:rsidRPr="00A601E8">
        <w:t>.</w:t>
      </w:r>
      <w:r w:rsidR="00976C36">
        <w:t>2</w:t>
      </w:r>
      <w:r w:rsidR="003A794F" w:rsidRPr="00A601E8">
        <w:t>.</w:t>
      </w:r>
      <w:r w:rsidR="00FC353F">
        <w:t>2</w:t>
      </w:r>
      <w:r w:rsidR="003A794F" w:rsidRPr="00A601E8">
        <w:t>.</w:t>
      </w:r>
      <w:bookmarkStart w:id="52" w:name="_Toc389666583"/>
      <w:bookmarkEnd w:id="49"/>
      <w:bookmarkEnd w:id="50"/>
      <w:r w:rsidR="00CB789E">
        <w:t xml:space="preserve"> </w:t>
      </w:r>
      <w:r w:rsidR="00FD6EE8">
        <w:t xml:space="preserve">Risques </w:t>
      </w:r>
      <w:r w:rsidR="0047609E">
        <w:t xml:space="preserve">liés à l’environnement </w:t>
      </w:r>
      <w:r w:rsidR="00FD6EE8">
        <w:t>concurrentiel</w:t>
      </w:r>
      <w:bookmarkEnd w:id="52"/>
      <w:bookmarkEnd w:id="51"/>
    </w:p>
    <w:p w14:paraId="7CA03E19" w14:textId="38C13AD3" w:rsidR="00BB69CE" w:rsidRDefault="00BB69CE" w:rsidP="00A35556">
      <w:pPr>
        <w:rPr>
          <w:color w:val="008000"/>
        </w:rPr>
      </w:pPr>
    </w:p>
    <w:p w14:paraId="32C25CF6" w14:textId="049A9F17" w:rsidR="00EB546B" w:rsidRDefault="00EB546B" w:rsidP="00EB546B">
      <w:r>
        <w:t xml:space="preserve">Le marché des produits liés à la chirurgie du rachis est concurrentiel et dominé par de grands acteurs américains </w:t>
      </w:r>
      <w:r w:rsidRPr="045DF780">
        <w:t>(</w:t>
      </w:r>
      <w:r>
        <w:t>notamment</w:t>
      </w:r>
      <w:r w:rsidR="00906725">
        <w:t xml:space="preserve"> </w:t>
      </w:r>
      <w:r>
        <w:t>:</w:t>
      </w:r>
      <w:r w:rsidRPr="00240C8B">
        <w:rPr>
          <w:szCs w:val="18"/>
        </w:rPr>
        <w:t xml:space="preserve"> </w:t>
      </w:r>
      <w:r w:rsidRPr="045DF780">
        <w:t>Medtronic</w:t>
      </w:r>
      <w:r w:rsidRPr="00240C8B">
        <w:rPr>
          <w:szCs w:val="18"/>
        </w:rPr>
        <w:t xml:space="preserve">, </w:t>
      </w:r>
      <w:r w:rsidRPr="045DF780">
        <w:t>Johnson&amp;Johnson</w:t>
      </w:r>
      <w:r>
        <w:rPr>
          <w:szCs w:val="18"/>
        </w:rPr>
        <w:t xml:space="preserve">, </w:t>
      </w:r>
      <w:r w:rsidRPr="045DF780">
        <w:t>Stryker</w:t>
      </w:r>
      <w:r>
        <w:rPr>
          <w:szCs w:val="18"/>
        </w:rPr>
        <w:t xml:space="preserve"> </w:t>
      </w:r>
      <w:r w:rsidRPr="045DF780">
        <w:t>ou Zimmer)</w:t>
      </w:r>
      <w:r>
        <w:t xml:space="preserve"> qui</w:t>
      </w:r>
      <w:r w:rsidRPr="00EB546B">
        <w:t xml:space="preserve"> </w:t>
      </w:r>
      <w:r w:rsidRPr="045DF780">
        <w:t>couvrent</w:t>
      </w:r>
      <w:r w:rsidRPr="00240C8B">
        <w:rPr>
          <w:szCs w:val="18"/>
        </w:rPr>
        <w:t xml:space="preserve"> </w:t>
      </w:r>
      <w:r w:rsidRPr="045DF780">
        <w:t>entre 60 et 80% du marché mondial de l’implant rachidien</w:t>
      </w:r>
      <w:r w:rsidRPr="00EB546B">
        <w:t xml:space="preserve"> </w:t>
      </w:r>
      <w:r>
        <w:t>(source : Spineway).</w:t>
      </w:r>
    </w:p>
    <w:p w14:paraId="57B2527F" w14:textId="47632531" w:rsidR="00EB546B" w:rsidRDefault="00EB546B" w:rsidP="00EB546B">
      <w:r>
        <w:t>C</w:t>
      </w:r>
      <w:r w:rsidRPr="045DF780">
        <w:t>es sociétés leader</w:t>
      </w:r>
      <w:r>
        <w:t xml:space="preserve"> sont</w:t>
      </w:r>
      <w:r w:rsidRPr="045DF780">
        <w:t xml:space="preserve"> solidement établies et disposent de ressources considérables, bien supérieures à celle</w:t>
      </w:r>
      <w:r w:rsidR="005C0AB9">
        <w:t>s</w:t>
      </w:r>
      <w:r w:rsidRPr="045DF780">
        <w:t xml:space="preserve"> de Spineway</w:t>
      </w:r>
      <w:r>
        <w:t>.</w:t>
      </w:r>
    </w:p>
    <w:p w14:paraId="6F13BB42" w14:textId="77777777" w:rsidR="00EB546B" w:rsidRDefault="00EB546B" w:rsidP="00EB546B"/>
    <w:p w14:paraId="6303CD1C" w14:textId="3AD5E0E4" w:rsidR="00EB546B" w:rsidRDefault="00EB546B" w:rsidP="00EB546B">
      <w:r>
        <w:t>A coté de ces leaders, sont historiquement présents des acteurs de taille moyenne</w:t>
      </w:r>
      <w:r w:rsidRPr="045DF780">
        <w:t xml:space="preserve"> </w:t>
      </w:r>
      <w:r>
        <w:t>lesquels</w:t>
      </w:r>
      <w:r w:rsidRPr="045DF780">
        <w:t xml:space="preserve"> peuvent directement concurrencer</w:t>
      </w:r>
      <w:r>
        <w:t xml:space="preserve"> </w:t>
      </w:r>
      <w:r w:rsidRPr="045DF780">
        <w:t>les produits Spineway.</w:t>
      </w:r>
      <w:r w:rsidRPr="00A87025">
        <w:t xml:space="preserve"> </w:t>
      </w:r>
      <w:r>
        <w:t>Un certain nombre de concurrents se concentre sur un produit ou une partie de marché spécifique, rendant potentiellement plus difficile pour la Société l’amélioration de sa position concurrentielle globale sur le marché.</w:t>
      </w:r>
    </w:p>
    <w:p w14:paraId="23E08803" w14:textId="77777777" w:rsidR="00EB546B" w:rsidRDefault="00EB546B" w:rsidP="00EB546B"/>
    <w:p w14:paraId="77CE9096" w14:textId="164FCA22" w:rsidR="00EB546B" w:rsidRPr="004A0523" w:rsidRDefault="00EB546B" w:rsidP="00EB546B">
      <w:r>
        <w:t>C</w:t>
      </w:r>
      <w:r w:rsidRPr="045DF780">
        <w:t xml:space="preserve">ompte-tenu des barrières importantes à l’entrée </w:t>
      </w:r>
      <w:r>
        <w:t>(notamment en raison de l’</w:t>
      </w:r>
      <w:r w:rsidRPr="045DF780">
        <w:t>intensification des exigences réglementaires</w:t>
      </w:r>
      <w:r>
        <w:t>), de nombreux acteurs se développent par croissance externe en ciblant des sociétés disposant de technologies innovantes ou de</w:t>
      </w:r>
      <w:r w:rsidR="00696043">
        <w:t>s</w:t>
      </w:r>
      <w:r>
        <w:t xml:space="preserve"> parts de marché dignes d’intérêt. </w:t>
      </w:r>
    </w:p>
    <w:p w14:paraId="4A8DBEDB" w14:textId="77777777" w:rsidR="00EB546B" w:rsidRPr="006B3490" w:rsidRDefault="00EB546B" w:rsidP="00EB546B">
      <w:pPr>
        <w:rPr>
          <w:color w:val="000000"/>
          <w:szCs w:val="18"/>
        </w:rPr>
      </w:pPr>
    </w:p>
    <w:p w14:paraId="3ADFB4D8" w14:textId="77777777" w:rsidR="00EB546B" w:rsidRPr="00A46E7E" w:rsidRDefault="00EB546B" w:rsidP="00EB546B">
      <w:r>
        <w:t>Dans ces conditions, Spineway estime :</w:t>
      </w:r>
    </w:p>
    <w:p w14:paraId="3329A1C7" w14:textId="77777777" w:rsidR="00EB546B" w:rsidRDefault="00EB546B" w:rsidP="00C622C2">
      <w:pPr>
        <w:pStyle w:val="Paragraphedeliste"/>
        <w:numPr>
          <w:ilvl w:val="0"/>
          <w:numId w:val="10"/>
        </w:numPr>
      </w:pPr>
      <w:r>
        <w:t>q</w:t>
      </w:r>
      <w:r w:rsidRPr="00A46E7E">
        <w:t>ue la concurrence va encore s’intensifier ;</w:t>
      </w:r>
    </w:p>
    <w:p w14:paraId="5F302AEE" w14:textId="77777777" w:rsidR="00EB546B" w:rsidRDefault="00EB546B" w:rsidP="00C622C2">
      <w:pPr>
        <w:pStyle w:val="Paragraphedeliste"/>
        <w:numPr>
          <w:ilvl w:val="0"/>
          <w:numId w:val="10"/>
        </w:numPr>
      </w:pPr>
      <w:r>
        <w:t>q</w:t>
      </w:r>
      <w:r w:rsidRPr="00A46E7E">
        <w:t>ue le phénomène de concentration sur un produit ou une partie de marché spécifique qui caractérise le marché va également se renforcer</w:t>
      </w:r>
      <w:r>
        <w:t> ;</w:t>
      </w:r>
    </w:p>
    <w:p w14:paraId="55EBCBEB" w14:textId="68F8406C" w:rsidR="00EB546B" w:rsidRDefault="00EB546B" w:rsidP="00C622C2">
      <w:pPr>
        <w:pStyle w:val="Paragraphedeliste"/>
        <w:numPr>
          <w:ilvl w:val="0"/>
          <w:numId w:val="10"/>
        </w:numPr>
      </w:pPr>
      <w:r>
        <w:t xml:space="preserve">que </w:t>
      </w:r>
      <w:r w:rsidR="00311A05">
        <w:t xml:space="preserve">la </w:t>
      </w:r>
      <w:r w:rsidRPr="00A46E7E">
        <w:t xml:space="preserve">concurrence pourrait entraîner une baisse du prix </w:t>
      </w:r>
      <w:r>
        <w:t>de ses</w:t>
      </w:r>
      <w:r w:rsidRPr="00A46E7E">
        <w:t xml:space="preserve"> produits, </w:t>
      </w:r>
      <w:r>
        <w:t xml:space="preserve">une réduction de </w:t>
      </w:r>
      <w:r w:rsidRPr="00A46E7E">
        <w:t xml:space="preserve">ses marges bénéficiaires, </w:t>
      </w:r>
      <w:r>
        <w:t>et pourrait donc affecte</w:t>
      </w:r>
      <w:r w:rsidR="009A726C">
        <w:t>r</w:t>
      </w:r>
      <w:r w:rsidRPr="00A46E7E">
        <w:t xml:space="preserve"> sa capacité à investir et à développer son activité. </w:t>
      </w:r>
    </w:p>
    <w:p w14:paraId="51FADFF2" w14:textId="77777777" w:rsidR="00EB546B" w:rsidRPr="00A46E7E" w:rsidRDefault="00EB546B" w:rsidP="00EB546B"/>
    <w:p w14:paraId="206E1E22" w14:textId="05C422F7" w:rsidR="00EB546B" w:rsidRDefault="00EB546B" w:rsidP="00EB546B">
      <w:r>
        <w:t>Acteur à taille humaine, Spineway </w:t>
      </w:r>
      <w:r w:rsidRPr="00430252">
        <w:t>a</w:t>
      </w:r>
      <w:r>
        <w:t>,</w:t>
      </w:r>
      <w:r w:rsidRPr="00430252">
        <w:t xml:space="preserve"> </w:t>
      </w:r>
      <w:r>
        <w:t>face à cette concurrence,</w:t>
      </w:r>
      <w:r w:rsidRPr="00430252">
        <w:t xml:space="preserve"> déployé un nouveau plan marketing </w:t>
      </w:r>
      <w:r>
        <w:t>ainsi qu’une</w:t>
      </w:r>
      <w:r w:rsidRPr="00430252">
        <w:t xml:space="preserve"> une nouvelle politique commerciale</w:t>
      </w:r>
      <w:r>
        <w:t xml:space="preserve"> et</w:t>
      </w:r>
      <w:r w:rsidR="007F742F">
        <w:t xml:space="preserve"> </w:t>
      </w:r>
      <w:r>
        <w:t>:</w:t>
      </w:r>
    </w:p>
    <w:p w14:paraId="3B86C250" w14:textId="67851AAD" w:rsidR="00EB546B" w:rsidRPr="00FE66C0" w:rsidRDefault="00EB546B" w:rsidP="00C622C2">
      <w:pPr>
        <w:pStyle w:val="Paragraphedeliste"/>
        <w:numPr>
          <w:ilvl w:val="0"/>
          <w:numId w:val="65"/>
        </w:numPr>
        <w:rPr>
          <w:color w:val="000000"/>
          <w:szCs w:val="18"/>
        </w:rPr>
      </w:pPr>
      <w:r w:rsidRPr="00FE66C0">
        <w:rPr>
          <w:color w:val="000000"/>
          <w:szCs w:val="18"/>
        </w:rPr>
        <w:t xml:space="preserve">met désormais l’accent sur un double positionnement </w:t>
      </w:r>
      <w:r w:rsidR="00992B76" w:rsidRPr="006B3490">
        <w:rPr>
          <w:color w:val="000000"/>
          <w:szCs w:val="18"/>
        </w:rPr>
        <w:t>de ses gammes de produits</w:t>
      </w:r>
      <w:r w:rsidR="00992B76">
        <w:rPr>
          <w:color w:val="000000"/>
          <w:szCs w:val="18"/>
        </w:rPr>
        <w:t> :</w:t>
      </w:r>
      <w:r w:rsidR="00992B76" w:rsidRPr="006B3490">
        <w:rPr>
          <w:color w:val="000000"/>
          <w:szCs w:val="18"/>
        </w:rPr>
        <w:t xml:space="preserve"> </w:t>
      </w:r>
      <w:r w:rsidRPr="00FE66C0">
        <w:rPr>
          <w:i/>
          <w:color w:val="000000"/>
          <w:szCs w:val="18"/>
        </w:rPr>
        <w:t>Pr</w:t>
      </w:r>
      <w:r w:rsidR="005B28F0">
        <w:rPr>
          <w:i/>
          <w:color w:val="000000"/>
          <w:szCs w:val="18"/>
        </w:rPr>
        <w:t>e</w:t>
      </w:r>
      <w:r w:rsidRPr="00FE66C0">
        <w:rPr>
          <w:i/>
          <w:color w:val="000000"/>
          <w:szCs w:val="18"/>
        </w:rPr>
        <w:t>mium</w:t>
      </w:r>
      <w:r w:rsidRPr="00FE66C0">
        <w:rPr>
          <w:color w:val="000000"/>
          <w:szCs w:val="18"/>
        </w:rPr>
        <w:t xml:space="preserve"> </w:t>
      </w:r>
      <w:r>
        <w:rPr>
          <w:color w:val="000000"/>
          <w:szCs w:val="18"/>
        </w:rPr>
        <w:t>pour</w:t>
      </w:r>
      <w:r w:rsidRPr="00FE66C0">
        <w:rPr>
          <w:color w:val="000000"/>
          <w:szCs w:val="18"/>
        </w:rPr>
        <w:t xml:space="preserve"> les marchés matures et les clients à haut potentiel</w:t>
      </w:r>
      <w:r w:rsidR="00992B76">
        <w:rPr>
          <w:color w:val="000000"/>
          <w:szCs w:val="18"/>
        </w:rPr>
        <w:t>,</w:t>
      </w:r>
      <w:r w:rsidRPr="00FE66C0">
        <w:rPr>
          <w:color w:val="000000"/>
          <w:szCs w:val="18"/>
        </w:rPr>
        <w:t xml:space="preserve"> et </w:t>
      </w:r>
      <w:r w:rsidRPr="00FE66C0">
        <w:rPr>
          <w:i/>
          <w:color w:val="000000"/>
          <w:szCs w:val="18"/>
        </w:rPr>
        <w:t>Gold standard</w:t>
      </w:r>
      <w:r w:rsidRPr="00FE66C0">
        <w:rPr>
          <w:color w:val="000000"/>
          <w:szCs w:val="18"/>
        </w:rPr>
        <w:t xml:space="preserve"> sur les marchés pour lesquels le </w:t>
      </w:r>
      <w:r w:rsidRPr="00055312">
        <w:rPr>
          <w:i/>
          <w:iCs/>
          <w:color w:val="000000"/>
          <w:szCs w:val="18"/>
        </w:rPr>
        <w:t>Premium</w:t>
      </w:r>
      <w:r w:rsidRPr="00FE66C0">
        <w:rPr>
          <w:color w:val="000000"/>
          <w:szCs w:val="18"/>
        </w:rPr>
        <w:t xml:space="preserve"> peut rester inaccessible</w:t>
      </w:r>
      <w:r w:rsidR="00992B76">
        <w:rPr>
          <w:color w:val="000000"/>
          <w:szCs w:val="18"/>
        </w:rPr>
        <w:t xml:space="preserve">. Ainsi, Spineway </w:t>
      </w:r>
      <w:r w:rsidRPr="00FE66C0">
        <w:rPr>
          <w:color w:val="000000"/>
          <w:szCs w:val="18"/>
        </w:rPr>
        <w:t>se démarque et répond à une volonté de disposer de produits haut de gamme exprimée par nombreux pays/régions du globe (notamment : Japon, Etats Unis et Europe)</w:t>
      </w:r>
      <w:r>
        <w:rPr>
          <w:color w:val="000000"/>
          <w:szCs w:val="18"/>
        </w:rPr>
        <w:t xml:space="preserve">, </w:t>
      </w:r>
      <w:r w:rsidRPr="00FE66C0">
        <w:rPr>
          <w:color w:val="000000"/>
          <w:szCs w:val="18"/>
        </w:rPr>
        <w:t>tout en maintenant son ancrage sur des territoires à situation économique très varié</w:t>
      </w:r>
      <w:r>
        <w:rPr>
          <w:color w:val="000000"/>
          <w:szCs w:val="18"/>
        </w:rPr>
        <w:t xml:space="preserve">e </w:t>
      </w:r>
      <w:r w:rsidRPr="00FE66C0">
        <w:rPr>
          <w:color w:val="000000"/>
          <w:szCs w:val="18"/>
        </w:rPr>
        <w:t xml:space="preserve">; </w:t>
      </w:r>
    </w:p>
    <w:p w14:paraId="3BD9473D" w14:textId="610C8F65" w:rsidR="00EB546B" w:rsidRDefault="00EB546B" w:rsidP="00C622C2">
      <w:pPr>
        <w:pStyle w:val="Paragraphedeliste"/>
        <w:numPr>
          <w:ilvl w:val="0"/>
          <w:numId w:val="65"/>
        </w:numPr>
      </w:pPr>
      <w:r>
        <w:rPr>
          <w:color w:val="000000"/>
          <w:szCs w:val="18"/>
        </w:rPr>
        <w:t xml:space="preserve">s‘appuie sur </w:t>
      </w:r>
      <w:r w:rsidRPr="00430252">
        <w:t xml:space="preserve">la création d’un partenariat renforcé avec les clients </w:t>
      </w:r>
      <w:r>
        <w:t>grâce à</w:t>
      </w:r>
      <w:r w:rsidRPr="00430252">
        <w:t xml:space="preserve"> une meilleure écoute et </w:t>
      </w:r>
      <w:r>
        <w:t>la consolidation</w:t>
      </w:r>
      <w:r w:rsidRPr="00430252">
        <w:t xml:space="preserve"> de sa présence sur le terrain. Un reporting à destination des clients a d’ores et déjà été mis en place ainsi que nombreux projets digitaux (webinars, formations, présentation produits,</w:t>
      </w:r>
      <w:r w:rsidR="00696043">
        <w:t xml:space="preserve"> </w:t>
      </w:r>
      <w:r w:rsidR="005B42F0">
        <w:t>etc.</w:t>
      </w:r>
      <w:r w:rsidRPr="00430252">
        <w:t xml:space="preserve">) afin de </w:t>
      </w:r>
      <w:r>
        <w:t>fortifier</w:t>
      </w:r>
      <w:r w:rsidRPr="00430252">
        <w:t xml:space="preserve"> ce lien et apporter un véritable accompagnement qui profite à toutes les parties</w:t>
      </w:r>
      <w:r>
        <w:t> ;</w:t>
      </w:r>
    </w:p>
    <w:p w14:paraId="198EB047" w14:textId="77777777" w:rsidR="00EB546B" w:rsidRDefault="00EB546B" w:rsidP="00C622C2">
      <w:pPr>
        <w:pStyle w:val="Paragraphedeliste"/>
        <w:numPr>
          <w:ilvl w:val="0"/>
          <w:numId w:val="65"/>
        </w:numPr>
      </w:pPr>
      <w:r w:rsidRPr="00430252">
        <w:t>a initié un plan d’actions visant à renforcer ses liens avec les chirurgiens référents prescripteurs sur ses marchés</w:t>
      </w:r>
      <w:r>
        <w:t> ;</w:t>
      </w:r>
    </w:p>
    <w:p w14:paraId="120D415A" w14:textId="77777777" w:rsidR="00EB546B" w:rsidRPr="00430252" w:rsidRDefault="00EB546B" w:rsidP="00C622C2">
      <w:pPr>
        <w:pStyle w:val="Paragraphedeliste"/>
        <w:numPr>
          <w:ilvl w:val="0"/>
          <w:numId w:val="65"/>
        </w:numPr>
      </w:pPr>
      <w:r w:rsidRPr="00430252">
        <w:t>mène des projets visant à créer de la valeur et garantir ses parts de marchés via, notamment, des partenariats produits / innovation.</w:t>
      </w:r>
    </w:p>
    <w:p w14:paraId="485CA89B" w14:textId="77777777" w:rsidR="00746FC5" w:rsidRDefault="00746FC5" w:rsidP="00DA2D38"/>
    <w:p w14:paraId="0514AE6D" w14:textId="3D1EECA8" w:rsidR="001E1929" w:rsidRPr="00A46E7E" w:rsidRDefault="00430252" w:rsidP="00DA2D38">
      <w:r>
        <w:rPr>
          <w:szCs w:val="20"/>
        </w:rPr>
        <w:t>N</w:t>
      </w:r>
      <w:r w:rsidR="00E54D79">
        <w:rPr>
          <w:szCs w:val="20"/>
        </w:rPr>
        <w:t>éanmoins</w:t>
      </w:r>
      <w:r w:rsidR="001E1929">
        <w:rPr>
          <w:szCs w:val="20"/>
        </w:rPr>
        <w:t xml:space="preserve">, un renforcement de la concurrence pourrait </w:t>
      </w:r>
      <w:r w:rsidR="001E1929" w:rsidRPr="00F26863">
        <w:rPr>
          <w:szCs w:val="20"/>
        </w:rPr>
        <w:t xml:space="preserve">affecter </w:t>
      </w:r>
      <w:r w:rsidR="001E1929">
        <w:rPr>
          <w:szCs w:val="20"/>
        </w:rPr>
        <w:t>sensiblement</w:t>
      </w:r>
      <w:r w:rsidR="001E1929" w:rsidRPr="00F26863">
        <w:rPr>
          <w:szCs w:val="20"/>
        </w:rPr>
        <w:t xml:space="preserve"> la commercialisation </w:t>
      </w:r>
      <w:r w:rsidR="001E1929">
        <w:rPr>
          <w:szCs w:val="20"/>
        </w:rPr>
        <w:t xml:space="preserve">par le Groupe </w:t>
      </w:r>
      <w:r w:rsidR="001E1929" w:rsidRPr="00F26863">
        <w:rPr>
          <w:szCs w:val="20"/>
        </w:rPr>
        <w:t>de ses produits et, plus généralement, nuire aux activités, aux résultats, à la situation financière, au développement et aux perspectives du Groupe.</w:t>
      </w:r>
    </w:p>
    <w:p w14:paraId="63EA0644" w14:textId="77777777" w:rsidR="00DA2D38" w:rsidRDefault="00DA2D38" w:rsidP="00A35556">
      <w:pPr>
        <w:rPr>
          <w:color w:val="FF0000"/>
        </w:rPr>
      </w:pPr>
    </w:p>
    <w:p w14:paraId="04045788" w14:textId="2C1AE0B0" w:rsidR="003E5665" w:rsidRPr="00671771" w:rsidRDefault="003E5665" w:rsidP="003E5665">
      <w:r w:rsidRPr="00671771">
        <w:t>La Société attribue à ce risque un niveau</w:t>
      </w:r>
      <w:r w:rsidRPr="00EB546B">
        <w:t xml:space="preserve"> </w:t>
      </w:r>
      <w:r w:rsidR="00EC78E8">
        <w:rPr>
          <w:b/>
          <w:u w:val="single"/>
        </w:rPr>
        <w:t>élevé</w:t>
      </w:r>
      <w:r w:rsidRPr="00EB546B">
        <w:rPr>
          <w:b/>
        </w:rPr>
        <w:t>.</w:t>
      </w:r>
    </w:p>
    <w:p w14:paraId="57C036D4" w14:textId="77777777" w:rsidR="003E5665" w:rsidRPr="00A35556" w:rsidRDefault="003E5665" w:rsidP="00A35556">
      <w:pPr>
        <w:rPr>
          <w:color w:val="FF0000"/>
        </w:rPr>
      </w:pPr>
    </w:p>
    <w:p w14:paraId="6BC15006" w14:textId="09C435A6" w:rsidR="00A8194C" w:rsidRPr="00FD6EE8" w:rsidRDefault="00D76C89" w:rsidP="00FD6EE8">
      <w:pPr>
        <w:pStyle w:val="Titre3"/>
      </w:pPr>
      <w:bookmarkStart w:id="53" w:name="_Toc351994592"/>
      <w:bookmarkStart w:id="54" w:name="_Ref353120109"/>
      <w:bookmarkStart w:id="55" w:name="_Ref353269749"/>
      <w:bookmarkStart w:id="56" w:name="_Toc475033165"/>
      <w:r>
        <w:t>3</w:t>
      </w:r>
      <w:r w:rsidR="003A794F" w:rsidRPr="00A601E8">
        <w:t>.</w:t>
      </w:r>
      <w:r w:rsidR="00976C36">
        <w:t>2</w:t>
      </w:r>
      <w:r w:rsidR="003A794F" w:rsidRPr="00A601E8">
        <w:t>.</w:t>
      </w:r>
      <w:r w:rsidR="00955E27">
        <w:t>3</w:t>
      </w:r>
      <w:r w:rsidR="003A794F" w:rsidRPr="00A601E8">
        <w:t>.</w:t>
      </w:r>
      <w:bookmarkStart w:id="57" w:name="_Toc389666584"/>
      <w:bookmarkEnd w:id="53"/>
      <w:bookmarkEnd w:id="54"/>
      <w:bookmarkEnd w:id="55"/>
      <w:r w:rsidR="00CB789E">
        <w:t xml:space="preserve"> </w:t>
      </w:r>
      <w:r w:rsidR="00FD6EE8">
        <w:t xml:space="preserve">Risques liés </w:t>
      </w:r>
      <w:r w:rsidR="005D4E4D">
        <w:t>aux innovations technologiques</w:t>
      </w:r>
      <w:bookmarkEnd w:id="57"/>
      <w:r w:rsidR="00A43E77">
        <w:t xml:space="preserve"> et au développement de nouveaux produits</w:t>
      </w:r>
      <w:bookmarkEnd w:id="56"/>
    </w:p>
    <w:p w14:paraId="699462D4" w14:textId="77777777" w:rsidR="00BB69CE" w:rsidRDefault="00BB69CE" w:rsidP="007D4EC9">
      <w:pPr>
        <w:tabs>
          <w:tab w:val="right" w:leader="dot" w:pos="8505"/>
        </w:tabs>
        <w:rPr>
          <w:color w:val="FF0000"/>
        </w:rPr>
      </w:pPr>
    </w:p>
    <w:p w14:paraId="126D12A4" w14:textId="1E2A8998" w:rsidR="00EB546B" w:rsidRPr="00FA09F4" w:rsidRDefault="00EB546B" w:rsidP="00EB546B">
      <w:r w:rsidRPr="00FA09F4">
        <w:t xml:space="preserve">Spineway cherche </w:t>
      </w:r>
      <w:r>
        <w:t xml:space="preserve">en permanence </w:t>
      </w:r>
      <w:r w:rsidRPr="00FA09F4">
        <w:t>à développer de nouveaux produits</w:t>
      </w:r>
      <w:r>
        <w:t>,</w:t>
      </w:r>
      <w:r w:rsidRPr="00FA09F4">
        <w:t xml:space="preserve"> à améliorer ses produits existants</w:t>
      </w:r>
      <w:r>
        <w:t xml:space="preserve"> et à compléter ses gammes. </w:t>
      </w:r>
      <w:r w:rsidRPr="00FA09F4">
        <w:t xml:space="preserve">Plusieurs </w:t>
      </w:r>
      <w:r>
        <w:t>développements sont d’ailleurs en cours</w:t>
      </w:r>
      <w:r w:rsidRPr="00FA09F4">
        <w:t>, selon un planning défini par la Société</w:t>
      </w:r>
      <w:r>
        <w:t xml:space="preserve"> </w:t>
      </w:r>
      <w:r w:rsidRPr="00FA09F4">
        <w:t xml:space="preserve">pour au </w:t>
      </w:r>
      <w:r>
        <w:t xml:space="preserve">moins les trois années à venir. </w:t>
      </w:r>
      <w:r w:rsidR="00696043">
        <w:t>Par ailleurs</w:t>
      </w:r>
      <w:r>
        <w:t>, a</w:t>
      </w:r>
      <w:r w:rsidRPr="00904EDE">
        <w:t>fin de favoriser le succès du lancement de</w:t>
      </w:r>
      <w:r>
        <w:t>s</w:t>
      </w:r>
      <w:r w:rsidRPr="00904EDE">
        <w:t xml:space="preserve"> nouveaux produits</w:t>
      </w:r>
      <w:r>
        <w:t xml:space="preserve"> développés</w:t>
      </w:r>
      <w:r w:rsidRPr="00904EDE">
        <w:t xml:space="preserve">, Spineway s’appuie sur son réseau de chirurgiens partenaires </w:t>
      </w:r>
      <w:r>
        <w:t>(conception et évaluation d</w:t>
      </w:r>
      <w:r w:rsidRPr="00904EDE">
        <w:t>e</w:t>
      </w:r>
      <w:r>
        <w:t xml:space="preserve"> ce</w:t>
      </w:r>
      <w:r w:rsidRPr="00904EDE">
        <w:t>s nouveaux produits</w:t>
      </w:r>
      <w:r>
        <w:t>)</w:t>
      </w:r>
      <w:r w:rsidRPr="00904EDE">
        <w:t xml:space="preserve">. </w:t>
      </w:r>
    </w:p>
    <w:p w14:paraId="7D70C5F6" w14:textId="77777777" w:rsidR="00EB546B" w:rsidRDefault="00EB546B" w:rsidP="00EB546B"/>
    <w:p w14:paraId="6A676AE5" w14:textId="77777777" w:rsidR="00EB546B" w:rsidRDefault="00EB546B" w:rsidP="00EB546B">
      <w:r>
        <w:t xml:space="preserve">Néanmoins, </w:t>
      </w:r>
      <w:r w:rsidRPr="00FA09F4">
        <w:t>la Société ne peut garantir</w:t>
      </w:r>
      <w:r>
        <w:t> :</w:t>
      </w:r>
    </w:p>
    <w:p w14:paraId="1C7CCF33" w14:textId="77777777" w:rsidR="00EB546B" w:rsidRDefault="00EB546B" w:rsidP="00C622C2">
      <w:pPr>
        <w:pStyle w:val="Paragraphedeliste"/>
        <w:numPr>
          <w:ilvl w:val="0"/>
          <w:numId w:val="65"/>
        </w:numPr>
      </w:pPr>
      <w:r>
        <w:t>le succès du</w:t>
      </w:r>
      <w:r w:rsidRPr="00FA09F4">
        <w:t xml:space="preserve"> processus de développement, de fabrication et de commercialisation de nouveaux produits</w:t>
      </w:r>
      <w:r>
        <w:t xml:space="preserve">. Ce processus </w:t>
      </w:r>
      <w:r w:rsidRPr="00FA09F4">
        <w:t xml:space="preserve">est long et présente un risque commercial élevé. </w:t>
      </w:r>
      <w:r>
        <w:t>Par ailleurs, les</w:t>
      </w:r>
      <w:r w:rsidRPr="00FA09F4">
        <w:t xml:space="preserve"> nouveaux </w:t>
      </w:r>
      <w:r w:rsidRPr="00FA09F4">
        <w:lastRenderedPageBreak/>
        <w:t>produits ou les améliorations apportées aux produits existants, une fois testés et leur développement finalisé, pourraient ne pas avoir l’efficacité attendue</w:t>
      </w:r>
      <w:r>
        <w:t> ;</w:t>
      </w:r>
    </w:p>
    <w:p w14:paraId="7B25A29A" w14:textId="77777777" w:rsidR="00EB546B" w:rsidRDefault="00EB546B" w:rsidP="00C622C2">
      <w:pPr>
        <w:pStyle w:val="Paragraphedeliste"/>
        <w:numPr>
          <w:ilvl w:val="0"/>
          <w:numId w:val="65"/>
        </w:numPr>
      </w:pPr>
      <w:r w:rsidRPr="00FA09F4">
        <w:t xml:space="preserve">que les futurs produits ou que les améliorations apportées aux produits existants seront acceptés par les chirurgiens et agréés par les autorités de régulation et les organismes payeurs, lesquels supportent la charge financière d’un grand nombre d’interventions chirurgicales réalisées avec les produits de la Société. </w:t>
      </w:r>
    </w:p>
    <w:p w14:paraId="6DDBEE4C" w14:textId="77777777" w:rsidR="00EB546B" w:rsidRDefault="00EB546B" w:rsidP="00EB546B"/>
    <w:p w14:paraId="2951B94B" w14:textId="77777777" w:rsidR="00EB546B" w:rsidRDefault="00EB546B" w:rsidP="00EB546B">
      <w:r>
        <w:t xml:space="preserve">Par ailleurs, l’innovation dont font preuve les sociétés concurrentes (développement de technologies ou produits moins coûteux et/ou plus efficaces et/ou plus qualitatifs, ou encore mise sur le marché plus rapide que les produits Spineway) pourrait affecter la croissance future de Spineway. </w:t>
      </w:r>
    </w:p>
    <w:p w14:paraId="3F3E4A70" w14:textId="77777777" w:rsidR="00EB546B" w:rsidRDefault="00EB546B" w:rsidP="00EB546B"/>
    <w:p w14:paraId="53BA7C82" w14:textId="77777777" w:rsidR="00EB546B" w:rsidRDefault="00EB546B" w:rsidP="00EB546B">
      <w:r>
        <w:t xml:space="preserve">Enfin, le développement de nouvelles technologies chirurgicales et non-chirurgicales pourrait également conduire à une baisse de la demande sur les produits existants de la Société ou pourrait les rendre obsolètes. </w:t>
      </w:r>
    </w:p>
    <w:p w14:paraId="34476E8E" w14:textId="77777777" w:rsidR="00EB546B" w:rsidRPr="00686359" w:rsidRDefault="00EB546B" w:rsidP="00EB546B">
      <w:r>
        <w:t>Cependant, la durée nécessaire à l’approbation règlementaire et à la validation scientifique de la preuve du bénéfice apporté par ces nouvelles technologies pourrait permettre à Spineway de prendre des dispositions afin de réduire leur impact sur l’activité du Groupe. L</w:t>
      </w:r>
      <w:r w:rsidRPr="00686359">
        <w:t xml:space="preserve">es nouvelles exigences réglementaires restreignent </w:t>
      </w:r>
      <w:r>
        <w:t xml:space="preserve">d’ailleurs notablement, et au moins à court terme, </w:t>
      </w:r>
      <w:r w:rsidRPr="00686359">
        <w:t>les possibilités d’innovation majeures notamment en matière d’implants.</w:t>
      </w:r>
    </w:p>
    <w:p w14:paraId="33690392" w14:textId="77777777" w:rsidR="00EB546B" w:rsidRDefault="00EB546B" w:rsidP="00EB546B">
      <w:pPr>
        <w:autoSpaceDE w:val="0"/>
        <w:autoSpaceDN w:val="0"/>
        <w:adjustRightInd w:val="0"/>
        <w:rPr>
          <w:rFonts w:ascii="Segoe UI" w:hAnsi="Segoe UI" w:cs="Segoe UI"/>
          <w:sz w:val="18"/>
          <w:szCs w:val="18"/>
        </w:rPr>
      </w:pPr>
    </w:p>
    <w:p w14:paraId="5EBAC48A" w14:textId="11A53376" w:rsidR="00EB546B" w:rsidRDefault="00EB546B" w:rsidP="00EB546B">
      <w:r w:rsidRPr="008D300B">
        <w:t>Conscient des risques inhérents aux innovations</w:t>
      </w:r>
      <w:r>
        <w:t xml:space="preserve"> technologiques, </w:t>
      </w:r>
      <w:r w:rsidRPr="00D318BE">
        <w:t xml:space="preserve">Spineway </w:t>
      </w:r>
      <w:r>
        <w:t>développe ses propres</w:t>
      </w:r>
      <w:r w:rsidRPr="00D318BE">
        <w:t xml:space="preserve"> projets d’</w:t>
      </w:r>
      <w:r>
        <w:t xml:space="preserve">innovation et poursuit ses efforts </w:t>
      </w:r>
      <w:r w:rsidR="00696043">
        <w:t>en recherche et développement (ci-après « R&amp;D »)</w:t>
      </w:r>
      <w:r>
        <w:t xml:space="preserve">. </w:t>
      </w:r>
    </w:p>
    <w:p w14:paraId="3E12CD6E" w14:textId="77777777" w:rsidR="00EB546B" w:rsidRPr="007A74D3" w:rsidRDefault="00EB546B" w:rsidP="00EB546B"/>
    <w:p w14:paraId="725FD2FE" w14:textId="5CAECE72" w:rsidR="00EB546B" w:rsidRPr="00A46E7E" w:rsidRDefault="00EB546B" w:rsidP="00EB546B">
      <w:r>
        <w:t xml:space="preserve">Ainsi, le Groupe a inclus ce volet dans son plan stratégique et mène de nombreux projets pour </w:t>
      </w:r>
      <w:r w:rsidR="00EC78E8">
        <w:t>développer des solutions</w:t>
      </w:r>
      <w:r>
        <w:t xml:space="preserve"> </w:t>
      </w:r>
      <w:r w:rsidR="00EC78E8">
        <w:t>technologiquement</w:t>
      </w:r>
      <w:r w:rsidR="00EC78E8" w:rsidDel="00EC78E8">
        <w:t xml:space="preserve"> </w:t>
      </w:r>
      <w:r w:rsidR="00EC78E8">
        <w:t>innovantes</w:t>
      </w:r>
      <w:r>
        <w:t xml:space="preserve">. </w:t>
      </w:r>
      <w:r w:rsidR="00EC78E8">
        <w:t>Innover</w:t>
      </w:r>
      <w:r>
        <w:t xml:space="preserve"> est en effet indispensable pour préserver la commercialisation par le Groupe de ses produits et, plus généralement, </w:t>
      </w:r>
      <w:r w:rsidR="00EC78E8">
        <w:t xml:space="preserve">pour </w:t>
      </w:r>
      <w:r>
        <w:t>diminuer les risques qu’un retard technologique ferait porter aux activités, aux résultats, à la situation financière, au développement et aux perspectives du Groupe.</w:t>
      </w:r>
    </w:p>
    <w:p w14:paraId="642456F9" w14:textId="77777777" w:rsidR="002A1669" w:rsidRDefault="002A1669" w:rsidP="007D4EC9">
      <w:pPr>
        <w:tabs>
          <w:tab w:val="right" w:leader="dot" w:pos="8505"/>
        </w:tabs>
        <w:rPr>
          <w:szCs w:val="20"/>
        </w:rPr>
      </w:pPr>
    </w:p>
    <w:p w14:paraId="64D199DA" w14:textId="6E29E5F5" w:rsidR="003E5665" w:rsidRPr="00D8708A" w:rsidRDefault="003E5665" w:rsidP="003E5665">
      <w:r w:rsidRPr="00D8708A">
        <w:t xml:space="preserve">La Société attribue à ce risque un niveau </w:t>
      </w:r>
      <w:r w:rsidR="00D8708A" w:rsidRPr="00D8708A">
        <w:rPr>
          <w:b/>
          <w:u w:val="single"/>
        </w:rPr>
        <w:t>moyen</w:t>
      </w:r>
      <w:r w:rsidRPr="00D8708A">
        <w:rPr>
          <w:b/>
        </w:rPr>
        <w:t>.</w:t>
      </w:r>
    </w:p>
    <w:p w14:paraId="468FA357" w14:textId="77777777" w:rsidR="003E5665" w:rsidRDefault="003E5665" w:rsidP="00A35556">
      <w:pPr>
        <w:tabs>
          <w:tab w:val="right" w:leader="dot" w:pos="8505"/>
        </w:tabs>
        <w:rPr>
          <w:color w:val="FF0000"/>
        </w:rPr>
      </w:pPr>
    </w:p>
    <w:p w14:paraId="2EC2B976" w14:textId="1E221F33" w:rsidR="00642C56" w:rsidRPr="007A5340" w:rsidRDefault="00D76C89" w:rsidP="007A5340">
      <w:pPr>
        <w:pStyle w:val="Titre2"/>
      </w:pPr>
      <w:bookmarkStart w:id="58" w:name="_Toc475033166"/>
      <w:r>
        <w:t>3</w:t>
      </w:r>
      <w:r w:rsidR="00FD6EE8" w:rsidRPr="00B52D33">
        <w:t>.</w:t>
      </w:r>
      <w:r w:rsidR="00976C36">
        <w:t>3</w:t>
      </w:r>
      <w:r w:rsidR="00FD6EE8" w:rsidRPr="00B52D33">
        <w:t>. R</w:t>
      </w:r>
      <w:r w:rsidR="00036E0A">
        <w:t>isques liés aux tiers</w:t>
      </w:r>
      <w:bookmarkEnd w:id="58"/>
    </w:p>
    <w:p w14:paraId="23EC088A" w14:textId="73984B3A" w:rsidR="00642C56" w:rsidRPr="00FD6EE8" w:rsidRDefault="00D76C89" w:rsidP="007A5340">
      <w:pPr>
        <w:pStyle w:val="Titre3"/>
      </w:pPr>
      <w:bookmarkStart w:id="59" w:name="_Ref474062234"/>
      <w:bookmarkStart w:id="60" w:name="_Ref368042931"/>
      <w:bookmarkStart w:id="61" w:name="_Toc475033167"/>
      <w:r>
        <w:t>3</w:t>
      </w:r>
      <w:r w:rsidR="00642C56" w:rsidRPr="00FD6EE8">
        <w:t>.</w:t>
      </w:r>
      <w:r w:rsidR="00976C36">
        <w:t>3</w:t>
      </w:r>
      <w:r w:rsidR="00642C56">
        <w:t>.1</w:t>
      </w:r>
      <w:r w:rsidR="00CB789E">
        <w:t xml:space="preserve">. </w:t>
      </w:r>
      <w:r w:rsidR="00642C56" w:rsidRPr="00FD6EE8">
        <w:t xml:space="preserve">Risques de dépendance </w:t>
      </w:r>
      <w:r w:rsidR="00A1051E">
        <w:t xml:space="preserve">clients </w:t>
      </w:r>
      <w:r w:rsidR="00642C56" w:rsidRPr="00FD6EE8">
        <w:t>de Spineway</w:t>
      </w:r>
      <w:bookmarkEnd w:id="59"/>
      <w:bookmarkEnd w:id="61"/>
      <w:r w:rsidR="00642C56" w:rsidRPr="00FD6EE8">
        <w:t xml:space="preserve"> </w:t>
      </w:r>
      <w:bookmarkEnd w:id="60"/>
    </w:p>
    <w:p w14:paraId="334840FE" w14:textId="77777777" w:rsidR="0065561B" w:rsidRDefault="0065561B" w:rsidP="00642C56">
      <w:pPr>
        <w:tabs>
          <w:tab w:val="right" w:leader="dot" w:pos="8505"/>
        </w:tabs>
        <w:rPr>
          <w:szCs w:val="20"/>
        </w:rPr>
      </w:pPr>
    </w:p>
    <w:p w14:paraId="7D654AF7" w14:textId="704F6C09" w:rsidR="00F7632A" w:rsidRDefault="00EB546B" w:rsidP="00642C56">
      <w:pPr>
        <w:tabs>
          <w:tab w:val="right" w:leader="dot" w:pos="8505"/>
        </w:tabs>
      </w:pPr>
      <w:r>
        <w:t>A l’étranger</w:t>
      </w:r>
      <w:r w:rsidR="00F7632A">
        <w:t xml:space="preserve"> (88 % du chiffre d’affaires consolidé au 31 décembre 2020)</w:t>
      </w:r>
      <w:r>
        <w:t xml:space="preserve">, </w:t>
      </w:r>
      <w:r w:rsidR="045DF780">
        <w:t>Spineway distribue ses produits exclusivement via des distributeurs indépendants (vente indirecte)</w:t>
      </w:r>
      <w:r>
        <w:t xml:space="preserve">. </w:t>
      </w:r>
    </w:p>
    <w:p w14:paraId="42AF1133" w14:textId="73476FDC" w:rsidR="0065561B" w:rsidRPr="00BB795C" w:rsidRDefault="045DF780" w:rsidP="00642C56">
      <w:pPr>
        <w:tabs>
          <w:tab w:val="right" w:leader="dot" w:pos="8505"/>
        </w:tabs>
      </w:pPr>
      <w:r>
        <w:t xml:space="preserve">En </w:t>
      </w:r>
      <w:r w:rsidR="00F7632A">
        <w:t>France (12 % du chiffre d’affaires consolidé au 31 décembre 2020)</w:t>
      </w:r>
      <w:r>
        <w:t xml:space="preserve">, la vente de produits est en revanche principalement réalisée en direct auprès des établissements de soins </w:t>
      </w:r>
      <w:r w:rsidR="00BA6002">
        <w:t xml:space="preserve">(vente directe) </w:t>
      </w:r>
      <w:r>
        <w:t>mais peut également être réalisée par l’intermédiaire de distributeurs dans le cadre de partenariats privilégiés.</w:t>
      </w:r>
    </w:p>
    <w:p w14:paraId="17A57AFA" w14:textId="77777777" w:rsidR="00F7632A" w:rsidRDefault="00F7632A" w:rsidP="00C424C6"/>
    <w:p w14:paraId="3A7035D7" w14:textId="36C12E2B" w:rsidR="00C954A9" w:rsidRDefault="00C954A9" w:rsidP="00C424C6">
      <w:r>
        <w:t>A</w:t>
      </w:r>
      <w:r w:rsidR="180B6AA3">
        <w:t xml:space="preserve">u 31 décembre 2020, </w:t>
      </w:r>
      <w:r>
        <w:t>le poids des principaux clients dans le chiffre d’affaires consolidé du Groupe était </w:t>
      </w:r>
      <w:r w:rsidR="00BA6002">
        <w:t xml:space="preserve">quantifié comme suit </w:t>
      </w:r>
      <w:r>
        <w:t>:</w:t>
      </w:r>
    </w:p>
    <w:p w14:paraId="01AD2808" w14:textId="6A2A028D" w:rsidR="00C954A9" w:rsidRDefault="00C954A9" w:rsidP="00C954A9">
      <w:pPr>
        <w:ind w:left="709"/>
      </w:pPr>
      <w:r>
        <w:t xml:space="preserve">. </w:t>
      </w:r>
      <w:r w:rsidR="180B6AA3">
        <w:t>le principal client de Spineway</w:t>
      </w:r>
      <w:r>
        <w:t> :</w:t>
      </w:r>
      <w:r w:rsidR="180B6AA3">
        <w:t xml:space="preserve"> 18% du chiffre d’affaires consolidé</w:t>
      </w:r>
      <w:r>
        <w:t> ;</w:t>
      </w:r>
    </w:p>
    <w:p w14:paraId="0FB70165" w14:textId="36E3A5B9" w:rsidR="00C954A9" w:rsidRDefault="00C954A9" w:rsidP="00C954A9">
      <w:pPr>
        <w:ind w:firstLine="709"/>
      </w:pPr>
      <w:r>
        <w:t xml:space="preserve">. </w:t>
      </w:r>
      <w:r w:rsidR="180B6AA3">
        <w:t>les 5 premiers clients</w:t>
      </w:r>
      <w:r>
        <w:t> :</w:t>
      </w:r>
      <w:r w:rsidR="180B6AA3">
        <w:t xml:space="preserve"> 48% </w:t>
      </w:r>
      <w:r>
        <w:t>du chiffre d’affaires consolidé ;</w:t>
      </w:r>
    </w:p>
    <w:p w14:paraId="29B50908" w14:textId="62B3E329" w:rsidR="00C424C6" w:rsidRPr="00C424C6" w:rsidRDefault="00C954A9" w:rsidP="00C954A9">
      <w:pPr>
        <w:ind w:firstLine="709"/>
      </w:pPr>
      <w:r>
        <w:t>. l</w:t>
      </w:r>
      <w:r w:rsidR="180B6AA3">
        <w:t>es 10 premiers clients (</w:t>
      </w:r>
      <w:r w:rsidR="00F7632A">
        <w:t xml:space="preserve">soit </w:t>
      </w:r>
      <w:r w:rsidR="180B6AA3">
        <w:t>14% des clients</w:t>
      </w:r>
      <w:r w:rsidR="00F7632A">
        <w:t xml:space="preserve"> du Groupe</w:t>
      </w:r>
      <w:r w:rsidR="180B6AA3">
        <w:t>)</w:t>
      </w:r>
      <w:r>
        <w:t> :</w:t>
      </w:r>
      <w:r w:rsidR="180B6AA3">
        <w:t xml:space="preserve"> 67% du chiffre d’affaires consolidé.</w:t>
      </w:r>
    </w:p>
    <w:p w14:paraId="5C0E47B5" w14:textId="77777777" w:rsidR="0065561B" w:rsidRPr="00C424C6" w:rsidRDefault="0065561B" w:rsidP="00642C56">
      <w:pPr>
        <w:tabs>
          <w:tab w:val="right" w:leader="dot" w:pos="8505"/>
        </w:tabs>
        <w:rPr>
          <w:szCs w:val="20"/>
        </w:rPr>
      </w:pPr>
    </w:p>
    <w:p w14:paraId="5BC4963C" w14:textId="5513517A" w:rsidR="00642C56" w:rsidRPr="00FD6EE8" w:rsidRDefault="00642C56" w:rsidP="00C622C2">
      <w:pPr>
        <w:pStyle w:val="Paragraphedeliste"/>
        <w:numPr>
          <w:ilvl w:val="0"/>
          <w:numId w:val="7"/>
        </w:numPr>
        <w:tabs>
          <w:tab w:val="right" w:leader="dot" w:pos="8505"/>
        </w:tabs>
        <w:rPr>
          <w:b/>
        </w:rPr>
      </w:pPr>
      <w:r w:rsidRPr="00FD6EE8">
        <w:rPr>
          <w:b/>
        </w:rPr>
        <w:t>Vente indirecte</w:t>
      </w:r>
      <w:r w:rsidR="001F56BC">
        <w:rPr>
          <w:b/>
        </w:rPr>
        <w:t xml:space="preserve"> </w:t>
      </w:r>
    </w:p>
    <w:p w14:paraId="518D4650" w14:textId="77777777" w:rsidR="009E7272" w:rsidRDefault="009E7272" w:rsidP="0051494A">
      <w:pPr>
        <w:rPr>
          <w:szCs w:val="18"/>
        </w:rPr>
      </w:pPr>
    </w:p>
    <w:p w14:paraId="0F137299" w14:textId="169B40B6" w:rsidR="0089543A" w:rsidRDefault="7EC2240E" w:rsidP="0089543A">
      <w:r>
        <w:t xml:space="preserve">Spineway a </w:t>
      </w:r>
      <w:r w:rsidR="00A41BA2">
        <w:t>mis</w:t>
      </w:r>
      <w:r>
        <w:t xml:space="preserve"> en place un réseau de vente indirecte par le biais d’accords de distribution conclus avec des distributeurs locaux principalement implantés à l’étranger.</w:t>
      </w:r>
      <w:r w:rsidR="00E82577">
        <w:t xml:space="preserve"> </w:t>
      </w:r>
      <w:r>
        <w:t>L’important recours par Spineway à un réseau de distribution sur lequel le Groupe n’a pas de réel pouvoir de contrôle, présente un risque majeur pour la Société mais lui garantit de pouvoir être implantée dans le monde entier.</w:t>
      </w:r>
    </w:p>
    <w:p w14:paraId="1F4ED066" w14:textId="39F7CA20" w:rsidR="7EC2240E" w:rsidRDefault="7EC2240E" w:rsidP="7EC2240E"/>
    <w:p w14:paraId="55561CC9" w14:textId="47CF3A1D" w:rsidR="002F14D6" w:rsidRDefault="2C42CE3F" w:rsidP="7EC2240E">
      <w:r>
        <w:t>Le succès de la commercialisation internationale des produits de Spineway dépend de sa capacité à tisser des liens avec ses distributeurs et à les fidéliser mais aussi de leur santé financière, expertise et capacité à sécuriser et développer leur propre clientèle. Les difficultés financières, le défaut de paiement et les désaccords qui pourraient survenir avec ces distributeurs ou l’un d’entre eux, aurai</w:t>
      </w:r>
      <w:r w:rsidR="002F14D6">
        <w:t>en</w:t>
      </w:r>
      <w:r>
        <w:t>t un effet défavorable sur le Groupe.</w:t>
      </w:r>
      <w:r w:rsidR="00671771">
        <w:t xml:space="preserve"> </w:t>
      </w:r>
    </w:p>
    <w:p w14:paraId="74D7D7F8" w14:textId="73F544AC" w:rsidR="002F14D6" w:rsidRDefault="00747695" w:rsidP="7EC2240E">
      <w:pPr>
        <w:rPr>
          <w:color w:val="000000" w:themeColor="text1"/>
        </w:rPr>
      </w:pPr>
      <w:r>
        <w:lastRenderedPageBreak/>
        <w:t>Également</w:t>
      </w:r>
      <w:r w:rsidR="002F14D6">
        <w:t xml:space="preserve">, </w:t>
      </w:r>
      <w:r w:rsidR="7EC2240E">
        <w:t>Spineway ne peut garantir qu’elle pourra conserver ces distributeurs ni que ceux-ci continueront à consacrer les</w:t>
      </w:r>
      <w:r w:rsidR="7EC2240E" w:rsidRPr="7EC2240E">
        <w:rPr>
          <w:color w:val="000000" w:themeColor="text1"/>
        </w:rPr>
        <w:t xml:space="preserve"> ressources nécessaires au succès commercial de ses produits, succès qui dépend notamment des efforts marketing </w:t>
      </w:r>
      <w:r w:rsidR="002F14D6">
        <w:rPr>
          <w:color w:val="000000" w:themeColor="text1"/>
        </w:rPr>
        <w:t>et du</w:t>
      </w:r>
      <w:r w:rsidR="002F14D6" w:rsidRPr="7EC2240E">
        <w:rPr>
          <w:color w:val="000000" w:themeColor="text1"/>
        </w:rPr>
        <w:t xml:space="preserve"> service client </w:t>
      </w:r>
      <w:r w:rsidR="7EC2240E" w:rsidRPr="7EC2240E">
        <w:rPr>
          <w:color w:val="000000" w:themeColor="text1"/>
        </w:rPr>
        <w:t xml:space="preserve">déployés par les distributeurs. </w:t>
      </w:r>
    </w:p>
    <w:p w14:paraId="6AD8043F" w14:textId="5D0E4E46" w:rsidR="0089543A" w:rsidRDefault="7EC2240E" w:rsidP="7EC2240E">
      <w:pPr>
        <w:rPr>
          <w:color w:val="000000" w:themeColor="text1"/>
        </w:rPr>
      </w:pPr>
      <w:r w:rsidRPr="7EC2240E">
        <w:rPr>
          <w:color w:val="000000" w:themeColor="text1"/>
        </w:rPr>
        <w:t xml:space="preserve">D’une manière générale, ce système de vente indirecte </w:t>
      </w:r>
      <w:r w:rsidR="00696043">
        <w:rPr>
          <w:color w:val="000000" w:themeColor="text1"/>
        </w:rPr>
        <w:t>place</w:t>
      </w:r>
      <w:r w:rsidR="00696043" w:rsidRPr="7EC2240E">
        <w:rPr>
          <w:color w:val="000000" w:themeColor="text1"/>
        </w:rPr>
        <w:t xml:space="preserve"> </w:t>
      </w:r>
      <w:r w:rsidRPr="7EC2240E">
        <w:rPr>
          <w:color w:val="000000" w:themeColor="text1"/>
        </w:rPr>
        <w:t>Spineway dans une situation de dépendance commerciale à l’égard des partenaires sur lesquels elle s’appuie</w:t>
      </w:r>
      <w:r w:rsidRPr="00671771">
        <w:rPr>
          <w:color w:val="000000" w:themeColor="text1"/>
        </w:rPr>
        <w:t>.</w:t>
      </w:r>
      <w:r w:rsidR="00671771" w:rsidRPr="00671771">
        <w:rPr>
          <w:color w:val="000000" w:themeColor="text1"/>
        </w:rPr>
        <w:t xml:space="preserve"> </w:t>
      </w:r>
    </w:p>
    <w:p w14:paraId="20B8058A" w14:textId="77777777" w:rsidR="00357B7C" w:rsidRDefault="00357B7C" w:rsidP="0051494A"/>
    <w:p w14:paraId="470F73F8" w14:textId="77777777" w:rsidR="002F14D6" w:rsidRDefault="2C42CE3F">
      <w:r>
        <w:t>Afin de limiter ce risque, la Société</w:t>
      </w:r>
      <w:r w:rsidR="002F14D6">
        <w:t> :</w:t>
      </w:r>
    </w:p>
    <w:p w14:paraId="5D1DC83D" w14:textId="3AD7270B" w:rsidR="002F14D6" w:rsidRDefault="00696043" w:rsidP="00E32719">
      <w:pPr>
        <w:ind w:left="709"/>
      </w:pPr>
      <w:r>
        <w:t xml:space="preserve">- </w:t>
      </w:r>
      <w:r w:rsidR="2C42CE3F">
        <w:t xml:space="preserve">travaille sur des plans d’actions visant à sécuriser ses clients historiques principaux, notamment au travers d’une </w:t>
      </w:r>
      <w:r w:rsidR="00671771">
        <w:t>nouvelle</w:t>
      </w:r>
      <w:r w:rsidR="2C42CE3F">
        <w:t xml:space="preserve"> politique commerciale et un mei</w:t>
      </w:r>
      <w:r w:rsidR="00E32719">
        <w:t>lleur accompagnement marketing ;</w:t>
      </w:r>
    </w:p>
    <w:p w14:paraId="777C2693" w14:textId="6B019388" w:rsidR="00E32719" w:rsidRDefault="00696043" w:rsidP="00E32719">
      <w:pPr>
        <w:ind w:left="709"/>
      </w:pPr>
      <w:r>
        <w:t xml:space="preserve">- </w:t>
      </w:r>
      <w:r w:rsidR="002F14D6">
        <w:t xml:space="preserve">porte </w:t>
      </w:r>
      <w:r w:rsidR="2C42CE3F">
        <w:t xml:space="preserve">des efforts particuliers au développement du portefeuille clients de manière à diluer </w:t>
      </w:r>
      <w:r w:rsidR="00E32719">
        <w:t>le</w:t>
      </w:r>
      <w:r w:rsidR="2C42CE3F">
        <w:t xml:space="preserve"> risque de dépendance</w:t>
      </w:r>
      <w:r w:rsidR="002F14D6">
        <w:t xml:space="preserve">. </w:t>
      </w:r>
      <w:r w:rsidR="00E32719">
        <w:t xml:space="preserve">L’année </w:t>
      </w:r>
      <w:r w:rsidR="2C42CE3F">
        <w:t>2020 a ainsi vu la concrétisation de nouveaux comptes clients</w:t>
      </w:r>
      <w:r w:rsidR="00E32719">
        <w:t> ;</w:t>
      </w:r>
    </w:p>
    <w:p w14:paraId="346EA2CD" w14:textId="3685ADA3" w:rsidR="00E32719" w:rsidRDefault="00696043" w:rsidP="00E32719">
      <w:pPr>
        <w:ind w:left="709"/>
      </w:pPr>
      <w:r>
        <w:t xml:space="preserve">- </w:t>
      </w:r>
      <w:r w:rsidR="2C42CE3F">
        <w:t xml:space="preserve">est en recherche </w:t>
      </w:r>
      <w:r w:rsidR="00E32719">
        <w:t xml:space="preserve">permanente </w:t>
      </w:r>
      <w:r w:rsidR="2C42CE3F">
        <w:t>de nouveaux distributeurs tant dans ses zones historiques que sur de nouveaux territoires à situation géopolitique et économique plus favorables</w:t>
      </w:r>
      <w:r w:rsidR="00E32719">
        <w:t> ;</w:t>
      </w:r>
    </w:p>
    <w:p w14:paraId="2AA7D4EA" w14:textId="416308FA" w:rsidR="2C42CE3F" w:rsidRDefault="00696043" w:rsidP="00E32719">
      <w:pPr>
        <w:ind w:left="709"/>
      </w:pPr>
      <w:r>
        <w:t xml:space="preserve"> -</w:t>
      </w:r>
      <w:r w:rsidR="000512BF">
        <w:t xml:space="preserve"> </w:t>
      </w:r>
      <w:r w:rsidR="2C42CE3F">
        <w:t xml:space="preserve">travaille sur une autonomie réglementaire </w:t>
      </w:r>
      <w:r w:rsidR="00E32719">
        <w:t>des</w:t>
      </w:r>
      <w:r w:rsidR="2C42CE3F">
        <w:t xml:space="preserve"> territoires export privilégiés de manière à ne pas dépendre des distributeurs en matière d’homologation.</w:t>
      </w:r>
    </w:p>
    <w:p w14:paraId="3C88661D" w14:textId="2B653F5C" w:rsidR="2C42CE3F" w:rsidRDefault="2C42CE3F" w:rsidP="2C42CE3F"/>
    <w:p w14:paraId="3F8DBCC3" w14:textId="77777777" w:rsidR="00E32719" w:rsidRDefault="2C42CE3F" w:rsidP="2C42CE3F">
      <w:r>
        <w:t xml:space="preserve">Ce risque de dépendance amplifie le risque de défaut de paiement. </w:t>
      </w:r>
    </w:p>
    <w:p w14:paraId="4C866A80" w14:textId="11C0AB11" w:rsidR="00117A1A" w:rsidRDefault="00E32719" w:rsidP="2C42CE3F">
      <w:r>
        <w:t>La survenance de</w:t>
      </w:r>
      <w:r w:rsidR="2C42CE3F">
        <w:t xml:space="preserve"> défauts de paiement </w:t>
      </w:r>
      <w:r>
        <w:t>fait</w:t>
      </w:r>
      <w:r w:rsidR="2C42CE3F">
        <w:t xml:space="preserve"> généralement suite à une rupture des relations contractuelles avec un distributeur mais </w:t>
      </w:r>
      <w:r>
        <w:t>peut</w:t>
      </w:r>
      <w:r w:rsidR="2C42CE3F">
        <w:t xml:space="preserve"> </w:t>
      </w:r>
      <w:r>
        <w:t>également</w:t>
      </w:r>
      <w:r w:rsidR="2C42CE3F">
        <w:t xml:space="preserve"> </w:t>
      </w:r>
      <w:r>
        <w:t>résulter</w:t>
      </w:r>
      <w:r w:rsidR="2C42CE3F">
        <w:t xml:space="preserve"> de facteurs endogènes spécifiques au </w:t>
      </w:r>
      <w:r w:rsidR="00671771">
        <w:t>distributeur</w:t>
      </w:r>
      <w:r w:rsidR="2C42CE3F">
        <w:t xml:space="preserve"> (situation financière) </w:t>
      </w:r>
      <w:r>
        <w:t>ou encore</w:t>
      </w:r>
      <w:r w:rsidR="2C42CE3F">
        <w:t xml:space="preserve"> du contexte économique, </w:t>
      </w:r>
      <w:r>
        <w:t>géopolitique ou règlementaire du pays.</w:t>
      </w:r>
    </w:p>
    <w:p w14:paraId="670C5AB5" w14:textId="583EBC57" w:rsidR="0001251E" w:rsidRPr="00F947DB" w:rsidRDefault="2C42CE3F" w:rsidP="0001251E">
      <w:pPr>
        <w:rPr>
          <w:szCs w:val="20"/>
        </w:rPr>
      </w:pPr>
      <w:r>
        <w:t xml:space="preserve">D’autre part, des allongements de délais de paiement peuvent </w:t>
      </w:r>
      <w:r w:rsidR="00E32719">
        <w:t>affecter le besoin de trésorerie.</w:t>
      </w:r>
    </w:p>
    <w:p w14:paraId="4EB946FD" w14:textId="2C16CEF3" w:rsidR="00357B7C" w:rsidRPr="00F947DB" w:rsidRDefault="2479607B" w:rsidP="000E74FB">
      <w:r>
        <w:t>Si ces risques ne peuvent être chiffrés avec certitude et restent théoriques compte-tenu</w:t>
      </w:r>
      <w:r w:rsidR="00E32719">
        <w:t>,</w:t>
      </w:r>
      <w:r>
        <w:t xml:space="preserve"> d’une part</w:t>
      </w:r>
      <w:r w:rsidR="00E32719">
        <w:t>,</w:t>
      </w:r>
      <w:r>
        <w:t xml:space="preserve"> du faible nombre de défaillances ces dernières années et</w:t>
      </w:r>
      <w:r w:rsidR="00E32719">
        <w:t>,</w:t>
      </w:r>
      <w:r>
        <w:t xml:space="preserve"> d’autre part</w:t>
      </w:r>
      <w:r w:rsidR="00E32719">
        <w:t>,</w:t>
      </w:r>
      <w:r>
        <w:t xml:space="preserve"> de l’amélioration du délai de règlement sur 2020 </w:t>
      </w:r>
      <w:r w:rsidR="00E32719">
        <w:t>(</w:t>
      </w:r>
      <w:r>
        <w:t>malgré la pandémie</w:t>
      </w:r>
      <w:r w:rsidR="00E32719">
        <w:t>)</w:t>
      </w:r>
      <w:r>
        <w:t>, Spineway estime néanmoins, au vu de son importante activité réalisée en Amérique latine et des aléas géopolitiques et économiques récurrents dans cette zone, être exposée à un risque plus important de défaillance d’un ou de plusieurs distributeurs locaux sur cette zone.</w:t>
      </w:r>
    </w:p>
    <w:p w14:paraId="520D8134" w14:textId="77777777" w:rsidR="00A169B1" w:rsidRPr="000E74FB" w:rsidRDefault="00A169B1" w:rsidP="0051494A">
      <w:pPr>
        <w:rPr>
          <w:szCs w:val="20"/>
        </w:rPr>
      </w:pPr>
    </w:p>
    <w:p w14:paraId="09E192A1" w14:textId="7C79F969" w:rsidR="00372D4F" w:rsidRDefault="2C42CE3F" w:rsidP="008301A7">
      <w:r>
        <w:t xml:space="preserve">Afin de limiter le risque lié aux éventuels défauts de paiement ou allongement des délais de paiement, Spineway favorise l’échange et la qualité des relations nouées avec les distributeurs et </w:t>
      </w:r>
      <w:r w:rsidR="00E32719">
        <w:t xml:space="preserve">met en place </w:t>
      </w:r>
      <w:r>
        <w:t xml:space="preserve">des solutions d’accompagnement financier individualisées </w:t>
      </w:r>
      <w:r w:rsidR="00E32719">
        <w:t>en collaboration avec des organismes qui</w:t>
      </w:r>
      <w:r>
        <w:t xml:space="preserve"> sécuriseront les en-cours.</w:t>
      </w:r>
    </w:p>
    <w:p w14:paraId="550D71F6" w14:textId="191969A8" w:rsidR="00A169B1" w:rsidRPr="00E56CAE" w:rsidRDefault="2C42CE3F" w:rsidP="0051494A">
      <w:r>
        <w:t xml:space="preserve">Le </w:t>
      </w:r>
      <w:r w:rsidR="00E32719">
        <w:t>G</w:t>
      </w:r>
      <w:r>
        <w:t xml:space="preserve">roupe porte une attention toute particulière </w:t>
      </w:r>
      <w:r w:rsidR="00E32719">
        <w:t xml:space="preserve">à ces enjeux financiers </w:t>
      </w:r>
      <w:r>
        <w:t xml:space="preserve">lors de la signature de nouveaux contrats. </w:t>
      </w:r>
    </w:p>
    <w:p w14:paraId="7EF713D1" w14:textId="77777777" w:rsidR="00E32719" w:rsidRDefault="00E32719" w:rsidP="0026003E"/>
    <w:p w14:paraId="71672EFD" w14:textId="1FB99208" w:rsidR="0026003E" w:rsidRPr="00EA034D" w:rsidRDefault="2C42CE3F" w:rsidP="0026003E">
      <w:r>
        <w:t>Malgré ces mesures, cette situation de dépendance du Groupe vis</w:t>
      </w:r>
      <w:r w:rsidR="00DE746D">
        <w:t>-</w:t>
      </w:r>
      <w:r>
        <w:t>à</w:t>
      </w:r>
      <w:r w:rsidR="00DE746D">
        <w:t>-</w:t>
      </w:r>
      <w:r>
        <w:t>vis de distributeurs et/ou la dégradation potentielle des délais de paiement, voire la défaillance de distributeurs, pourraient avoir des conséquences qui</w:t>
      </w:r>
      <w:r w:rsidR="00671771">
        <w:t xml:space="preserve"> </w:t>
      </w:r>
      <w:r>
        <w:t>affecteraient significativement l’activité selon le ou les clients concernés, les résultats, la situation financière, le développement et les perspectives à court terme du Groupe.</w:t>
      </w:r>
    </w:p>
    <w:p w14:paraId="60B48F3C" w14:textId="77777777" w:rsidR="00F62DCF" w:rsidRDefault="00F62DCF" w:rsidP="00642C56">
      <w:pPr>
        <w:tabs>
          <w:tab w:val="right" w:leader="dot" w:pos="8505"/>
        </w:tabs>
      </w:pPr>
    </w:p>
    <w:p w14:paraId="7E958984" w14:textId="77777777" w:rsidR="00642C56" w:rsidRPr="00FD6EE8" w:rsidRDefault="00642C56" w:rsidP="00C622C2">
      <w:pPr>
        <w:pStyle w:val="Paragraphedeliste"/>
        <w:numPr>
          <w:ilvl w:val="0"/>
          <w:numId w:val="7"/>
        </w:numPr>
        <w:tabs>
          <w:tab w:val="right" w:leader="dot" w:pos="8505"/>
        </w:tabs>
        <w:rPr>
          <w:b/>
        </w:rPr>
      </w:pPr>
      <w:r w:rsidRPr="00FD6EE8">
        <w:rPr>
          <w:b/>
        </w:rPr>
        <w:t>Vente directe</w:t>
      </w:r>
    </w:p>
    <w:p w14:paraId="6B929947" w14:textId="77777777" w:rsidR="00BB69CE" w:rsidRDefault="00BB69CE" w:rsidP="00204112">
      <w:pPr>
        <w:tabs>
          <w:tab w:val="right" w:leader="dot" w:pos="8505"/>
        </w:tabs>
      </w:pPr>
    </w:p>
    <w:p w14:paraId="5DDD03BB" w14:textId="77777777" w:rsidR="00BB69CE" w:rsidRDefault="00BB69CE" w:rsidP="00BB69CE">
      <w:pPr>
        <w:rPr>
          <w:szCs w:val="18"/>
        </w:rPr>
      </w:pPr>
      <w:r w:rsidRPr="00193118">
        <w:rPr>
          <w:szCs w:val="18"/>
        </w:rPr>
        <w:t xml:space="preserve">La vente de produits en direct </w:t>
      </w:r>
      <w:r>
        <w:rPr>
          <w:szCs w:val="18"/>
        </w:rPr>
        <w:t>est réalisée uniquement en France.</w:t>
      </w:r>
    </w:p>
    <w:p w14:paraId="6AA2584F" w14:textId="77777777" w:rsidR="00E32719" w:rsidRDefault="2C42CE3F" w:rsidP="00E32719">
      <w:pPr>
        <w:spacing w:line="259" w:lineRule="auto"/>
      </w:pPr>
      <w:r>
        <w:t xml:space="preserve">Elle nécessite de mettre les produits Spineway en consignation au sein des établissements de soin ainsi que de leur mettre à disposition des kits d’instruments permettant de fluidifier la logistique et aux opérations de se tenir au pied levé. </w:t>
      </w:r>
    </w:p>
    <w:p w14:paraId="194DA4B4" w14:textId="7122C994" w:rsidR="00BB69CE" w:rsidRPr="00C424C6" w:rsidRDefault="2C42CE3F" w:rsidP="00E32719">
      <w:pPr>
        <w:spacing w:line="259" w:lineRule="auto"/>
      </w:pPr>
      <w:r>
        <w:t xml:space="preserve">La relation client est également sécurisée via le recours à des agents commerciaux qui garantissent un lien continu et une proximité avec les hôpitaux. </w:t>
      </w:r>
    </w:p>
    <w:p w14:paraId="72C43467" w14:textId="180BC1B1" w:rsidR="00B426F0" w:rsidRPr="00E32719" w:rsidRDefault="2C42CE3F" w:rsidP="2C42CE3F">
      <w:r w:rsidRPr="00E32719">
        <w:t>De ce fait, les principaux clients en vente directe demeurent les mêmes depuis de nombreuses années, preuve de la solidité de ces partenariats.</w:t>
      </w:r>
    </w:p>
    <w:p w14:paraId="3548386D" w14:textId="77777777" w:rsidR="00357B7C" w:rsidRDefault="00357B7C" w:rsidP="00B507E3"/>
    <w:p w14:paraId="0C899531" w14:textId="77777777" w:rsidR="007A5340" w:rsidRDefault="007A5340" w:rsidP="00642C56">
      <w:pPr>
        <w:tabs>
          <w:tab w:val="right" w:leader="dot" w:pos="8505"/>
        </w:tabs>
        <w:rPr>
          <w:color w:val="FF0000"/>
        </w:rPr>
      </w:pPr>
    </w:p>
    <w:p w14:paraId="06CB768D" w14:textId="53D34246" w:rsidR="003E5665" w:rsidRPr="00671771" w:rsidRDefault="2C42CE3F" w:rsidP="003E5665">
      <w:r w:rsidRPr="00671771">
        <w:t>La Société attribue à ce risque un niveau</w:t>
      </w:r>
      <w:r w:rsidR="00671771" w:rsidRPr="00671771">
        <w:rPr>
          <w:b/>
          <w:bCs/>
        </w:rPr>
        <w:t xml:space="preserve"> </w:t>
      </w:r>
      <w:r w:rsidRPr="00671771">
        <w:rPr>
          <w:b/>
          <w:bCs/>
          <w:u w:val="single"/>
        </w:rPr>
        <w:t>moyen</w:t>
      </w:r>
      <w:r w:rsidRPr="00671771">
        <w:rPr>
          <w:b/>
          <w:bCs/>
        </w:rPr>
        <w:t>.</w:t>
      </w:r>
    </w:p>
    <w:p w14:paraId="650EE09B" w14:textId="77777777" w:rsidR="003E5665" w:rsidRDefault="003E5665" w:rsidP="00642C56">
      <w:pPr>
        <w:tabs>
          <w:tab w:val="right" w:leader="dot" w:pos="8505"/>
        </w:tabs>
        <w:rPr>
          <w:color w:val="FF0000"/>
        </w:rPr>
      </w:pPr>
    </w:p>
    <w:p w14:paraId="28BB2D16" w14:textId="77777777" w:rsidR="00E32719" w:rsidRDefault="00E32719">
      <w:pPr>
        <w:jc w:val="left"/>
        <w:rPr>
          <w:rFonts w:eastAsiaTheme="majorEastAsia" w:cstheme="majorBidi"/>
          <w:b/>
          <w:bCs/>
          <w:smallCaps/>
          <w:color w:val="4F81BD" w:themeColor="accent1"/>
          <w:sz w:val="26"/>
          <w:szCs w:val="26"/>
        </w:rPr>
      </w:pPr>
      <w:bookmarkStart w:id="62" w:name="_Toc349133516"/>
      <w:bookmarkStart w:id="63" w:name="_Toc351994600"/>
      <w:r>
        <w:br w:type="page"/>
      </w:r>
    </w:p>
    <w:p w14:paraId="577A45B0" w14:textId="50926637" w:rsidR="00B426F0" w:rsidRPr="00604412" w:rsidRDefault="00D76C89" w:rsidP="0000711A">
      <w:pPr>
        <w:pStyle w:val="Titre2"/>
      </w:pPr>
      <w:bookmarkStart w:id="64" w:name="_Toc475033168"/>
      <w:r>
        <w:lastRenderedPageBreak/>
        <w:t>3</w:t>
      </w:r>
      <w:r w:rsidR="00EF3111" w:rsidRPr="00B52D33">
        <w:t>.</w:t>
      </w:r>
      <w:r w:rsidR="00976C36">
        <w:t>4</w:t>
      </w:r>
      <w:r w:rsidR="00EF3111" w:rsidRPr="00B52D33">
        <w:t>. R</w:t>
      </w:r>
      <w:r w:rsidR="00036E0A">
        <w:t>isques juridiques</w:t>
      </w:r>
      <w:bookmarkEnd w:id="64"/>
    </w:p>
    <w:p w14:paraId="305DD199" w14:textId="04E761D2" w:rsidR="00EF3111" w:rsidRDefault="00D76C89" w:rsidP="00642C56">
      <w:pPr>
        <w:pStyle w:val="Titre3"/>
      </w:pPr>
      <w:bookmarkStart w:id="65" w:name="_Ref368042025"/>
      <w:bookmarkStart w:id="66" w:name="_Toc475033169"/>
      <w:r>
        <w:rPr>
          <w:bCs w:val="0"/>
        </w:rPr>
        <w:t>3</w:t>
      </w:r>
      <w:r w:rsidR="00EF3111" w:rsidRPr="00EF3111">
        <w:rPr>
          <w:bCs w:val="0"/>
        </w:rPr>
        <w:t>.</w:t>
      </w:r>
      <w:r w:rsidR="00976C36">
        <w:rPr>
          <w:bCs w:val="0"/>
        </w:rPr>
        <w:t>4</w:t>
      </w:r>
      <w:r w:rsidR="0000711A">
        <w:rPr>
          <w:bCs w:val="0"/>
        </w:rPr>
        <w:t>.1</w:t>
      </w:r>
      <w:r w:rsidR="00CB789E">
        <w:rPr>
          <w:bCs w:val="0"/>
        </w:rPr>
        <w:t xml:space="preserve">. </w:t>
      </w:r>
      <w:r w:rsidR="00EF3111" w:rsidRPr="00EF3111">
        <w:rPr>
          <w:bCs w:val="0"/>
        </w:rPr>
        <w:t xml:space="preserve">Risques </w:t>
      </w:r>
      <w:r w:rsidR="00EF3111">
        <w:rPr>
          <w:bCs w:val="0"/>
        </w:rPr>
        <w:t>liés</w:t>
      </w:r>
      <w:r w:rsidR="00EF3111" w:rsidRPr="00EF3111">
        <w:rPr>
          <w:bCs w:val="0"/>
        </w:rPr>
        <w:t xml:space="preserve"> </w:t>
      </w:r>
      <w:bookmarkStart w:id="67" w:name="_Toc389666589"/>
      <w:r w:rsidR="00EF3111">
        <w:rPr>
          <w:bCs w:val="0"/>
        </w:rPr>
        <w:t>aux</w:t>
      </w:r>
      <w:r w:rsidR="00EF3111" w:rsidRPr="008A3E4B">
        <w:t xml:space="preserve"> </w:t>
      </w:r>
      <w:r w:rsidR="00EF3111">
        <w:t>contraintes règlementaires</w:t>
      </w:r>
      <w:bookmarkEnd w:id="66"/>
      <w:r w:rsidR="00EF3111">
        <w:t xml:space="preserve"> </w:t>
      </w:r>
      <w:bookmarkEnd w:id="65"/>
      <w:bookmarkEnd w:id="67"/>
    </w:p>
    <w:p w14:paraId="7EE9D6F2" w14:textId="77777777" w:rsidR="00C471F6" w:rsidRDefault="00C471F6" w:rsidP="00604412">
      <w:pPr>
        <w:tabs>
          <w:tab w:val="right" w:leader="dot" w:pos="8505"/>
        </w:tabs>
        <w:rPr>
          <w:color w:val="FF0000"/>
        </w:rPr>
      </w:pPr>
    </w:p>
    <w:p w14:paraId="0001C16C" w14:textId="587B51EE" w:rsidR="00C471F6" w:rsidRDefault="3FF7E03D" w:rsidP="3FF7E03D">
      <w:r>
        <w:t xml:space="preserve">Le processus d’obtention et de maintien des approbations, autorisations légales et réglementaires ainsi que des certifications nécessaires à la commercialisation des dispositifs médicaux peut se révéler long suivant les pays considérés. En outre, il n’est pas garanti que ces autorisations, si elles sont accordées, le soient en cohérence avec les plans de développement commerciaux. Si Spineway n’obtenait pas d’autorisations ou de certifications (notamment marquage CE, </w:t>
      </w:r>
      <w:r w:rsidR="00696043">
        <w:rPr>
          <w:szCs w:val="20"/>
        </w:rPr>
        <w:t xml:space="preserve">FDA - Food &amp; Drug Administration - </w:t>
      </w:r>
      <w:r>
        <w:t>ou équivalent) pour ses futurs produits ou améliorations apportées à ses produits existants, elle pourrait se voir interdire</w:t>
      </w:r>
      <w:r w:rsidR="008301A7">
        <w:t>,</w:t>
      </w:r>
      <w:r>
        <w:t xml:space="preserve"> le temps de leur obtention</w:t>
      </w:r>
      <w:r w:rsidR="008301A7">
        <w:t>,</w:t>
      </w:r>
      <w:r>
        <w:t xml:space="preserve"> la commercialisation de ses produits dans ses différents marchés. Il en serait de même si la Société venait à perdre les autorisations ou certifications qu’elle détient. Ces obligations et process réglementaires sont valables dans la plupart des pays </w:t>
      </w:r>
      <w:r w:rsidR="008301A7">
        <w:t xml:space="preserve">dans lesquels </w:t>
      </w:r>
      <w:r>
        <w:t>Spineway commercialise ou</w:t>
      </w:r>
      <w:r w:rsidR="008301A7">
        <w:t xml:space="preserve"> bien</w:t>
      </w:r>
      <w:r>
        <w:t xml:space="preserve"> envisage la commercialisation de </w:t>
      </w:r>
      <w:r w:rsidR="00CF3ED7">
        <w:t xml:space="preserve">ses </w:t>
      </w:r>
      <w:r>
        <w:t>produits, avec des contraintes parfois différentes. Selon la nature des accords</w:t>
      </w:r>
      <w:r w:rsidR="008301A7">
        <w:t>,</w:t>
      </w:r>
      <w:r>
        <w:t xml:space="preserve"> ces obligations sont soit directement du ressort de Spineway soit à la charge de son distributeur local qui peut le cas échéant détenir les homologations sur son territoire.</w:t>
      </w:r>
    </w:p>
    <w:p w14:paraId="6B02EFAA" w14:textId="313D1224" w:rsidR="3FF7E03D" w:rsidRDefault="3FF7E03D"/>
    <w:p w14:paraId="3BB7E367" w14:textId="4196AF61" w:rsidR="00C471F6" w:rsidRPr="008A3E4B" w:rsidRDefault="3FF7E03D" w:rsidP="00C471F6">
      <w:r>
        <w:t>Des rejets ou lenteur</w:t>
      </w:r>
      <w:r w:rsidR="005C0AB9">
        <w:t>s</w:t>
      </w:r>
      <w:r>
        <w:t xml:space="preserve"> de process de certifications impliqueraient nécessairement de contraindre la Société à réaliser des essais supplémentaires coûteux et de devoir collecter des données cliniques additionnelles dont l’obtention est souvent longue et fastidieuse. Cela pourrait avoir un impact négatif sur les résultats financiers de la Société, sur sa position concurrentielle et sur sa capacité à commercialiser ses produits dans les pays concernés.</w:t>
      </w:r>
    </w:p>
    <w:p w14:paraId="189BBF36" w14:textId="77777777" w:rsidR="00C471F6" w:rsidRPr="008A3E4B" w:rsidRDefault="00C471F6" w:rsidP="00C471F6"/>
    <w:p w14:paraId="6540E66A" w14:textId="6E110666" w:rsidR="00EA2593" w:rsidRDefault="3FF7E03D" w:rsidP="00EA2593">
      <w:r>
        <w:t xml:space="preserve">Les changements de réglementation ou de normes applicables dans l’un des pays où Spineway exerce ses activités peuvent de même, le cas échéant, affecter le développement de ses produits ou provoquer un retrait ou une suspension des autorisations de commercialisation étant à noter que la Société n’a jamais été confrontée à une problématique de non-conformité de ses produits. </w:t>
      </w:r>
    </w:p>
    <w:p w14:paraId="58737039" w14:textId="77777777" w:rsidR="00C471F6" w:rsidRDefault="00C471F6" w:rsidP="00C471F6"/>
    <w:p w14:paraId="2D7AF254" w14:textId="0E02F816" w:rsidR="00917805" w:rsidRDefault="3FF7E03D" w:rsidP="00C471F6">
      <w:r>
        <w:t xml:space="preserve">Compte-tenu des enjeux liés aux certificats de commercialisation, Spineway assure une veille permanente de l’évolution des contraintes règlementaires et législatives des zones dans lesquelles elle commercialise ses produits. De la même façon, Spineway étudie attentivement les contraintes règlementaires et législatives existantes dans les pays qu’elle envisage </w:t>
      </w:r>
      <w:r w:rsidR="00696043">
        <w:t xml:space="preserve">de commercialiser ses produits </w:t>
      </w:r>
      <w:r>
        <w:t xml:space="preserve">et ce, avant d’initier toute démarche commerciale. </w:t>
      </w:r>
    </w:p>
    <w:p w14:paraId="3F054AF1" w14:textId="77777777" w:rsidR="00917805" w:rsidRDefault="00917805" w:rsidP="00C471F6"/>
    <w:p w14:paraId="509D0484" w14:textId="5E27445A" w:rsidR="00CF3ED7" w:rsidRDefault="3FF7E03D" w:rsidP="00CF3ED7">
      <w:r>
        <w:t>A la date du Document d’enregistrement universel, la Société a mis en place une organisation et un accompagnement lui permettant d’adresse</w:t>
      </w:r>
      <w:r w:rsidR="00DE746D">
        <w:t>r</w:t>
      </w:r>
      <w:r>
        <w:t xml:space="preserve"> le risque spécifique découlant de l’évolution de l’environnement règlementaire européen</w:t>
      </w:r>
      <w:r w:rsidR="006E5281">
        <w:t xml:space="preserve"> </w:t>
      </w:r>
      <w:r>
        <w:t>: le Règlement européen 2017/745 relatif aux Dispositifs Médicaux (ci-après « </w:t>
      </w:r>
      <w:r w:rsidR="00696043">
        <w:t>RMD</w:t>
      </w:r>
      <w:r>
        <w:t xml:space="preserve">») en vigueur depuis le 25 mai 2017 </w:t>
      </w:r>
      <w:r w:rsidR="00696043">
        <w:t xml:space="preserve">qui </w:t>
      </w:r>
      <w:r>
        <w:t>précise les dispositions de base de la législation applicable aux pays de la communauté européenne</w:t>
      </w:r>
      <w:r w:rsidR="00696043">
        <w:t xml:space="preserve"> et notamment </w:t>
      </w:r>
      <w:r>
        <w:t xml:space="preserve">les exigences essentielles en matière de sécurité </w:t>
      </w:r>
      <w:r w:rsidR="00696043">
        <w:t>ainsi que</w:t>
      </w:r>
      <w:r>
        <w:t xml:space="preserve"> les modes d’évaluation de la conformité. </w:t>
      </w:r>
      <w:r w:rsidR="00696043">
        <w:t xml:space="preserve">Son </w:t>
      </w:r>
      <w:r>
        <w:t xml:space="preserve">application se traduit par l’apposition du Marquage CE, un étiquetage plus complet (l’étiquetage devra inclure notamment : numéro de lot ou de série du produit, avertissements, nom d’un représentant européen pour les fabricants hors UE…). Par ailleurs, une revue par un organisme tiers, appelé organisme notifié, est impératif et donne lieu à la délivrance d’un certificat CE. </w:t>
      </w:r>
      <w:r w:rsidR="00696043">
        <w:t>Ce RMD  n’entrera pleinement en vigueur qu’a compter du 26 mai 2021 afin de permettre aux fabricants, autorités et organismes notifiés de s’adapter, ce nouveau référentiel CE nécessitant un process d’homologation lourd et coûteux.</w:t>
      </w:r>
      <w:r w:rsidR="00CF3ED7">
        <w:t xml:space="preserve"> </w:t>
      </w:r>
    </w:p>
    <w:p w14:paraId="067AA0B2" w14:textId="67BBE629" w:rsidR="00CF3ED7" w:rsidRDefault="00CF3ED7" w:rsidP="00CF3ED7">
      <w:r>
        <w:t xml:space="preserve">L’ensemble des dispositifs médicaux commercialisés dans la Communauté Européenne devra recevoir la certification CE RMD avant le 26 mai 2024. </w:t>
      </w:r>
    </w:p>
    <w:p w14:paraId="7948BFA4" w14:textId="29738AB5" w:rsidR="00CF3ED7" w:rsidRDefault="00CF3ED7" w:rsidP="00CF3ED7">
      <w:r>
        <w:t xml:space="preserve">Consciente de cet enjeu, Spineway </w:t>
      </w:r>
      <w:r w:rsidRPr="00B545BF">
        <w:t xml:space="preserve">a anticipé ce sujet et </w:t>
      </w:r>
      <w:r>
        <w:t>a mobilisé des budgets importants</w:t>
      </w:r>
      <w:r w:rsidRPr="00BF31AD">
        <w:t xml:space="preserve"> </w:t>
      </w:r>
      <w:r w:rsidRPr="00B545BF">
        <w:t>depuis 2 ans</w:t>
      </w:r>
      <w:r>
        <w:t xml:space="preserve">, efforts qui vont se poursuivre encore sur la période à venir et ce a minima jusqu’en 2022-2023, afin de garantir le passage sous le nouveau référentiel CE RMD de l’ensemble de ses gammes. </w:t>
      </w:r>
    </w:p>
    <w:p w14:paraId="3286D290" w14:textId="77777777" w:rsidR="00CF3ED7" w:rsidRDefault="00CF3ED7" w:rsidP="3FF7E03D"/>
    <w:p w14:paraId="39E60483" w14:textId="77777777" w:rsidR="005B42F0" w:rsidRDefault="005B42F0" w:rsidP="3FF7E03D"/>
    <w:p w14:paraId="4847E1DE" w14:textId="77777777" w:rsidR="005B42F0" w:rsidRDefault="005B42F0" w:rsidP="3FF7E03D"/>
    <w:p w14:paraId="40F9C7E4" w14:textId="0B54B4BA" w:rsidR="0046328F" w:rsidRDefault="0046328F" w:rsidP="3FF7E03D">
      <w:r w:rsidRPr="3FF7E03D">
        <w:lastRenderedPageBreak/>
        <w:t>La</w:t>
      </w:r>
      <w:r w:rsidR="0014468F" w:rsidRPr="0046328F">
        <w:rPr>
          <w:szCs w:val="20"/>
        </w:rPr>
        <w:t xml:space="preserve"> </w:t>
      </w:r>
      <w:r w:rsidRPr="3FF7E03D">
        <w:t>S</w:t>
      </w:r>
      <w:r w:rsidR="0014468F" w:rsidRPr="3FF7E03D">
        <w:t xml:space="preserve">ociété </w:t>
      </w:r>
      <w:r w:rsidRPr="3FF7E03D">
        <w:t xml:space="preserve">a </w:t>
      </w:r>
      <w:r w:rsidR="00F011BA" w:rsidRPr="3FF7E03D">
        <w:t xml:space="preserve">d’ailleurs </w:t>
      </w:r>
      <w:r w:rsidRPr="3FF7E03D">
        <w:t>désigné un nouvel organisme notificateur (T</w:t>
      </w:r>
      <w:r w:rsidR="00B2272B">
        <w:t>Ü</w:t>
      </w:r>
      <w:r w:rsidRPr="3FF7E03D">
        <w:t xml:space="preserve">V Rheinland, un des premiers organismes accrédités </w:t>
      </w:r>
      <w:r w:rsidR="00696043">
        <w:t>RMD</w:t>
      </w:r>
      <w:r w:rsidRPr="3FF7E03D">
        <w:t xml:space="preserve">) en lui transférant le certificat CE de son portefeuille produits sous marquage </w:t>
      </w:r>
      <w:r w:rsidR="3FF7E03D">
        <w:t>MDD</w:t>
      </w:r>
      <w:r w:rsidRPr="3FF7E03D">
        <w:rPr>
          <w:rStyle w:val="Marquenotebasdepage"/>
        </w:rPr>
        <w:footnoteReference w:id="2"/>
      </w:r>
      <w:r w:rsidRPr="3FF7E03D">
        <w:t xml:space="preserve"> et a</w:t>
      </w:r>
      <w:r w:rsidR="0014468F" w:rsidRPr="0046328F">
        <w:rPr>
          <w:szCs w:val="20"/>
        </w:rPr>
        <w:t xml:space="preserve"> </w:t>
      </w:r>
      <w:r w:rsidRPr="3FF7E03D">
        <w:t xml:space="preserve">ainsi pu </w:t>
      </w:r>
      <w:r w:rsidR="0014468F" w:rsidRPr="3FF7E03D">
        <w:t xml:space="preserve">solliciter l’extension du délai de validité pour l’ensemble de </w:t>
      </w:r>
      <w:r w:rsidRPr="3FF7E03D">
        <w:t>s</w:t>
      </w:r>
      <w:r w:rsidR="0014468F" w:rsidRPr="3FF7E03D">
        <w:t>es gammes sous marquage</w:t>
      </w:r>
      <w:r w:rsidR="0014468F" w:rsidRPr="0046328F">
        <w:rPr>
          <w:szCs w:val="20"/>
        </w:rPr>
        <w:t xml:space="preserve">. </w:t>
      </w:r>
      <w:r>
        <w:t xml:space="preserve">Ce processus d’extension est </w:t>
      </w:r>
      <w:r w:rsidR="0014468F" w:rsidRPr="0014468F">
        <w:t xml:space="preserve">en cours et sécurisera les homologations jusqu’en mai 2024. </w:t>
      </w:r>
    </w:p>
    <w:p w14:paraId="62D785AE" w14:textId="1B593AE9" w:rsidR="3FF7E03D" w:rsidRDefault="3FF7E03D"/>
    <w:p w14:paraId="675203D7" w14:textId="7E10941A" w:rsidR="0046328F" w:rsidRPr="0014468F" w:rsidRDefault="00696043" w:rsidP="0046328F">
      <w:pPr>
        <w:rPr>
          <w:szCs w:val="20"/>
        </w:rPr>
      </w:pPr>
      <w:r>
        <w:t xml:space="preserve">En ce sens, des efforts ont été maintenus via notamment le </w:t>
      </w:r>
      <w:r w:rsidR="3FF7E03D">
        <w:t>recours à des intervenants extérieurs (CDD, free-lance, prestataire</w:t>
      </w:r>
      <w:r w:rsidR="00CF3ED7">
        <w:t>s</w:t>
      </w:r>
      <w:r w:rsidR="3FF7E03D">
        <w:t xml:space="preserve">) notamment sur la partie collecte des données cliniques. Ces renforts permettent de sécuriser l’ensemble du process </w:t>
      </w:r>
      <w:r>
        <w:t xml:space="preserve">RMD </w:t>
      </w:r>
      <w:r w:rsidR="3FF7E03D">
        <w:t xml:space="preserve">avec un 1er dossier (instruments) qui devrait voir la 1ère homologation en </w:t>
      </w:r>
      <w:r>
        <w:t xml:space="preserve">RMD </w:t>
      </w:r>
      <w:r w:rsidR="3FF7E03D">
        <w:t>avant l’été 2021.</w:t>
      </w:r>
      <w:r>
        <w:t xml:space="preserve"> </w:t>
      </w:r>
      <w:r w:rsidR="0046328F" w:rsidRPr="0014468F">
        <w:rPr>
          <w:szCs w:val="20"/>
        </w:rPr>
        <w:t xml:space="preserve">La Société peut </w:t>
      </w:r>
      <w:r w:rsidR="0046328F">
        <w:rPr>
          <w:szCs w:val="20"/>
        </w:rPr>
        <w:t xml:space="preserve">effectivement </w:t>
      </w:r>
      <w:r w:rsidR="0046328F" w:rsidRPr="0014468F">
        <w:rPr>
          <w:szCs w:val="20"/>
        </w:rPr>
        <w:t>s’appuyer sur une équipe structurée et compétente pour limiter le risque de perte d’autorisations, certifications ou non renouvellement.</w:t>
      </w:r>
    </w:p>
    <w:p w14:paraId="4154DC1D" w14:textId="77777777" w:rsidR="0014468F" w:rsidRPr="0014468F" w:rsidRDefault="0014468F" w:rsidP="00A65AA1">
      <w:pPr>
        <w:rPr>
          <w:szCs w:val="20"/>
        </w:rPr>
      </w:pPr>
    </w:p>
    <w:p w14:paraId="160EA0A6" w14:textId="5D0EB316" w:rsidR="00CD1999" w:rsidRDefault="3FF7E03D" w:rsidP="00C471F6">
      <w:r w:rsidRPr="00CC11D4">
        <w:t xml:space="preserve">Par ailleurs, le système qualité de Spineway lui a permis d’obtenir la certification ISO 13485 dès 2006. </w:t>
      </w:r>
      <w:r w:rsidRPr="00B545BF">
        <w:t>Depuis 2006, la certification ISO a été constamment renouvelée avec le même organisme notifié, la société norvégienne DNV puis auprès du T</w:t>
      </w:r>
      <w:r w:rsidR="00B2272B">
        <w:t>Ü</w:t>
      </w:r>
      <w:r w:rsidRPr="00B545BF">
        <w:t xml:space="preserve">V Rheinland en mai 2020. </w:t>
      </w:r>
    </w:p>
    <w:p w14:paraId="6AEB33C3" w14:textId="77777777" w:rsidR="00EB03FF" w:rsidRDefault="00EB03FF" w:rsidP="0040365B"/>
    <w:p w14:paraId="70256133" w14:textId="17A5CAA4" w:rsidR="003E5665" w:rsidRDefault="3FF7E03D" w:rsidP="003E5665">
      <w:pPr>
        <w:rPr>
          <w:b/>
          <w:bCs/>
        </w:rPr>
      </w:pPr>
      <w:r w:rsidRPr="00CC11D4">
        <w:t xml:space="preserve">La Société attribue à ce risque un niveau </w:t>
      </w:r>
      <w:r w:rsidRPr="00CC11D4">
        <w:rPr>
          <w:b/>
          <w:bCs/>
          <w:u w:val="single"/>
        </w:rPr>
        <w:t>moyen</w:t>
      </w:r>
      <w:r w:rsidRPr="00CC11D4">
        <w:rPr>
          <w:b/>
          <w:bCs/>
        </w:rPr>
        <w:t>.</w:t>
      </w:r>
    </w:p>
    <w:p w14:paraId="173C4200" w14:textId="77777777" w:rsidR="00016D04" w:rsidRDefault="00016D04" w:rsidP="003E5665">
      <w:pPr>
        <w:rPr>
          <w:b/>
          <w:bCs/>
        </w:rPr>
      </w:pPr>
    </w:p>
    <w:p w14:paraId="4B3B08C6" w14:textId="511C4C4E" w:rsidR="00016D04" w:rsidRPr="00B52D33" w:rsidRDefault="00016D04" w:rsidP="00016D04">
      <w:pPr>
        <w:pStyle w:val="Titre3"/>
      </w:pPr>
      <w:bookmarkStart w:id="68" w:name="_Toc475033170"/>
      <w:r>
        <w:t>3</w:t>
      </w:r>
      <w:r w:rsidRPr="00C36806">
        <w:t>.</w:t>
      </w:r>
      <w:r w:rsidR="00976C36">
        <w:t>4</w:t>
      </w:r>
      <w:r w:rsidRPr="00C36806">
        <w:t>.</w:t>
      </w:r>
      <w:r>
        <w:t xml:space="preserve">2 </w:t>
      </w:r>
      <w:r w:rsidRPr="00B52D33">
        <w:t>Risques liés à la propriété intellectuelle</w:t>
      </w:r>
      <w:bookmarkEnd w:id="68"/>
    </w:p>
    <w:p w14:paraId="32CC811A" w14:textId="77777777" w:rsidR="00016D04" w:rsidRDefault="00016D04" w:rsidP="00016D04">
      <w:pPr>
        <w:rPr>
          <w:b/>
        </w:rPr>
      </w:pPr>
    </w:p>
    <w:p w14:paraId="6A818EDF" w14:textId="77777777" w:rsidR="00016D04" w:rsidRPr="00A65AA1" w:rsidRDefault="00016D04" w:rsidP="00016D04">
      <w:pPr>
        <w:rPr>
          <w:b/>
        </w:rPr>
      </w:pPr>
      <w:r w:rsidRPr="00A65AA1">
        <w:rPr>
          <w:b/>
        </w:rPr>
        <w:t xml:space="preserve">Le Groupe </w:t>
      </w:r>
      <w:r>
        <w:rPr>
          <w:b/>
        </w:rPr>
        <w:t>privilégie</w:t>
      </w:r>
      <w:r w:rsidRPr="00A65AA1">
        <w:rPr>
          <w:b/>
        </w:rPr>
        <w:t xml:space="preserve"> une politique active visant à protéger le caractère exclusif de sa propriété intellectuelle. Cependant, le Groupe pourrait ne pas être en mesure de maintenir ou d’obtenir une protection adéquate et, par là même, de conserver tous les avantages technologiques et concurrentiels qui en découlent</w:t>
      </w:r>
      <w:r>
        <w:rPr>
          <w:b/>
        </w:rPr>
        <w:t>.</w:t>
      </w:r>
    </w:p>
    <w:p w14:paraId="0752E558" w14:textId="77777777" w:rsidR="00016D04" w:rsidRDefault="00016D04" w:rsidP="00016D04"/>
    <w:p w14:paraId="12351CC4" w14:textId="77777777" w:rsidR="00016D04" w:rsidRDefault="00016D04" w:rsidP="00016D04">
      <w:r w:rsidRPr="00852617">
        <w:t xml:space="preserve">Le succès </w:t>
      </w:r>
      <w:r>
        <w:t>du Groupe</w:t>
      </w:r>
      <w:r w:rsidRPr="00852617">
        <w:t xml:space="preserve"> dépend </w:t>
      </w:r>
      <w:r>
        <w:t xml:space="preserve">en partie </w:t>
      </w:r>
      <w:r w:rsidRPr="00852617">
        <w:t xml:space="preserve">de sa capacité à protéger ses propres procédés et produits contre les utilisations illicites qui pourraient en être faites par des tiers. </w:t>
      </w:r>
      <w:r>
        <w:t>Pour protéger ses droits, S</w:t>
      </w:r>
      <w:r w:rsidRPr="00852617">
        <w:t>pineway s’app</w:t>
      </w:r>
      <w:r>
        <w:t xml:space="preserve">uie </w:t>
      </w:r>
      <w:r w:rsidRPr="00852617">
        <w:t>sur la protection offerte par les brevets</w:t>
      </w:r>
      <w:r>
        <w:t xml:space="preserve">, </w:t>
      </w:r>
      <w:r w:rsidRPr="00852617">
        <w:t xml:space="preserve">les marques, les secrets commerciaux, le savoir-faire, les accords de confidentialité et </w:t>
      </w:r>
      <w:r>
        <w:t>d’</w:t>
      </w:r>
      <w:r w:rsidRPr="00852617">
        <w:t>autres restrictions contractuelles. Cependant, ces moyens n’offrent qu’une protection limitée et pourraient ne pas empêcher une utilisation illicite des droits</w:t>
      </w:r>
      <w:r>
        <w:t>, produits et technologies</w:t>
      </w:r>
      <w:r w:rsidRPr="00852617">
        <w:t xml:space="preserve"> appartenant à la Société. </w:t>
      </w:r>
      <w:r>
        <w:t xml:space="preserve">Une </w:t>
      </w:r>
      <w:r w:rsidRPr="00852617">
        <w:t>exploitation non autorisée des procédés ou produits de la Société par des tiers pourrait notamment conduire à la perte par la Société d’un avantage concurrentiel ou de parts de marché, ainsi qu’à une incapacité à conquérir de nouvelles parts de marché. De tels événements pourraient avoir un effet défavorable sur l’activité</w:t>
      </w:r>
      <w:r>
        <w:t>, le patrimoine</w:t>
      </w:r>
      <w:r w:rsidRPr="00852617">
        <w:t xml:space="preserve"> ou la situation financière </w:t>
      </w:r>
      <w:r>
        <w:t>du Groupe</w:t>
      </w:r>
      <w:r w:rsidRPr="00852617">
        <w:t xml:space="preserve">. </w:t>
      </w:r>
    </w:p>
    <w:p w14:paraId="1A9D3CBC" w14:textId="77777777" w:rsidR="00016D04" w:rsidRDefault="00016D04" w:rsidP="00016D04"/>
    <w:p w14:paraId="1D2FAE3F" w14:textId="77777777" w:rsidR="00016D04" w:rsidRDefault="00016D04" w:rsidP="00016D04">
      <w:pPr>
        <w:rPr>
          <w:szCs w:val="18"/>
        </w:rPr>
      </w:pPr>
      <w:r>
        <w:rPr>
          <w:szCs w:val="18"/>
        </w:rPr>
        <w:t>A l’inverse, la S</w:t>
      </w:r>
      <w:r w:rsidRPr="00FA09F4">
        <w:rPr>
          <w:szCs w:val="18"/>
        </w:rPr>
        <w:t xml:space="preserve">ociété ne peut garantir qu’elle n’enfreindra pas la propriété intellectuelle d’autrui, et ce pour deux raisons principales : </w:t>
      </w:r>
    </w:p>
    <w:p w14:paraId="493C7855" w14:textId="77777777" w:rsidR="00016D04" w:rsidRPr="00504089" w:rsidRDefault="00016D04" w:rsidP="00016D04">
      <w:pPr>
        <w:pStyle w:val="Paragraphedeliste"/>
        <w:numPr>
          <w:ilvl w:val="0"/>
          <w:numId w:val="69"/>
        </w:numPr>
        <w:rPr>
          <w:szCs w:val="18"/>
        </w:rPr>
      </w:pPr>
      <w:r w:rsidRPr="00504089">
        <w:rPr>
          <w:szCs w:val="18"/>
        </w:rPr>
        <w:t xml:space="preserve">le nombre et la complexité des brevets internationaux existants rendent difficile la compréhension de la réelle liberté d’exploitation des nombreux dispositifs déjà présents sur le marché. </w:t>
      </w:r>
    </w:p>
    <w:p w14:paraId="2FE13FBA" w14:textId="77777777" w:rsidR="00016D04" w:rsidRPr="00504089" w:rsidRDefault="00016D04" w:rsidP="00016D04">
      <w:pPr>
        <w:pStyle w:val="Paragraphedeliste"/>
        <w:numPr>
          <w:ilvl w:val="0"/>
          <w:numId w:val="69"/>
        </w:numPr>
        <w:rPr>
          <w:szCs w:val="18"/>
        </w:rPr>
      </w:pPr>
      <w:r>
        <w:rPr>
          <w:szCs w:val="18"/>
        </w:rPr>
        <w:t xml:space="preserve">l’impossibilité </w:t>
      </w:r>
      <w:r w:rsidRPr="00504089">
        <w:rPr>
          <w:szCs w:val="18"/>
        </w:rPr>
        <w:t>de connaître par avance les brevets en cours de demande et non encore rendus publics, qui pourraient interférer, lors de leur publication, avec toute ou partie des produits ou des droits de la Société.</w:t>
      </w:r>
    </w:p>
    <w:p w14:paraId="6F569D28" w14:textId="77777777" w:rsidR="00016D04" w:rsidRPr="00715BF7" w:rsidRDefault="00016D04" w:rsidP="00016D04">
      <w:pPr>
        <w:rPr>
          <w:szCs w:val="20"/>
        </w:rPr>
      </w:pPr>
    </w:p>
    <w:p w14:paraId="68D7F885" w14:textId="5DC4E9EA" w:rsidR="00016D04" w:rsidRPr="00341807" w:rsidRDefault="00016D04" w:rsidP="00016D04">
      <w:r>
        <w:t xml:space="preserve">En maîtrisant sa </w:t>
      </w:r>
      <w:r w:rsidR="00696043">
        <w:t>R&amp;D</w:t>
      </w:r>
      <w:r w:rsidR="00CF3ED7">
        <w:t xml:space="preserve">, en effectuant ses propres recherches, en missionnant un cabinet de Propriété Intellectuelle pour assurer une veille, </w:t>
      </w:r>
      <w:r w:rsidR="00740ED6">
        <w:t xml:space="preserve"> </w:t>
      </w:r>
      <w:r>
        <w:t xml:space="preserve">et en faisant réaliser </w:t>
      </w:r>
      <w:r w:rsidR="00CF3ED7">
        <w:t xml:space="preserve">sa R&amp;D </w:t>
      </w:r>
      <w:r>
        <w:t>principalement en interne ou en collaboration avec des chirurgiens référents supportés par des contrats incluant des clauses précises relatives à la propriété intellectuelle, la Société s’assure la maîtrise de ses droits de propriété intellectuelle.</w:t>
      </w:r>
    </w:p>
    <w:p w14:paraId="40660339" w14:textId="77777777" w:rsidR="00016D04" w:rsidRDefault="00016D04" w:rsidP="00016D04">
      <w:pPr>
        <w:rPr>
          <w:color w:val="FF0000"/>
          <w:szCs w:val="20"/>
        </w:rPr>
      </w:pPr>
    </w:p>
    <w:p w14:paraId="249673AE" w14:textId="77777777" w:rsidR="00016D04" w:rsidRDefault="00016D04" w:rsidP="00016D04">
      <w:pPr>
        <w:rPr>
          <w:b/>
          <w:szCs w:val="20"/>
        </w:rPr>
      </w:pPr>
      <w:r w:rsidRPr="00341807">
        <w:rPr>
          <w:b/>
          <w:szCs w:val="20"/>
        </w:rPr>
        <w:t>Sur la titularité des droits</w:t>
      </w:r>
    </w:p>
    <w:p w14:paraId="3AE0A91C" w14:textId="77777777" w:rsidR="00016D04" w:rsidRDefault="00016D04" w:rsidP="00016D04">
      <w:pPr>
        <w:pStyle w:val="Commentaire"/>
      </w:pPr>
    </w:p>
    <w:p w14:paraId="57C47B46" w14:textId="77777777" w:rsidR="00016D04" w:rsidRPr="001076D1" w:rsidRDefault="00016D04" w:rsidP="00016D04">
      <w:pPr>
        <w:rPr>
          <w:szCs w:val="20"/>
        </w:rPr>
      </w:pPr>
      <w:r w:rsidRPr="001076D1">
        <w:rPr>
          <w:szCs w:val="20"/>
        </w:rPr>
        <w:t>S’agissant des découvertes qui pourraient être faites par des salariés, les contrats de travail signés par Spineway avec ses collaborateurs prévoient le versement aux salariés concernés d’une prime d’inventivité.</w:t>
      </w:r>
    </w:p>
    <w:p w14:paraId="27BA200C" w14:textId="79103F1C" w:rsidR="00016D04" w:rsidRPr="001076D1" w:rsidRDefault="00016D04" w:rsidP="00016D04">
      <w:pPr>
        <w:rPr>
          <w:szCs w:val="20"/>
        </w:rPr>
      </w:pPr>
      <w:r w:rsidRPr="001076D1">
        <w:rPr>
          <w:szCs w:val="20"/>
        </w:rPr>
        <w:t>En cas de dépôt, par Spineway, de brevet(s) co-développé</w:t>
      </w:r>
      <w:r w:rsidR="00696043">
        <w:rPr>
          <w:szCs w:val="20"/>
        </w:rPr>
        <w:t>(</w:t>
      </w:r>
      <w:r w:rsidRPr="001076D1">
        <w:rPr>
          <w:szCs w:val="20"/>
        </w:rPr>
        <w:t>s</w:t>
      </w:r>
      <w:r w:rsidR="00696043">
        <w:rPr>
          <w:szCs w:val="20"/>
        </w:rPr>
        <w:t>)</w:t>
      </w:r>
      <w:r w:rsidRPr="001076D1">
        <w:rPr>
          <w:szCs w:val="20"/>
        </w:rPr>
        <w:t xml:space="preserve"> avec des chirurgiens (dans le cadre de coopérations scientifiques et/ou technologiques), un contrat est signé et prévoit le versement de royalties calculés en fonction d’un chiffre d’affaires. </w:t>
      </w:r>
    </w:p>
    <w:p w14:paraId="129DB471" w14:textId="290508DF" w:rsidR="00016D04" w:rsidRPr="00C40798" w:rsidRDefault="00016D04" w:rsidP="005B42F0">
      <w:r w:rsidRPr="001076D1">
        <w:rPr>
          <w:szCs w:val="20"/>
        </w:rPr>
        <w:lastRenderedPageBreak/>
        <w:t>Toutefois, et en cas de désaccord persistant entre les partenaires sur la titularité de droits, il existe un risque que le partenaire concerné revendique les droits de propriété intellectuelle sur les résultats auxquels il a contribué et risque d’empêcher ou de gêner la Société dans l’exploitation de la technologie développée dans le cadre de ces accords. C’est pourquoi, Spineway a également mis en place une nouvelle procédure visant à formaliser, en parallèle du versement de royalties, la cession au profit de Spineway, de l’ensemble des droits de propriété intellectuelle des co-développeurs attachés aux brevets déposés par Spineway .</w:t>
      </w:r>
    </w:p>
    <w:p w14:paraId="472008B3" w14:textId="77777777" w:rsidR="00016D04" w:rsidRPr="00376A66" w:rsidRDefault="00016D04" w:rsidP="00016D04">
      <w:pPr>
        <w:pStyle w:val="Titre6"/>
        <w:rPr>
          <w:b/>
          <w:color w:val="auto"/>
          <w:szCs w:val="20"/>
        </w:rPr>
      </w:pPr>
      <w:r w:rsidRPr="00376A66">
        <w:rPr>
          <w:b/>
          <w:color w:val="auto"/>
          <w:szCs w:val="20"/>
        </w:rPr>
        <w:t>Sur les brevets</w:t>
      </w:r>
    </w:p>
    <w:p w14:paraId="32FA96F7" w14:textId="77777777" w:rsidR="00016D04" w:rsidRPr="00F44E7C" w:rsidRDefault="00016D04" w:rsidP="00016D04">
      <w:pPr>
        <w:rPr>
          <w:color w:val="FF0000"/>
        </w:rPr>
      </w:pPr>
    </w:p>
    <w:p w14:paraId="527E56B3" w14:textId="77777777" w:rsidR="00016D04" w:rsidRDefault="00016D04" w:rsidP="00016D04">
      <w:pPr>
        <w:rPr>
          <w:color w:val="000000"/>
          <w:szCs w:val="18"/>
        </w:rPr>
      </w:pPr>
      <w:r w:rsidRPr="00FA09F4">
        <w:rPr>
          <w:color w:val="000000"/>
          <w:szCs w:val="18"/>
        </w:rPr>
        <w:t>Spineway est titulaire de plusieurs brevets d’invention</w:t>
      </w:r>
      <w:r>
        <w:rPr>
          <w:color w:val="000000"/>
          <w:szCs w:val="18"/>
        </w:rPr>
        <w:t>.</w:t>
      </w:r>
    </w:p>
    <w:p w14:paraId="10B2599E" w14:textId="664EB143" w:rsidR="00016D04" w:rsidRPr="00FA09F4" w:rsidRDefault="00016D04" w:rsidP="00016D04">
      <w:pPr>
        <w:rPr>
          <w:color w:val="000000"/>
          <w:szCs w:val="18"/>
        </w:rPr>
      </w:pPr>
      <w:r w:rsidRPr="00FA09F4">
        <w:rPr>
          <w:color w:val="000000"/>
          <w:szCs w:val="18"/>
        </w:rPr>
        <w:t>L’opportunité d</w:t>
      </w:r>
      <w:r>
        <w:rPr>
          <w:color w:val="000000"/>
          <w:szCs w:val="18"/>
        </w:rPr>
        <w:t>‘un</w:t>
      </w:r>
      <w:r w:rsidRPr="00FA09F4">
        <w:rPr>
          <w:color w:val="000000"/>
          <w:szCs w:val="18"/>
        </w:rPr>
        <w:t xml:space="preserve"> dépôt de brevets à l’étranger</w:t>
      </w:r>
      <w:r>
        <w:rPr>
          <w:color w:val="000000"/>
          <w:szCs w:val="18"/>
        </w:rPr>
        <w:t xml:space="preserve"> </w:t>
      </w:r>
      <w:r w:rsidRPr="00FA09F4">
        <w:rPr>
          <w:color w:val="000000"/>
          <w:szCs w:val="18"/>
        </w:rPr>
        <w:t xml:space="preserve">est mesurée en fonction du degré d’inventivité dudit brevet et de la faculté de la Société </w:t>
      </w:r>
      <w:r w:rsidR="00696043">
        <w:rPr>
          <w:color w:val="000000"/>
          <w:szCs w:val="18"/>
        </w:rPr>
        <w:t xml:space="preserve">à </w:t>
      </w:r>
      <w:r w:rsidR="00696043" w:rsidRPr="00FA09F4">
        <w:rPr>
          <w:color w:val="000000"/>
          <w:szCs w:val="18"/>
        </w:rPr>
        <w:t xml:space="preserve">agir </w:t>
      </w:r>
      <w:r w:rsidRPr="00FA09F4">
        <w:rPr>
          <w:color w:val="000000"/>
          <w:szCs w:val="18"/>
        </w:rPr>
        <w:t xml:space="preserve">contre les éventuels contrefaisants. </w:t>
      </w:r>
      <w:r>
        <w:rPr>
          <w:color w:val="000000"/>
          <w:szCs w:val="18"/>
        </w:rPr>
        <w:t>Les</w:t>
      </w:r>
      <w:r w:rsidRPr="00FA09F4">
        <w:rPr>
          <w:color w:val="000000"/>
          <w:szCs w:val="18"/>
        </w:rPr>
        <w:t xml:space="preserve"> disparités </w:t>
      </w:r>
      <w:r>
        <w:rPr>
          <w:color w:val="000000"/>
          <w:szCs w:val="18"/>
        </w:rPr>
        <w:t xml:space="preserve">législatives entre les pays </w:t>
      </w:r>
      <w:r w:rsidRPr="00FA09F4">
        <w:rPr>
          <w:color w:val="000000"/>
          <w:szCs w:val="18"/>
        </w:rPr>
        <w:t xml:space="preserve">pourraient empêcher la Société de protéger de manière satisfaisante ses produits, dans un ou plusieurs pays, ou d’assurer un niveau de protection équivalent dans les différents pays. </w:t>
      </w:r>
    </w:p>
    <w:p w14:paraId="2524B846" w14:textId="77777777" w:rsidR="00016D04" w:rsidRDefault="00016D04" w:rsidP="00016D04">
      <w:pPr>
        <w:rPr>
          <w:color w:val="000000"/>
        </w:rPr>
      </w:pPr>
      <w:r w:rsidRPr="3FF7E03D">
        <w:rPr>
          <w:color w:val="000000" w:themeColor="text1"/>
        </w:rPr>
        <w:t>Par ailleurs, même lorsque des brevets sont déposés à l’étranger, les moyens et les connaissances dont la Société dispose ne lui permettent pas, en tout état de cause, d’agir systématiquement contre les contrevenants en cas de contrefaçon. Spineway estime d’ailleurs que le risque de contrefaçons est réel, et que ce risque est renforcé avec son développement sur les marchés asiatiques et dans des pay</w:t>
      </w:r>
      <w:r>
        <w:rPr>
          <w:color w:val="000000" w:themeColor="text1"/>
        </w:rPr>
        <w:t>s</w:t>
      </w:r>
      <w:r w:rsidRPr="3FF7E03D">
        <w:rPr>
          <w:color w:val="000000" w:themeColor="text1"/>
        </w:rPr>
        <w:t xml:space="preserve"> plutôt axés </w:t>
      </w:r>
      <w:r w:rsidRPr="00CC11D4">
        <w:rPr>
          <w:i/>
          <w:color w:val="000000" w:themeColor="text1"/>
        </w:rPr>
        <w:t>G</w:t>
      </w:r>
      <w:r w:rsidRPr="006B3490">
        <w:rPr>
          <w:i/>
          <w:color w:val="000000" w:themeColor="text1"/>
        </w:rPr>
        <w:t>old Standard</w:t>
      </w:r>
      <w:r w:rsidRPr="3FF7E03D">
        <w:rPr>
          <w:color w:val="000000" w:themeColor="text1"/>
        </w:rPr>
        <w:t xml:space="preserve">. </w:t>
      </w:r>
    </w:p>
    <w:p w14:paraId="0CBE1FE9" w14:textId="77777777" w:rsidR="00016D04" w:rsidRDefault="00016D04" w:rsidP="00016D04">
      <w:pPr>
        <w:rPr>
          <w:color w:val="000000" w:themeColor="text1"/>
        </w:rPr>
      </w:pPr>
    </w:p>
    <w:p w14:paraId="74DAF63F" w14:textId="73F34FD2" w:rsidR="00016D04" w:rsidRPr="00C40798" w:rsidRDefault="00016D04" w:rsidP="00016D04">
      <w:pPr>
        <w:rPr>
          <w:color w:val="000000"/>
          <w:szCs w:val="18"/>
        </w:rPr>
      </w:pPr>
      <w:r w:rsidRPr="00FA09F4">
        <w:rPr>
          <w:color w:val="000000"/>
          <w:szCs w:val="18"/>
        </w:rPr>
        <w:t xml:space="preserve">En outre, les moyens et les connaissances dont la Société dispose ne lui permettent pas, de manière exhaustive, de vérifier qu’une technique commercialisée n’est pas elle-même contrefaisante au regard d’un brevet déposé ou de droits détenus par un tiers sur un territoire donné et pourrait voir sa responsabilité </w:t>
      </w:r>
      <w:r>
        <w:rPr>
          <w:color w:val="000000"/>
          <w:szCs w:val="18"/>
        </w:rPr>
        <w:t xml:space="preserve">recherchée et/ou </w:t>
      </w:r>
      <w:r w:rsidRPr="00FA09F4">
        <w:rPr>
          <w:color w:val="000000"/>
          <w:szCs w:val="18"/>
        </w:rPr>
        <w:t xml:space="preserve">engagée à ce titre. Tout litige pourrait aboutir à ce qu’un jugement </w:t>
      </w:r>
      <w:r>
        <w:rPr>
          <w:color w:val="000000"/>
          <w:szCs w:val="18"/>
        </w:rPr>
        <w:t xml:space="preserve">ou une décision </w:t>
      </w:r>
      <w:r w:rsidRPr="00FA09F4">
        <w:rPr>
          <w:color w:val="000000"/>
          <w:szCs w:val="18"/>
        </w:rPr>
        <w:t xml:space="preserve">défavorable à la Société soit rendu, ce qui pourrait affecter sa capacité à protéger ses produits. </w:t>
      </w:r>
      <w:r w:rsidR="00696043">
        <w:rPr>
          <w:color w:val="000000"/>
          <w:szCs w:val="18"/>
        </w:rPr>
        <w:t>Cependant</w:t>
      </w:r>
      <w:r w:rsidRPr="00FA09F4">
        <w:rPr>
          <w:color w:val="000000"/>
          <w:szCs w:val="18"/>
        </w:rPr>
        <w:t xml:space="preserve">, même si un tel litige connaissait une issue favorable à la Société, il n’en reste pas moins que l’implication dans une procédure </w:t>
      </w:r>
      <w:r>
        <w:rPr>
          <w:color w:val="000000"/>
          <w:szCs w:val="18"/>
        </w:rPr>
        <w:t xml:space="preserve">administrative, </w:t>
      </w:r>
      <w:r w:rsidRPr="00FA09F4">
        <w:rPr>
          <w:color w:val="000000"/>
          <w:szCs w:val="18"/>
        </w:rPr>
        <w:t xml:space="preserve">judiciaire </w:t>
      </w:r>
      <w:r>
        <w:rPr>
          <w:color w:val="000000"/>
          <w:szCs w:val="18"/>
        </w:rPr>
        <w:t xml:space="preserve">ou arbitrale </w:t>
      </w:r>
      <w:r w:rsidRPr="00FA09F4">
        <w:rPr>
          <w:color w:val="000000"/>
          <w:szCs w:val="18"/>
        </w:rPr>
        <w:t>de ce type pourrait être consommatrice de temps et induire des coûts substantiels</w:t>
      </w:r>
      <w:r>
        <w:rPr>
          <w:color w:val="000000"/>
          <w:szCs w:val="18"/>
        </w:rPr>
        <w:t xml:space="preserve"> pour la Société</w:t>
      </w:r>
      <w:r w:rsidRPr="00FA09F4">
        <w:rPr>
          <w:color w:val="000000"/>
          <w:szCs w:val="18"/>
        </w:rPr>
        <w:t xml:space="preserve">. </w:t>
      </w:r>
    </w:p>
    <w:p w14:paraId="0F25CF78" w14:textId="77777777" w:rsidR="00016D04" w:rsidRPr="008F40A7" w:rsidRDefault="00016D04" w:rsidP="00016D04">
      <w:pPr>
        <w:pStyle w:val="Titre6"/>
        <w:rPr>
          <w:b/>
          <w:color w:val="auto"/>
          <w:szCs w:val="20"/>
        </w:rPr>
      </w:pPr>
      <w:r w:rsidRPr="008F40A7">
        <w:rPr>
          <w:b/>
          <w:color w:val="auto"/>
          <w:szCs w:val="20"/>
        </w:rPr>
        <w:t>Sur le savoir-faire</w:t>
      </w:r>
    </w:p>
    <w:p w14:paraId="3894D662" w14:textId="77777777" w:rsidR="00016D04" w:rsidRPr="008F40A7" w:rsidRDefault="00016D04" w:rsidP="00016D04"/>
    <w:p w14:paraId="40F13263" w14:textId="77777777" w:rsidR="00016D04" w:rsidRPr="008F40A7" w:rsidRDefault="00016D04" w:rsidP="00016D04">
      <w:pPr>
        <w:rPr>
          <w:szCs w:val="20"/>
        </w:rPr>
      </w:pPr>
      <w:r w:rsidRPr="008F40A7">
        <w:rPr>
          <w:szCs w:val="20"/>
        </w:rPr>
        <w:t>Les produits</w:t>
      </w:r>
      <w:r>
        <w:rPr>
          <w:szCs w:val="20"/>
        </w:rPr>
        <w:t xml:space="preserve"> développé</w:t>
      </w:r>
      <w:r w:rsidRPr="008F40A7">
        <w:rPr>
          <w:szCs w:val="20"/>
        </w:rPr>
        <w:t>s par la Société mettent également en œuvre un savoir-faire.</w:t>
      </w:r>
    </w:p>
    <w:p w14:paraId="0026D011" w14:textId="77777777" w:rsidR="00016D04" w:rsidRPr="008F40A7" w:rsidRDefault="00016D04" w:rsidP="00016D04">
      <w:pPr>
        <w:rPr>
          <w:szCs w:val="20"/>
        </w:rPr>
      </w:pPr>
    </w:p>
    <w:p w14:paraId="6C08D651" w14:textId="77777777" w:rsidR="00016D04" w:rsidRPr="00F44E7C" w:rsidRDefault="00016D04" w:rsidP="00016D04">
      <w:pPr>
        <w:rPr>
          <w:color w:val="FF0000"/>
          <w:szCs w:val="20"/>
        </w:rPr>
      </w:pPr>
      <w:r w:rsidRPr="008F40A7">
        <w:rPr>
          <w:szCs w:val="20"/>
        </w:rPr>
        <w:t>La Société ne peut pas garantir que Spineway et ses produits, qui sont étroitement liés à son savoir-faire et ses secrets commerciaux, sont adéquatement protégés contre les concurrents et ne pourront être usurpés, ou contournés, par ces derniers.</w:t>
      </w:r>
      <w:r w:rsidRPr="00F44E7C">
        <w:rPr>
          <w:color w:val="FF0000"/>
          <w:szCs w:val="20"/>
        </w:rPr>
        <w:t xml:space="preserve"> </w:t>
      </w:r>
    </w:p>
    <w:p w14:paraId="2A12DFD5" w14:textId="30E64D59" w:rsidR="00016D04" w:rsidRPr="00C40798" w:rsidRDefault="00016D04" w:rsidP="00016D04">
      <w:r>
        <w:t xml:space="preserve">Le Groupe cherche à limiter la communication d’éléments clés de son savoir-faire (notamment en matière de </w:t>
      </w:r>
      <w:r w:rsidR="00740ED6">
        <w:t>R&amp;D</w:t>
      </w:r>
      <w:r>
        <w:t>)</w:t>
      </w:r>
      <w:r w:rsidR="00696043">
        <w:t>, en</w:t>
      </w:r>
      <w:r>
        <w:t>vers des tiers</w:t>
      </w:r>
      <w:r w:rsidR="00696043">
        <w:t>,</w:t>
      </w:r>
      <w:r>
        <w:t xml:space="preserve"> aux seules informations strictement nécessaires à la collaboration qu’il entretient avec ceux-ci et il s’assure contractuellement que ces tiers s’engagent à ne pas détourner, utiliser ou communiquer ces informations, au moyen notamment de clauses de confidentialité. Le Groupe ne peut cependant garantir que ces tiers ou que d’anciens salariés respectent ces accords, que le Groupe sera informé d’une violation de ces clauses, ou encore que la réparation qu’il pourrait éventuellement obtenir serait suffisante au regard du préjudice subi.</w:t>
      </w:r>
    </w:p>
    <w:p w14:paraId="3121C0BA" w14:textId="77777777" w:rsidR="00016D04" w:rsidRPr="00376A66" w:rsidRDefault="00016D04" w:rsidP="00016D04">
      <w:pPr>
        <w:pStyle w:val="Titre6"/>
        <w:rPr>
          <w:b/>
          <w:color w:val="auto"/>
          <w:szCs w:val="20"/>
        </w:rPr>
      </w:pPr>
      <w:r w:rsidRPr="00376A66">
        <w:rPr>
          <w:b/>
          <w:color w:val="auto"/>
          <w:szCs w:val="20"/>
        </w:rPr>
        <w:t>Sur les marques </w:t>
      </w:r>
    </w:p>
    <w:p w14:paraId="76EB6AF2" w14:textId="77777777" w:rsidR="00016D04" w:rsidRPr="00F44E7C" w:rsidRDefault="00016D04" w:rsidP="00016D04">
      <w:pPr>
        <w:rPr>
          <w:color w:val="FF0000"/>
        </w:rPr>
      </w:pPr>
    </w:p>
    <w:p w14:paraId="4072BBC7" w14:textId="77777777" w:rsidR="00016D04" w:rsidRDefault="00016D04" w:rsidP="00016D04">
      <w:r>
        <w:t xml:space="preserve">La Société est titulaire de plusieurs marques à la fois européennes et déposées dans différents pays du monde tous continents confondus. Là encore, les moyens matériels dont la Société dispose limitent son champ d’action en cas d’éventuelle contrefaçon. </w:t>
      </w:r>
    </w:p>
    <w:p w14:paraId="0C9A907F" w14:textId="77777777" w:rsidR="00016D04" w:rsidRPr="00715BF7" w:rsidRDefault="00016D04" w:rsidP="00016D04">
      <w:pPr>
        <w:rPr>
          <w:szCs w:val="20"/>
        </w:rPr>
      </w:pPr>
      <w:r w:rsidRPr="00715BF7">
        <w:t>En effet</w:t>
      </w:r>
      <w:r w:rsidRPr="00715BF7">
        <w:rPr>
          <w:szCs w:val="20"/>
        </w:rPr>
        <w:t xml:space="preserve">, des tiers pourraient malgré tout utiliser ou tenter d’utiliser cette marque ou d’autres marques du Groupe. </w:t>
      </w:r>
    </w:p>
    <w:p w14:paraId="20A60B64" w14:textId="77777777" w:rsidR="00016D04" w:rsidRPr="00E07BCE" w:rsidRDefault="00016D04" w:rsidP="00016D04">
      <w:r>
        <w:t xml:space="preserve">De la même manière, si un tiers venait à utiliser une marque identique ou similaire dans les classes visées dans les certificats d’enregistrement, toute qualification de contrefaçon pourrait être tenue en échec si la marque était considérée comme nulle en ce qu’elle est insuffisamment distinctive et/ou trop descriptive par rapport aux produits qu’elle identifie. </w:t>
      </w:r>
    </w:p>
    <w:p w14:paraId="1D0FB819" w14:textId="77777777" w:rsidR="00016D04" w:rsidRPr="00E07BCE" w:rsidRDefault="00016D04" w:rsidP="00016D04">
      <w:pPr>
        <w:rPr>
          <w:szCs w:val="20"/>
        </w:rPr>
      </w:pPr>
    </w:p>
    <w:p w14:paraId="7F165678" w14:textId="77777777" w:rsidR="00016D04" w:rsidRPr="00C40798" w:rsidRDefault="00016D04" w:rsidP="00016D04">
      <w:pPr>
        <w:rPr>
          <w:szCs w:val="20"/>
        </w:rPr>
      </w:pPr>
      <w:r w:rsidRPr="00E07BCE">
        <w:rPr>
          <w:szCs w:val="20"/>
        </w:rPr>
        <w:t>Si ce risque venait à se réaliser, cela pourrait compromettre la protection des noms permettant l’identification des produits de la Société par les clients, les prospects et, d’une manière générale, le public.</w:t>
      </w:r>
    </w:p>
    <w:p w14:paraId="17002D10" w14:textId="77777777" w:rsidR="00016D04" w:rsidRPr="00F44E7C" w:rsidRDefault="00016D04" w:rsidP="00016D04">
      <w:pPr>
        <w:rPr>
          <w:b/>
          <w:color w:val="FF0000"/>
        </w:rPr>
      </w:pPr>
    </w:p>
    <w:p w14:paraId="08B0D80B" w14:textId="77777777" w:rsidR="005B42F0" w:rsidRDefault="005B42F0" w:rsidP="00016D04">
      <w:pPr>
        <w:rPr>
          <w:b/>
        </w:rPr>
      </w:pPr>
    </w:p>
    <w:p w14:paraId="035CE209" w14:textId="77777777" w:rsidR="005B42F0" w:rsidRDefault="005B42F0" w:rsidP="00016D04">
      <w:pPr>
        <w:rPr>
          <w:b/>
        </w:rPr>
      </w:pPr>
    </w:p>
    <w:p w14:paraId="7CCD6ED7" w14:textId="77777777" w:rsidR="00016D04" w:rsidRPr="008F40A7" w:rsidRDefault="00016D04" w:rsidP="00016D04">
      <w:pPr>
        <w:rPr>
          <w:b/>
        </w:rPr>
      </w:pPr>
      <w:r>
        <w:rPr>
          <w:b/>
        </w:rPr>
        <w:lastRenderedPageBreak/>
        <w:t>Les a</w:t>
      </w:r>
      <w:r w:rsidRPr="008F40A7">
        <w:rPr>
          <w:b/>
        </w:rPr>
        <w:t>ctions en contrefaçon</w:t>
      </w:r>
    </w:p>
    <w:p w14:paraId="70221880" w14:textId="77777777" w:rsidR="00016D04" w:rsidRPr="00F44E7C" w:rsidRDefault="00016D04" w:rsidP="00016D04">
      <w:pPr>
        <w:rPr>
          <w:color w:val="FF0000"/>
          <w:szCs w:val="20"/>
        </w:rPr>
      </w:pPr>
    </w:p>
    <w:p w14:paraId="6712E401" w14:textId="77777777" w:rsidR="00016D04" w:rsidRPr="00715BF7" w:rsidRDefault="00016D04" w:rsidP="00016D04">
      <w:pPr>
        <w:rPr>
          <w:szCs w:val="20"/>
        </w:rPr>
      </w:pPr>
      <w:r w:rsidRPr="00715BF7">
        <w:rPr>
          <w:szCs w:val="20"/>
        </w:rPr>
        <w:t>Il est important, pour la réussite de son activité, que le Groupe soit en mesure d’exploiter librement ses produits et sa technologie.</w:t>
      </w:r>
    </w:p>
    <w:p w14:paraId="5AC1DDCB" w14:textId="77777777" w:rsidR="00016D04" w:rsidRPr="00715BF7" w:rsidRDefault="00016D04" w:rsidP="00016D04">
      <w:pPr>
        <w:rPr>
          <w:szCs w:val="20"/>
        </w:rPr>
      </w:pPr>
    </w:p>
    <w:p w14:paraId="5A669002" w14:textId="77777777" w:rsidR="00016D04" w:rsidRPr="00715BF7" w:rsidRDefault="00016D04" w:rsidP="00016D04">
      <w:pPr>
        <w:rPr>
          <w:szCs w:val="20"/>
        </w:rPr>
      </w:pPr>
      <w:r w:rsidRPr="00715BF7">
        <w:rPr>
          <w:szCs w:val="20"/>
        </w:rPr>
        <w:t>Malgré ses efforts, la Société ne peut totalement garantir qu’il n’existe pas de brevets ou d’autres droits de propriété intellectuelle de tiers susceptibles de couvrir certaines activités, produits ou technologies du Groupe permettant à ces tiers d’agir en contrefaçon, ou sur un fondement similaire, à l’encontre du Groupe en vue d’obtenir des dommages et intérêts ou la cessation de l’utilisation du produit incriminé.</w:t>
      </w:r>
    </w:p>
    <w:p w14:paraId="2BAF7FB5" w14:textId="77777777" w:rsidR="00016D04" w:rsidRPr="00F44E7C" w:rsidRDefault="00016D04" w:rsidP="00016D04">
      <w:pPr>
        <w:rPr>
          <w:color w:val="FF0000"/>
          <w:szCs w:val="20"/>
        </w:rPr>
      </w:pPr>
    </w:p>
    <w:p w14:paraId="06C31A93" w14:textId="77777777" w:rsidR="00016D04" w:rsidRPr="00715BF7" w:rsidRDefault="00016D04" w:rsidP="00016D04">
      <w:pPr>
        <w:rPr>
          <w:szCs w:val="20"/>
        </w:rPr>
      </w:pPr>
      <w:r w:rsidRPr="00715BF7">
        <w:rPr>
          <w:szCs w:val="20"/>
        </w:rPr>
        <w:t>Si ces actions étaient menées à leur terme et reconnues, en tout ou en partie, fondées, le Groupe pourrait être contraint d’arrêter ou de retarder la recherche, le développement, la fabrication ou la commercialisation des produits visés par ces actions, ce qui affecterait de façon significative ses activités dans le secteur d’activité concerné.</w:t>
      </w:r>
    </w:p>
    <w:p w14:paraId="05DF2863" w14:textId="77777777" w:rsidR="00016D04" w:rsidRPr="00715BF7" w:rsidRDefault="00016D04" w:rsidP="00016D04">
      <w:pPr>
        <w:rPr>
          <w:szCs w:val="20"/>
        </w:rPr>
      </w:pPr>
      <w:r w:rsidRPr="00715BF7">
        <w:rPr>
          <w:szCs w:val="20"/>
        </w:rPr>
        <w:t>En particulier, le Groupe pourrait être tenu, outre le paiement d’indemnités financières, de :</w:t>
      </w:r>
    </w:p>
    <w:p w14:paraId="5D1D0D2B" w14:textId="77777777" w:rsidR="00016D04" w:rsidRPr="00715BF7" w:rsidRDefault="00016D04" w:rsidP="00016D04">
      <w:pPr>
        <w:pStyle w:val="Listenumros"/>
        <w:keepNext w:val="0"/>
        <w:numPr>
          <w:ilvl w:val="0"/>
          <w:numId w:val="39"/>
        </w:numPr>
        <w:rPr>
          <w:rFonts w:asciiTheme="majorHAnsi" w:hAnsiTheme="majorHAnsi"/>
          <w:sz w:val="20"/>
          <w:szCs w:val="20"/>
        </w:rPr>
      </w:pPr>
      <w:r w:rsidRPr="00715BF7">
        <w:rPr>
          <w:rFonts w:asciiTheme="majorHAnsi" w:hAnsiTheme="majorHAnsi"/>
          <w:sz w:val="20"/>
          <w:szCs w:val="20"/>
        </w:rPr>
        <w:t>cesser de fabriquer, vendre ou utiliser les produits mis en cause, dans une zone géographique donnée ;</w:t>
      </w:r>
    </w:p>
    <w:p w14:paraId="3E8F1518" w14:textId="77777777" w:rsidR="00016D04" w:rsidRPr="00715BF7" w:rsidRDefault="00016D04" w:rsidP="00016D04">
      <w:pPr>
        <w:pStyle w:val="Listenumros"/>
        <w:keepNext w:val="0"/>
        <w:numPr>
          <w:ilvl w:val="0"/>
          <w:numId w:val="39"/>
        </w:numPr>
        <w:rPr>
          <w:rFonts w:asciiTheme="majorHAnsi" w:hAnsiTheme="majorHAnsi"/>
          <w:sz w:val="20"/>
          <w:szCs w:val="20"/>
        </w:rPr>
      </w:pPr>
      <w:r w:rsidRPr="00715BF7">
        <w:rPr>
          <w:rFonts w:asciiTheme="majorHAnsi" w:hAnsiTheme="majorHAnsi"/>
          <w:sz w:val="20"/>
          <w:szCs w:val="20"/>
        </w:rPr>
        <w:t>obtenir, dans des conditions défavorables au Groupe, une licence sur les droits de propriété intellectuelle de tiers ;</w:t>
      </w:r>
    </w:p>
    <w:p w14:paraId="122917D5" w14:textId="77777777" w:rsidR="00016D04" w:rsidRPr="00715BF7" w:rsidRDefault="00016D04" w:rsidP="00016D04">
      <w:pPr>
        <w:pStyle w:val="Listenumros"/>
        <w:keepNext w:val="0"/>
        <w:numPr>
          <w:ilvl w:val="0"/>
          <w:numId w:val="39"/>
        </w:numPr>
        <w:rPr>
          <w:rFonts w:asciiTheme="majorHAnsi" w:hAnsiTheme="majorHAnsi"/>
          <w:sz w:val="20"/>
          <w:szCs w:val="20"/>
        </w:rPr>
      </w:pPr>
      <w:r w:rsidRPr="00715BF7">
        <w:rPr>
          <w:rFonts w:asciiTheme="majorHAnsi" w:hAnsiTheme="majorHAnsi"/>
          <w:sz w:val="20"/>
          <w:szCs w:val="20"/>
        </w:rPr>
        <w:t>trouver des solutions alternatives afin de ne pas empiéter sur les droits de propriété intellectuelle de tiers, ce qui pourrait, dans certains cas, se révéler impossible ou être couteux en terme de temps et de ressources financières, et pourrait donc faire obstacle à ses efforts de commercialisation.</w:t>
      </w:r>
    </w:p>
    <w:p w14:paraId="4D83FF40" w14:textId="77777777" w:rsidR="00016D04" w:rsidRPr="00715BF7" w:rsidRDefault="00016D04" w:rsidP="00016D04">
      <w:pPr>
        <w:rPr>
          <w:szCs w:val="20"/>
        </w:rPr>
      </w:pPr>
    </w:p>
    <w:p w14:paraId="5BE40EEB" w14:textId="77777777" w:rsidR="00016D04" w:rsidRPr="00715BF7" w:rsidRDefault="00016D04" w:rsidP="00016D04">
      <w:pPr>
        <w:rPr>
          <w:szCs w:val="20"/>
        </w:rPr>
      </w:pPr>
      <w:r w:rsidRPr="00715BF7">
        <w:rPr>
          <w:szCs w:val="20"/>
        </w:rPr>
        <w:t>Une procédure intentée contre le Groupe, quelle qu’en soit l’issue, pourrait entraîner des coûts substantiels, désorganiser son fonctionnement, compromettre tout ou partie de son activité, son image et sa réputation.</w:t>
      </w:r>
    </w:p>
    <w:p w14:paraId="571D30F3" w14:textId="77777777" w:rsidR="00016D04" w:rsidRDefault="00016D04" w:rsidP="00016D04">
      <w:pPr>
        <w:rPr>
          <w:color w:val="FF0000"/>
          <w:szCs w:val="20"/>
        </w:rPr>
      </w:pPr>
    </w:p>
    <w:p w14:paraId="15EBC37B" w14:textId="77777777" w:rsidR="00016D04" w:rsidRDefault="00016D04" w:rsidP="00016D04">
      <w:r>
        <w:t>Le Groupe ne peut donc garantir qu’une utilisation illicite de ses droits de propriété intellectuelle n’ait pour conséquence d’affecter la commercialisation de ses produits et, plus généralement, de nuire aux activités, aux résultats, à la situation financière, au développement et aux perspectives du Groupe. De la même façon, le Groupe ne peut garantir qu’il ne portera pas atteinte, directement ou indirectement, aux droits de propriété intellectuelle de tiers et que cette utilisation illicite n’ait pour conséquence d’affecter gravement la commercialisation de ses produits et, plus généralement, de nuire aux activités, aux résultats, à la situation financière, au développement et aux perspectives du Groupe.</w:t>
      </w:r>
    </w:p>
    <w:p w14:paraId="10B6FA10" w14:textId="77777777" w:rsidR="00016D04" w:rsidRDefault="00016D04" w:rsidP="00016D04">
      <w:pPr>
        <w:rPr>
          <w:szCs w:val="20"/>
        </w:rPr>
      </w:pPr>
    </w:p>
    <w:p w14:paraId="56A3EA03" w14:textId="77777777" w:rsidR="00016D04" w:rsidRPr="00CC11D4" w:rsidRDefault="00016D04" w:rsidP="00016D04">
      <w:r w:rsidRPr="00CC11D4">
        <w:t xml:space="preserve">La Société attribue à ce risque un niveau </w:t>
      </w:r>
      <w:r w:rsidRPr="00CC11D4">
        <w:rPr>
          <w:b/>
          <w:u w:val="single"/>
        </w:rPr>
        <w:t>moyen</w:t>
      </w:r>
      <w:r w:rsidRPr="00CC11D4">
        <w:rPr>
          <w:b/>
        </w:rPr>
        <w:t>.</w:t>
      </w:r>
    </w:p>
    <w:p w14:paraId="695569C0" w14:textId="77777777" w:rsidR="00016D04" w:rsidRPr="006E7FB7" w:rsidRDefault="00016D04" w:rsidP="00016D04">
      <w:pPr>
        <w:rPr>
          <w:szCs w:val="20"/>
        </w:rPr>
      </w:pPr>
    </w:p>
    <w:p w14:paraId="0CC6E3D6" w14:textId="0E32244E" w:rsidR="00016D04" w:rsidRPr="00904EDE" w:rsidRDefault="00016D04" w:rsidP="00016D04">
      <w:pPr>
        <w:pStyle w:val="Titre3"/>
      </w:pPr>
      <w:bookmarkStart w:id="69" w:name="_Toc349133526"/>
      <w:bookmarkStart w:id="70" w:name="_Toc351994612"/>
      <w:bookmarkStart w:id="71" w:name="_Toc475033171"/>
      <w:r>
        <w:t>3</w:t>
      </w:r>
      <w:r w:rsidRPr="00FD6EE8">
        <w:t>.</w:t>
      </w:r>
      <w:r w:rsidR="00976C36">
        <w:t>4</w:t>
      </w:r>
      <w:r>
        <w:t>.</w:t>
      </w:r>
      <w:bookmarkStart w:id="72" w:name="_Ref368039071"/>
      <w:r>
        <w:t>3. Risques liés à une évolution défavorable des politiques de remboursement des dispositifs médicaux</w:t>
      </w:r>
      <w:bookmarkEnd w:id="72"/>
      <w:bookmarkEnd w:id="71"/>
    </w:p>
    <w:p w14:paraId="451F5099" w14:textId="77777777" w:rsidR="00016D04" w:rsidRDefault="00016D04" w:rsidP="00016D04">
      <w:pPr>
        <w:rPr>
          <w:szCs w:val="20"/>
        </w:rPr>
      </w:pPr>
    </w:p>
    <w:p w14:paraId="5D63DED6" w14:textId="77777777" w:rsidR="00016D04" w:rsidRPr="00695EA3" w:rsidRDefault="00016D04" w:rsidP="00016D04">
      <w:pPr>
        <w:autoSpaceDE w:val="0"/>
        <w:autoSpaceDN w:val="0"/>
      </w:pPr>
      <w:r>
        <w:t xml:space="preserve">Le succès des ventes des produits de la Société dépend pour partie de la possibilité d’obtenir des remboursements suffisants par les tiers-payeurs. Or, les gouvernements et les autres tiers payeurs s’efforcent activement de contenir les coûts de santé en limitant à la fois la couverture et le taux de remboursement applicables aux nouveaux développements thérapeutiques. </w:t>
      </w:r>
    </w:p>
    <w:p w14:paraId="5B68AF1A" w14:textId="77777777" w:rsidR="00016D04" w:rsidRDefault="00016D04" w:rsidP="00016D04"/>
    <w:p w14:paraId="5A125FD8" w14:textId="178F7988" w:rsidR="00016D04" w:rsidRPr="00695EA3" w:rsidRDefault="00016D04" w:rsidP="00016D04">
      <w:pPr>
        <w:autoSpaceDE w:val="0"/>
        <w:autoSpaceDN w:val="0"/>
      </w:pPr>
      <w:r>
        <w:t>Spineway</w:t>
      </w:r>
      <w:r w:rsidRPr="00010E74">
        <w:t xml:space="preserve"> anticipe une évolution croissante des propositions législatives </w:t>
      </w:r>
      <w:r>
        <w:t xml:space="preserve">ou réglementaires </w:t>
      </w:r>
      <w:r w:rsidRPr="00010E74">
        <w:t xml:space="preserve">destinées à </w:t>
      </w:r>
      <w:r>
        <w:t>formaliser ces politiques gouvernementales</w:t>
      </w:r>
      <w:r w:rsidRPr="00010E74">
        <w:t xml:space="preserve">. L’adoption de ces propositions ou de </w:t>
      </w:r>
      <w:r>
        <w:t xml:space="preserve">ces </w:t>
      </w:r>
      <w:r w:rsidRPr="00010E74">
        <w:t xml:space="preserve">réformes pourrait avoir un impact </w:t>
      </w:r>
      <w:bookmarkEnd w:id="69"/>
      <w:bookmarkEnd w:id="70"/>
      <w:r>
        <w:t xml:space="preserve">Le succès des ventes des produits de la Société, principalement en Europe et aux Etats-Unis mais également sur la plupart des autres marchés </w:t>
      </w:r>
      <w:r w:rsidR="00696043">
        <w:t xml:space="preserve">sur lesquels intervient </w:t>
      </w:r>
      <w:r>
        <w:t>Spineway, dépend pour partie de la possibilité d’obtenir des remboursements suffisants par les tiers-payeurs. Or, les</w:t>
      </w:r>
      <w:r w:rsidRPr="00010E74">
        <w:t xml:space="preserve"> gouvernements et les autres tiers payeurs s’efforcent activement de contenir les coûts de santé en limitant à la fois la couverture et le taux de remboursement applicables aux nouveaux développements thérapeutiques. </w:t>
      </w:r>
    </w:p>
    <w:p w14:paraId="0DF3D4C9" w14:textId="77777777" w:rsidR="00016D04" w:rsidRDefault="00016D04" w:rsidP="00016D04"/>
    <w:p w14:paraId="5E36EB66" w14:textId="77777777" w:rsidR="00016D04" w:rsidRDefault="00016D04" w:rsidP="00016D04">
      <w:r>
        <w:t xml:space="preserve">Le risque d’évolution défavorable des politiques de remboursement des dispositifs médicaux correspond à une tendance mondiale et </w:t>
      </w:r>
      <w:r w:rsidRPr="002D6039">
        <w:t>se présente sur tous les marchés adressés par Spineway et concerne tous les acteurs du marché.</w:t>
      </w:r>
      <w:r>
        <w:t xml:space="preserve"> </w:t>
      </w:r>
    </w:p>
    <w:p w14:paraId="7BF193B9" w14:textId="77777777" w:rsidR="00016D04" w:rsidRDefault="00016D04" w:rsidP="00016D04">
      <w:r>
        <w:t>Or, S</w:t>
      </w:r>
      <w:r w:rsidRPr="00010E74">
        <w:t xml:space="preserve">pineway </w:t>
      </w:r>
      <w:r>
        <w:t xml:space="preserve">ne peut </w:t>
      </w:r>
      <w:r w:rsidRPr="00010E74">
        <w:t xml:space="preserve">anticiper </w:t>
      </w:r>
      <w:r>
        <w:t xml:space="preserve">tous </w:t>
      </w:r>
      <w:r w:rsidRPr="00010E74">
        <w:t>les éventuels changements de prise en charge et taux de remboursement de ses produits qui seraient décidés par les</w:t>
      </w:r>
      <w:r>
        <w:t xml:space="preserve"> gouvernements et autres tiers-</w:t>
      </w:r>
      <w:r w:rsidRPr="00010E74">
        <w:t>payeurs</w:t>
      </w:r>
      <w:r>
        <w:t>. Spineway doit néanmoins être capable de s’adapter à de tels changements</w:t>
      </w:r>
      <w:r w:rsidRPr="00010E74">
        <w:t xml:space="preserve">. </w:t>
      </w:r>
      <w:r>
        <w:t xml:space="preserve">A défaut, ces changements </w:t>
      </w:r>
      <w:r w:rsidRPr="00010E74">
        <w:t xml:space="preserve">pourraient avoir des effets défavorables significatifs sur les activités, les perspectives, la situation financière, les résultats et le développement </w:t>
      </w:r>
      <w:r>
        <w:t>du Groupe</w:t>
      </w:r>
      <w:r w:rsidRPr="00010E74">
        <w:t>.</w:t>
      </w:r>
    </w:p>
    <w:p w14:paraId="7DBD2115" w14:textId="77777777" w:rsidR="00016D04" w:rsidRDefault="00016D04" w:rsidP="00016D04"/>
    <w:p w14:paraId="5BAB0CA7" w14:textId="4D8BD586" w:rsidR="00016D04" w:rsidRPr="00B53DC6" w:rsidRDefault="00016D04" w:rsidP="00016D04">
      <w:r>
        <w:t>Anticipant</w:t>
      </w:r>
      <w:r w:rsidRPr="00EA4956">
        <w:t xml:space="preserve"> une évolution défavorable des politiques de remboursement, les plans </w:t>
      </w:r>
      <w:r w:rsidRPr="00B53DC6">
        <w:t xml:space="preserve">d’actions </w:t>
      </w:r>
      <w:r>
        <w:t>de</w:t>
      </w:r>
      <w:r w:rsidRPr="00B53DC6">
        <w:t xml:space="preserve"> Spineway</w:t>
      </w:r>
      <w:r>
        <w:t xml:space="preserve"> sont</w:t>
      </w:r>
      <w:r w:rsidRPr="00B53DC6">
        <w:t> </w:t>
      </w:r>
      <w:r w:rsidR="00696043">
        <w:t>de</w:t>
      </w:r>
      <w:r w:rsidRPr="00B53DC6">
        <w:t>:</w:t>
      </w:r>
    </w:p>
    <w:p w14:paraId="4C113D68" w14:textId="77777777" w:rsidR="00016D04" w:rsidRPr="00047AB0" w:rsidRDefault="00016D04" w:rsidP="00016D04">
      <w:pPr>
        <w:pStyle w:val="Paragraphedeliste"/>
        <w:numPr>
          <w:ilvl w:val="0"/>
          <w:numId w:val="60"/>
        </w:numPr>
      </w:pPr>
      <w:r>
        <w:t>r</w:t>
      </w:r>
      <w:r w:rsidRPr="00047AB0">
        <w:t>eporter ses efforts commerciaux des zones à forte rentabilité, lesquelles sont peu exploitées à ce jour ;</w:t>
      </w:r>
    </w:p>
    <w:p w14:paraId="4C6D9759" w14:textId="77777777" w:rsidR="00016D04" w:rsidRPr="00047AB0" w:rsidRDefault="00016D04" w:rsidP="00016D04">
      <w:pPr>
        <w:pStyle w:val="Paragraphedeliste"/>
        <w:numPr>
          <w:ilvl w:val="0"/>
          <w:numId w:val="60"/>
        </w:numPr>
      </w:pPr>
      <w:r>
        <w:t>r</w:t>
      </w:r>
      <w:r w:rsidRPr="00047AB0">
        <w:t xml:space="preserve">éorienter </w:t>
      </w:r>
      <w:r w:rsidRPr="0026796F">
        <w:t xml:space="preserve">ses gammes vers du </w:t>
      </w:r>
      <w:r w:rsidRPr="00047AB0">
        <w:rPr>
          <w:i/>
        </w:rPr>
        <w:t>Premium</w:t>
      </w:r>
      <w:r w:rsidRPr="0026796F">
        <w:t xml:space="preserve"> mieux valorisé.</w:t>
      </w:r>
      <w:r>
        <w:t xml:space="preserve"> Les nouveaux clients orientés davantage </w:t>
      </w:r>
      <w:r w:rsidRPr="00047AB0">
        <w:rPr>
          <w:i/>
        </w:rPr>
        <w:t>Premium</w:t>
      </w:r>
      <w:r w:rsidRPr="0026796F">
        <w:t xml:space="preserve"> </w:t>
      </w:r>
      <w:r>
        <w:t>permettent ainsi d’améliorer les marges.</w:t>
      </w:r>
    </w:p>
    <w:p w14:paraId="2353FFA2" w14:textId="77777777" w:rsidR="00016D04" w:rsidRDefault="00016D04" w:rsidP="00016D04"/>
    <w:p w14:paraId="6882BC92" w14:textId="77777777" w:rsidR="00016D04" w:rsidRPr="00CC11D4" w:rsidRDefault="00016D04" w:rsidP="00016D04">
      <w:r w:rsidRPr="00CC11D4">
        <w:t xml:space="preserve">La Société attribue à ce risque un niveau </w:t>
      </w:r>
      <w:r>
        <w:rPr>
          <w:b/>
        </w:rPr>
        <w:t>moyen</w:t>
      </w:r>
      <w:r w:rsidRPr="00CC11D4">
        <w:rPr>
          <w:b/>
        </w:rPr>
        <w:t>.</w:t>
      </w:r>
    </w:p>
    <w:p w14:paraId="26784CC1" w14:textId="77777777" w:rsidR="003E5665" w:rsidRDefault="003E5665" w:rsidP="0040365B"/>
    <w:p w14:paraId="74C20882" w14:textId="76360C47" w:rsidR="00EF3111" w:rsidRDefault="00D76C89" w:rsidP="00642C56">
      <w:pPr>
        <w:pStyle w:val="Titre3"/>
      </w:pPr>
      <w:bookmarkStart w:id="73" w:name="_Toc389666590"/>
      <w:bookmarkStart w:id="74" w:name="_Toc475033172"/>
      <w:r>
        <w:rPr>
          <w:bCs w:val="0"/>
        </w:rPr>
        <w:t>3</w:t>
      </w:r>
      <w:r w:rsidR="00976C36">
        <w:rPr>
          <w:bCs w:val="0"/>
        </w:rPr>
        <w:t>.4</w:t>
      </w:r>
      <w:r w:rsidR="0000711A">
        <w:rPr>
          <w:bCs w:val="0"/>
        </w:rPr>
        <w:t>.</w:t>
      </w:r>
      <w:r w:rsidR="00016D04">
        <w:rPr>
          <w:bCs w:val="0"/>
        </w:rPr>
        <w:t>4</w:t>
      </w:r>
      <w:r w:rsidR="00CB789E">
        <w:rPr>
          <w:bCs w:val="0"/>
        </w:rPr>
        <w:t xml:space="preserve">. </w:t>
      </w:r>
      <w:r w:rsidR="00EF3111">
        <w:rPr>
          <w:bCs w:val="0"/>
        </w:rPr>
        <w:t xml:space="preserve">Risques liés à la responsabilité </w:t>
      </w:r>
      <w:r w:rsidR="0026003E">
        <w:t>en cas de</w:t>
      </w:r>
      <w:r w:rsidR="00EF3111" w:rsidRPr="00005855">
        <w:t xml:space="preserve"> produits défectueux</w:t>
      </w:r>
      <w:bookmarkEnd w:id="74"/>
      <w:r w:rsidR="00EF3111" w:rsidRPr="00005855">
        <w:t xml:space="preserve"> </w:t>
      </w:r>
      <w:bookmarkEnd w:id="73"/>
    </w:p>
    <w:p w14:paraId="71878220" w14:textId="77777777" w:rsidR="00604412" w:rsidRDefault="00604412" w:rsidP="00642C56"/>
    <w:p w14:paraId="6EBFF047" w14:textId="088B48B4" w:rsidR="00B545BF" w:rsidRDefault="00B545BF" w:rsidP="00B545BF">
      <w:pPr>
        <w:rPr>
          <w:color w:val="FF0000"/>
          <w:szCs w:val="20"/>
        </w:rPr>
      </w:pPr>
      <w:r>
        <w:t xml:space="preserve">Outre les garanties légales, le Groupe pourrait être exposé à des risques de mise en jeu de sa responsabilité lors de l’utilisation de ses produits, en particulier </w:t>
      </w:r>
      <w:r w:rsidR="00696043">
        <w:t xml:space="preserve">sur le fondement de </w:t>
      </w:r>
      <w:r>
        <w:t>la responsabilité du fait de produits défectueux. En effet, la chirurgie du rachis comporte des risques non négligeables de complications sérieuses pouvant notamment conduire à des paralysies ou avoir des conséquences mortelles. Les tests et la commercialisation de dispositifs médicaux à destination du rachis comportent de ce fait un risque de mise en cause de la responsabilité du fabricant. Des plaintes pénales ou des poursuites judiciaires pourraient être déposées ou engagées contre le Groupe par des utilisateurs (chirurgiens et/ou établissements hospitaliers), des patients ou bien des autorités réglementaires.</w:t>
      </w:r>
    </w:p>
    <w:p w14:paraId="5471C3A9" w14:textId="77777777" w:rsidR="00B545BF" w:rsidRPr="00423380" w:rsidRDefault="00B545BF" w:rsidP="00B545BF"/>
    <w:p w14:paraId="2B6C0B94" w14:textId="3A386AEC" w:rsidR="00B545BF" w:rsidRPr="00423380" w:rsidRDefault="00B545BF" w:rsidP="00B545BF">
      <w:r>
        <w:t>Au</w:t>
      </w:r>
      <w:r w:rsidR="00906725">
        <w:t>-</w:t>
      </w:r>
      <w:r>
        <w:t>delà de tout défaut avéré, les acteurs des dispositifs médicaux du rachis peuvent aussi être mis en cause, de manière justifiée ou injustifiée dans des contentieux concernant la suspicion de défauts de produits. La responsabilité de Spineway pourrait à ce titre également être lourdement engagée s'il était prouvé que l’implant ou l’instrumentation était la cause directe d’un dommage et que ce dernier ne provenait ni de l’acte chirurgical, ni de l’établissement de soin, ni de la chaine de distribution, ni du patient lui-même, ou, plus globalement, si Spineway ne parvenait pas à assurer avec succès sa défense.</w:t>
      </w:r>
    </w:p>
    <w:p w14:paraId="6B04F6CB" w14:textId="77777777" w:rsidR="00B545BF" w:rsidRDefault="00B545BF" w:rsidP="00B545BF"/>
    <w:p w14:paraId="387CB545" w14:textId="77777777" w:rsidR="00B545BF" w:rsidRPr="00FA09F4" w:rsidRDefault="00B545BF" w:rsidP="00B545BF">
      <w:r>
        <w:t>Une réclamation déposée au titre de la responsabilité du fait de produits défectueux pourrait contraindre Spineway, quelles que soient les suites données à cette réclamation, à limiter la commercialisation de ses produits. Sa réputation pourrait s’en trouver affectée, étant tout de même entendu que dans un tel cas, Spineway pourrait se retourner contre ses sous-traitants et/ou fournisseurs de matières premières s’il s’avérait qu’ils sont responsables dudit défaut. Enfin, une réclamation sans fondement ou infructueuse pourrait :</w:t>
      </w:r>
    </w:p>
    <w:p w14:paraId="2342E4B8" w14:textId="77777777" w:rsidR="00B545BF" w:rsidRDefault="00B545BF" w:rsidP="00C622C2">
      <w:pPr>
        <w:pStyle w:val="Paragraphedeliste"/>
        <w:numPr>
          <w:ilvl w:val="0"/>
          <w:numId w:val="7"/>
        </w:numPr>
      </w:pPr>
      <w:r>
        <w:t xml:space="preserve">se révéler longue et coûteuse pour la Société ; </w:t>
      </w:r>
    </w:p>
    <w:p w14:paraId="584D39B7" w14:textId="77777777" w:rsidR="00B545BF" w:rsidRDefault="00B545BF" w:rsidP="00C622C2">
      <w:pPr>
        <w:pStyle w:val="Paragraphedeliste"/>
        <w:numPr>
          <w:ilvl w:val="0"/>
          <w:numId w:val="7"/>
        </w:numPr>
      </w:pPr>
      <w:r>
        <w:t xml:space="preserve">affecter durablement la réputation de Spineway sur le marché ; </w:t>
      </w:r>
    </w:p>
    <w:p w14:paraId="25ABF746" w14:textId="77777777" w:rsidR="00B545BF" w:rsidRPr="00FA09F4" w:rsidRDefault="00B545BF" w:rsidP="00C622C2">
      <w:pPr>
        <w:pStyle w:val="Paragraphedeliste"/>
        <w:numPr>
          <w:ilvl w:val="0"/>
          <w:numId w:val="7"/>
        </w:numPr>
      </w:pPr>
      <w:r>
        <w:t>détourner les efforts de la direction de la Société de son activité principale.</w:t>
      </w:r>
    </w:p>
    <w:p w14:paraId="513A1172" w14:textId="77777777" w:rsidR="00B545BF" w:rsidRPr="00423380" w:rsidRDefault="00B545BF" w:rsidP="00B545BF"/>
    <w:p w14:paraId="3BBC1429" w14:textId="77777777" w:rsidR="00B545BF" w:rsidRDefault="00B545BF" w:rsidP="00B545BF">
      <w:r>
        <w:t xml:space="preserve">A ce jour, la responsabilité de Spineway du fait de produits défectueux n’a jamais été recherchée. </w:t>
      </w:r>
    </w:p>
    <w:p w14:paraId="395E4941" w14:textId="09F8DC4E" w:rsidR="00B545BF" w:rsidRPr="00423380" w:rsidRDefault="00B545BF" w:rsidP="00B545BF">
      <w:r>
        <w:t>La Société a toujours prêté une attention particulière aux risques liés à la maitrise et au contrôle de produits défectueux ainsi qu’aux audits nécessaires au maintien de cette qualité. En 2017, Spineway a d’ailleurs spontanément choisi de rappeler, pour échange, un instrument après avoir identifié un risque potentiel lié à cet instrument (lequel n’est pas un implant mais un instrument de verrouillage de la vis d’un implant). La Société privilégie donc l’application d’un principe de prudence et est particulièrement attentive à la qualité de ses produits, en accord avec la réglementation et le respect des</w:t>
      </w:r>
      <w:r w:rsidR="007F222A">
        <w:t xml:space="preserve"> </w:t>
      </w:r>
      <w:r>
        <w:t>standard</w:t>
      </w:r>
      <w:r w:rsidR="007F222A">
        <w:t>s</w:t>
      </w:r>
      <w:r>
        <w:t xml:space="preserve"> de qualité qu’elle s’est </w:t>
      </w:r>
      <w:r w:rsidR="008A76AF">
        <w:t>imposée</w:t>
      </w:r>
      <w:r>
        <w:t xml:space="preserve"> de respecter.</w:t>
      </w:r>
    </w:p>
    <w:p w14:paraId="712D0CB7" w14:textId="77777777" w:rsidR="00B545BF" w:rsidRPr="00005855" w:rsidRDefault="00B545BF" w:rsidP="00B545BF"/>
    <w:p w14:paraId="684DBAF8" w14:textId="1281F0A3" w:rsidR="00B545BF" w:rsidRPr="00A46E7E" w:rsidRDefault="00B545BF" w:rsidP="00B545BF">
      <w:pPr>
        <w:rPr>
          <w:szCs w:val="18"/>
        </w:rPr>
      </w:pPr>
      <w:r>
        <w:t xml:space="preserve">Spineway a, par ailleurs, souscrit une assurance relative à la responsabilité du fait des produits défectueux prévoyant une couverture du risque à hauteur de </w:t>
      </w:r>
      <w:r w:rsidR="00CF3ED7">
        <w:t xml:space="preserve">6 </w:t>
      </w:r>
      <w:r>
        <w:t xml:space="preserve">M€. En cas de défaillance majeure sur une gamme phare, cette assurance pourrait se révéler insuffisantes pour couvrir l’intégralité des condamnations pécuniaires susceptibles d’être prononcées à l’encontre de Spineway. Celle-ci pourrait donc être amenée à payer elle-même le complément en puisant dans ses ressources et de ce fait, fragiliser sa situation financière. </w:t>
      </w:r>
    </w:p>
    <w:p w14:paraId="090AAAEB" w14:textId="77777777" w:rsidR="00B545BF" w:rsidRPr="00F44E7C" w:rsidRDefault="00B545BF" w:rsidP="00B545BF">
      <w:pPr>
        <w:rPr>
          <w:color w:val="FF0000"/>
        </w:rPr>
      </w:pPr>
    </w:p>
    <w:p w14:paraId="794B9F48" w14:textId="77777777" w:rsidR="00B545BF" w:rsidRDefault="00B545BF" w:rsidP="00B545BF">
      <w:pPr>
        <w:rPr>
          <w:szCs w:val="20"/>
        </w:rPr>
      </w:pPr>
      <w:r w:rsidRPr="00F26863">
        <w:rPr>
          <w:szCs w:val="20"/>
        </w:rPr>
        <w:t>La Société ne peut donc garantir que sa couverture d’assurance actuelle soit suffisante pour répondre aux actions en responsabilité qui pourraient être engagées contre elle. Si sa responsabilité était ainsi mise en cause, et si elle n’était pas en mesure d’obtenir et de maintenir une couverture d’assurance appropriée à un coût acceptable, ou de se prémunir d’une manière quelconque contre des actions en responsabilité du fait des produits, ceci aurait pour conséquence d’affecter gravement la commercialisation de ses produits et, plus généralement, de nuire aux activités, aux résultats, à la situation financière, au développement et aux perspectives du Groupe.</w:t>
      </w:r>
    </w:p>
    <w:p w14:paraId="2653D66D" w14:textId="77777777" w:rsidR="00EB03FF" w:rsidRDefault="00EB03FF" w:rsidP="00642C56">
      <w:pPr>
        <w:rPr>
          <w:szCs w:val="20"/>
        </w:rPr>
      </w:pPr>
    </w:p>
    <w:p w14:paraId="26EB285D" w14:textId="3328C8DE" w:rsidR="003E5665" w:rsidRPr="00B545BF" w:rsidRDefault="3FF7E03D" w:rsidP="003E5665">
      <w:r w:rsidRPr="00B545BF">
        <w:lastRenderedPageBreak/>
        <w:t xml:space="preserve">La Société attribue à ce risque un niveau </w:t>
      </w:r>
      <w:r w:rsidRPr="00B545BF">
        <w:rPr>
          <w:b/>
          <w:bCs/>
          <w:u w:val="single"/>
        </w:rPr>
        <w:t>faible</w:t>
      </w:r>
      <w:r w:rsidRPr="00B545BF">
        <w:rPr>
          <w:b/>
          <w:bCs/>
        </w:rPr>
        <w:t>.</w:t>
      </w:r>
    </w:p>
    <w:p w14:paraId="49316A20" w14:textId="77777777" w:rsidR="00016D04" w:rsidRPr="006E7FB7" w:rsidRDefault="00016D04" w:rsidP="00642C56">
      <w:pPr>
        <w:rPr>
          <w:szCs w:val="20"/>
        </w:rPr>
      </w:pPr>
    </w:p>
    <w:p w14:paraId="64D30FD6" w14:textId="77777777" w:rsidR="003E5665" w:rsidRPr="00B44646" w:rsidRDefault="003E5665" w:rsidP="003E5665"/>
    <w:p w14:paraId="060D9F4F" w14:textId="59962089" w:rsidR="00B52D33" w:rsidRPr="00B52D33" w:rsidRDefault="00D76C89" w:rsidP="00A601E8">
      <w:pPr>
        <w:pStyle w:val="Titre2"/>
      </w:pPr>
      <w:bookmarkStart w:id="75" w:name="_Toc475033173"/>
      <w:r>
        <w:t>3</w:t>
      </w:r>
      <w:r w:rsidR="00B52D33" w:rsidRPr="00B52D33">
        <w:t>.</w:t>
      </w:r>
      <w:r w:rsidR="00976C36">
        <w:t>5</w:t>
      </w:r>
      <w:r w:rsidR="00B52D33" w:rsidRPr="00B52D33">
        <w:t>. R</w:t>
      </w:r>
      <w:bookmarkEnd w:id="62"/>
      <w:bookmarkEnd w:id="63"/>
      <w:r w:rsidR="00036E0A">
        <w:t>isques liés à l’organisation de la Société</w:t>
      </w:r>
      <w:bookmarkEnd w:id="75"/>
    </w:p>
    <w:p w14:paraId="30537F08" w14:textId="762F7A98" w:rsidR="00662284" w:rsidRPr="00E673A0" w:rsidRDefault="00662284" w:rsidP="00662284">
      <w:pPr>
        <w:pStyle w:val="Titre3"/>
      </w:pPr>
      <w:bookmarkStart w:id="76" w:name="_Toc349133518"/>
      <w:bookmarkStart w:id="77" w:name="_Toc351994602"/>
      <w:bookmarkStart w:id="78" w:name="_Toc349133517"/>
      <w:bookmarkStart w:id="79" w:name="_Toc351994601"/>
      <w:bookmarkStart w:id="80" w:name="_Toc475033174"/>
      <w:r w:rsidRPr="00E673A0">
        <w:t>3.</w:t>
      </w:r>
      <w:r w:rsidR="00976C36">
        <w:t>5</w:t>
      </w:r>
      <w:r>
        <w:t>.1</w:t>
      </w:r>
      <w:r w:rsidRPr="00E673A0">
        <w:t xml:space="preserve">. </w:t>
      </w:r>
      <w:bookmarkEnd w:id="76"/>
      <w:bookmarkEnd w:id="77"/>
      <w:r w:rsidRPr="00E673A0">
        <w:t>Risques liés à la politique de développement international</w:t>
      </w:r>
      <w:bookmarkEnd w:id="80"/>
    </w:p>
    <w:p w14:paraId="0E3D33B8" w14:textId="77777777" w:rsidR="00662284" w:rsidRPr="00E673A0" w:rsidRDefault="00662284" w:rsidP="00662284">
      <w:pPr>
        <w:rPr>
          <w:sz w:val="26"/>
          <w:szCs w:val="26"/>
        </w:rPr>
      </w:pPr>
      <w:r w:rsidRPr="00E673A0">
        <w:t>  </w:t>
      </w:r>
    </w:p>
    <w:p w14:paraId="67E5FD13" w14:textId="79ECFC64" w:rsidR="00662284" w:rsidRPr="00E673A0" w:rsidRDefault="01257A3D" w:rsidP="00662284">
      <w:pPr>
        <w:tabs>
          <w:tab w:val="right" w:leader="dot" w:pos="8505"/>
        </w:tabs>
        <w:rPr>
          <w:szCs w:val="20"/>
        </w:rPr>
      </w:pPr>
      <w:r>
        <w:t>Spineway est un groupe fortement implanté à l’export en étant présent</w:t>
      </w:r>
      <w:r w:rsidR="004706C5">
        <w:t xml:space="preserve"> </w:t>
      </w:r>
      <w:r>
        <w:t>sur tous les continents. Ainsi,</w:t>
      </w:r>
      <w:r w:rsidR="00B246C0">
        <w:t xml:space="preserve"> </w:t>
      </w:r>
      <w:r>
        <w:t xml:space="preserve">88% de son chiffre d’affaires consolidé dégagé au 31 décembre 2020 est réalisé à l’international. Cette présence internationale demeure une des valeurs et axes stratégiques de futurs développements pour Spineway. </w:t>
      </w:r>
    </w:p>
    <w:p w14:paraId="7D2AB92F" w14:textId="1FA51889" w:rsidR="00662284" w:rsidRPr="00E673A0" w:rsidRDefault="01257A3D" w:rsidP="00662284">
      <w:pPr>
        <w:tabs>
          <w:tab w:val="right" w:leader="dot" w:pos="8505"/>
        </w:tabs>
      </w:pPr>
      <w:r>
        <w:t xml:space="preserve">De ce fait, sur un marché mondial avec de multiples acteurs de </w:t>
      </w:r>
      <w:r w:rsidR="006D5FCB">
        <w:t>petite taille</w:t>
      </w:r>
      <w:r>
        <w:t xml:space="preserve"> et des réalités </w:t>
      </w:r>
      <w:r w:rsidR="00696043">
        <w:t xml:space="preserve">de </w:t>
      </w:r>
      <w:r>
        <w:t>marchés très différentes, le choix d’une orientation export présente un risque</w:t>
      </w:r>
      <w:r w:rsidR="004706C5">
        <w:t xml:space="preserve"> </w:t>
      </w:r>
      <w:r>
        <w:t xml:space="preserve">et </w:t>
      </w:r>
      <w:r w:rsidR="00696043">
        <w:t xml:space="preserve">est </w:t>
      </w:r>
      <w:r>
        <w:t>susceptible de générer des difficultés du fait notamment :</w:t>
      </w:r>
    </w:p>
    <w:p w14:paraId="6B0F46DE" w14:textId="0DF8F8CE" w:rsidR="00662284" w:rsidRPr="00E673A0" w:rsidRDefault="01257A3D" w:rsidP="00C622C2">
      <w:pPr>
        <w:pStyle w:val="Paragraphedeliste"/>
        <w:numPr>
          <w:ilvl w:val="0"/>
          <w:numId w:val="44"/>
        </w:numPr>
        <w:tabs>
          <w:tab w:val="right" w:leader="dot" w:pos="8505"/>
        </w:tabs>
      </w:pPr>
      <w:r>
        <w:t>de législations et réglementations plus contraignantes et démultipliées applicables aux produits et services proposés par le Groupe ;</w:t>
      </w:r>
    </w:p>
    <w:p w14:paraId="441EAA29" w14:textId="1DF965F9" w:rsidR="00662284" w:rsidRPr="00E673A0" w:rsidRDefault="00662284" w:rsidP="00C622C2">
      <w:pPr>
        <w:pStyle w:val="Paragraphedeliste"/>
        <w:numPr>
          <w:ilvl w:val="0"/>
          <w:numId w:val="44"/>
        </w:numPr>
        <w:tabs>
          <w:tab w:val="right" w:leader="dot" w:pos="8505"/>
        </w:tabs>
        <w:rPr>
          <w:szCs w:val="20"/>
        </w:rPr>
      </w:pPr>
      <w:r w:rsidRPr="00E673A0">
        <w:t>d’un changement non anticipé de ces législations ou des conditions de marchés de ces pays (changement dans la prise en charge par le secteur de la santé des coûts des dispositifs médicaux</w:t>
      </w:r>
      <w:r w:rsidR="00696043">
        <w:t>, etc</w:t>
      </w:r>
      <w:r w:rsidR="00696043" w:rsidRPr="00E673A0">
        <w:t>) </w:t>
      </w:r>
      <w:r w:rsidRPr="00E673A0">
        <w:t>;</w:t>
      </w:r>
    </w:p>
    <w:p w14:paraId="6772B5F1" w14:textId="77777777" w:rsidR="00662284" w:rsidRPr="00E673A0" w:rsidRDefault="00662284" w:rsidP="00C622C2">
      <w:pPr>
        <w:pStyle w:val="Paragraphedeliste"/>
        <w:numPr>
          <w:ilvl w:val="0"/>
          <w:numId w:val="44"/>
        </w:numPr>
        <w:tabs>
          <w:tab w:val="right" w:leader="dot" w:pos="8505"/>
        </w:tabs>
        <w:rPr>
          <w:szCs w:val="20"/>
        </w:rPr>
      </w:pPr>
      <w:r w:rsidRPr="00E673A0">
        <w:t>d’une protection limitée en termes de propriété intellectuelle dans certains pays ;</w:t>
      </w:r>
    </w:p>
    <w:p w14:paraId="052CCB8F" w14:textId="03C9C340" w:rsidR="00662284" w:rsidRPr="00E673A0" w:rsidRDefault="01257A3D" w:rsidP="00C622C2">
      <w:pPr>
        <w:pStyle w:val="Paragraphedeliste"/>
        <w:numPr>
          <w:ilvl w:val="0"/>
          <w:numId w:val="44"/>
        </w:numPr>
        <w:tabs>
          <w:tab w:val="right" w:leader="dot" w:pos="8505"/>
        </w:tabs>
      </w:pPr>
      <w:r>
        <w:t xml:space="preserve">de l’instabilité politique et/ou économique dans certains pays dans lesquels le Groupe exerce son activité (notamment de l’Amérique </w:t>
      </w:r>
      <w:r w:rsidR="00696043">
        <w:t>latine</w:t>
      </w:r>
      <w:r>
        <w:t>)</w:t>
      </w:r>
      <w:r w:rsidR="004706C5">
        <w:t> ;</w:t>
      </w:r>
    </w:p>
    <w:p w14:paraId="36BAD098" w14:textId="5D1C7DD2" w:rsidR="00662284" w:rsidRPr="00E673A0" w:rsidRDefault="004706C5" w:rsidP="00C622C2">
      <w:pPr>
        <w:pStyle w:val="Paragraphedeliste"/>
        <w:numPr>
          <w:ilvl w:val="0"/>
          <w:numId w:val="44"/>
        </w:numPr>
        <w:tabs>
          <w:tab w:val="right" w:leader="dot" w:pos="8505"/>
        </w:tabs>
      </w:pPr>
      <w:r>
        <w:t>d</w:t>
      </w:r>
      <w:r w:rsidR="01257A3D">
        <w:t>'une exposition plus grande sur certains territoires à des risques financiers</w:t>
      </w:r>
      <w:r>
        <w:t>.</w:t>
      </w:r>
    </w:p>
    <w:p w14:paraId="37E11C3B" w14:textId="77777777" w:rsidR="00662284" w:rsidRDefault="00662284" w:rsidP="00662284">
      <w:pPr>
        <w:tabs>
          <w:tab w:val="right" w:leader="dot" w:pos="8505"/>
        </w:tabs>
        <w:rPr>
          <w:szCs w:val="20"/>
        </w:rPr>
      </w:pPr>
    </w:p>
    <w:p w14:paraId="5204C213" w14:textId="236DA8E4" w:rsidR="00662284" w:rsidRDefault="00662284" w:rsidP="00662284">
      <w:r>
        <w:t>Afin de limiter ce risque et pallier</w:t>
      </w:r>
      <w:r w:rsidR="0066458E">
        <w:t xml:space="preserve"> </w:t>
      </w:r>
      <w:r>
        <w:t>à une équipe commerciale limitée en taille, Spineway a mis en place des procédures de décisions permettant de prioriser ses actions selon 3 critères principaux :</w:t>
      </w:r>
    </w:p>
    <w:p w14:paraId="1B96270D" w14:textId="77777777" w:rsidR="00662284" w:rsidRDefault="00662284" w:rsidP="00C622C2">
      <w:pPr>
        <w:pStyle w:val="Paragraphedeliste"/>
        <w:numPr>
          <w:ilvl w:val="0"/>
          <w:numId w:val="61"/>
        </w:numPr>
      </w:pPr>
      <w:r>
        <w:t xml:space="preserve">marché et/ou clients </w:t>
      </w:r>
      <w:r w:rsidRPr="003C2D04">
        <w:rPr>
          <w:i/>
        </w:rPr>
        <w:t>Premium</w:t>
      </w:r>
      <w:r>
        <w:t xml:space="preserve"> en lien avec la politique d’innovation soutenue (gamme MIS / MISTI) afin d’avoir des arguments concurrentiels techniques différenciants ;</w:t>
      </w:r>
    </w:p>
    <w:p w14:paraId="6A64D086" w14:textId="77777777" w:rsidR="00662284" w:rsidRDefault="00662284" w:rsidP="00C622C2">
      <w:pPr>
        <w:pStyle w:val="Paragraphedeliste"/>
        <w:numPr>
          <w:ilvl w:val="0"/>
          <w:numId w:val="61"/>
        </w:numPr>
      </w:pPr>
      <w:r>
        <w:t>marché avec de hauts potentiels de chiffre d’affaires mais présentant souvent des barrières à l’entrée réglementaires importantes (Chine) en se faisant accompagner par des experts pays (Business France, BPI) sur ces territoires ;</w:t>
      </w:r>
    </w:p>
    <w:p w14:paraId="38A0845D" w14:textId="77777777" w:rsidR="00662284" w:rsidRPr="003C2D04" w:rsidRDefault="00662284" w:rsidP="00C622C2">
      <w:pPr>
        <w:pStyle w:val="Paragraphedeliste"/>
        <w:numPr>
          <w:ilvl w:val="0"/>
          <w:numId w:val="61"/>
        </w:numPr>
        <w:rPr>
          <w:szCs w:val="20"/>
        </w:rPr>
      </w:pPr>
      <w:r>
        <w:t>marché à fortes marges via la recherche de partenariats avec des sociétés locales afin de mieux appréhender les modèles économiques (marché américain par exemple).</w:t>
      </w:r>
    </w:p>
    <w:p w14:paraId="0102BBE8" w14:textId="77777777" w:rsidR="00662284" w:rsidRPr="00E673A0" w:rsidRDefault="00662284" w:rsidP="00662284">
      <w:pPr>
        <w:tabs>
          <w:tab w:val="right" w:leader="dot" w:pos="8505"/>
        </w:tabs>
        <w:rPr>
          <w:szCs w:val="20"/>
        </w:rPr>
      </w:pPr>
    </w:p>
    <w:p w14:paraId="60EF57C5" w14:textId="77777777" w:rsidR="00662284" w:rsidRPr="005A2369" w:rsidRDefault="00662284" w:rsidP="00662284">
      <w:pPr>
        <w:tabs>
          <w:tab w:val="right" w:leader="dot" w:pos="8505"/>
        </w:tabs>
        <w:rPr>
          <w:szCs w:val="20"/>
        </w:rPr>
      </w:pPr>
      <w:r w:rsidRPr="00E673A0">
        <w:rPr>
          <w:szCs w:val="20"/>
        </w:rPr>
        <w:t>Il n’en reste pas moins que la concrétisation de ces facteurs de risques ou même de l’un d’entre eux aurait un effet défavorable sur l’activité, le développement, les résultats et la situation financière du Groupe.</w:t>
      </w:r>
    </w:p>
    <w:p w14:paraId="59070C03" w14:textId="77777777" w:rsidR="00662284" w:rsidRDefault="00662284" w:rsidP="00662284">
      <w:pPr>
        <w:tabs>
          <w:tab w:val="right" w:leader="dot" w:pos="8505"/>
        </w:tabs>
        <w:rPr>
          <w:szCs w:val="20"/>
        </w:rPr>
      </w:pPr>
    </w:p>
    <w:p w14:paraId="7E64C686" w14:textId="425B6E03" w:rsidR="00662284" w:rsidRPr="004706C5" w:rsidRDefault="00662284" w:rsidP="00662284">
      <w:r w:rsidRPr="00CC11D4">
        <w:rPr>
          <w:b/>
        </w:rPr>
        <w:t>La Société attribue à ce risque un niveau</w:t>
      </w:r>
      <w:r w:rsidRPr="004706C5">
        <w:t xml:space="preserve"> </w:t>
      </w:r>
      <w:r w:rsidRPr="004706C5">
        <w:rPr>
          <w:b/>
          <w:u w:val="single"/>
        </w:rPr>
        <w:t>élevé</w:t>
      </w:r>
      <w:r w:rsidRPr="004706C5">
        <w:rPr>
          <w:b/>
        </w:rPr>
        <w:t>.</w:t>
      </w:r>
    </w:p>
    <w:bookmarkEnd w:id="78"/>
    <w:bookmarkEnd w:id="79"/>
    <w:p w14:paraId="6208C0EB" w14:textId="77777777" w:rsidR="00662284" w:rsidRPr="00B52D33" w:rsidRDefault="00662284" w:rsidP="00B52D33">
      <w:pPr>
        <w:rPr>
          <w:szCs w:val="20"/>
        </w:rPr>
      </w:pPr>
    </w:p>
    <w:p w14:paraId="427E26F9" w14:textId="77777777" w:rsidR="003E5665" w:rsidRPr="005A2369" w:rsidRDefault="003E5665" w:rsidP="002B5861">
      <w:pPr>
        <w:tabs>
          <w:tab w:val="right" w:leader="dot" w:pos="8505"/>
        </w:tabs>
        <w:rPr>
          <w:szCs w:val="20"/>
        </w:rPr>
      </w:pPr>
      <w:bookmarkStart w:id="81" w:name="_Toc349133519"/>
      <w:bookmarkStart w:id="82" w:name="_Toc351994603"/>
    </w:p>
    <w:bookmarkEnd w:id="81"/>
    <w:bookmarkEnd w:id="82"/>
    <w:p w14:paraId="0EA675EC" w14:textId="77777777" w:rsidR="006E7FB7" w:rsidRDefault="006E7FB7" w:rsidP="00065BE8"/>
    <w:p w14:paraId="117BA394" w14:textId="7615A6E3" w:rsidR="00D93A07" w:rsidRPr="00A601E8" w:rsidRDefault="00D76C89" w:rsidP="00A601E8">
      <w:pPr>
        <w:pStyle w:val="Titre2"/>
      </w:pPr>
      <w:bookmarkStart w:id="83" w:name="_Toc349133527"/>
      <w:bookmarkStart w:id="84" w:name="_Toc351994613"/>
      <w:bookmarkStart w:id="85" w:name="_Ref353269770"/>
      <w:bookmarkStart w:id="86" w:name="_Ref337968042"/>
      <w:bookmarkStart w:id="87" w:name="_Ref368042169"/>
      <w:bookmarkStart w:id="88" w:name="_Ref370387713"/>
      <w:bookmarkStart w:id="89" w:name="_Toc475033175"/>
      <w:r>
        <w:t>3</w:t>
      </w:r>
      <w:r w:rsidR="00D93A07" w:rsidRPr="00A601E8">
        <w:t>.</w:t>
      </w:r>
      <w:r w:rsidR="00EF3111">
        <w:t>6</w:t>
      </w:r>
      <w:r w:rsidR="00D93A07" w:rsidRPr="00A601E8">
        <w:t>. A</w:t>
      </w:r>
      <w:bookmarkEnd w:id="83"/>
      <w:bookmarkEnd w:id="84"/>
      <w:bookmarkEnd w:id="85"/>
      <w:bookmarkEnd w:id="86"/>
      <w:bookmarkEnd w:id="87"/>
      <w:r w:rsidR="00036E0A">
        <w:t>ssurances et couverture des risques</w:t>
      </w:r>
      <w:bookmarkEnd w:id="88"/>
      <w:bookmarkEnd w:id="89"/>
    </w:p>
    <w:p w14:paraId="4F3F243B" w14:textId="77777777" w:rsidR="003D7824" w:rsidRDefault="003D7824" w:rsidP="003D7824"/>
    <w:p w14:paraId="2E6629B9" w14:textId="77777777" w:rsidR="00BF3147" w:rsidRDefault="00BF3147" w:rsidP="00BF3147">
      <w:pPr>
        <w:rPr>
          <w:szCs w:val="20"/>
        </w:rPr>
      </w:pPr>
      <w:bookmarkStart w:id="90" w:name="_Ref341199997"/>
      <w:r w:rsidRPr="00D93A07">
        <w:rPr>
          <w:szCs w:val="20"/>
        </w:rPr>
        <w:t>Le Groupe a mis en place une politique de couverture des principaux risques assurables avec des montants de garantie qu’</w:t>
      </w:r>
      <w:r>
        <w:rPr>
          <w:szCs w:val="20"/>
        </w:rPr>
        <w:t>il</w:t>
      </w:r>
      <w:r w:rsidRPr="00D93A07">
        <w:rPr>
          <w:szCs w:val="20"/>
        </w:rPr>
        <w:t xml:space="preserve"> estime compatibles avec la nature de son activité.</w:t>
      </w:r>
      <w:bookmarkEnd w:id="90"/>
      <w:r w:rsidRPr="00D93A07">
        <w:rPr>
          <w:szCs w:val="20"/>
        </w:rPr>
        <w:t xml:space="preserve"> </w:t>
      </w:r>
    </w:p>
    <w:p w14:paraId="3D0AD373" w14:textId="77777777" w:rsidR="00EB03FF" w:rsidRDefault="00EB03FF" w:rsidP="00BF3147">
      <w:pPr>
        <w:rPr>
          <w:szCs w:val="20"/>
        </w:rPr>
      </w:pPr>
    </w:p>
    <w:p w14:paraId="205B5BCD" w14:textId="5C7A4C8D" w:rsidR="00BF3147" w:rsidRPr="00D93A07" w:rsidRDefault="00BF3147" w:rsidP="00BF3147">
      <w:pPr>
        <w:rPr>
          <w:szCs w:val="20"/>
        </w:rPr>
      </w:pPr>
      <w:r w:rsidRPr="00D93A07">
        <w:rPr>
          <w:szCs w:val="20"/>
        </w:rPr>
        <w:t xml:space="preserve">Les </w:t>
      </w:r>
      <w:r>
        <w:rPr>
          <w:szCs w:val="20"/>
        </w:rPr>
        <w:t xml:space="preserve">principales </w:t>
      </w:r>
      <w:r w:rsidRPr="00D93A07">
        <w:rPr>
          <w:szCs w:val="20"/>
        </w:rPr>
        <w:t>polices dont bénéficie le Groupe à ce jour sont les suivantes :</w:t>
      </w:r>
      <w:r w:rsidR="003D5C0D">
        <w:rPr>
          <w:szCs w:val="20"/>
        </w:rPr>
        <w:t xml:space="preserve"> </w:t>
      </w:r>
    </w:p>
    <w:p w14:paraId="08A0BF70" w14:textId="1D58240D" w:rsidR="005B42F0" w:rsidRDefault="005B42F0">
      <w:pPr>
        <w:jc w:val="left"/>
        <w:rPr>
          <w:b/>
          <w:szCs w:val="20"/>
        </w:rPr>
      </w:pPr>
      <w:r>
        <w:rPr>
          <w:b/>
          <w:szCs w:val="20"/>
        </w:rPr>
        <w:br w:type="page"/>
      </w:r>
    </w:p>
    <w:p w14:paraId="596BC3B7" w14:textId="77777777" w:rsidR="00D93A07" w:rsidRDefault="00D93A07" w:rsidP="00D93A07">
      <w:pPr>
        <w:tabs>
          <w:tab w:val="right" w:leader="dot" w:pos="8505"/>
        </w:tabs>
        <w:rPr>
          <w:b/>
          <w:szCs w:val="20"/>
        </w:rPr>
      </w:pPr>
    </w:p>
    <w:tbl>
      <w:tblPr>
        <w:tblW w:w="9513" w:type="dxa"/>
        <w:tblInd w:w="55" w:type="dxa"/>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Layout w:type="fixed"/>
        <w:tblCellMar>
          <w:left w:w="70" w:type="dxa"/>
          <w:right w:w="70" w:type="dxa"/>
        </w:tblCellMar>
        <w:tblLook w:val="04A0" w:firstRow="1" w:lastRow="0" w:firstColumn="1" w:lastColumn="0" w:noHBand="0" w:noVBand="1"/>
      </w:tblPr>
      <w:tblGrid>
        <w:gridCol w:w="1400"/>
        <w:gridCol w:w="1200"/>
        <w:gridCol w:w="1345"/>
        <w:gridCol w:w="3400"/>
        <w:gridCol w:w="892"/>
        <w:gridCol w:w="1276"/>
      </w:tblGrid>
      <w:tr w:rsidR="00087E32" w:rsidRPr="00087E32" w14:paraId="02439B77" w14:textId="77777777" w:rsidTr="00DB7E98">
        <w:trPr>
          <w:trHeight w:val="760"/>
        </w:trPr>
        <w:tc>
          <w:tcPr>
            <w:tcW w:w="1400" w:type="dxa"/>
            <w:shd w:val="clear" w:color="auto" w:fill="365F91" w:themeFill="accent1" w:themeFillShade="BF"/>
            <w:vAlign w:val="center"/>
            <w:hideMark/>
          </w:tcPr>
          <w:p w14:paraId="5C13DD94" w14:textId="77777777" w:rsidR="00087E32" w:rsidRPr="00087E32" w:rsidRDefault="00087E32" w:rsidP="00087E32">
            <w:pPr>
              <w:jc w:val="center"/>
              <w:rPr>
                <w:rFonts w:ascii="Calibri" w:eastAsia="Times New Roman" w:hAnsi="Calibri" w:cs="Times New Roman"/>
                <w:b/>
                <w:bCs/>
                <w:color w:val="FFFFFF"/>
                <w:sz w:val="18"/>
                <w:szCs w:val="18"/>
              </w:rPr>
            </w:pPr>
            <w:r w:rsidRPr="00087E32">
              <w:rPr>
                <w:rFonts w:ascii="Calibri" w:eastAsia="Times New Roman" w:hAnsi="Calibri" w:cs="Times New Roman"/>
                <w:b/>
                <w:bCs/>
                <w:color w:val="FFFFFF"/>
                <w:sz w:val="18"/>
                <w:szCs w:val="18"/>
              </w:rPr>
              <w:t>N°Contrat</w:t>
            </w:r>
          </w:p>
        </w:tc>
        <w:tc>
          <w:tcPr>
            <w:tcW w:w="1200" w:type="dxa"/>
            <w:shd w:val="clear" w:color="auto" w:fill="365F91" w:themeFill="accent1" w:themeFillShade="BF"/>
            <w:vAlign w:val="center"/>
            <w:hideMark/>
          </w:tcPr>
          <w:p w14:paraId="01285D1F" w14:textId="77777777" w:rsidR="00087E32" w:rsidRPr="00087E32" w:rsidRDefault="00087E32" w:rsidP="00087E32">
            <w:pPr>
              <w:jc w:val="center"/>
              <w:rPr>
                <w:rFonts w:ascii="Calibri" w:eastAsia="Times New Roman" w:hAnsi="Calibri" w:cs="Times New Roman"/>
                <w:b/>
                <w:bCs/>
                <w:color w:val="FFFFFF"/>
                <w:sz w:val="18"/>
                <w:szCs w:val="18"/>
              </w:rPr>
            </w:pPr>
            <w:r w:rsidRPr="00087E32">
              <w:rPr>
                <w:rFonts w:ascii="Calibri" w:eastAsia="Times New Roman" w:hAnsi="Calibri" w:cs="Times New Roman"/>
                <w:b/>
                <w:bCs/>
                <w:color w:val="FFFFFF"/>
                <w:sz w:val="18"/>
                <w:szCs w:val="18"/>
              </w:rPr>
              <w:t>Compagnie</w:t>
            </w:r>
          </w:p>
        </w:tc>
        <w:tc>
          <w:tcPr>
            <w:tcW w:w="1345" w:type="dxa"/>
            <w:shd w:val="clear" w:color="auto" w:fill="365F91" w:themeFill="accent1" w:themeFillShade="BF"/>
            <w:vAlign w:val="center"/>
            <w:hideMark/>
          </w:tcPr>
          <w:p w14:paraId="04892663" w14:textId="77777777" w:rsidR="00087E32" w:rsidRPr="00087E32" w:rsidRDefault="00087E32" w:rsidP="00087E32">
            <w:pPr>
              <w:jc w:val="center"/>
              <w:rPr>
                <w:rFonts w:ascii="Calibri" w:eastAsia="Times New Roman" w:hAnsi="Calibri" w:cs="Times New Roman"/>
                <w:b/>
                <w:bCs/>
                <w:color w:val="FFFFFF"/>
                <w:sz w:val="18"/>
                <w:szCs w:val="18"/>
              </w:rPr>
            </w:pPr>
            <w:r w:rsidRPr="00087E32">
              <w:rPr>
                <w:rFonts w:ascii="Calibri" w:eastAsia="Times New Roman" w:hAnsi="Calibri" w:cs="Times New Roman"/>
                <w:b/>
                <w:bCs/>
                <w:color w:val="FFFFFF"/>
                <w:sz w:val="18"/>
                <w:szCs w:val="18"/>
              </w:rPr>
              <w:t>Catégorie</w:t>
            </w:r>
          </w:p>
        </w:tc>
        <w:tc>
          <w:tcPr>
            <w:tcW w:w="3400" w:type="dxa"/>
            <w:shd w:val="clear" w:color="auto" w:fill="365F91" w:themeFill="accent1" w:themeFillShade="BF"/>
            <w:vAlign w:val="center"/>
            <w:hideMark/>
          </w:tcPr>
          <w:p w14:paraId="1C925951" w14:textId="77777777" w:rsidR="00087E32" w:rsidRPr="00087E32" w:rsidRDefault="00087E32" w:rsidP="00087E32">
            <w:pPr>
              <w:jc w:val="center"/>
              <w:rPr>
                <w:rFonts w:ascii="Calibri" w:eastAsia="Times New Roman" w:hAnsi="Calibri" w:cs="Times New Roman"/>
                <w:b/>
                <w:bCs/>
                <w:color w:val="FFFFFF"/>
                <w:sz w:val="18"/>
                <w:szCs w:val="18"/>
              </w:rPr>
            </w:pPr>
            <w:r w:rsidRPr="00087E32">
              <w:rPr>
                <w:rFonts w:ascii="Calibri" w:eastAsia="Times New Roman" w:hAnsi="Calibri" w:cs="Times New Roman"/>
                <w:b/>
                <w:bCs/>
                <w:color w:val="FFFFFF"/>
                <w:sz w:val="18"/>
                <w:szCs w:val="18"/>
              </w:rPr>
              <w:t>Description</w:t>
            </w:r>
          </w:p>
        </w:tc>
        <w:tc>
          <w:tcPr>
            <w:tcW w:w="892" w:type="dxa"/>
            <w:shd w:val="clear" w:color="auto" w:fill="365F91" w:themeFill="accent1" w:themeFillShade="BF"/>
            <w:vAlign w:val="center"/>
            <w:hideMark/>
          </w:tcPr>
          <w:p w14:paraId="357943FD" w14:textId="77777777" w:rsidR="00087E32" w:rsidRPr="00087E32" w:rsidRDefault="00087E32" w:rsidP="00087E32">
            <w:pPr>
              <w:jc w:val="center"/>
              <w:rPr>
                <w:rFonts w:ascii="Calibri" w:eastAsia="Times New Roman" w:hAnsi="Calibri" w:cs="Times New Roman"/>
                <w:b/>
                <w:bCs/>
                <w:color w:val="FFFFFF"/>
                <w:sz w:val="18"/>
                <w:szCs w:val="18"/>
              </w:rPr>
            </w:pPr>
            <w:r w:rsidRPr="00087E32">
              <w:rPr>
                <w:rFonts w:ascii="Calibri" w:eastAsia="Times New Roman" w:hAnsi="Calibri" w:cs="Times New Roman"/>
                <w:b/>
                <w:bCs/>
                <w:color w:val="FFFFFF"/>
                <w:sz w:val="18"/>
                <w:szCs w:val="18"/>
              </w:rPr>
              <w:t>Date effet</w:t>
            </w:r>
          </w:p>
        </w:tc>
        <w:tc>
          <w:tcPr>
            <w:tcW w:w="1276" w:type="dxa"/>
            <w:shd w:val="clear" w:color="auto" w:fill="365F91" w:themeFill="accent1" w:themeFillShade="BF"/>
            <w:vAlign w:val="center"/>
            <w:hideMark/>
          </w:tcPr>
          <w:p w14:paraId="08320702" w14:textId="77777777" w:rsidR="00087E32" w:rsidRPr="00087E32" w:rsidRDefault="00087E32" w:rsidP="00087E32">
            <w:pPr>
              <w:jc w:val="center"/>
              <w:rPr>
                <w:rFonts w:ascii="Calibri" w:eastAsia="Times New Roman" w:hAnsi="Calibri" w:cs="Times New Roman"/>
                <w:b/>
                <w:bCs/>
                <w:color w:val="FFFFFF"/>
                <w:sz w:val="18"/>
                <w:szCs w:val="18"/>
              </w:rPr>
            </w:pPr>
            <w:r w:rsidRPr="00087E32">
              <w:rPr>
                <w:rFonts w:ascii="Calibri" w:eastAsia="Times New Roman" w:hAnsi="Calibri" w:cs="Times New Roman"/>
                <w:b/>
                <w:bCs/>
                <w:color w:val="FFFFFF"/>
                <w:sz w:val="18"/>
                <w:szCs w:val="18"/>
              </w:rPr>
              <w:t>Prime annuelle TTC (montant versé en 2017)</w:t>
            </w:r>
          </w:p>
        </w:tc>
      </w:tr>
      <w:tr w:rsidR="00087E32" w:rsidRPr="00087E32" w14:paraId="693C56C9" w14:textId="77777777" w:rsidTr="00DB7E98">
        <w:trPr>
          <w:trHeight w:val="2040"/>
        </w:trPr>
        <w:tc>
          <w:tcPr>
            <w:tcW w:w="1400" w:type="dxa"/>
            <w:shd w:val="clear" w:color="auto" w:fill="DBE5F1" w:themeFill="accent1" w:themeFillTint="33"/>
            <w:vAlign w:val="center"/>
            <w:hideMark/>
          </w:tcPr>
          <w:p w14:paraId="76AFDF7F" w14:textId="77777777" w:rsidR="00087E32" w:rsidRPr="00087E32" w:rsidRDefault="00087E32" w:rsidP="00087E32">
            <w:pPr>
              <w:jc w:val="center"/>
              <w:rPr>
                <w:rFonts w:ascii="Calibri" w:eastAsia="Times New Roman" w:hAnsi="Calibri" w:cs="Times New Roman"/>
                <w:color w:val="000000"/>
                <w:szCs w:val="20"/>
              </w:rPr>
            </w:pPr>
            <w:r w:rsidRPr="00087E32">
              <w:rPr>
                <w:rFonts w:ascii="Calibri" w:eastAsia="Times New Roman" w:hAnsi="Calibri" w:cs="Times New Roman"/>
                <w:color w:val="000000"/>
                <w:szCs w:val="20"/>
              </w:rPr>
              <w:t>IN1404523</w:t>
            </w:r>
          </w:p>
        </w:tc>
        <w:tc>
          <w:tcPr>
            <w:tcW w:w="1200" w:type="dxa"/>
            <w:shd w:val="clear" w:color="auto" w:fill="DBE5F1" w:themeFill="accent1" w:themeFillTint="33"/>
            <w:vAlign w:val="center"/>
            <w:hideMark/>
          </w:tcPr>
          <w:p w14:paraId="541DFEFA" w14:textId="77777777" w:rsidR="00087E32" w:rsidRPr="00087E32" w:rsidRDefault="00087E32" w:rsidP="00087E32">
            <w:pPr>
              <w:jc w:val="center"/>
              <w:rPr>
                <w:rFonts w:ascii="Calibri" w:eastAsia="Times New Roman" w:hAnsi="Calibri" w:cs="Times New Roman"/>
                <w:color w:val="000000"/>
                <w:szCs w:val="20"/>
              </w:rPr>
            </w:pPr>
            <w:r w:rsidRPr="00087E32">
              <w:rPr>
                <w:rFonts w:ascii="Calibri" w:eastAsia="Times New Roman" w:hAnsi="Calibri" w:cs="Times New Roman"/>
                <w:color w:val="000000"/>
                <w:szCs w:val="20"/>
              </w:rPr>
              <w:t>ALBINGIA</w:t>
            </w:r>
          </w:p>
        </w:tc>
        <w:tc>
          <w:tcPr>
            <w:tcW w:w="1345" w:type="dxa"/>
            <w:shd w:val="clear" w:color="auto" w:fill="DBE5F1" w:themeFill="accent1" w:themeFillTint="33"/>
            <w:vAlign w:val="center"/>
            <w:hideMark/>
          </w:tcPr>
          <w:p w14:paraId="1DCBA6B2" w14:textId="6CB1A32D" w:rsidR="00087E32" w:rsidRPr="00087E32" w:rsidRDefault="54FDD3F0" w:rsidP="54FDD3F0">
            <w:pPr>
              <w:jc w:val="center"/>
              <w:rPr>
                <w:rFonts w:ascii="Calibri" w:eastAsia="Times New Roman" w:hAnsi="Calibri" w:cs="Times New Roman"/>
                <w:color w:val="000000"/>
              </w:rPr>
            </w:pPr>
            <w:r w:rsidRPr="54FDD3F0">
              <w:rPr>
                <w:rFonts w:ascii="Calibri" w:eastAsia="Times New Roman" w:hAnsi="Calibri" w:cs="Times New Roman"/>
                <w:color w:val="000000" w:themeColor="text1"/>
              </w:rPr>
              <w:t>Dommages aux biens et</w:t>
            </w:r>
          </w:p>
          <w:p w14:paraId="2EAB2F1B" w14:textId="77777777" w:rsidR="54FDD3F0" w:rsidRDefault="54FDD3F0" w:rsidP="54FDD3F0">
            <w:pPr>
              <w:jc w:val="center"/>
              <w:rPr>
                <w:rFonts w:ascii="Calibri" w:eastAsia="Times New Roman" w:hAnsi="Calibri" w:cs="Times New Roman"/>
                <w:color w:val="000000" w:themeColor="text1"/>
              </w:rPr>
            </w:pPr>
            <w:r w:rsidRPr="54FDD3F0">
              <w:rPr>
                <w:rFonts w:ascii="Calibri" w:eastAsia="Times New Roman" w:hAnsi="Calibri" w:cs="Times New Roman"/>
                <w:color w:val="000000" w:themeColor="text1"/>
              </w:rPr>
              <w:t>Pertes d'exploitation</w:t>
            </w:r>
          </w:p>
        </w:tc>
        <w:tc>
          <w:tcPr>
            <w:tcW w:w="3400" w:type="dxa"/>
            <w:shd w:val="clear" w:color="auto" w:fill="DBE5F1" w:themeFill="accent1" w:themeFillTint="33"/>
            <w:vAlign w:val="center"/>
            <w:hideMark/>
          </w:tcPr>
          <w:p w14:paraId="28C6C764" w14:textId="77777777" w:rsidR="00087E32" w:rsidRPr="00DB7E98" w:rsidRDefault="54FDD3F0" w:rsidP="00087E32">
            <w:pPr>
              <w:jc w:val="center"/>
              <w:rPr>
                <w:rFonts w:ascii="Calibri" w:eastAsia="Times New Roman" w:hAnsi="Calibri" w:cs="Times New Roman"/>
                <w:szCs w:val="20"/>
              </w:rPr>
            </w:pPr>
            <w:r w:rsidRPr="00DB7E98">
              <w:rPr>
                <w:rFonts w:ascii="Calibri" w:eastAsia="Times New Roman" w:hAnsi="Calibri" w:cs="Times New Roman"/>
              </w:rPr>
              <w:t>Incendies, explosions, foudre, risques spéciaux, dommages électriques, vol, bris de glaces, bris de machines, tous risques informatiques, effondrement</w:t>
            </w:r>
          </w:p>
          <w:p w14:paraId="2EFE8E97" w14:textId="7831153D" w:rsidR="54FDD3F0" w:rsidRPr="00DB7E98" w:rsidRDefault="54FDD3F0" w:rsidP="54FDD3F0">
            <w:pPr>
              <w:jc w:val="center"/>
              <w:rPr>
                <w:rFonts w:ascii="Calibri" w:eastAsia="Times New Roman" w:hAnsi="Calibri" w:cs="Times New Roman"/>
              </w:rPr>
            </w:pPr>
            <w:r w:rsidRPr="00DB7E98">
              <w:rPr>
                <w:rFonts w:ascii="Calibri" w:eastAsia="Times New Roman" w:hAnsi="Calibri" w:cs="Times New Roman"/>
              </w:rPr>
              <w:t>Résultat de</w:t>
            </w:r>
            <w:r w:rsidR="00687057">
              <w:rPr>
                <w:rFonts w:ascii="Calibri" w:eastAsia="Times New Roman" w:hAnsi="Calibri" w:cs="Times New Roman"/>
              </w:rPr>
              <w:t xml:space="preserve"> </w:t>
            </w:r>
            <w:r w:rsidRPr="00DB7E98">
              <w:rPr>
                <w:rFonts w:ascii="Calibri" w:eastAsia="Times New Roman" w:hAnsi="Calibri" w:cs="Times New Roman"/>
              </w:rPr>
              <w:t>: incendies, explosions, foudre, risques spéciaux, dommages électriques</w:t>
            </w:r>
          </w:p>
          <w:p w14:paraId="51B24DC9" w14:textId="32CF132F" w:rsidR="54FDD3F0" w:rsidRPr="00DB7E98" w:rsidRDefault="54FDD3F0" w:rsidP="00C622C2">
            <w:pPr>
              <w:pStyle w:val="Paragraphedeliste"/>
              <w:numPr>
                <w:ilvl w:val="0"/>
                <w:numId w:val="4"/>
              </w:numPr>
              <w:jc w:val="left"/>
              <w:rPr>
                <w:rFonts w:eastAsiaTheme="majorEastAsia" w:cstheme="majorBidi"/>
                <w:szCs w:val="20"/>
              </w:rPr>
            </w:pPr>
            <w:r w:rsidRPr="00DB7E98">
              <w:rPr>
                <w:rFonts w:ascii="Calibri" w:eastAsia="Times New Roman" w:hAnsi="Calibri" w:cs="Times New Roman"/>
              </w:rPr>
              <w:t>Marge brute (y compris salaires) ga</w:t>
            </w:r>
            <w:r w:rsidR="00DB7E98">
              <w:rPr>
                <w:rFonts w:ascii="Calibri" w:eastAsia="Times New Roman" w:hAnsi="Calibri" w:cs="Times New Roman"/>
              </w:rPr>
              <w:t>r</w:t>
            </w:r>
            <w:r w:rsidRPr="00DB7E98">
              <w:rPr>
                <w:rFonts w:ascii="Calibri" w:eastAsia="Times New Roman" w:hAnsi="Calibri" w:cs="Times New Roman"/>
              </w:rPr>
              <w:t>anties à hauteur de 4 126 280 €</w:t>
            </w:r>
          </w:p>
          <w:p w14:paraId="0D150442" w14:textId="5D379159" w:rsidR="54FDD3F0" w:rsidRPr="00DB7E98" w:rsidRDefault="54FDD3F0" w:rsidP="00C622C2">
            <w:pPr>
              <w:pStyle w:val="Paragraphedeliste"/>
              <w:numPr>
                <w:ilvl w:val="0"/>
                <w:numId w:val="4"/>
              </w:numPr>
              <w:jc w:val="left"/>
              <w:rPr>
                <w:szCs w:val="20"/>
              </w:rPr>
            </w:pPr>
            <w:r w:rsidRPr="00DB7E98">
              <w:rPr>
                <w:rFonts w:ascii="Calibri" w:eastAsia="Times New Roman" w:hAnsi="Calibri" w:cs="Times New Roman"/>
              </w:rPr>
              <w:t>Honoraires d’expert à hauteur de 12 617 €</w:t>
            </w:r>
          </w:p>
          <w:p w14:paraId="69DE6E50" w14:textId="448EE74A" w:rsidR="54FDD3F0" w:rsidRPr="00DB7E98" w:rsidRDefault="54FDD3F0" w:rsidP="00C622C2">
            <w:pPr>
              <w:pStyle w:val="Paragraphedeliste"/>
              <w:numPr>
                <w:ilvl w:val="0"/>
                <w:numId w:val="4"/>
              </w:numPr>
              <w:jc w:val="left"/>
              <w:rPr>
                <w:szCs w:val="20"/>
              </w:rPr>
            </w:pPr>
            <w:r w:rsidRPr="00DB7E98">
              <w:rPr>
                <w:rFonts w:ascii="Calibri" w:eastAsia="Times New Roman" w:hAnsi="Calibri" w:cs="Times New Roman"/>
              </w:rPr>
              <w:t>Impossibilité matérielle d’accès à hauteur de 150 000 €</w:t>
            </w:r>
          </w:p>
          <w:p w14:paraId="4D9E2A6C" w14:textId="14AFF0BD" w:rsidR="54FDD3F0" w:rsidRPr="00DB7E98" w:rsidRDefault="54FDD3F0" w:rsidP="00C622C2">
            <w:pPr>
              <w:pStyle w:val="Paragraphedeliste"/>
              <w:numPr>
                <w:ilvl w:val="0"/>
                <w:numId w:val="4"/>
              </w:numPr>
              <w:jc w:val="left"/>
              <w:rPr>
                <w:szCs w:val="20"/>
              </w:rPr>
            </w:pPr>
            <w:r w:rsidRPr="00DB7E98">
              <w:rPr>
                <w:rFonts w:ascii="Calibri" w:eastAsia="Times New Roman" w:hAnsi="Calibri" w:cs="Times New Roman"/>
              </w:rPr>
              <w:t xml:space="preserve">Incendie, explosion, foudre </w:t>
            </w:r>
          </w:p>
          <w:p w14:paraId="112102C9" w14:textId="7B20756F" w:rsidR="54FDD3F0" w:rsidRPr="00DB7E98" w:rsidRDefault="54FDD3F0" w:rsidP="00C622C2">
            <w:pPr>
              <w:pStyle w:val="Paragraphedeliste"/>
              <w:numPr>
                <w:ilvl w:val="0"/>
                <w:numId w:val="4"/>
              </w:numPr>
              <w:jc w:val="left"/>
              <w:rPr>
                <w:szCs w:val="20"/>
              </w:rPr>
            </w:pPr>
            <w:r w:rsidRPr="00DB7E98">
              <w:rPr>
                <w:rFonts w:ascii="Calibri" w:eastAsia="Times New Roman" w:hAnsi="Calibri" w:cs="Times New Roman"/>
              </w:rPr>
              <w:t>Risques spéciaux pour une période d’</w:t>
            </w:r>
            <w:r w:rsidR="00DB7E98" w:rsidRPr="00DB7E98">
              <w:rPr>
                <w:rFonts w:ascii="Calibri" w:eastAsia="Times New Roman" w:hAnsi="Calibri" w:cs="Times New Roman"/>
              </w:rPr>
              <w:t>indemnisation</w:t>
            </w:r>
            <w:r w:rsidRPr="00DB7E98">
              <w:rPr>
                <w:rFonts w:ascii="Calibri" w:eastAsia="Times New Roman" w:hAnsi="Calibri" w:cs="Times New Roman"/>
              </w:rPr>
              <w:t xml:space="preserve"> de 12 mois sans limitation contractuelle d’indemnisation et avec une franchise de 3 jours ouvrés</w:t>
            </w:r>
          </w:p>
          <w:p w14:paraId="62B2149A" w14:textId="4B854BBC" w:rsidR="54FDD3F0" w:rsidRPr="00DB7E98" w:rsidRDefault="54FDD3F0" w:rsidP="00C622C2">
            <w:pPr>
              <w:pStyle w:val="Paragraphedeliste"/>
              <w:numPr>
                <w:ilvl w:val="0"/>
                <w:numId w:val="4"/>
              </w:numPr>
              <w:jc w:val="left"/>
              <w:rPr>
                <w:szCs w:val="20"/>
              </w:rPr>
            </w:pPr>
            <w:r w:rsidRPr="00DB7E98">
              <w:rPr>
                <w:rFonts w:ascii="Calibri" w:eastAsia="Times New Roman" w:hAnsi="Calibri" w:cs="Times New Roman"/>
              </w:rPr>
              <w:t>Dommages électriques pour une période d’indemnisation de 3 mois avec limitation contractuelle d’indemnisation à 150 000 € et une franchise de 3 jours ouvrés</w:t>
            </w:r>
          </w:p>
        </w:tc>
        <w:tc>
          <w:tcPr>
            <w:tcW w:w="892" w:type="dxa"/>
            <w:shd w:val="clear" w:color="auto" w:fill="DBE5F1" w:themeFill="accent1" w:themeFillTint="33"/>
            <w:vAlign w:val="center"/>
            <w:hideMark/>
          </w:tcPr>
          <w:p w14:paraId="6CDC212A" w14:textId="77777777" w:rsidR="00087E32" w:rsidRPr="00087E32" w:rsidRDefault="00087E32" w:rsidP="00087E32">
            <w:pPr>
              <w:jc w:val="center"/>
              <w:rPr>
                <w:rFonts w:ascii="Calibri" w:eastAsia="Times New Roman" w:hAnsi="Calibri" w:cs="Times New Roman"/>
                <w:szCs w:val="20"/>
              </w:rPr>
            </w:pPr>
            <w:r w:rsidRPr="00087E32">
              <w:rPr>
                <w:rFonts w:ascii="Calibri" w:eastAsia="Times New Roman" w:hAnsi="Calibri" w:cs="Times New Roman"/>
                <w:szCs w:val="20"/>
              </w:rPr>
              <w:t>27 mai 2014</w:t>
            </w:r>
          </w:p>
        </w:tc>
        <w:tc>
          <w:tcPr>
            <w:tcW w:w="1276" w:type="dxa"/>
            <w:shd w:val="clear" w:color="auto" w:fill="DBE5F1" w:themeFill="accent1" w:themeFillTint="33"/>
            <w:vAlign w:val="center"/>
            <w:hideMark/>
          </w:tcPr>
          <w:p w14:paraId="53F1404B" w14:textId="7CB05E2C" w:rsidR="00087E32" w:rsidRPr="00087E32" w:rsidRDefault="00087E32" w:rsidP="003A3434">
            <w:pPr>
              <w:jc w:val="center"/>
              <w:rPr>
                <w:rFonts w:ascii="Calibri" w:eastAsia="Times New Roman" w:hAnsi="Calibri" w:cs="Times New Roman"/>
                <w:szCs w:val="20"/>
              </w:rPr>
            </w:pPr>
            <w:r w:rsidRPr="00087E32">
              <w:rPr>
                <w:rFonts w:ascii="Calibri" w:eastAsia="Times New Roman" w:hAnsi="Calibri" w:cs="Times New Roman"/>
                <w:szCs w:val="20"/>
              </w:rPr>
              <w:t>5 </w:t>
            </w:r>
            <w:r w:rsidR="003A3434">
              <w:rPr>
                <w:rFonts w:ascii="Calibri" w:eastAsia="Times New Roman" w:hAnsi="Calibri" w:cs="Times New Roman"/>
                <w:szCs w:val="20"/>
              </w:rPr>
              <w:t>K</w:t>
            </w:r>
            <w:r w:rsidRPr="00087E32">
              <w:rPr>
                <w:rFonts w:ascii="Calibri" w:eastAsia="Times New Roman" w:hAnsi="Calibri" w:cs="Times New Roman"/>
                <w:szCs w:val="20"/>
              </w:rPr>
              <w:t xml:space="preserve">€ </w:t>
            </w:r>
          </w:p>
        </w:tc>
      </w:tr>
      <w:tr w:rsidR="54FDD3F0" w14:paraId="4F22CAF0" w14:textId="77777777" w:rsidTr="00DB7E98">
        <w:trPr>
          <w:trHeight w:val="880"/>
        </w:trPr>
        <w:tc>
          <w:tcPr>
            <w:tcW w:w="1400" w:type="dxa"/>
            <w:shd w:val="clear" w:color="auto" w:fill="DBE5F1" w:themeFill="accent1" w:themeFillTint="33"/>
            <w:vAlign w:val="center"/>
            <w:hideMark/>
          </w:tcPr>
          <w:p w14:paraId="745543D7" w14:textId="7AEC7A29" w:rsidR="54FDD3F0" w:rsidRDefault="54FDD3F0" w:rsidP="54FDD3F0">
            <w:pPr>
              <w:jc w:val="center"/>
              <w:rPr>
                <w:rFonts w:ascii="Calibri" w:eastAsia="Times New Roman" w:hAnsi="Calibri" w:cs="Times New Roman"/>
                <w:color w:val="000000" w:themeColor="text1"/>
              </w:rPr>
            </w:pPr>
            <w:r w:rsidRPr="54FDD3F0">
              <w:rPr>
                <w:rFonts w:ascii="Calibri" w:eastAsia="Times New Roman" w:hAnsi="Calibri" w:cs="Times New Roman"/>
                <w:color w:val="000000" w:themeColor="text1"/>
              </w:rPr>
              <w:t>FRBBBA43460</w:t>
            </w:r>
          </w:p>
        </w:tc>
        <w:tc>
          <w:tcPr>
            <w:tcW w:w="1200" w:type="dxa"/>
            <w:shd w:val="clear" w:color="auto" w:fill="DBE5F1" w:themeFill="accent1" w:themeFillTint="33"/>
            <w:vAlign w:val="center"/>
            <w:hideMark/>
          </w:tcPr>
          <w:p w14:paraId="111DF76C" w14:textId="32C67A7E" w:rsidR="54FDD3F0" w:rsidRDefault="54FDD3F0" w:rsidP="54FDD3F0">
            <w:pPr>
              <w:jc w:val="center"/>
              <w:rPr>
                <w:rFonts w:ascii="Calibri" w:eastAsia="Times New Roman" w:hAnsi="Calibri" w:cs="Times New Roman"/>
                <w:color w:val="000000" w:themeColor="text1"/>
              </w:rPr>
            </w:pPr>
            <w:r w:rsidRPr="54FDD3F0">
              <w:rPr>
                <w:rFonts w:ascii="Calibri" w:eastAsia="Times New Roman" w:hAnsi="Calibri" w:cs="Times New Roman"/>
                <w:color w:val="000000" w:themeColor="text1"/>
              </w:rPr>
              <w:t>CHUBB</w:t>
            </w:r>
          </w:p>
        </w:tc>
        <w:tc>
          <w:tcPr>
            <w:tcW w:w="1345" w:type="dxa"/>
            <w:shd w:val="clear" w:color="auto" w:fill="DBE5F1" w:themeFill="accent1" w:themeFillTint="33"/>
            <w:vAlign w:val="center"/>
            <w:hideMark/>
          </w:tcPr>
          <w:p w14:paraId="08501BC5" w14:textId="365D428E" w:rsidR="54FDD3F0" w:rsidRDefault="00DB7E98" w:rsidP="54FDD3F0">
            <w:pPr>
              <w:jc w:val="center"/>
              <w:rPr>
                <w:rFonts w:ascii="Calibri" w:eastAsia="Times New Roman" w:hAnsi="Calibri" w:cs="Times New Roman"/>
                <w:color w:val="000000" w:themeColor="text1"/>
              </w:rPr>
            </w:pPr>
            <w:r w:rsidRPr="54FDD3F0">
              <w:rPr>
                <w:rFonts w:ascii="Calibri" w:eastAsia="Times New Roman" w:hAnsi="Calibri" w:cs="Times New Roman"/>
                <w:color w:val="000000" w:themeColor="text1"/>
              </w:rPr>
              <w:t>Assistance</w:t>
            </w:r>
            <w:r w:rsidR="54FDD3F0" w:rsidRPr="54FDD3F0">
              <w:rPr>
                <w:rFonts w:ascii="Calibri" w:eastAsia="Times New Roman" w:hAnsi="Calibri" w:cs="Times New Roman"/>
                <w:color w:val="000000" w:themeColor="text1"/>
              </w:rPr>
              <w:t xml:space="preserve"> : déplacements professionnels des collaborateurs</w:t>
            </w:r>
          </w:p>
        </w:tc>
        <w:tc>
          <w:tcPr>
            <w:tcW w:w="3400" w:type="dxa"/>
            <w:shd w:val="clear" w:color="auto" w:fill="DBE5F1" w:themeFill="accent1" w:themeFillTint="33"/>
            <w:vAlign w:val="center"/>
            <w:hideMark/>
          </w:tcPr>
          <w:p w14:paraId="777A4C3B" w14:textId="01EC29A9" w:rsidR="54FDD3F0" w:rsidRPr="00DB7E98" w:rsidRDefault="54FDD3F0" w:rsidP="54FDD3F0">
            <w:pPr>
              <w:jc w:val="left"/>
              <w:rPr>
                <w:rFonts w:eastAsiaTheme="majorEastAsia" w:cstheme="majorBidi"/>
                <w:szCs w:val="20"/>
              </w:rPr>
            </w:pPr>
            <w:r w:rsidRPr="00DB7E98">
              <w:rPr>
                <w:rFonts w:eastAsiaTheme="majorEastAsia" w:cstheme="majorBidi"/>
                <w:szCs w:val="20"/>
              </w:rPr>
              <w:t>Garanties selon les différents événements couverts : accident, prise en charge frais médicaux, décès.</w:t>
            </w:r>
          </w:p>
          <w:p w14:paraId="726A3369" w14:textId="3464DED6" w:rsidR="54FDD3F0" w:rsidRPr="00DB7E98" w:rsidRDefault="54FDD3F0" w:rsidP="54FDD3F0">
            <w:pPr>
              <w:jc w:val="left"/>
              <w:rPr>
                <w:rFonts w:eastAsiaTheme="majorEastAsia" w:cstheme="majorBidi"/>
                <w:szCs w:val="20"/>
              </w:rPr>
            </w:pPr>
            <w:r w:rsidRPr="00DB7E98">
              <w:rPr>
                <w:rFonts w:eastAsiaTheme="majorEastAsia" w:cstheme="majorBidi"/>
                <w:szCs w:val="20"/>
              </w:rPr>
              <w:t xml:space="preserve"> </w:t>
            </w:r>
          </w:p>
          <w:p w14:paraId="5EABAF1D" w14:textId="580CA13D" w:rsidR="54FDD3F0" w:rsidRPr="00DB7E98" w:rsidRDefault="54FDD3F0" w:rsidP="54FDD3F0">
            <w:pPr>
              <w:jc w:val="left"/>
              <w:rPr>
                <w:rFonts w:eastAsiaTheme="majorEastAsia" w:cstheme="majorBidi"/>
                <w:szCs w:val="20"/>
              </w:rPr>
            </w:pPr>
            <w:r w:rsidRPr="00DB7E98">
              <w:rPr>
                <w:rFonts w:eastAsiaTheme="majorEastAsia" w:cstheme="majorBidi"/>
                <w:szCs w:val="20"/>
              </w:rPr>
              <w:t>Territorialité : monde entier</w:t>
            </w:r>
          </w:p>
          <w:p w14:paraId="345D3A99" w14:textId="6D6A0C33" w:rsidR="54FDD3F0" w:rsidRPr="00DB7E98" w:rsidRDefault="54FDD3F0" w:rsidP="00DB7E98">
            <w:pPr>
              <w:jc w:val="left"/>
              <w:rPr>
                <w:rFonts w:eastAsiaTheme="majorEastAsia" w:cstheme="majorBidi"/>
              </w:rPr>
            </w:pPr>
          </w:p>
        </w:tc>
        <w:tc>
          <w:tcPr>
            <w:tcW w:w="892" w:type="dxa"/>
            <w:shd w:val="clear" w:color="auto" w:fill="DBE5F1" w:themeFill="accent1" w:themeFillTint="33"/>
            <w:vAlign w:val="center"/>
            <w:hideMark/>
          </w:tcPr>
          <w:p w14:paraId="4C478722" w14:textId="7ED46102" w:rsidR="54FDD3F0" w:rsidRDefault="54FDD3F0" w:rsidP="54FDD3F0">
            <w:pPr>
              <w:jc w:val="center"/>
              <w:rPr>
                <w:rFonts w:ascii="Calibri" w:eastAsia="Times New Roman" w:hAnsi="Calibri" w:cs="Times New Roman"/>
              </w:rPr>
            </w:pPr>
            <w:r w:rsidRPr="54FDD3F0">
              <w:rPr>
                <w:rFonts w:ascii="Calibri" w:eastAsia="Times New Roman" w:hAnsi="Calibri" w:cs="Times New Roman"/>
              </w:rPr>
              <w:t>24 septembre 2019</w:t>
            </w:r>
          </w:p>
        </w:tc>
        <w:tc>
          <w:tcPr>
            <w:tcW w:w="1276" w:type="dxa"/>
            <w:shd w:val="clear" w:color="auto" w:fill="DBE5F1" w:themeFill="accent1" w:themeFillTint="33"/>
            <w:vAlign w:val="center"/>
            <w:hideMark/>
          </w:tcPr>
          <w:p w14:paraId="216AA028" w14:textId="71907A4C" w:rsidR="54FDD3F0" w:rsidRDefault="54FDD3F0" w:rsidP="54FDD3F0">
            <w:pPr>
              <w:jc w:val="center"/>
              <w:rPr>
                <w:rFonts w:ascii="Calibri" w:eastAsia="Times New Roman" w:hAnsi="Calibri" w:cs="Times New Roman"/>
              </w:rPr>
            </w:pPr>
            <w:r w:rsidRPr="54FDD3F0">
              <w:rPr>
                <w:rFonts w:ascii="Calibri" w:eastAsia="Times New Roman" w:hAnsi="Calibri" w:cs="Times New Roman"/>
              </w:rPr>
              <w:t>0,1 K€</w:t>
            </w:r>
          </w:p>
        </w:tc>
      </w:tr>
      <w:tr w:rsidR="00087E32" w:rsidRPr="00087E32" w14:paraId="088CC219" w14:textId="77777777" w:rsidTr="00DB7E98">
        <w:trPr>
          <w:trHeight w:val="2840"/>
        </w:trPr>
        <w:tc>
          <w:tcPr>
            <w:tcW w:w="1400" w:type="dxa"/>
            <w:vMerge w:val="restart"/>
            <w:shd w:val="clear" w:color="auto" w:fill="DBE5F1" w:themeFill="accent1" w:themeFillTint="33"/>
            <w:vAlign w:val="center"/>
            <w:hideMark/>
          </w:tcPr>
          <w:p w14:paraId="15AA8212" w14:textId="5AD7B183" w:rsidR="00087E32" w:rsidRPr="00087E32" w:rsidRDefault="54FDD3F0" w:rsidP="54FDD3F0">
            <w:pPr>
              <w:jc w:val="center"/>
              <w:rPr>
                <w:rFonts w:ascii="Calibri" w:eastAsia="Times New Roman" w:hAnsi="Calibri" w:cs="Times New Roman"/>
                <w:color w:val="000000"/>
              </w:rPr>
            </w:pPr>
            <w:r w:rsidRPr="54FDD3F0">
              <w:rPr>
                <w:rFonts w:ascii="Calibri" w:eastAsia="Times New Roman" w:hAnsi="Calibri" w:cs="Times New Roman"/>
                <w:color w:val="000000" w:themeColor="text1"/>
              </w:rPr>
              <w:t>FRLSCA28711</w:t>
            </w:r>
          </w:p>
        </w:tc>
        <w:tc>
          <w:tcPr>
            <w:tcW w:w="1200" w:type="dxa"/>
            <w:vMerge w:val="restart"/>
            <w:shd w:val="clear" w:color="auto" w:fill="DBE5F1" w:themeFill="accent1" w:themeFillTint="33"/>
            <w:vAlign w:val="center"/>
            <w:hideMark/>
          </w:tcPr>
          <w:p w14:paraId="494CB897" w14:textId="77777777" w:rsidR="00087E32" w:rsidRPr="00087E32" w:rsidRDefault="00087E32" w:rsidP="00087E32">
            <w:pPr>
              <w:jc w:val="center"/>
              <w:rPr>
                <w:rFonts w:ascii="Calibri" w:eastAsia="Times New Roman" w:hAnsi="Calibri" w:cs="Times New Roman"/>
                <w:color w:val="000000"/>
                <w:szCs w:val="20"/>
              </w:rPr>
            </w:pPr>
            <w:r w:rsidRPr="00087E32">
              <w:rPr>
                <w:rFonts w:ascii="Calibri" w:eastAsia="Times New Roman" w:hAnsi="Calibri" w:cs="Times New Roman"/>
                <w:color w:val="000000"/>
                <w:szCs w:val="20"/>
              </w:rPr>
              <w:t>CHUBB</w:t>
            </w:r>
          </w:p>
        </w:tc>
        <w:tc>
          <w:tcPr>
            <w:tcW w:w="1345" w:type="dxa"/>
            <w:vMerge w:val="restart"/>
            <w:shd w:val="clear" w:color="auto" w:fill="DBE5F1" w:themeFill="accent1" w:themeFillTint="33"/>
            <w:vAlign w:val="center"/>
            <w:hideMark/>
          </w:tcPr>
          <w:p w14:paraId="1F5260B5" w14:textId="77777777" w:rsidR="00087E32" w:rsidRPr="00087E32" w:rsidRDefault="00087E32" w:rsidP="00087E32">
            <w:pPr>
              <w:jc w:val="center"/>
              <w:rPr>
                <w:rFonts w:ascii="Calibri" w:eastAsia="Times New Roman" w:hAnsi="Calibri" w:cs="Times New Roman"/>
                <w:color w:val="000000"/>
                <w:szCs w:val="20"/>
              </w:rPr>
            </w:pPr>
            <w:r w:rsidRPr="00087E32">
              <w:rPr>
                <w:rFonts w:ascii="Calibri" w:eastAsia="Times New Roman" w:hAnsi="Calibri" w:cs="Times New Roman"/>
                <w:color w:val="000000"/>
                <w:szCs w:val="20"/>
              </w:rPr>
              <w:t>Responsabilité civile (RC)</w:t>
            </w:r>
          </w:p>
        </w:tc>
        <w:tc>
          <w:tcPr>
            <w:tcW w:w="3400" w:type="dxa"/>
            <w:shd w:val="clear" w:color="auto" w:fill="DBE5F1" w:themeFill="accent1" w:themeFillTint="33"/>
            <w:vAlign w:val="center"/>
            <w:hideMark/>
          </w:tcPr>
          <w:p w14:paraId="629F7421" w14:textId="66E3B2D0" w:rsidR="54FDD3F0" w:rsidRPr="00DB7E98" w:rsidRDefault="54FDD3F0" w:rsidP="00DB7E98">
            <w:pPr>
              <w:jc w:val="left"/>
              <w:rPr>
                <w:rFonts w:eastAsiaTheme="majorEastAsia" w:cstheme="majorBidi"/>
                <w:b/>
                <w:bCs/>
              </w:rPr>
            </w:pPr>
            <w:r w:rsidRPr="00DB7E98">
              <w:rPr>
                <w:rFonts w:eastAsiaTheme="majorEastAsia" w:cstheme="majorBidi"/>
                <w:b/>
                <w:bCs/>
              </w:rPr>
              <w:t xml:space="preserve">RC </w:t>
            </w:r>
            <w:r w:rsidR="00221B50" w:rsidRPr="00DB7E98">
              <w:rPr>
                <w:rFonts w:eastAsiaTheme="majorEastAsia" w:cstheme="majorBidi"/>
                <w:b/>
                <w:bCs/>
              </w:rPr>
              <w:t>Exploitation :</w:t>
            </w:r>
          </w:p>
          <w:p w14:paraId="79BF3D72" w14:textId="67A8FBD7" w:rsidR="54FDD3F0" w:rsidRPr="00DB7E98" w:rsidRDefault="54FDD3F0" w:rsidP="00DB7E98">
            <w:pPr>
              <w:jc w:val="left"/>
              <w:rPr>
                <w:rFonts w:eastAsiaTheme="majorEastAsia" w:cstheme="majorBidi"/>
              </w:rPr>
            </w:pPr>
          </w:p>
          <w:p w14:paraId="1DF4E139" w14:textId="29A210A5" w:rsidR="00087E32" w:rsidRPr="00DB7E98" w:rsidRDefault="54FDD3F0" w:rsidP="00DB7E98">
            <w:pPr>
              <w:jc w:val="left"/>
              <w:rPr>
                <w:rFonts w:eastAsiaTheme="majorEastAsia" w:cstheme="majorBidi"/>
                <w:szCs w:val="20"/>
              </w:rPr>
            </w:pPr>
            <w:r w:rsidRPr="00DB7E98">
              <w:rPr>
                <w:rFonts w:eastAsiaTheme="majorEastAsia" w:cstheme="majorBidi"/>
              </w:rPr>
              <w:t>Périmètre :</w:t>
            </w:r>
            <w:r w:rsidRPr="00DB7E98">
              <w:rPr>
                <w:rFonts w:eastAsiaTheme="majorEastAsia" w:cstheme="majorBidi"/>
                <w:szCs w:val="20"/>
              </w:rPr>
              <w:t xml:space="preserve"> tous dommages corporels, matériels et immatériels confondus : 6M€/sinistre (franchise : </w:t>
            </w:r>
            <w:r w:rsidR="00696043">
              <w:rPr>
                <w:rFonts w:eastAsiaTheme="majorEastAsia" w:cstheme="majorBidi"/>
                <w:szCs w:val="20"/>
              </w:rPr>
              <w:t>n</w:t>
            </w:r>
            <w:r w:rsidR="00696043" w:rsidRPr="00DB7E98">
              <w:rPr>
                <w:rFonts w:eastAsiaTheme="majorEastAsia" w:cstheme="majorBidi"/>
                <w:szCs w:val="20"/>
              </w:rPr>
              <w:t xml:space="preserve">éant </w:t>
            </w:r>
            <w:r w:rsidRPr="00DB7E98">
              <w:rPr>
                <w:rFonts w:eastAsiaTheme="majorEastAsia" w:cstheme="majorBidi"/>
                <w:szCs w:val="20"/>
              </w:rPr>
              <w:t>sur dommages corporels)</w:t>
            </w:r>
          </w:p>
          <w:p w14:paraId="4D0074B4" w14:textId="7CB46C31" w:rsidR="00087E32" w:rsidRPr="00DB7E98" w:rsidRDefault="54FDD3F0" w:rsidP="54FDD3F0">
            <w:pPr>
              <w:jc w:val="left"/>
              <w:rPr>
                <w:rFonts w:eastAsiaTheme="majorEastAsia" w:cstheme="majorBidi"/>
                <w:szCs w:val="20"/>
              </w:rPr>
            </w:pPr>
            <w:r w:rsidRPr="00DB7E98">
              <w:rPr>
                <w:rFonts w:eastAsiaTheme="majorEastAsia" w:cstheme="majorBidi"/>
                <w:szCs w:val="20"/>
              </w:rPr>
              <w:t>Dont :</w:t>
            </w:r>
          </w:p>
          <w:p w14:paraId="701C8457" w14:textId="118B7381" w:rsidR="00087E32" w:rsidRPr="00DB7E98" w:rsidRDefault="54FDD3F0" w:rsidP="54FDD3F0">
            <w:pPr>
              <w:jc w:val="left"/>
              <w:rPr>
                <w:rFonts w:eastAsiaTheme="majorEastAsia" w:cstheme="majorBidi"/>
                <w:szCs w:val="20"/>
              </w:rPr>
            </w:pPr>
            <w:r w:rsidRPr="00DB7E98">
              <w:rPr>
                <w:rFonts w:eastAsiaTheme="majorEastAsia" w:cstheme="majorBidi"/>
                <w:szCs w:val="20"/>
              </w:rPr>
              <w:t>- Faute inexcusable : 3M€/an (franchise : 3.000 € par victime)</w:t>
            </w:r>
          </w:p>
          <w:p w14:paraId="3B6CA1BD" w14:textId="6C5A89FF" w:rsidR="00087E32" w:rsidRPr="00DB7E98" w:rsidRDefault="54FDD3F0" w:rsidP="54FDD3F0">
            <w:pPr>
              <w:jc w:val="left"/>
              <w:rPr>
                <w:rFonts w:eastAsiaTheme="majorEastAsia" w:cstheme="majorBidi"/>
                <w:szCs w:val="20"/>
              </w:rPr>
            </w:pPr>
            <w:r w:rsidRPr="00DB7E98">
              <w:rPr>
                <w:rFonts w:eastAsiaTheme="majorEastAsia" w:cstheme="majorBidi"/>
                <w:szCs w:val="20"/>
              </w:rPr>
              <w:t>- Dommages immatériels non consécutifs : 1M€/sinistre (franchise : 3 000 € par sinistre)</w:t>
            </w:r>
          </w:p>
          <w:p w14:paraId="32981635" w14:textId="20C7B554" w:rsidR="00087E32" w:rsidRPr="00DB7E98" w:rsidRDefault="54FDD3F0" w:rsidP="54FDD3F0">
            <w:pPr>
              <w:jc w:val="left"/>
              <w:rPr>
                <w:rFonts w:eastAsiaTheme="majorEastAsia" w:cstheme="majorBidi"/>
                <w:szCs w:val="20"/>
              </w:rPr>
            </w:pPr>
            <w:r w:rsidRPr="00DB7E98">
              <w:rPr>
                <w:rFonts w:eastAsiaTheme="majorEastAsia" w:cstheme="majorBidi"/>
                <w:szCs w:val="20"/>
              </w:rPr>
              <w:t>- biens confiés : 500K€/sinistre (franchise : 3 000 € par sinistre)</w:t>
            </w:r>
          </w:p>
          <w:p w14:paraId="5217B082" w14:textId="6660286C" w:rsidR="00087E32" w:rsidRPr="00DB7E98" w:rsidRDefault="54FDD3F0" w:rsidP="54FDD3F0">
            <w:pPr>
              <w:jc w:val="left"/>
              <w:rPr>
                <w:rFonts w:eastAsiaTheme="majorEastAsia" w:cstheme="majorBidi"/>
                <w:szCs w:val="20"/>
              </w:rPr>
            </w:pPr>
            <w:r w:rsidRPr="00DB7E98">
              <w:rPr>
                <w:rFonts w:eastAsiaTheme="majorEastAsia" w:cstheme="majorBidi"/>
                <w:szCs w:val="20"/>
              </w:rPr>
              <w:t>- Pollution accidentelle :  1M€/an (franchise : 3 000 € par sinistre)</w:t>
            </w:r>
          </w:p>
          <w:p w14:paraId="3654D027" w14:textId="6DDAF392" w:rsidR="00087E32" w:rsidRPr="00DB7E98" w:rsidRDefault="54FDD3F0" w:rsidP="54FDD3F0">
            <w:pPr>
              <w:jc w:val="left"/>
              <w:rPr>
                <w:rFonts w:eastAsiaTheme="majorEastAsia" w:cstheme="majorBidi"/>
              </w:rPr>
            </w:pPr>
            <w:r w:rsidRPr="00DB7E98">
              <w:rPr>
                <w:rFonts w:eastAsiaTheme="majorEastAsia" w:cstheme="majorBidi"/>
              </w:rPr>
              <w:t xml:space="preserve">   </w:t>
            </w:r>
          </w:p>
        </w:tc>
        <w:tc>
          <w:tcPr>
            <w:tcW w:w="892" w:type="dxa"/>
            <w:vMerge w:val="restart"/>
            <w:shd w:val="clear" w:color="auto" w:fill="DBE5F1" w:themeFill="accent1" w:themeFillTint="33"/>
            <w:vAlign w:val="center"/>
            <w:hideMark/>
          </w:tcPr>
          <w:p w14:paraId="6EC23E2F" w14:textId="03BF2420" w:rsidR="00087E32" w:rsidRPr="00087E32" w:rsidRDefault="54FDD3F0" w:rsidP="54FDD3F0">
            <w:pPr>
              <w:jc w:val="center"/>
              <w:rPr>
                <w:rFonts w:ascii="Calibri" w:eastAsia="Times New Roman" w:hAnsi="Calibri" w:cs="Times New Roman"/>
              </w:rPr>
            </w:pPr>
            <w:r w:rsidRPr="54FDD3F0">
              <w:rPr>
                <w:rFonts w:ascii="Calibri" w:eastAsia="Times New Roman" w:hAnsi="Calibri" w:cs="Times New Roman"/>
              </w:rPr>
              <w:t>1er janvier 2011 (date dernier avenant 1er janvier 2020)</w:t>
            </w:r>
          </w:p>
        </w:tc>
        <w:tc>
          <w:tcPr>
            <w:tcW w:w="1276" w:type="dxa"/>
            <w:vMerge w:val="restart"/>
            <w:shd w:val="clear" w:color="auto" w:fill="DBE5F1" w:themeFill="accent1" w:themeFillTint="33"/>
            <w:vAlign w:val="center"/>
            <w:hideMark/>
          </w:tcPr>
          <w:p w14:paraId="2CD87EFF" w14:textId="56D98B4F" w:rsidR="00087E32" w:rsidRPr="00087E32" w:rsidRDefault="54FDD3F0" w:rsidP="54FDD3F0">
            <w:pPr>
              <w:jc w:val="center"/>
              <w:rPr>
                <w:rFonts w:ascii="Calibri" w:eastAsia="Times New Roman" w:hAnsi="Calibri" w:cs="Times New Roman"/>
              </w:rPr>
            </w:pPr>
            <w:r w:rsidRPr="54FDD3F0">
              <w:rPr>
                <w:rFonts w:ascii="Calibri" w:eastAsia="Times New Roman" w:hAnsi="Calibri" w:cs="Times New Roman"/>
              </w:rPr>
              <w:t xml:space="preserve">38 K€ </w:t>
            </w:r>
          </w:p>
        </w:tc>
      </w:tr>
      <w:tr w:rsidR="00DB7E98" w:rsidRPr="00087E32" w14:paraId="0A05B055" w14:textId="77777777" w:rsidTr="00283D1D">
        <w:trPr>
          <w:trHeight w:val="6775"/>
        </w:trPr>
        <w:tc>
          <w:tcPr>
            <w:tcW w:w="1400" w:type="dxa"/>
            <w:vMerge/>
            <w:vAlign w:val="center"/>
            <w:hideMark/>
          </w:tcPr>
          <w:p w14:paraId="1AFEFB2C" w14:textId="77777777" w:rsidR="00DB7E98" w:rsidRPr="00087E32" w:rsidRDefault="00DB7E98" w:rsidP="00087E32">
            <w:pPr>
              <w:jc w:val="left"/>
              <w:rPr>
                <w:rFonts w:ascii="Calibri" w:eastAsia="Times New Roman" w:hAnsi="Calibri" w:cs="Times New Roman"/>
                <w:color w:val="000000"/>
                <w:szCs w:val="20"/>
              </w:rPr>
            </w:pPr>
          </w:p>
        </w:tc>
        <w:tc>
          <w:tcPr>
            <w:tcW w:w="1200" w:type="dxa"/>
            <w:vMerge/>
            <w:shd w:val="clear" w:color="auto" w:fill="DBE5F1" w:themeFill="accent1" w:themeFillTint="33"/>
            <w:vAlign w:val="center"/>
            <w:hideMark/>
          </w:tcPr>
          <w:p w14:paraId="42F68267" w14:textId="77777777" w:rsidR="00DB7E98" w:rsidRPr="00087E32" w:rsidRDefault="00DB7E98" w:rsidP="00087E32">
            <w:pPr>
              <w:jc w:val="left"/>
              <w:rPr>
                <w:rFonts w:ascii="Calibri" w:eastAsia="Times New Roman" w:hAnsi="Calibri" w:cs="Times New Roman"/>
                <w:color w:val="000000"/>
                <w:szCs w:val="20"/>
              </w:rPr>
            </w:pPr>
          </w:p>
        </w:tc>
        <w:tc>
          <w:tcPr>
            <w:tcW w:w="1345" w:type="dxa"/>
            <w:vMerge/>
            <w:vAlign w:val="center"/>
            <w:hideMark/>
          </w:tcPr>
          <w:p w14:paraId="05F584D6" w14:textId="77777777" w:rsidR="00DB7E98" w:rsidRPr="00087E32" w:rsidRDefault="00DB7E98" w:rsidP="00087E32">
            <w:pPr>
              <w:jc w:val="left"/>
              <w:rPr>
                <w:rFonts w:ascii="Calibri" w:eastAsia="Times New Roman" w:hAnsi="Calibri" w:cs="Times New Roman"/>
                <w:color w:val="000000"/>
                <w:szCs w:val="20"/>
              </w:rPr>
            </w:pPr>
          </w:p>
        </w:tc>
        <w:tc>
          <w:tcPr>
            <w:tcW w:w="3400" w:type="dxa"/>
            <w:shd w:val="clear" w:color="auto" w:fill="DBE5F1" w:themeFill="accent1" w:themeFillTint="33"/>
            <w:vAlign w:val="center"/>
            <w:hideMark/>
          </w:tcPr>
          <w:p w14:paraId="3057E19D" w14:textId="484FB2A0" w:rsidR="00DB7E98" w:rsidRDefault="00DB7E98" w:rsidP="00DB7E98">
            <w:pPr>
              <w:jc w:val="left"/>
              <w:rPr>
                <w:rFonts w:ascii="Calibri" w:eastAsia="Times New Roman" w:hAnsi="Calibri" w:cs="Times New Roman"/>
                <w:b/>
                <w:bCs/>
              </w:rPr>
            </w:pPr>
            <w:r w:rsidRPr="00DB7E98">
              <w:rPr>
                <w:rFonts w:ascii="Calibri" w:eastAsia="Times New Roman" w:hAnsi="Calibri" w:cs="Times New Roman"/>
                <w:b/>
                <w:bCs/>
              </w:rPr>
              <w:t xml:space="preserve">RC </w:t>
            </w:r>
            <w:r w:rsidR="007B5AD8" w:rsidRPr="00DB7E98">
              <w:rPr>
                <w:rFonts w:ascii="Calibri" w:eastAsia="Times New Roman" w:hAnsi="Calibri" w:cs="Times New Roman"/>
                <w:b/>
                <w:bCs/>
              </w:rPr>
              <w:t>Produits :</w:t>
            </w:r>
          </w:p>
          <w:p w14:paraId="7982DA2A" w14:textId="50DCC887" w:rsidR="00DB7E98" w:rsidRPr="00DB7E98" w:rsidRDefault="00DB7E98" w:rsidP="54FDD3F0">
            <w:pPr>
              <w:jc w:val="left"/>
              <w:rPr>
                <w:rFonts w:ascii="Calibri" w:eastAsia="Times New Roman" w:hAnsi="Calibri" w:cs="Times New Roman"/>
                <w:b/>
                <w:bCs/>
              </w:rPr>
            </w:pPr>
          </w:p>
          <w:p w14:paraId="34DB0D63" w14:textId="1E0E39A9" w:rsidR="00DB7E98" w:rsidRPr="00DB7E98" w:rsidRDefault="00DB7E98" w:rsidP="00DB7E98">
            <w:pPr>
              <w:jc w:val="left"/>
              <w:rPr>
                <w:rFonts w:eastAsiaTheme="majorEastAsia" w:cstheme="majorBidi"/>
                <w:szCs w:val="20"/>
              </w:rPr>
            </w:pPr>
            <w:r w:rsidRPr="00DB7E98">
              <w:rPr>
                <w:rFonts w:eastAsiaTheme="majorEastAsia" w:cstheme="majorBidi"/>
                <w:szCs w:val="20"/>
              </w:rPr>
              <w:t>Territorialité : monde entier sauf exception</w:t>
            </w:r>
          </w:p>
          <w:p w14:paraId="7CF860F5" w14:textId="38BD810C" w:rsidR="00DB7E98" w:rsidRPr="00DB7E98" w:rsidRDefault="00DB7E98" w:rsidP="54FDD3F0">
            <w:pPr>
              <w:jc w:val="left"/>
              <w:rPr>
                <w:rFonts w:ascii="Calibri" w:eastAsia="Times New Roman" w:hAnsi="Calibri" w:cs="Times New Roman"/>
              </w:rPr>
            </w:pPr>
            <w:r w:rsidRPr="00DB7E98">
              <w:rPr>
                <w:rFonts w:ascii="Calibri" w:eastAsia="Times New Roman" w:hAnsi="Calibri" w:cs="Times New Roman"/>
              </w:rPr>
              <w:t xml:space="preserve"> </w:t>
            </w:r>
          </w:p>
          <w:p w14:paraId="6BAF3039" w14:textId="496552FF" w:rsidR="00DB7E98" w:rsidRPr="00DB7E98" w:rsidRDefault="00DB7E98" w:rsidP="00DB7E98">
            <w:pPr>
              <w:jc w:val="left"/>
              <w:rPr>
                <w:rFonts w:eastAsiaTheme="majorEastAsia" w:cstheme="majorBidi"/>
                <w:szCs w:val="20"/>
              </w:rPr>
            </w:pPr>
            <w:r w:rsidRPr="00DB7E98">
              <w:rPr>
                <w:rFonts w:ascii="Calibri" w:eastAsia="Times New Roman" w:hAnsi="Calibri" w:cs="Times New Roman"/>
              </w:rPr>
              <w:t xml:space="preserve">Périmètre : </w:t>
            </w:r>
            <w:r w:rsidRPr="00DB7E98">
              <w:rPr>
                <w:rFonts w:ascii="Arial" w:eastAsia="Arial" w:hAnsi="Arial" w:cs="Arial"/>
                <w:szCs w:val="20"/>
              </w:rPr>
              <w:t xml:space="preserve"> </w:t>
            </w:r>
            <w:r w:rsidRPr="00DB7E98">
              <w:rPr>
                <w:rFonts w:eastAsiaTheme="majorEastAsia" w:cstheme="majorBidi"/>
                <w:szCs w:val="20"/>
              </w:rPr>
              <w:t>tous dommages corporels, matériels et immatériels confondus : 5M€/an (franchise : 40 000 € par sinistre)</w:t>
            </w:r>
          </w:p>
          <w:p w14:paraId="65F23D08" w14:textId="2F602104" w:rsidR="00DB7E98" w:rsidRPr="00DB7E98" w:rsidRDefault="00DB7E98" w:rsidP="54FDD3F0">
            <w:pPr>
              <w:jc w:val="left"/>
              <w:rPr>
                <w:rFonts w:eastAsiaTheme="majorEastAsia" w:cstheme="majorBidi"/>
                <w:szCs w:val="20"/>
              </w:rPr>
            </w:pPr>
            <w:r w:rsidRPr="00DB7E98">
              <w:rPr>
                <w:rFonts w:eastAsiaTheme="majorEastAsia" w:cstheme="majorBidi"/>
                <w:szCs w:val="20"/>
              </w:rPr>
              <w:t>Dont</w:t>
            </w:r>
          </w:p>
          <w:p w14:paraId="591C1C82" w14:textId="0494D888" w:rsidR="00DB7E98" w:rsidRPr="00DB7E98" w:rsidRDefault="00DB7E98" w:rsidP="54FDD3F0">
            <w:pPr>
              <w:jc w:val="left"/>
              <w:rPr>
                <w:rFonts w:eastAsiaTheme="majorEastAsia" w:cstheme="majorBidi"/>
                <w:szCs w:val="20"/>
              </w:rPr>
            </w:pPr>
            <w:r w:rsidRPr="00DB7E98">
              <w:rPr>
                <w:rFonts w:eastAsiaTheme="majorEastAsia" w:cstheme="majorBidi"/>
                <w:szCs w:val="20"/>
              </w:rPr>
              <w:t>- Dommages corporels, matériels et immatériels consécutifs causés par la société Orbbo : 4M€/an (franchise : 40.000 € par sinistre)</w:t>
            </w:r>
          </w:p>
          <w:p w14:paraId="51312639" w14:textId="4F2DDE4C" w:rsidR="00DB7E98" w:rsidRPr="00DB7E98" w:rsidRDefault="00DB7E98" w:rsidP="54FDD3F0">
            <w:pPr>
              <w:jc w:val="left"/>
              <w:rPr>
                <w:rFonts w:eastAsiaTheme="majorEastAsia" w:cstheme="majorBidi"/>
                <w:szCs w:val="20"/>
              </w:rPr>
            </w:pPr>
            <w:r w:rsidRPr="00DB7E98">
              <w:rPr>
                <w:rFonts w:eastAsiaTheme="majorEastAsia" w:cstheme="majorBidi"/>
                <w:szCs w:val="20"/>
              </w:rPr>
              <w:t xml:space="preserve">- Dommages immatériels non consécutifs y compris frais de retrait y compris aux </w:t>
            </w:r>
            <w:r w:rsidR="00696043">
              <w:rPr>
                <w:rFonts w:eastAsiaTheme="majorEastAsia" w:cstheme="majorBidi"/>
                <w:szCs w:val="20"/>
              </w:rPr>
              <w:t xml:space="preserve">Etats-Unis </w:t>
            </w:r>
            <w:r w:rsidRPr="00DB7E98">
              <w:rPr>
                <w:rFonts w:eastAsiaTheme="majorEastAsia" w:cstheme="majorBidi"/>
                <w:szCs w:val="20"/>
              </w:rPr>
              <w:t>-</w:t>
            </w:r>
            <w:r w:rsidR="00696043">
              <w:rPr>
                <w:rFonts w:eastAsiaTheme="majorEastAsia" w:cstheme="majorBidi"/>
                <w:szCs w:val="20"/>
              </w:rPr>
              <w:t xml:space="preserve"> </w:t>
            </w:r>
            <w:r w:rsidRPr="00DB7E98">
              <w:rPr>
                <w:rFonts w:eastAsiaTheme="majorEastAsia" w:cstheme="majorBidi"/>
                <w:szCs w:val="20"/>
              </w:rPr>
              <w:t>Canada : 1M€/an (franchise : 40.000 € par sinistre)</w:t>
            </w:r>
          </w:p>
          <w:p w14:paraId="14EB7041" w14:textId="2DB5E566" w:rsidR="00DB7E98" w:rsidRPr="00DB7E98" w:rsidRDefault="00DB7E98" w:rsidP="54FDD3F0">
            <w:pPr>
              <w:jc w:val="left"/>
              <w:rPr>
                <w:rFonts w:eastAsiaTheme="majorEastAsia" w:cstheme="majorBidi"/>
                <w:szCs w:val="20"/>
              </w:rPr>
            </w:pPr>
            <w:r w:rsidRPr="00DB7E98">
              <w:rPr>
                <w:rFonts w:eastAsiaTheme="majorEastAsia" w:cstheme="majorBidi"/>
                <w:szCs w:val="20"/>
              </w:rPr>
              <w:t xml:space="preserve">- frais de retrait engagés par </w:t>
            </w:r>
            <w:r w:rsidR="00696043" w:rsidRPr="00DB7E98">
              <w:rPr>
                <w:rFonts w:eastAsiaTheme="majorEastAsia" w:cstheme="majorBidi"/>
                <w:szCs w:val="20"/>
              </w:rPr>
              <w:t>l’</w:t>
            </w:r>
            <w:r w:rsidR="00696043">
              <w:rPr>
                <w:rFonts w:eastAsiaTheme="majorEastAsia" w:cstheme="majorBidi"/>
                <w:szCs w:val="20"/>
              </w:rPr>
              <w:t>a</w:t>
            </w:r>
            <w:r w:rsidR="00696043" w:rsidRPr="00DB7E98">
              <w:rPr>
                <w:rFonts w:eastAsiaTheme="majorEastAsia" w:cstheme="majorBidi"/>
                <w:szCs w:val="20"/>
              </w:rPr>
              <w:t xml:space="preserve">ssuré </w:t>
            </w:r>
            <w:r w:rsidRPr="00DB7E98">
              <w:rPr>
                <w:rFonts w:eastAsiaTheme="majorEastAsia" w:cstheme="majorBidi"/>
                <w:szCs w:val="20"/>
              </w:rPr>
              <w:t>: 500K€/an (franchise : 40 000 € par sinistre)</w:t>
            </w:r>
          </w:p>
          <w:p w14:paraId="7DC381B0" w14:textId="1ED4C990" w:rsidR="00DB7E98" w:rsidRPr="00DB7E98" w:rsidRDefault="00DB7E98" w:rsidP="54FDD3F0">
            <w:pPr>
              <w:jc w:val="left"/>
              <w:rPr>
                <w:rFonts w:eastAsiaTheme="majorEastAsia" w:cstheme="majorBidi"/>
                <w:szCs w:val="20"/>
              </w:rPr>
            </w:pPr>
            <w:r w:rsidRPr="00DB7E98">
              <w:rPr>
                <w:rFonts w:eastAsiaTheme="majorEastAsia" w:cstheme="majorBidi"/>
                <w:szCs w:val="20"/>
              </w:rPr>
              <w:t>- frais de communication de crise : 100K€/an (pas de franchise)</w:t>
            </w:r>
          </w:p>
          <w:p w14:paraId="3BEE8C50" w14:textId="6B5E9684" w:rsidR="00DB7E98" w:rsidRPr="00DB7E98" w:rsidRDefault="00DB7E98" w:rsidP="54FDD3F0">
            <w:pPr>
              <w:jc w:val="left"/>
              <w:rPr>
                <w:rFonts w:eastAsiaTheme="majorEastAsia" w:cstheme="majorBidi"/>
                <w:szCs w:val="20"/>
              </w:rPr>
            </w:pPr>
            <w:r w:rsidRPr="00DB7E98">
              <w:rPr>
                <w:rFonts w:eastAsiaTheme="majorEastAsia" w:cstheme="majorBidi"/>
                <w:szCs w:val="20"/>
              </w:rPr>
              <w:t xml:space="preserve"> </w:t>
            </w:r>
          </w:p>
          <w:p w14:paraId="4C67D5B8" w14:textId="34846E88" w:rsidR="00DB7E98" w:rsidRPr="00DB7E98" w:rsidRDefault="00DB7E98" w:rsidP="54FDD3F0">
            <w:pPr>
              <w:jc w:val="left"/>
              <w:rPr>
                <w:rFonts w:eastAsiaTheme="majorEastAsia" w:cstheme="majorBidi"/>
                <w:szCs w:val="20"/>
              </w:rPr>
            </w:pPr>
            <w:r w:rsidRPr="00DB7E98">
              <w:rPr>
                <w:rFonts w:eastAsiaTheme="majorEastAsia" w:cstheme="majorBidi"/>
                <w:szCs w:val="20"/>
              </w:rPr>
              <w:t>Défense pénale : 50.000 € – Seuil d’intervention par litige 1500 €</w:t>
            </w:r>
          </w:p>
          <w:p w14:paraId="36F5A9EF" w14:textId="2DA71965" w:rsidR="00DB7E98" w:rsidRPr="00087E32" w:rsidRDefault="00DB7E98" w:rsidP="54FDD3F0">
            <w:pPr>
              <w:jc w:val="left"/>
              <w:rPr>
                <w:rFonts w:ascii="Calibri" w:eastAsia="Times New Roman" w:hAnsi="Calibri" w:cs="Times New Roman"/>
              </w:rPr>
            </w:pPr>
            <w:r w:rsidRPr="54FDD3F0">
              <w:rPr>
                <w:rFonts w:ascii="Calibri" w:eastAsia="Times New Roman" w:hAnsi="Calibri" w:cs="Times New Roman"/>
              </w:rPr>
              <w:t xml:space="preserve"> </w:t>
            </w:r>
          </w:p>
        </w:tc>
        <w:tc>
          <w:tcPr>
            <w:tcW w:w="892" w:type="dxa"/>
            <w:vMerge/>
            <w:vAlign w:val="center"/>
            <w:hideMark/>
          </w:tcPr>
          <w:p w14:paraId="09850567" w14:textId="77777777" w:rsidR="00DB7E98" w:rsidRPr="00087E32" w:rsidRDefault="00DB7E98" w:rsidP="00087E32">
            <w:pPr>
              <w:jc w:val="left"/>
              <w:rPr>
                <w:rFonts w:ascii="Calibri" w:eastAsia="Times New Roman" w:hAnsi="Calibri" w:cs="Times New Roman"/>
                <w:szCs w:val="20"/>
              </w:rPr>
            </w:pPr>
          </w:p>
        </w:tc>
        <w:tc>
          <w:tcPr>
            <w:tcW w:w="1276" w:type="dxa"/>
            <w:vMerge/>
            <w:vAlign w:val="center"/>
            <w:hideMark/>
          </w:tcPr>
          <w:p w14:paraId="4F2CF026" w14:textId="77777777" w:rsidR="00DB7E98" w:rsidRPr="00087E32" w:rsidRDefault="00DB7E98" w:rsidP="00087E32">
            <w:pPr>
              <w:jc w:val="left"/>
              <w:rPr>
                <w:rFonts w:ascii="Calibri" w:eastAsia="Times New Roman" w:hAnsi="Calibri" w:cs="Times New Roman"/>
                <w:szCs w:val="20"/>
              </w:rPr>
            </w:pPr>
          </w:p>
        </w:tc>
      </w:tr>
      <w:tr w:rsidR="00087E32" w:rsidRPr="00087E32" w14:paraId="554193E3" w14:textId="77777777" w:rsidTr="00DB7E98">
        <w:trPr>
          <w:trHeight w:val="400"/>
        </w:trPr>
        <w:tc>
          <w:tcPr>
            <w:tcW w:w="1400" w:type="dxa"/>
            <w:vMerge w:val="restart"/>
            <w:shd w:val="clear" w:color="auto" w:fill="DBE5F1" w:themeFill="accent1" w:themeFillTint="33"/>
            <w:vAlign w:val="center"/>
            <w:hideMark/>
          </w:tcPr>
          <w:p w14:paraId="58D0DD9C" w14:textId="4DB11FB5" w:rsidR="00087E32" w:rsidRPr="00087E32" w:rsidRDefault="54FDD3F0" w:rsidP="54FDD3F0">
            <w:pPr>
              <w:jc w:val="center"/>
              <w:rPr>
                <w:rFonts w:ascii="Calibri" w:eastAsia="Times New Roman" w:hAnsi="Calibri" w:cs="Times New Roman"/>
                <w:color w:val="000000"/>
              </w:rPr>
            </w:pPr>
            <w:r w:rsidRPr="54FDD3F0">
              <w:rPr>
                <w:rFonts w:ascii="Calibri" w:eastAsia="Times New Roman" w:hAnsi="Calibri" w:cs="Times New Roman"/>
                <w:color w:val="000000" w:themeColor="text1"/>
              </w:rPr>
              <w:t>7.902.592</w:t>
            </w:r>
          </w:p>
        </w:tc>
        <w:tc>
          <w:tcPr>
            <w:tcW w:w="1200" w:type="dxa"/>
            <w:vMerge w:val="restart"/>
            <w:shd w:val="clear" w:color="auto" w:fill="DBE5F1" w:themeFill="accent1" w:themeFillTint="33"/>
            <w:vAlign w:val="center"/>
            <w:hideMark/>
          </w:tcPr>
          <w:p w14:paraId="17824D82" w14:textId="253C2BDE" w:rsidR="54FDD3F0" w:rsidRDefault="54FDD3F0" w:rsidP="54FDD3F0">
            <w:pPr>
              <w:rPr>
                <w:rFonts w:ascii="Calibri" w:eastAsia="Times New Roman" w:hAnsi="Calibri" w:cs="Times New Roman"/>
                <w:color w:val="000000" w:themeColor="text1"/>
              </w:rPr>
            </w:pPr>
            <w:r w:rsidRPr="54FDD3F0">
              <w:rPr>
                <w:rFonts w:ascii="Calibri" w:eastAsia="Times New Roman" w:hAnsi="Calibri" w:cs="Times New Roman"/>
                <w:color w:val="000000" w:themeColor="text1"/>
              </w:rPr>
              <w:t>AIG</w:t>
            </w:r>
          </w:p>
        </w:tc>
        <w:tc>
          <w:tcPr>
            <w:tcW w:w="1345" w:type="dxa"/>
            <w:vMerge w:val="restart"/>
            <w:shd w:val="clear" w:color="auto" w:fill="DBE5F1" w:themeFill="accent1" w:themeFillTint="33"/>
            <w:vAlign w:val="center"/>
            <w:hideMark/>
          </w:tcPr>
          <w:p w14:paraId="2E6A37F5" w14:textId="7ECB9B7B" w:rsidR="00087E32" w:rsidRPr="00087E32" w:rsidRDefault="54FDD3F0" w:rsidP="54FDD3F0">
            <w:pPr>
              <w:jc w:val="center"/>
              <w:rPr>
                <w:rFonts w:ascii="Calibri" w:eastAsia="Times New Roman" w:hAnsi="Calibri" w:cs="Times New Roman"/>
                <w:color w:val="000000"/>
              </w:rPr>
            </w:pPr>
            <w:r w:rsidRPr="54FDD3F0">
              <w:rPr>
                <w:rFonts w:ascii="Calibri" w:eastAsia="Times New Roman" w:hAnsi="Calibri" w:cs="Times New Roman"/>
                <w:color w:val="000000" w:themeColor="text1"/>
              </w:rPr>
              <w:t>Responsabilité des dirigeants et des mandataires sociaux de sociétés cotées</w:t>
            </w:r>
          </w:p>
        </w:tc>
        <w:tc>
          <w:tcPr>
            <w:tcW w:w="3400" w:type="dxa"/>
            <w:shd w:val="clear" w:color="auto" w:fill="DBE5F1" w:themeFill="accent1" w:themeFillTint="33"/>
            <w:vAlign w:val="center"/>
            <w:hideMark/>
          </w:tcPr>
          <w:p w14:paraId="3BF16D33" w14:textId="1F1A4716" w:rsidR="00087E32" w:rsidRPr="00087E32" w:rsidRDefault="54FDD3F0" w:rsidP="54FDD3F0">
            <w:pPr>
              <w:jc w:val="left"/>
              <w:rPr>
                <w:rFonts w:ascii="Calibri" w:eastAsia="Times New Roman" w:hAnsi="Calibri" w:cs="Times New Roman"/>
              </w:rPr>
            </w:pPr>
            <w:r w:rsidRPr="54FDD3F0">
              <w:rPr>
                <w:rFonts w:ascii="Calibri" w:eastAsia="Times New Roman" w:hAnsi="Calibri" w:cs="Times New Roman"/>
              </w:rPr>
              <w:t xml:space="preserve">Territorialité : mondiale  </w:t>
            </w:r>
          </w:p>
        </w:tc>
        <w:tc>
          <w:tcPr>
            <w:tcW w:w="892" w:type="dxa"/>
            <w:vMerge w:val="restart"/>
            <w:shd w:val="clear" w:color="auto" w:fill="DBE5F1" w:themeFill="accent1" w:themeFillTint="33"/>
            <w:vAlign w:val="center"/>
            <w:hideMark/>
          </w:tcPr>
          <w:p w14:paraId="37F70409" w14:textId="4E25D2C9" w:rsidR="00087E32" w:rsidRPr="00087E32" w:rsidRDefault="54FDD3F0" w:rsidP="54FDD3F0">
            <w:pPr>
              <w:jc w:val="center"/>
              <w:rPr>
                <w:rFonts w:ascii="Calibri" w:eastAsia="Times New Roman" w:hAnsi="Calibri" w:cs="Times New Roman"/>
              </w:rPr>
            </w:pPr>
            <w:r w:rsidRPr="54FDD3F0">
              <w:rPr>
                <w:rFonts w:ascii="Calibri" w:eastAsia="Times New Roman" w:hAnsi="Calibri" w:cs="Times New Roman"/>
              </w:rPr>
              <w:t>1er juillet 2020</w:t>
            </w:r>
          </w:p>
        </w:tc>
        <w:tc>
          <w:tcPr>
            <w:tcW w:w="1276" w:type="dxa"/>
            <w:vMerge w:val="restart"/>
            <w:shd w:val="clear" w:color="auto" w:fill="DBE5F1" w:themeFill="accent1" w:themeFillTint="33"/>
            <w:vAlign w:val="center"/>
            <w:hideMark/>
          </w:tcPr>
          <w:p w14:paraId="1A62A430" w14:textId="1C1440EA" w:rsidR="00087E32" w:rsidRPr="00087E32" w:rsidRDefault="54FDD3F0" w:rsidP="54FDD3F0">
            <w:pPr>
              <w:jc w:val="center"/>
              <w:rPr>
                <w:rFonts w:ascii="Calibri" w:eastAsia="Times New Roman" w:hAnsi="Calibri" w:cs="Times New Roman"/>
              </w:rPr>
            </w:pPr>
            <w:r w:rsidRPr="54FDD3F0">
              <w:rPr>
                <w:rFonts w:ascii="Calibri" w:eastAsia="Times New Roman" w:hAnsi="Calibri" w:cs="Times New Roman"/>
              </w:rPr>
              <w:t>10 K€</w:t>
            </w:r>
          </w:p>
        </w:tc>
      </w:tr>
      <w:tr w:rsidR="00087E32" w:rsidRPr="00087E32" w14:paraId="77F0E4CE" w14:textId="77777777" w:rsidTr="00DB7E98">
        <w:trPr>
          <w:trHeight w:val="420"/>
        </w:trPr>
        <w:tc>
          <w:tcPr>
            <w:tcW w:w="1400" w:type="dxa"/>
            <w:vMerge/>
            <w:vAlign w:val="center"/>
            <w:hideMark/>
          </w:tcPr>
          <w:p w14:paraId="4FD34C1F" w14:textId="77777777" w:rsidR="00087E32" w:rsidRPr="00087E32" w:rsidRDefault="00087E32" w:rsidP="00087E32">
            <w:pPr>
              <w:jc w:val="left"/>
              <w:rPr>
                <w:rFonts w:ascii="Calibri" w:eastAsia="Times New Roman" w:hAnsi="Calibri" w:cs="Times New Roman"/>
                <w:color w:val="000000"/>
                <w:szCs w:val="20"/>
              </w:rPr>
            </w:pPr>
          </w:p>
        </w:tc>
        <w:tc>
          <w:tcPr>
            <w:tcW w:w="1200" w:type="dxa"/>
            <w:vMerge/>
            <w:shd w:val="clear" w:color="auto" w:fill="DBE5F1" w:themeFill="accent1" w:themeFillTint="33"/>
            <w:vAlign w:val="center"/>
            <w:hideMark/>
          </w:tcPr>
          <w:p w14:paraId="781C273C" w14:textId="77777777" w:rsidR="00087E32" w:rsidRPr="00087E32" w:rsidRDefault="00087E32" w:rsidP="00087E32">
            <w:pPr>
              <w:jc w:val="left"/>
              <w:rPr>
                <w:rFonts w:ascii="Calibri" w:eastAsia="Times New Roman" w:hAnsi="Calibri" w:cs="Times New Roman"/>
                <w:color w:val="000000"/>
                <w:szCs w:val="20"/>
              </w:rPr>
            </w:pPr>
          </w:p>
        </w:tc>
        <w:tc>
          <w:tcPr>
            <w:tcW w:w="1345" w:type="dxa"/>
            <w:vMerge/>
            <w:vAlign w:val="center"/>
            <w:hideMark/>
          </w:tcPr>
          <w:p w14:paraId="6B1A312A" w14:textId="77777777" w:rsidR="00087E32" w:rsidRPr="00087E32" w:rsidRDefault="00087E32" w:rsidP="00087E32">
            <w:pPr>
              <w:jc w:val="left"/>
              <w:rPr>
                <w:rFonts w:ascii="Calibri" w:eastAsia="Times New Roman" w:hAnsi="Calibri" w:cs="Times New Roman"/>
                <w:color w:val="000000"/>
                <w:szCs w:val="20"/>
              </w:rPr>
            </w:pPr>
          </w:p>
        </w:tc>
        <w:tc>
          <w:tcPr>
            <w:tcW w:w="3400" w:type="dxa"/>
            <w:shd w:val="clear" w:color="auto" w:fill="DBE5F1" w:themeFill="accent1" w:themeFillTint="33"/>
            <w:vAlign w:val="center"/>
            <w:hideMark/>
          </w:tcPr>
          <w:p w14:paraId="66DD0893" w14:textId="39B5FFA0" w:rsidR="00087E32" w:rsidRPr="00087E32" w:rsidRDefault="54FDD3F0" w:rsidP="54FDD3F0">
            <w:pPr>
              <w:jc w:val="left"/>
              <w:rPr>
                <w:rFonts w:ascii="Calibri" w:eastAsia="Times New Roman" w:hAnsi="Calibri" w:cs="Times New Roman"/>
              </w:rPr>
            </w:pPr>
            <w:r w:rsidRPr="54FDD3F0">
              <w:rPr>
                <w:rFonts w:ascii="Calibri" w:eastAsia="Times New Roman" w:hAnsi="Calibri" w:cs="Times New Roman"/>
              </w:rPr>
              <w:t>Montant garanti</w:t>
            </w:r>
            <w:r w:rsidR="0037702B">
              <w:rPr>
                <w:rFonts w:ascii="Calibri" w:eastAsia="Times New Roman" w:hAnsi="Calibri" w:cs="Times New Roman"/>
              </w:rPr>
              <w:t xml:space="preserve"> </w:t>
            </w:r>
            <w:r w:rsidRPr="54FDD3F0">
              <w:rPr>
                <w:rFonts w:ascii="Calibri" w:eastAsia="Times New Roman" w:hAnsi="Calibri" w:cs="Times New Roman"/>
              </w:rPr>
              <w:t>: 1.000.000€ par année d’assurance</w:t>
            </w:r>
          </w:p>
        </w:tc>
        <w:tc>
          <w:tcPr>
            <w:tcW w:w="892" w:type="dxa"/>
            <w:vMerge/>
            <w:vAlign w:val="center"/>
            <w:hideMark/>
          </w:tcPr>
          <w:p w14:paraId="489ED408" w14:textId="77777777" w:rsidR="00087E32" w:rsidRPr="00087E32" w:rsidRDefault="00087E32" w:rsidP="00087E32">
            <w:pPr>
              <w:jc w:val="left"/>
              <w:rPr>
                <w:rFonts w:ascii="Calibri" w:eastAsia="Times New Roman" w:hAnsi="Calibri" w:cs="Times New Roman"/>
                <w:szCs w:val="20"/>
              </w:rPr>
            </w:pPr>
          </w:p>
        </w:tc>
        <w:tc>
          <w:tcPr>
            <w:tcW w:w="1276" w:type="dxa"/>
            <w:vMerge/>
            <w:vAlign w:val="center"/>
            <w:hideMark/>
          </w:tcPr>
          <w:p w14:paraId="10390E93" w14:textId="77777777" w:rsidR="00087E32" w:rsidRPr="00087E32" w:rsidRDefault="00087E32" w:rsidP="00087E32">
            <w:pPr>
              <w:jc w:val="left"/>
              <w:rPr>
                <w:rFonts w:ascii="Calibri" w:eastAsia="Times New Roman" w:hAnsi="Calibri" w:cs="Times New Roman"/>
                <w:szCs w:val="20"/>
              </w:rPr>
            </w:pPr>
          </w:p>
        </w:tc>
      </w:tr>
      <w:tr w:rsidR="54FDD3F0" w14:paraId="72FB1837" w14:textId="77777777" w:rsidTr="00DB7E98">
        <w:trPr>
          <w:trHeight w:val="420"/>
        </w:trPr>
        <w:tc>
          <w:tcPr>
            <w:tcW w:w="1400" w:type="dxa"/>
            <w:shd w:val="clear" w:color="auto" w:fill="DBE5F1" w:themeFill="accent1" w:themeFillTint="33"/>
            <w:vAlign w:val="center"/>
            <w:hideMark/>
          </w:tcPr>
          <w:p w14:paraId="109444E7" w14:textId="037DC3FD" w:rsidR="54FDD3F0" w:rsidRDefault="54FDD3F0" w:rsidP="54FDD3F0">
            <w:pPr>
              <w:jc w:val="center"/>
              <w:rPr>
                <w:rFonts w:ascii="Calibri" w:eastAsia="Times New Roman" w:hAnsi="Calibri" w:cs="Times New Roman"/>
                <w:color w:val="000000" w:themeColor="text1"/>
              </w:rPr>
            </w:pPr>
          </w:p>
        </w:tc>
        <w:tc>
          <w:tcPr>
            <w:tcW w:w="1200" w:type="dxa"/>
            <w:shd w:val="clear" w:color="auto" w:fill="DBE5F1" w:themeFill="accent1" w:themeFillTint="33"/>
            <w:vAlign w:val="center"/>
            <w:hideMark/>
          </w:tcPr>
          <w:p w14:paraId="0476CEE6" w14:textId="0EF9B733" w:rsidR="54FDD3F0" w:rsidRDefault="54FDD3F0" w:rsidP="54FDD3F0">
            <w:pPr>
              <w:rPr>
                <w:rFonts w:ascii="Calibri" w:eastAsia="Times New Roman" w:hAnsi="Calibri" w:cs="Times New Roman"/>
                <w:color w:val="000000" w:themeColor="text1"/>
              </w:rPr>
            </w:pPr>
            <w:r w:rsidRPr="54FDD3F0">
              <w:rPr>
                <w:rFonts w:ascii="Calibri" w:eastAsia="Times New Roman" w:hAnsi="Calibri" w:cs="Times New Roman"/>
                <w:color w:val="000000" w:themeColor="text1"/>
              </w:rPr>
              <w:t>VERLINGUE</w:t>
            </w:r>
          </w:p>
        </w:tc>
        <w:tc>
          <w:tcPr>
            <w:tcW w:w="1345" w:type="dxa"/>
            <w:shd w:val="clear" w:color="auto" w:fill="DBE5F1" w:themeFill="accent1" w:themeFillTint="33"/>
            <w:vAlign w:val="center"/>
            <w:hideMark/>
          </w:tcPr>
          <w:p w14:paraId="771E01E0" w14:textId="63C1606C" w:rsidR="54FDD3F0" w:rsidRDefault="54FDD3F0" w:rsidP="54FDD3F0">
            <w:pPr>
              <w:jc w:val="center"/>
              <w:rPr>
                <w:rFonts w:ascii="Calibri" w:eastAsia="Times New Roman" w:hAnsi="Calibri" w:cs="Times New Roman"/>
                <w:color w:val="000000" w:themeColor="text1"/>
              </w:rPr>
            </w:pPr>
            <w:r w:rsidRPr="54FDD3F0">
              <w:rPr>
                <w:rFonts w:ascii="Calibri" w:eastAsia="Times New Roman" w:hAnsi="Calibri" w:cs="Times New Roman"/>
                <w:color w:val="000000" w:themeColor="text1"/>
              </w:rPr>
              <w:t>Honoraires de gestion du contrat RCG CHUBB</w:t>
            </w:r>
          </w:p>
        </w:tc>
        <w:tc>
          <w:tcPr>
            <w:tcW w:w="3400" w:type="dxa"/>
            <w:shd w:val="clear" w:color="auto" w:fill="DBE5F1" w:themeFill="accent1" w:themeFillTint="33"/>
            <w:vAlign w:val="center"/>
            <w:hideMark/>
          </w:tcPr>
          <w:p w14:paraId="43DC8720" w14:textId="10657920" w:rsidR="54FDD3F0" w:rsidRDefault="54FDD3F0" w:rsidP="54FDD3F0">
            <w:pPr>
              <w:jc w:val="left"/>
              <w:rPr>
                <w:rFonts w:ascii="Calibri" w:eastAsia="Times New Roman" w:hAnsi="Calibri" w:cs="Times New Roman"/>
              </w:rPr>
            </w:pPr>
            <w:r w:rsidRPr="54FDD3F0">
              <w:rPr>
                <w:rFonts w:ascii="Calibri" w:eastAsia="Times New Roman" w:hAnsi="Calibri" w:cs="Times New Roman"/>
              </w:rPr>
              <w:t>Honoraires de gestion du contrat RCG CHUBB</w:t>
            </w:r>
          </w:p>
        </w:tc>
        <w:tc>
          <w:tcPr>
            <w:tcW w:w="892" w:type="dxa"/>
            <w:shd w:val="clear" w:color="auto" w:fill="DBE5F1" w:themeFill="accent1" w:themeFillTint="33"/>
            <w:vAlign w:val="center"/>
            <w:hideMark/>
          </w:tcPr>
          <w:p w14:paraId="168AD481" w14:textId="4D05A4EC" w:rsidR="54FDD3F0" w:rsidRDefault="54FDD3F0" w:rsidP="54FDD3F0">
            <w:pPr>
              <w:jc w:val="center"/>
              <w:rPr>
                <w:rFonts w:ascii="Calibri" w:eastAsia="Times New Roman" w:hAnsi="Calibri" w:cs="Times New Roman"/>
              </w:rPr>
            </w:pPr>
            <w:r w:rsidRPr="54FDD3F0">
              <w:rPr>
                <w:rFonts w:ascii="Calibri" w:eastAsia="Times New Roman" w:hAnsi="Calibri" w:cs="Times New Roman"/>
              </w:rPr>
              <w:t xml:space="preserve"> 1er janvier 2020</w:t>
            </w:r>
          </w:p>
        </w:tc>
        <w:tc>
          <w:tcPr>
            <w:tcW w:w="1276" w:type="dxa"/>
            <w:shd w:val="clear" w:color="auto" w:fill="DBE5F1" w:themeFill="accent1" w:themeFillTint="33"/>
            <w:vAlign w:val="center"/>
            <w:hideMark/>
          </w:tcPr>
          <w:p w14:paraId="787077AE" w14:textId="60690874" w:rsidR="54FDD3F0" w:rsidRDefault="54FDD3F0" w:rsidP="54FDD3F0">
            <w:pPr>
              <w:jc w:val="center"/>
              <w:rPr>
                <w:rFonts w:ascii="Calibri" w:eastAsia="Times New Roman" w:hAnsi="Calibri" w:cs="Times New Roman"/>
              </w:rPr>
            </w:pPr>
            <w:r w:rsidRPr="54FDD3F0">
              <w:rPr>
                <w:rFonts w:ascii="Calibri" w:eastAsia="Times New Roman" w:hAnsi="Calibri" w:cs="Times New Roman"/>
              </w:rPr>
              <w:t>1 K€</w:t>
            </w:r>
          </w:p>
        </w:tc>
      </w:tr>
      <w:tr w:rsidR="00087E32" w:rsidRPr="00087E32" w14:paraId="73CF6E01" w14:textId="77777777" w:rsidTr="00DB7E98">
        <w:trPr>
          <w:trHeight w:val="340"/>
        </w:trPr>
        <w:tc>
          <w:tcPr>
            <w:tcW w:w="8237" w:type="dxa"/>
            <w:gridSpan w:val="5"/>
            <w:shd w:val="clear" w:color="auto" w:fill="DCE6F1"/>
            <w:noWrap/>
            <w:vAlign w:val="center"/>
            <w:hideMark/>
          </w:tcPr>
          <w:p w14:paraId="6F86B702" w14:textId="77777777" w:rsidR="00087E32" w:rsidRPr="00087E32" w:rsidRDefault="00087E32" w:rsidP="00527642">
            <w:pPr>
              <w:jc w:val="center"/>
              <w:rPr>
                <w:rFonts w:ascii="Calibri" w:eastAsia="Times New Roman" w:hAnsi="Calibri" w:cs="Times New Roman"/>
                <w:b/>
                <w:bCs/>
                <w:color w:val="000000"/>
                <w:szCs w:val="20"/>
              </w:rPr>
            </w:pPr>
            <w:r w:rsidRPr="00087E32">
              <w:rPr>
                <w:rFonts w:ascii="Calibri" w:eastAsia="Times New Roman" w:hAnsi="Calibri" w:cs="Times New Roman"/>
                <w:b/>
                <w:bCs/>
                <w:color w:val="000000"/>
                <w:szCs w:val="20"/>
              </w:rPr>
              <w:t>Total primes versées</w:t>
            </w:r>
          </w:p>
        </w:tc>
        <w:tc>
          <w:tcPr>
            <w:tcW w:w="1276" w:type="dxa"/>
            <w:shd w:val="clear" w:color="auto" w:fill="DBE5F1" w:themeFill="accent1" w:themeFillTint="33"/>
            <w:vAlign w:val="center"/>
            <w:hideMark/>
          </w:tcPr>
          <w:p w14:paraId="1E27B174" w14:textId="5216B673" w:rsidR="00087E32" w:rsidRPr="00087E32" w:rsidRDefault="54FDD3F0" w:rsidP="54FDD3F0">
            <w:pPr>
              <w:jc w:val="center"/>
              <w:rPr>
                <w:rFonts w:ascii="Calibri" w:eastAsia="Times New Roman" w:hAnsi="Calibri" w:cs="Times New Roman"/>
                <w:b/>
                <w:bCs/>
              </w:rPr>
            </w:pPr>
            <w:r w:rsidRPr="54FDD3F0">
              <w:rPr>
                <w:rFonts w:ascii="Calibri" w:eastAsia="Times New Roman" w:hAnsi="Calibri" w:cs="Times New Roman"/>
                <w:b/>
                <w:bCs/>
              </w:rPr>
              <w:t>54 K€</w:t>
            </w:r>
          </w:p>
        </w:tc>
      </w:tr>
    </w:tbl>
    <w:p w14:paraId="530A194A" w14:textId="7462348F" w:rsidR="003D7824" w:rsidRDefault="003D7824" w:rsidP="003D7824"/>
    <w:p w14:paraId="4579208C" w14:textId="4D1FC47F" w:rsidR="003D7824" w:rsidRPr="00513BB3" w:rsidRDefault="47EBF693" w:rsidP="00E303E7">
      <w:r>
        <w:t>Spineway n’a pas souscrit d’assurance homme clé. Toutefois, et dans le cadre de la souscription d’un emprunt export en 2014 auprès de la BPI, un contrat d'assurance Groupe Décès-Invalidité a été souscrits concernant M. Le Roux (montant assuré : 300K€).  </w:t>
      </w:r>
    </w:p>
    <w:p w14:paraId="5392B4FC" w14:textId="77777777" w:rsidR="003D7824" w:rsidRDefault="003D7824" w:rsidP="003D7824"/>
    <w:p w14:paraId="3E3608CE" w14:textId="032692E0" w:rsidR="00D93A07" w:rsidRPr="00A601E8" w:rsidRDefault="00D76C89" w:rsidP="00A601E8">
      <w:pPr>
        <w:pStyle w:val="Titre2"/>
      </w:pPr>
      <w:bookmarkStart w:id="91" w:name="_Toc349133528"/>
      <w:bookmarkStart w:id="92" w:name="_Toc351994614"/>
      <w:bookmarkStart w:id="93" w:name="_Toc475033176"/>
      <w:r>
        <w:t>3</w:t>
      </w:r>
      <w:r w:rsidR="00D93A07" w:rsidRPr="00A601E8">
        <w:t>.</w:t>
      </w:r>
      <w:r w:rsidR="00642C56">
        <w:t>7</w:t>
      </w:r>
      <w:r w:rsidR="00D93A07" w:rsidRPr="00A601E8">
        <w:t>. P</w:t>
      </w:r>
      <w:bookmarkEnd w:id="91"/>
      <w:bookmarkEnd w:id="92"/>
      <w:r w:rsidR="00036E0A">
        <w:t>rocédures judiciaires et d’arbitrage</w:t>
      </w:r>
      <w:bookmarkEnd w:id="93"/>
    </w:p>
    <w:p w14:paraId="39FC97D6" w14:textId="77777777" w:rsidR="00D93A07" w:rsidRPr="00D93A07" w:rsidRDefault="00D93A07" w:rsidP="00D93A07"/>
    <w:p w14:paraId="2A59ADC8" w14:textId="285322E9" w:rsidR="00D93A07" w:rsidRPr="00CB5401" w:rsidRDefault="00CB5401" w:rsidP="00D93A07">
      <w:pPr>
        <w:rPr>
          <w:szCs w:val="20"/>
        </w:rPr>
      </w:pPr>
      <w:r w:rsidRPr="00CB5401">
        <w:rPr>
          <w:szCs w:val="20"/>
        </w:rPr>
        <w:t>Cf. paragraphe « </w:t>
      </w:r>
      <w:r w:rsidRPr="00CB5401">
        <w:rPr>
          <w:szCs w:val="20"/>
        </w:rPr>
        <w:fldChar w:fldCharType="begin"/>
      </w:r>
      <w:r w:rsidRPr="00CB5401">
        <w:rPr>
          <w:szCs w:val="20"/>
        </w:rPr>
        <w:instrText xml:space="preserve"> REF _Ref368125754 \h </w:instrText>
      </w:r>
      <w:r w:rsidRPr="00CB5401">
        <w:rPr>
          <w:szCs w:val="20"/>
        </w:rPr>
      </w:r>
      <w:r w:rsidRPr="00CB5401">
        <w:rPr>
          <w:szCs w:val="20"/>
        </w:rPr>
        <w:fldChar w:fldCharType="separate"/>
      </w:r>
      <w:r w:rsidR="003A0AD1">
        <w:t>18.6 Procédures judiciaires et d’arbitrage</w:t>
      </w:r>
      <w:r w:rsidRPr="00CB5401">
        <w:rPr>
          <w:szCs w:val="20"/>
        </w:rPr>
        <w:fldChar w:fldCharType="end"/>
      </w:r>
      <w:r w:rsidRPr="00CB5401">
        <w:rPr>
          <w:szCs w:val="20"/>
        </w:rPr>
        <w:t xml:space="preserve"> » </w:t>
      </w:r>
      <w:r w:rsidR="000C10EB">
        <w:rPr>
          <w:szCs w:val="20"/>
        </w:rPr>
        <w:t xml:space="preserve">du </w:t>
      </w:r>
      <w:r w:rsidR="00920DEB">
        <w:rPr>
          <w:szCs w:val="20"/>
        </w:rPr>
        <w:t>Document d’enregistrement universel</w:t>
      </w:r>
      <w:r w:rsidRPr="00CB5401">
        <w:rPr>
          <w:szCs w:val="20"/>
        </w:rPr>
        <w:t>.</w:t>
      </w:r>
    </w:p>
    <w:p w14:paraId="4D6C9E9B" w14:textId="77777777" w:rsidR="00D93A07" w:rsidRPr="00D93A07" w:rsidRDefault="00D93A07" w:rsidP="00D93A07">
      <w:pPr>
        <w:rPr>
          <w:szCs w:val="20"/>
        </w:rPr>
      </w:pPr>
    </w:p>
    <w:p w14:paraId="5B0D8F0D" w14:textId="77777777" w:rsidR="00D93A07" w:rsidRDefault="00D93A07" w:rsidP="00D93A07">
      <w:pPr>
        <w:tabs>
          <w:tab w:val="right" w:leader="dot" w:pos="8505"/>
        </w:tabs>
        <w:rPr>
          <w:i/>
          <w:szCs w:val="20"/>
        </w:rPr>
      </w:pPr>
    </w:p>
    <w:p w14:paraId="2E8D22E6" w14:textId="77777777" w:rsidR="001312D2" w:rsidRDefault="001312D2">
      <w:pPr>
        <w:jc w:val="left"/>
        <w:rPr>
          <w:rFonts w:eastAsiaTheme="majorEastAsia" w:cstheme="majorBidi"/>
          <w:b/>
          <w:bCs/>
          <w:color w:val="345A8A" w:themeColor="accent1" w:themeShade="B5"/>
          <w:sz w:val="32"/>
          <w:szCs w:val="32"/>
        </w:rPr>
      </w:pPr>
      <w:bookmarkStart w:id="94" w:name="_Toc351296853"/>
      <w:bookmarkStart w:id="95" w:name="_Toc351994615"/>
      <w:r>
        <w:br w:type="page"/>
      </w:r>
    </w:p>
    <w:p w14:paraId="71D26211" w14:textId="73C0C800" w:rsidR="007B5B82" w:rsidRPr="00A601E8" w:rsidRDefault="00022584" w:rsidP="00A601E8">
      <w:pPr>
        <w:pStyle w:val="Titre1"/>
      </w:pPr>
      <w:bookmarkStart w:id="96" w:name="_Toc475033177"/>
      <w:r>
        <w:lastRenderedPageBreak/>
        <w:t>4</w:t>
      </w:r>
      <w:r w:rsidR="007B5B82" w:rsidRPr="00A601E8">
        <w:t>. INFORMATIONS CONCERNANT LA SOCIETE</w:t>
      </w:r>
      <w:bookmarkEnd w:id="94"/>
      <w:bookmarkEnd w:id="95"/>
      <w:bookmarkEnd w:id="96"/>
    </w:p>
    <w:p w14:paraId="0AE76206" w14:textId="1610C992" w:rsidR="007B5B82" w:rsidRPr="00A601E8" w:rsidRDefault="00022584" w:rsidP="00782B22">
      <w:pPr>
        <w:pStyle w:val="Titre2"/>
      </w:pPr>
      <w:bookmarkStart w:id="97" w:name="_Toc351296854"/>
      <w:bookmarkStart w:id="98" w:name="_Toc351994616"/>
      <w:bookmarkStart w:id="99" w:name="_Toc475033178"/>
      <w:r>
        <w:t>4</w:t>
      </w:r>
      <w:r w:rsidR="007B5B82" w:rsidRPr="00A601E8">
        <w:t xml:space="preserve">.1 </w:t>
      </w:r>
      <w:bookmarkStart w:id="100" w:name="_Toc351296855"/>
      <w:bookmarkStart w:id="101" w:name="_Toc351994617"/>
      <w:bookmarkEnd w:id="97"/>
      <w:bookmarkEnd w:id="98"/>
      <w:r w:rsidR="007B5B82" w:rsidRPr="00A601E8">
        <w:t>Dénomination sociale de la Société</w:t>
      </w:r>
      <w:bookmarkEnd w:id="100"/>
      <w:bookmarkEnd w:id="101"/>
      <w:bookmarkEnd w:id="99"/>
    </w:p>
    <w:p w14:paraId="69A836E0" w14:textId="77777777" w:rsidR="007B5B82" w:rsidRPr="007B5B82" w:rsidRDefault="007B5B82" w:rsidP="007B5B82"/>
    <w:p w14:paraId="754E2024" w14:textId="4CAF11C6" w:rsidR="007B5B82" w:rsidRPr="007B5B82" w:rsidRDefault="007B5B82" w:rsidP="007B5B82">
      <w:pPr>
        <w:rPr>
          <w:szCs w:val="20"/>
        </w:rPr>
      </w:pPr>
      <w:r w:rsidRPr="007B5B82">
        <w:rPr>
          <w:szCs w:val="20"/>
        </w:rPr>
        <w:t xml:space="preserve">La Société a pour dénomination sociale : </w:t>
      </w:r>
      <w:r w:rsidR="00F44E7C">
        <w:rPr>
          <w:szCs w:val="20"/>
        </w:rPr>
        <w:t>Spineway</w:t>
      </w:r>
      <w:r w:rsidRPr="007B5B82">
        <w:rPr>
          <w:szCs w:val="20"/>
        </w:rPr>
        <w:t>.</w:t>
      </w:r>
    </w:p>
    <w:p w14:paraId="5133ED14" w14:textId="77777777" w:rsidR="007B5B82" w:rsidRPr="001E4F1C" w:rsidRDefault="007B5B82" w:rsidP="007B5B82"/>
    <w:p w14:paraId="501AF69A" w14:textId="3088B1E5" w:rsidR="007B5B82" w:rsidRPr="00A601E8" w:rsidRDefault="00022584" w:rsidP="00782B22">
      <w:pPr>
        <w:pStyle w:val="Titre2"/>
      </w:pPr>
      <w:bookmarkStart w:id="102" w:name="_Toc351296856"/>
      <w:bookmarkStart w:id="103" w:name="_Toc351994618"/>
      <w:bookmarkStart w:id="104" w:name="_Toc475033179"/>
      <w:r>
        <w:t>4</w:t>
      </w:r>
      <w:r w:rsidR="00782B22">
        <w:t>.2</w:t>
      </w:r>
      <w:r w:rsidR="001B4DE1">
        <w:t xml:space="preserve"> Lieu, </w:t>
      </w:r>
      <w:r w:rsidR="007B5B82" w:rsidRPr="00A601E8">
        <w:t xml:space="preserve">numéro d’enregistrement </w:t>
      </w:r>
      <w:bookmarkEnd w:id="102"/>
      <w:bookmarkEnd w:id="103"/>
      <w:r w:rsidR="001B4DE1">
        <w:t>et LEI</w:t>
      </w:r>
      <w:r w:rsidR="001B4DE1" w:rsidRPr="001B4DE1">
        <w:t xml:space="preserve"> </w:t>
      </w:r>
      <w:r w:rsidR="001B4DE1" w:rsidRPr="00A601E8">
        <w:t>de la Société</w:t>
      </w:r>
      <w:bookmarkEnd w:id="104"/>
    </w:p>
    <w:p w14:paraId="35733FB9" w14:textId="77777777" w:rsidR="007B5B82" w:rsidRDefault="007B5B82" w:rsidP="007B5B82"/>
    <w:p w14:paraId="44F54561" w14:textId="66FADA78" w:rsidR="00EB03FF" w:rsidRDefault="007B5B82" w:rsidP="00EB03FF">
      <w:pPr>
        <w:rPr>
          <w:szCs w:val="20"/>
        </w:rPr>
      </w:pPr>
      <w:r w:rsidRPr="007B5B82">
        <w:rPr>
          <w:szCs w:val="20"/>
        </w:rPr>
        <w:t xml:space="preserve">La Société </w:t>
      </w:r>
      <w:r w:rsidR="00BF3147">
        <w:rPr>
          <w:szCs w:val="20"/>
        </w:rPr>
        <w:t>est</w:t>
      </w:r>
      <w:r w:rsidRPr="007B5B82">
        <w:rPr>
          <w:szCs w:val="20"/>
        </w:rPr>
        <w:t xml:space="preserve"> immatriculée au Registre du commerce et des sociétés de </w:t>
      </w:r>
      <w:r w:rsidR="00F44E7C">
        <w:rPr>
          <w:szCs w:val="20"/>
        </w:rPr>
        <w:t>Lyon</w:t>
      </w:r>
      <w:r w:rsidRPr="007B5B82">
        <w:rPr>
          <w:szCs w:val="20"/>
        </w:rPr>
        <w:t xml:space="preserve"> depuis le </w:t>
      </w:r>
      <w:r w:rsidR="00961102">
        <w:rPr>
          <w:szCs w:val="20"/>
        </w:rPr>
        <w:t>28 septembre 200</w:t>
      </w:r>
      <w:r w:rsidR="00F44E7C">
        <w:rPr>
          <w:szCs w:val="20"/>
        </w:rPr>
        <w:t>5</w:t>
      </w:r>
      <w:r>
        <w:rPr>
          <w:szCs w:val="20"/>
        </w:rPr>
        <w:t>, date de sa création</w:t>
      </w:r>
      <w:r w:rsidR="00F44E7C">
        <w:rPr>
          <w:szCs w:val="20"/>
        </w:rPr>
        <w:t xml:space="preserve">, </w:t>
      </w:r>
      <w:r w:rsidRPr="007B5B82">
        <w:rPr>
          <w:szCs w:val="20"/>
        </w:rPr>
        <w:t xml:space="preserve">sous le numéro </w:t>
      </w:r>
      <w:r w:rsidR="00F44E7C" w:rsidRPr="00F44E7C">
        <w:rPr>
          <w:szCs w:val="20"/>
        </w:rPr>
        <w:t>484 163 985</w:t>
      </w:r>
      <w:r w:rsidRPr="007B5B82">
        <w:rPr>
          <w:szCs w:val="20"/>
        </w:rPr>
        <w:t>.</w:t>
      </w:r>
      <w:bookmarkStart w:id="105" w:name="_Toc351296857"/>
      <w:bookmarkStart w:id="106" w:name="_Toc351994619"/>
    </w:p>
    <w:p w14:paraId="65826404" w14:textId="77777777" w:rsidR="00254F9C" w:rsidRDefault="00254F9C" w:rsidP="001B4DE1">
      <w:pPr>
        <w:jc w:val="left"/>
        <w:rPr>
          <w:szCs w:val="20"/>
        </w:rPr>
      </w:pPr>
    </w:p>
    <w:p w14:paraId="596BC32F" w14:textId="62E51ABB" w:rsidR="00B458E2" w:rsidRPr="00B458E2" w:rsidRDefault="001B4DE1" w:rsidP="00B458E2">
      <w:pPr>
        <w:rPr>
          <w:szCs w:val="20"/>
        </w:rPr>
      </w:pPr>
      <w:r w:rsidRPr="001B4DE1">
        <w:rPr>
          <w:szCs w:val="20"/>
        </w:rPr>
        <w:t>Son identifiant d'entité juridique (LEI) est le</w:t>
      </w:r>
      <w:r w:rsidRPr="00B458E2">
        <w:rPr>
          <w:szCs w:val="20"/>
        </w:rPr>
        <w:t> </w:t>
      </w:r>
      <w:r w:rsidR="00B458E2" w:rsidRPr="00B458E2">
        <w:rPr>
          <w:szCs w:val="20"/>
        </w:rPr>
        <w:t>969500CMAIZOJBR35333</w:t>
      </w:r>
      <w:r w:rsidR="00B458E2">
        <w:rPr>
          <w:szCs w:val="20"/>
        </w:rPr>
        <w:t>.</w:t>
      </w:r>
    </w:p>
    <w:p w14:paraId="409C20FC" w14:textId="77777777" w:rsidR="00EB03FF" w:rsidRPr="00EB03FF" w:rsidRDefault="00EB03FF" w:rsidP="00EB03FF">
      <w:pPr>
        <w:rPr>
          <w:szCs w:val="20"/>
        </w:rPr>
      </w:pPr>
    </w:p>
    <w:p w14:paraId="316B9A63" w14:textId="1CF033F8" w:rsidR="007B5B82" w:rsidRPr="00A601E8" w:rsidRDefault="00022584" w:rsidP="00782B22">
      <w:pPr>
        <w:pStyle w:val="Titre2"/>
      </w:pPr>
      <w:bookmarkStart w:id="107" w:name="_Toc475033180"/>
      <w:r>
        <w:t>4</w:t>
      </w:r>
      <w:r w:rsidR="00782B22">
        <w:t>.</w:t>
      </w:r>
      <w:r w:rsidR="00573659" w:rsidRPr="00A601E8">
        <w:t xml:space="preserve">3. </w:t>
      </w:r>
      <w:r w:rsidR="007B5B82" w:rsidRPr="00A601E8">
        <w:t>Date de constitution et durée</w:t>
      </w:r>
      <w:bookmarkEnd w:id="105"/>
      <w:bookmarkEnd w:id="106"/>
      <w:r w:rsidR="00504E33">
        <w:t xml:space="preserve"> de vie de la Société</w:t>
      </w:r>
      <w:bookmarkEnd w:id="107"/>
    </w:p>
    <w:p w14:paraId="080EA627" w14:textId="77777777" w:rsidR="00573659" w:rsidRPr="00573659" w:rsidRDefault="00573659" w:rsidP="00573659"/>
    <w:p w14:paraId="316CAB47" w14:textId="159CD872" w:rsidR="007B5B82" w:rsidRDefault="007B5B82" w:rsidP="007B5B82">
      <w:pPr>
        <w:rPr>
          <w:szCs w:val="20"/>
        </w:rPr>
      </w:pPr>
      <w:r w:rsidRPr="00573659">
        <w:rPr>
          <w:szCs w:val="20"/>
        </w:rPr>
        <w:t xml:space="preserve">La Société a été constituée pour une durée de 99 ans s’achevant le </w:t>
      </w:r>
      <w:r w:rsidR="00F44E7C">
        <w:rPr>
          <w:szCs w:val="20"/>
        </w:rPr>
        <w:t>28 septembre 2104</w:t>
      </w:r>
      <w:r w:rsidRPr="00573659">
        <w:rPr>
          <w:szCs w:val="20"/>
        </w:rPr>
        <w:t>, sauf dissolution anticipée ou prorogation.</w:t>
      </w:r>
    </w:p>
    <w:p w14:paraId="6FED79DC" w14:textId="77777777" w:rsidR="00EB03FF" w:rsidRPr="00BF3147" w:rsidRDefault="00EB03FF" w:rsidP="007B5B82">
      <w:pPr>
        <w:rPr>
          <w:szCs w:val="20"/>
        </w:rPr>
      </w:pPr>
    </w:p>
    <w:p w14:paraId="30F38063" w14:textId="285BCD0E" w:rsidR="007B5B82" w:rsidRPr="00A601E8" w:rsidRDefault="00022584" w:rsidP="00782B22">
      <w:pPr>
        <w:pStyle w:val="Titre2"/>
      </w:pPr>
      <w:bookmarkStart w:id="108" w:name="_Toc351296858"/>
      <w:bookmarkStart w:id="109" w:name="_Toc351994620"/>
      <w:bookmarkStart w:id="110" w:name="_Toc475033181"/>
      <w:r>
        <w:t>4</w:t>
      </w:r>
      <w:r w:rsidR="00782B22">
        <w:t>.</w:t>
      </w:r>
      <w:r w:rsidR="00573659" w:rsidRPr="00A601E8">
        <w:t xml:space="preserve">4. </w:t>
      </w:r>
      <w:r w:rsidR="007B5B82" w:rsidRPr="00A601E8">
        <w:t xml:space="preserve">Siège social de la Société, </w:t>
      </w:r>
      <w:r w:rsidR="0099584A">
        <w:t xml:space="preserve">numéro de téléphone, </w:t>
      </w:r>
      <w:r w:rsidR="007B5B82" w:rsidRPr="00A601E8">
        <w:t>forme juridique</w:t>
      </w:r>
      <w:r w:rsidR="0099584A">
        <w:t xml:space="preserve"> et</w:t>
      </w:r>
      <w:r w:rsidR="007B5B82" w:rsidRPr="00A601E8">
        <w:t xml:space="preserve"> législation régissant ses activités</w:t>
      </w:r>
      <w:bookmarkEnd w:id="108"/>
      <w:bookmarkEnd w:id="109"/>
      <w:bookmarkEnd w:id="110"/>
    </w:p>
    <w:p w14:paraId="26EB5FD1" w14:textId="77777777" w:rsidR="00F44E7C" w:rsidRPr="00573659" w:rsidRDefault="00F44E7C" w:rsidP="00573659">
      <w:pPr>
        <w:rPr>
          <w:szCs w:val="20"/>
        </w:rPr>
      </w:pPr>
    </w:p>
    <w:p w14:paraId="3D28507A" w14:textId="77777777" w:rsidR="00BF3147" w:rsidRDefault="00BF3147" w:rsidP="00BF3147">
      <w:pPr>
        <w:widowControl w:val="0"/>
        <w:autoSpaceDE w:val="0"/>
        <w:autoSpaceDN w:val="0"/>
        <w:adjustRightInd w:val="0"/>
        <w:jc w:val="left"/>
        <w:rPr>
          <w:szCs w:val="20"/>
        </w:rPr>
      </w:pPr>
      <w:r>
        <w:rPr>
          <w:szCs w:val="20"/>
        </w:rPr>
        <w:t>Le</w:t>
      </w:r>
      <w:r w:rsidRPr="00F44E7C">
        <w:rPr>
          <w:szCs w:val="20"/>
        </w:rPr>
        <w:t xml:space="preserve"> siège</w:t>
      </w:r>
      <w:r>
        <w:rPr>
          <w:szCs w:val="20"/>
        </w:rPr>
        <w:t xml:space="preserve"> </w:t>
      </w:r>
      <w:r w:rsidRPr="00F44E7C">
        <w:rPr>
          <w:szCs w:val="20"/>
        </w:rPr>
        <w:t xml:space="preserve">social </w:t>
      </w:r>
      <w:r>
        <w:rPr>
          <w:szCs w:val="20"/>
        </w:rPr>
        <w:t xml:space="preserve">de la Société </w:t>
      </w:r>
      <w:r w:rsidRPr="00F44E7C">
        <w:rPr>
          <w:szCs w:val="20"/>
        </w:rPr>
        <w:t xml:space="preserve">est </w:t>
      </w:r>
      <w:r>
        <w:rPr>
          <w:szCs w:val="20"/>
        </w:rPr>
        <w:t xml:space="preserve">situé </w:t>
      </w:r>
      <w:r w:rsidRPr="00F44E7C">
        <w:rPr>
          <w:szCs w:val="20"/>
        </w:rPr>
        <w:t>7 Allée du Moulin Berger, Bâtiment 7, 69130 Ecully</w:t>
      </w:r>
      <w:r>
        <w:rPr>
          <w:szCs w:val="20"/>
        </w:rPr>
        <w:t>.</w:t>
      </w:r>
    </w:p>
    <w:p w14:paraId="1CC7CABC" w14:textId="3CC6047A" w:rsidR="0099584A" w:rsidRPr="0099584A" w:rsidRDefault="0099584A" w:rsidP="0099584A">
      <w:pPr>
        <w:widowControl w:val="0"/>
        <w:autoSpaceDE w:val="0"/>
        <w:autoSpaceDN w:val="0"/>
        <w:adjustRightInd w:val="0"/>
        <w:jc w:val="left"/>
        <w:rPr>
          <w:szCs w:val="20"/>
        </w:rPr>
      </w:pPr>
      <w:r w:rsidRPr="0099584A">
        <w:rPr>
          <w:szCs w:val="20"/>
        </w:rPr>
        <w:t xml:space="preserve">Téléphone : +33 </w:t>
      </w:r>
      <w:r w:rsidR="00277EFE">
        <w:rPr>
          <w:szCs w:val="20"/>
        </w:rPr>
        <w:t>4 72 77 01 52</w:t>
      </w:r>
    </w:p>
    <w:p w14:paraId="3A01643D" w14:textId="77777777" w:rsidR="0099584A" w:rsidRDefault="0099584A" w:rsidP="00BF3147">
      <w:pPr>
        <w:rPr>
          <w:szCs w:val="20"/>
        </w:rPr>
      </w:pPr>
    </w:p>
    <w:p w14:paraId="1981B9A8" w14:textId="5495CA3A" w:rsidR="00D93A07" w:rsidRDefault="00BF3147" w:rsidP="00BF3147">
      <w:pPr>
        <w:rPr>
          <w:szCs w:val="20"/>
        </w:rPr>
      </w:pPr>
      <w:r w:rsidRPr="00573659">
        <w:rPr>
          <w:szCs w:val="20"/>
        </w:rPr>
        <w:t>La Société est une société anonyme de droit français à Conseil d’administration, régie notamment par les dispositions du livre II de la partie législative du Code de Commerce et du livre II de la partie réglementaire dudit Code</w:t>
      </w:r>
      <w:r>
        <w:rPr>
          <w:szCs w:val="20"/>
        </w:rPr>
        <w:t>, et par ses statuts</w:t>
      </w:r>
      <w:r w:rsidRPr="00573659">
        <w:rPr>
          <w:szCs w:val="20"/>
        </w:rPr>
        <w:t>.</w:t>
      </w:r>
    </w:p>
    <w:p w14:paraId="0468E6C2" w14:textId="77777777" w:rsidR="00EB03FF" w:rsidRPr="00BF3147" w:rsidRDefault="00EB03FF" w:rsidP="00BF3147">
      <w:pPr>
        <w:rPr>
          <w:szCs w:val="20"/>
        </w:rPr>
      </w:pPr>
    </w:p>
    <w:p w14:paraId="7C49A907" w14:textId="77777777" w:rsidR="00021917" w:rsidRDefault="00021917" w:rsidP="00021917"/>
    <w:p w14:paraId="00FDD8D5" w14:textId="240020B7" w:rsidR="00D93A07" w:rsidRDefault="00D93A07" w:rsidP="00D93A07">
      <w:pPr>
        <w:tabs>
          <w:tab w:val="right" w:leader="dot" w:pos="8505"/>
        </w:tabs>
        <w:rPr>
          <w:i/>
          <w:szCs w:val="20"/>
        </w:rPr>
      </w:pPr>
    </w:p>
    <w:p w14:paraId="58CB8746" w14:textId="77777777" w:rsidR="00613F6D" w:rsidRDefault="00613F6D">
      <w:pPr>
        <w:jc w:val="left"/>
        <w:rPr>
          <w:rFonts w:eastAsiaTheme="majorEastAsia" w:cstheme="majorBidi"/>
          <w:b/>
          <w:bCs/>
          <w:color w:val="345A8A" w:themeColor="accent1" w:themeShade="B5"/>
          <w:sz w:val="32"/>
          <w:szCs w:val="32"/>
        </w:rPr>
      </w:pPr>
      <w:bookmarkStart w:id="111" w:name="_Toc330481932"/>
      <w:bookmarkStart w:id="112" w:name="_Ref338440276"/>
      <w:r>
        <w:br w:type="page"/>
      </w:r>
    </w:p>
    <w:p w14:paraId="05D269A4" w14:textId="4FC1CC68" w:rsidR="00315B35" w:rsidRPr="00A601E8" w:rsidRDefault="00022584" w:rsidP="00A601E8">
      <w:pPr>
        <w:pStyle w:val="Titre1"/>
      </w:pPr>
      <w:bookmarkStart w:id="113" w:name="_Toc475033182"/>
      <w:r>
        <w:lastRenderedPageBreak/>
        <w:t>5</w:t>
      </w:r>
      <w:r w:rsidR="00315B35" w:rsidRPr="00A601E8">
        <w:t>. APERCU DES ACTIVITES</w:t>
      </w:r>
      <w:bookmarkEnd w:id="111"/>
      <w:bookmarkEnd w:id="112"/>
      <w:bookmarkEnd w:id="113"/>
    </w:p>
    <w:p w14:paraId="742B5D84" w14:textId="77777777" w:rsidR="00165944" w:rsidRDefault="00165944" w:rsidP="00D93A07">
      <w:pPr>
        <w:tabs>
          <w:tab w:val="right" w:leader="dot" w:pos="8505"/>
        </w:tabs>
        <w:rPr>
          <w:i/>
          <w:szCs w:val="20"/>
        </w:rPr>
      </w:pPr>
    </w:p>
    <w:p w14:paraId="1C358375" w14:textId="77777777" w:rsidR="00864F84" w:rsidRDefault="00864F84" w:rsidP="00D93A07">
      <w:pPr>
        <w:tabs>
          <w:tab w:val="right" w:leader="dot" w:pos="8505"/>
        </w:tabs>
        <w:rPr>
          <w:i/>
          <w:szCs w:val="20"/>
        </w:rPr>
      </w:pPr>
    </w:p>
    <w:p w14:paraId="3C5E0AF8" w14:textId="77777777" w:rsidR="00332D67" w:rsidRDefault="00332D67" w:rsidP="00332D67">
      <w:bookmarkStart w:id="114" w:name="_Toc330481962"/>
    </w:p>
    <w:p w14:paraId="0E765ECE" w14:textId="77777777" w:rsidR="00540AEE" w:rsidRDefault="0049256F" w:rsidP="0049256F">
      <w:pPr>
        <w:rPr>
          <w:szCs w:val="20"/>
        </w:rPr>
      </w:pPr>
      <w:r w:rsidRPr="00A529B7">
        <w:rPr>
          <w:szCs w:val="20"/>
        </w:rPr>
        <w:t xml:space="preserve">Spineway est une société indépendante spécialisée dans les implants du rachis. </w:t>
      </w:r>
    </w:p>
    <w:p w14:paraId="1ACC39A8" w14:textId="77777777" w:rsidR="00864F84" w:rsidRDefault="00864F84" w:rsidP="0049256F">
      <w:pPr>
        <w:rPr>
          <w:szCs w:val="20"/>
        </w:rPr>
      </w:pPr>
    </w:p>
    <w:p w14:paraId="5CBC963E" w14:textId="6E1FC7EF" w:rsidR="00120CBA" w:rsidRDefault="0049256F" w:rsidP="0049256F">
      <w:pPr>
        <w:rPr>
          <w:szCs w:val="20"/>
        </w:rPr>
      </w:pPr>
      <w:r w:rsidRPr="00A529B7">
        <w:rPr>
          <w:szCs w:val="20"/>
        </w:rPr>
        <w:t xml:space="preserve">Elle conçoit, développe et commercialise une gamme d’implants chirurgicaux de pointe utilisés à tous les niveaux de la colonne vertébrale (lombaire, thoracique et cervicale). </w:t>
      </w:r>
    </w:p>
    <w:p w14:paraId="27CCB1AF" w14:textId="77777777" w:rsidR="00864F84" w:rsidRDefault="00864F84" w:rsidP="0049256F">
      <w:pPr>
        <w:rPr>
          <w:szCs w:val="20"/>
        </w:rPr>
      </w:pPr>
    </w:p>
    <w:p w14:paraId="2D632170" w14:textId="49DCAAD4" w:rsidR="0049256F" w:rsidRPr="00A529B7" w:rsidRDefault="0049256F" w:rsidP="0049256F">
      <w:pPr>
        <w:rPr>
          <w:szCs w:val="20"/>
        </w:rPr>
      </w:pPr>
      <w:r w:rsidRPr="00A529B7">
        <w:rPr>
          <w:szCs w:val="20"/>
        </w:rPr>
        <w:t>L’utilisation de ces implants chirurgicaux est indiquée par des chirurgiens spécialisés en orthopédie ou neurochirurgie, après diagnostic de pathologie sévère nécessitant une intervention chirurgicale de correction et de stabilisation de la colonne vertébrale de leurs patients.</w:t>
      </w:r>
    </w:p>
    <w:p w14:paraId="4F069DA7" w14:textId="77777777" w:rsidR="0049256F" w:rsidRPr="00A529B7" w:rsidRDefault="0049256F" w:rsidP="0049256F">
      <w:pPr>
        <w:rPr>
          <w:szCs w:val="20"/>
        </w:rPr>
      </w:pPr>
    </w:p>
    <w:p w14:paraId="4BDAF2F3" w14:textId="77777777" w:rsidR="0049256F" w:rsidRPr="00A529B7" w:rsidRDefault="0049256F" w:rsidP="0049256F">
      <w:pPr>
        <w:rPr>
          <w:szCs w:val="20"/>
        </w:rPr>
      </w:pPr>
      <w:r w:rsidRPr="00A529B7">
        <w:rPr>
          <w:szCs w:val="20"/>
        </w:rPr>
        <w:t>L’activité de la Société regroupe les prestations suivantes :</w:t>
      </w:r>
    </w:p>
    <w:p w14:paraId="29A7219B" w14:textId="2783CA53" w:rsidR="0049256F" w:rsidRPr="00A529B7" w:rsidRDefault="0049256F" w:rsidP="00C622C2">
      <w:pPr>
        <w:numPr>
          <w:ilvl w:val="0"/>
          <w:numId w:val="14"/>
        </w:numPr>
        <w:tabs>
          <w:tab w:val="clear" w:pos="1440"/>
          <w:tab w:val="num" w:pos="360"/>
        </w:tabs>
        <w:spacing w:line="264" w:lineRule="auto"/>
        <w:ind w:left="360"/>
        <w:rPr>
          <w:szCs w:val="20"/>
        </w:rPr>
      </w:pPr>
      <w:r w:rsidRPr="00A529B7">
        <w:rPr>
          <w:szCs w:val="20"/>
        </w:rPr>
        <w:t>la conception, la fabrication et la commercialisation en France et à l’international de dispositifs médicaux implantables pour la chirurgie de la colonne vertébrale (vis, tiges, connecteurs</w:t>
      </w:r>
      <w:r w:rsidR="00B2272B">
        <w:rPr>
          <w:szCs w:val="20"/>
        </w:rPr>
        <w:t>,</w:t>
      </w:r>
      <w:r w:rsidRPr="00A529B7">
        <w:rPr>
          <w:szCs w:val="20"/>
        </w:rPr>
        <w:t xml:space="preserve"> cales </w:t>
      </w:r>
      <w:r w:rsidR="009373DA" w:rsidRPr="00A529B7">
        <w:rPr>
          <w:szCs w:val="20"/>
        </w:rPr>
        <w:t>inter</w:t>
      </w:r>
      <w:r w:rsidR="009373DA">
        <w:rPr>
          <w:szCs w:val="20"/>
        </w:rPr>
        <w:t>verté</w:t>
      </w:r>
      <w:r w:rsidR="009373DA" w:rsidRPr="00A529B7">
        <w:rPr>
          <w:szCs w:val="20"/>
        </w:rPr>
        <w:t>brales, plaques</w:t>
      </w:r>
      <w:r w:rsidR="00696043">
        <w:rPr>
          <w:szCs w:val="20"/>
        </w:rPr>
        <w:t>, etc</w:t>
      </w:r>
      <w:r w:rsidR="00696043" w:rsidRPr="00A529B7">
        <w:rPr>
          <w:szCs w:val="20"/>
        </w:rPr>
        <w:t xml:space="preserve">) </w:t>
      </w:r>
      <w:r w:rsidRPr="00A529B7">
        <w:rPr>
          <w:szCs w:val="20"/>
        </w:rPr>
        <w:t>ainsi que leurs instrumentations spécifiqu</w:t>
      </w:r>
      <w:r w:rsidR="00120CBA">
        <w:rPr>
          <w:szCs w:val="20"/>
        </w:rPr>
        <w:t>es et</w:t>
      </w:r>
      <w:r w:rsidRPr="00A529B7">
        <w:rPr>
          <w:szCs w:val="20"/>
        </w:rPr>
        <w:t xml:space="preserve"> nécessaires </w:t>
      </w:r>
      <w:r w:rsidR="00A444F4">
        <w:rPr>
          <w:szCs w:val="20"/>
        </w:rPr>
        <w:t>à</w:t>
      </w:r>
      <w:r w:rsidRPr="00A529B7">
        <w:rPr>
          <w:szCs w:val="20"/>
        </w:rPr>
        <w:t xml:space="preserve"> leur mise en place opératoire ;</w:t>
      </w:r>
    </w:p>
    <w:p w14:paraId="0BC0FC2C" w14:textId="77777777" w:rsidR="0049256F" w:rsidRPr="00A529B7" w:rsidRDefault="0049256F" w:rsidP="00C622C2">
      <w:pPr>
        <w:numPr>
          <w:ilvl w:val="0"/>
          <w:numId w:val="14"/>
        </w:numPr>
        <w:tabs>
          <w:tab w:val="clear" w:pos="1440"/>
          <w:tab w:val="num" w:pos="360"/>
        </w:tabs>
        <w:spacing w:line="264" w:lineRule="auto"/>
        <w:ind w:left="360"/>
        <w:rPr>
          <w:szCs w:val="20"/>
        </w:rPr>
      </w:pPr>
      <w:r w:rsidRPr="00A529B7">
        <w:rPr>
          <w:szCs w:val="20"/>
        </w:rPr>
        <w:t>la fourniture de containers destinés aux blocs opératoires des établissements de soins, contenant les implants et les instruments ;</w:t>
      </w:r>
    </w:p>
    <w:p w14:paraId="29F05432" w14:textId="6754C609" w:rsidR="00120CBA" w:rsidRPr="00A529B7" w:rsidRDefault="00120CBA" w:rsidP="00C622C2">
      <w:pPr>
        <w:numPr>
          <w:ilvl w:val="0"/>
          <w:numId w:val="14"/>
        </w:numPr>
        <w:tabs>
          <w:tab w:val="clear" w:pos="1440"/>
          <w:tab w:val="num" w:pos="360"/>
        </w:tabs>
        <w:spacing w:line="264" w:lineRule="auto"/>
        <w:ind w:left="360"/>
        <w:rPr>
          <w:szCs w:val="20"/>
        </w:rPr>
      </w:pPr>
      <w:r w:rsidRPr="00A529B7">
        <w:rPr>
          <w:szCs w:val="20"/>
        </w:rPr>
        <w:t xml:space="preserve">la </w:t>
      </w:r>
      <w:r>
        <w:rPr>
          <w:szCs w:val="20"/>
        </w:rPr>
        <w:t>R&amp;D </w:t>
      </w:r>
      <w:r w:rsidRPr="00A529B7">
        <w:rPr>
          <w:szCs w:val="20"/>
        </w:rPr>
        <w:t>de nouveaux dispositifs pour le trait</w:t>
      </w:r>
      <w:r>
        <w:rPr>
          <w:szCs w:val="20"/>
        </w:rPr>
        <w:t>ement des pathologies du rachis ;</w:t>
      </w:r>
    </w:p>
    <w:p w14:paraId="0596D4B1" w14:textId="3A3E327E" w:rsidR="0049256F" w:rsidRPr="00A529B7" w:rsidRDefault="0049256F" w:rsidP="00C622C2">
      <w:pPr>
        <w:numPr>
          <w:ilvl w:val="0"/>
          <w:numId w:val="14"/>
        </w:numPr>
        <w:tabs>
          <w:tab w:val="clear" w:pos="1440"/>
          <w:tab w:val="num" w:pos="360"/>
        </w:tabs>
        <w:spacing w:line="264" w:lineRule="auto"/>
        <w:ind w:left="360"/>
        <w:rPr>
          <w:szCs w:val="20"/>
        </w:rPr>
      </w:pPr>
      <w:r w:rsidRPr="00A529B7">
        <w:rPr>
          <w:szCs w:val="20"/>
        </w:rPr>
        <w:t xml:space="preserve">une offre de services complémentaires, proposée aux chirurgiens internationaux en liaison avec les distributeurs, permettant </w:t>
      </w:r>
      <w:r w:rsidR="00117A1A">
        <w:rPr>
          <w:szCs w:val="20"/>
        </w:rPr>
        <w:t>in</w:t>
      </w:r>
      <w:r w:rsidRPr="00A529B7">
        <w:rPr>
          <w:szCs w:val="20"/>
        </w:rPr>
        <w:t xml:space="preserve">formation et relations scientifiques entre des chirurgiens de même spécialité mais de niveau technique différent (cette activité ne fait pas l’objet de facturations </w:t>
      </w:r>
      <w:r w:rsidR="00120CBA">
        <w:rPr>
          <w:szCs w:val="20"/>
        </w:rPr>
        <w:t>spécifiques par</w:t>
      </w:r>
      <w:r w:rsidRPr="00A529B7">
        <w:rPr>
          <w:szCs w:val="20"/>
        </w:rPr>
        <w:t xml:space="preserve"> Spineway)</w:t>
      </w:r>
      <w:r w:rsidR="00696043">
        <w:rPr>
          <w:szCs w:val="20"/>
        </w:rPr>
        <w:t>,</w:t>
      </w:r>
      <w:r w:rsidRPr="00A529B7">
        <w:rPr>
          <w:szCs w:val="20"/>
        </w:rPr>
        <w:t xml:space="preserve"> l’offre de services associés s’adresse aux distributeurs, aux chirurgiens et au personnel hospitalier et inclut des </w:t>
      </w:r>
      <w:r w:rsidR="00117A1A">
        <w:rPr>
          <w:szCs w:val="20"/>
        </w:rPr>
        <w:t>in</w:t>
      </w:r>
      <w:r w:rsidRPr="00A529B7">
        <w:rPr>
          <w:szCs w:val="20"/>
        </w:rPr>
        <w:t>formations, des supports marketing, organisation de tables rondes, etc. ;</w:t>
      </w:r>
    </w:p>
    <w:p w14:paraId="31A6B7C4" w14:textId="2F70F408" w:rsidR="00332D67" w:rsidRPr="00120CBA" w:rsidRDefault="0049256F" w:rsidP="00C622C2">
      <w:pPr>
        <w:numPr>
          <w:ilvl w:val="0"/>
          <w:numId w:val="14"/>
        </w:numPr>
        <w:tabs>
          <w:tab w:val="clear" w:pos="1440"/>
          <w:tab w:val="num" w:pos="360"/>
        </w:tabs>
        <w:spacing w:line="264" w:lineRule="auto"/>
        <w:ind w:left="360"/>
        <w:rPr>
          <w:szCs w:val="20"/>
        </w:rPr>
      </w:pPr>
      <w:r w:rsidRPr="00A529B7">
        <w:rPr>
          <w:szCs w:val="20"/>
        </w:rPr>
        <w:t>l’animation d’un groupe de réflexion de chirurgiens sur les techniques d’avenir pour l’amélioration du traite</w:t>
      </w:r>
      <w:r w:rsidR="00120CBA">
        <w:rPr>
          <w:szCs w:val="20"/>
        </w:rPr>
        <w:t>ment des pathologies du rachis.</w:t>
      </w:r>
    </w:p>
    <w:p w14:paraId="63D632B2" w14:textId="77777777" w:rsidR="00AD25AB" w:rsidRPr="00F95E28" w:rsidRDefault="00AD25AB" w:rsidP="00AD25AB">
      <w:pPr>
        <w:rPr>
          <w:noProof/>
          <w:szCs w:val="20"/>
          <w:lang w:eastAsia="ja-JP"/>
        </w:rPr>
      </w:pPr>
    </w:p>
    <w:p w14:paraId="0DC83FE9" w14:textId="77777777" w:rsidR="00120CBA" w:rsidRDefault="00120CBA" w:rsidP="00120CBA">
      <w:pPr>
        <w:rPr>
          <w:szCs w:val="20"/>
        </w:rPr>
      </w:pPr>
      <w:r w:rsidRPr="00F95E28">
        <w:rPr>
          <w:szCs w:val="20"/>
        </w:rPr>
        <w:t>La R&amp;D, la conception, le prototypage, les essais mécaniques, les essais cadavériques, les essais précliniques, la fabrication et la mise sur le marché des produits de la Société requièrent des autorisations strictes accordées par divers organismes de contrôle en Europe et dans le reste du monde.</w:t>
      </w:r>
    </w:p>
    <w:p w14:paraId="5BBA07EE" w14:textId="77777777" w:rsidR="00F95E28" w:rsidRPr="00F95E28" w:rsidRDefault="00F95E28" w:rsidP="00120CBA">
      <w:pPr>
        <w:rPr>
          <w:szCs w:val="20"/>
        </w:rPr>
      </w:pPr>
    </w:p>
    <w:p w14:paraId="7BC4631C" w14:textId="7FA63E22" w:rsidR="00120CBA" w:rsidRPr="00F95E28" w:rsidRDefault="00AD25AB" w:rsidP="54FDD3F0">
      <w:r w:rsidRPr="00F95E28">
        <w:t>Le développement de Spineway se distingue fortement de ses concurrent</w:t>
      </w:r>
      <w:r w:rsidR="00611C16" w:rsidRPr="00F95E28">
        <w:t xml:space="preserve">s par la mise sur le marché de deux catégories de gammes </w:t>
      </w:r>
      <w:r w:rsidR="54FDD3F0" w:rsidRPr="00F95E28">
        <w:t>de produits :</w:t>
      </w:r>
    </w:p>
    <w:p w14:paraId="2D9CF20C" w14:textId="1EC22E7F" w:rsidR="00120CBA" w:rsidRPr="007841DE" w:rsidRDefault="00540AEE" w:rsidP="00C622C2">
      <w:pPr>
        <w:pStyle w:val="Paragraphedeliste"/>
        <w:numPr>
          <w:ilvl w:val="0"/>
          <w:numId w:val="3"/>
        </w:numPr>
        <w:rPr>
          <w:rStyle w:val="Marquenotebasdepage"/>
          <w:rFonts w:eastAsiaTheme="majorEastAsia" w:cstheme="majorBidi"/>
          <w:szCs w:val="20"/>
          <w:vertAlign w:val="baseline"/>
          <w:lang w:val="en-US"/>
        </w:rPr>
      </w:pPr>
      <w:proofErr w:type="gramStart"/>
      <w:r>
        <w:rPr>
          <w:lang w:val="en-US"/>
        </w:rPr>
        <w:t>les</w:t>
      </w:r>
      <w:proofErr w:type="gramEnd"/>
      <w:r>
        <w:rPr>
          <w:lang w:val="en-US"/>
        </w:rPr>
        <w:t xml:space="preserve"> p</w:t>
      </w:r>
      <w:r w:rsidRPr="007841DE">
        <w:rPr>
          <w:lang w:val="en-US"/>
        </w:rPr>
        <w:t xml:space="preserve">roduits </w:t>
      </w:r>
      <w:r w:rsidR="54FDD3F0" w:rsidRPr="007841DE">
        <w:rPr>
          <w:lang w:val="en-US"/>
        </w:rPr>
        <w:t>g</w:t>
      </w:r>
      <w:r w:rsidR="54FDD3F0" w:rsidRPr="007841DE">
        <w:rPr>
          <w:i/>
          <w:iCs/>
          <w:lang w:val="en-US"/>
        </w:rPr>
        <w:t>old Standard</w:t>
      </w:r>
      <w:r>
        <w:rPr>
          <w:i/>
          <w:iCs/>
          <w:lang w:val="en-US"/>
        </w:rPr>
        <w:t xml:space="preserve"> </w:t>
      </w:r>
      <w:r w:rsidR="00AD25AB" w:rsidRPr="00F95E28">
        <w:rPr>
          <w:rStyle w:val="Marquenotebasdepage"/>
        </w:rPr>
        <w:footnoteReference w:id="3"/>
      </w:r>
      <w:r w:rsidR="54FDD3F0" w:rsidRPr="007841DE">
        <w:rPr>
          <w:rStyle w:val="Marquenotebasdepage"/>
          <w:lang w:val="en-US"/>
        </w:rPr>
        <w:t xml:space="preserve"> </w:t>
      </w:r>
      <w:r w:rsidR="54FDD3F0" w:rsidRPr="007841DE">
        <w:rPr>
          <w:rStyle w:val="Marquenotebasdepage"/>
          <w:vertAlign w:val="baseline"/>
          <w:lang w:val="en-US"/>
        </w:rPr>
        <w:t>c’est à dire</w:t>
      </w:r>
      <w:r w:rsidR="00864F84">
        <w:rPr>
          <w:rStyle w:val="Marquenotebasdepage"/>
          <w:vertAlign w:val="baseline"/>
          <w:lang w:val="en-US"/>
        </w:rPr>
        <w:t xml:space="preserve"> </w:t>
      </w:r>
      <w:r w:rsidR="54FDD3F0" w:rsidRPr="007841DE">
        <w:rPr>
          <w:rStyle w:val="Marquenotebasdepage"/>
          <w:vertAlign w:val="baseline"/>
          <w:lang w:val="en-US"/>
        </w:rPr>
        <w:t>utilisés avec des techniques opératoires classiques à destination des marchés possédant des politiques de remboursement de soins moyennes</w:t>
      </w:r>
      <w:r w:rsidR="00696043">
        <w:rPr>
          <w:lang w:val="en-US"/>
        </w:rPr>
        <w:t xml:space="preserve"> </w:t>
      </w:r>
      <w:r w:rsidR="54FDD3F0" w:rsidRPr="007841DE">
        <w:rPr>
          <w:rStyle w:val="Marquenotebasdepage"/>
          <w:vertAlign w:val="baseline"/>
          <w:lang w:val="en-US"/>
        </w:rPr>
        <w:t>;</w:t>
      </w:r>
    </w:p>
    <w:p w14:paraId="445CD51E" w14:textId="3E65A10A" w:rsidR="00120CBA" w:rsidRPr="00F95E28" w:rsidRDefault="00540AEE" w:rsidP="00C622C2">
      <w:pPr>
        <w:pStyle w:val="Paragraphedeliste"/>
        <w:numPr>
          <w:ilvl w:val="0"/>
          <w:numId w:val="3"/>
        </w:numPr>
        <w:rPr>
          <w:szCs w:val="20"/>
        </w:rPr>
      </w:pPr>
      <w:r>
        <w:t>les p</w:t>
      </w:r>
      <w:r w:rsidRPr="00F95E28">
        <w:t xml:space="preserve">roduits </w:t>
      </w:r>
      <w:r w:rsidR="00280C8F" w:rsidRPr="00F95E28">
        <w:rPr>
          <w:i/>
          <w:iCs/>
        </w:rPr>
        <w:t>Prémium</w:t>
      </w:r>
      <w:r w:rsidR="00B2272B">
        <w:rPr>
          <w:i/>
          <w:iCs/>
        </w:rPr>
        <w:t xml:space="preserve"> </w:t>
      </w:r>
      <w:r w:rsidR="00280C8F" w:rsidRPr="00F95E28">
        <w:rPr>
          <w:rStyle w:val="Marquenotebasdepage"/>
        </w:rPr>
        <w:footnoteReference w:id="4"/>
      </w:r>
      <w:r w:rsidR="54FDD3F0" w:rsidRPr="00F95E28">
        <w:rPr>
          <w:rStyle w:val="Marquenotebasdepage"/>
        </w:rPr>
        <w:t xml:space="preserve"> </w:t>
      </w:r>
      <w:r w:rsidR="00864F84">
        <w:rPr>
          <w:rStyle w:val="Marquenotebasdepage"/>
          <w:vertAlign w:val="baseline"/>
        </w:rPr>
        <w:t>lesquels sont</w:t>
      </w:r>
      <w:r w:rsidR="54FDD3F0" w:rsidRPr="00F95E28">
        <w:rPr>
          <w:rStyle w:val="Marquenotebasdepage"/>
          <w:vertAlign w:val="baseline"/>
        </w:rPr>
        <w:t xml:space="preserve"> utilisés avec des techniques opératoires sophistiquées</w:t>
      </w:r>
      <w:r w:rsidR="00864F84">
        <w:t xml:space="preserve">, </w:t>
      </w:r>
      <w:r w:rsidR="54FDD3F0" w:rsidRPr="00F95E28">
        <w:rPr>
          <w:rStyle w:val="Marquenotebasdepage"/>
          <w:vertAlign w:val="baseline"/>
        </w:rPr>
        <w:t xml:space="preserve">innovantes, expertes, </w:t>
      </w:r>
      <w:r w:rsidR="00864F84" w:rsidRPr="00F95E28">
        <w:rPr>
          <w:rStyle w:val="Marquenotebasdepage"/>
          <w:vertAlign w:val="baseline"/>
        </w:rPr>
        <w:t>complexes</w:t>
      </w:r>
      <w:r w:rsidR="00864F84">
        <w:rPr>
          <w:rStyle w:val="Marquenotebasdepage"/>
          <w:vertAlign w:val="baseline"/>
        </w:rPr>
        <w:t xml:space="preserve">, </w:t>
      </w:r>
      <w:r w:rsidR="54FDD3F0" w:rsidRPr="00F95E28">
        <w:rPr>
          <w:rStyle w:val="Marquenotebasdepage"/>
          <w:vertAlign w:val="baseline"/>
        </w:rPr>
        <w:t>mettant en jeu des instrumentations high</w:t>
      </w:r>
      <w:r w:rsidR="00864F84">
        <w:t>-</w:t>
      </w:r>
      <w:r w:rsidR="54FDD3F0" w:rsidRPr="00F95E28">
        <w:rPr>
          <w:rStyle w:val="Marquenotebasdepage"/>
          <w:vertAlign w:val="baseline"/>
        </w:rPr>
        <w:t>tech conséquentes et coûteuses à</w:t>
      </w:r>
      <w:r w:rsidR="54FDD3F0" w:rsidRPr="00F95E28">
        <w:t xml:space="preserve"> destination des marchés matures disposant de politique de remboursement des soins élevées (Japon, </w:t>
      </w:r>
      <w:r w:rsidR="00696043">
        <w:t>Etats-Unis</w:t>
      </w:r>
      <w:r w:rsidR="54FDD3F0" w:rsidRPr="00F95E28">
        <w:t xml:space="preserve">, Europe, Australie notamment). Le développement de ce segment a pour objectif non seulement de développer </w:t>
      </w:r>
      <w:r w:rsidR="00280C8F" w:rsidRPr="00F95E28">
        <w:t>l’activité mais également d’équilibrer les risques pays</w:t>
      </w:r>
      <w:r w:rsidR="00547BDC">
        <w:t>.</w:t>
      </w:r>
    </w:p>
    <w:p w14:paraId="37E4648B" w14:textId="77777777" w:rsidR="00120CBA" w:rsidRPr="00F95E28" w:rsidRDefault="00120CBA" w:rsidP="00120CBA">
      <w:pPr>
        <w:rPr>
          <w:szCs w:val="20"/>
        </w:rPr>
      </w:pPr>
    </w:p>
    <w:p w14:paraId="667FB974" w14:textId="35401C20" w:rsidR="188C713A" w:rsidRDefault="188C713A"/>
    <w:p w14:paraId="772D1852" w14:textId="0F2E6EF6" w:rsidR="188C713A" w:rsidRDefault="188C713A"/>
    <w:p w14:paraId="2D4070D6" w14:textId="77777777" w:rsidR="00864F84" w:rsidRDefault="00864F84">
      <w:pPr>
        <w:jc w:val="left"/>
      </w:pPr>
      <w:r>
        <w:br w:type="page"/>
      </w:r>
    </w:p>
    <w:p w14:paraId="4FF20A34" w14:textId="72C93D45" w:rsidR="00120CBA" w:rsidRPr="00F95E28" w:rsidRDefault="6622BF98" w:rsidP="00220302">
      <w:pPr>
        <w:rPr>
          <w:b/>
          <w:bCs/>
        </w:rPr>
      </w:pPr>
      <w:r>
        <w:lastRenderedPageBreak/>
        <w:t xml:space="preserve">Les grandes étapes du développement de la Société peuvent être schématisées comme </w:t>
      </w:r>
      <w:r w:rsidR="00547BDC">
        <w:t>suit :</w:t>
      </w:r>
      <w:r>
        <w:t xml:space="preserve"> </w:t>
      </w:r>
    </w:p>
    <w:p w14:paraId="137E4156" w14:textId="74013B4C" w:rsidR="00120CBA" w:rsidRPr="00A529B7" w:rsidRDefault="00120CBA" w:rsidP="00220302">
      <w:pPr>
        <w:ind w:left="1985"/>
      </w:pPr>
      <w:r>
        <w:rPr>
          <w:noProof/>
        </w:rPr>
        <w:drawing>
          <wp:inline distT="0" distB="0" distL="0" distR="0" wp14:anchorId="059BF577" wp14:editId="41F10F89">
            <wp:extent cx="2689622" cy="7172325"/>
            <wp:effectExtent l="0" t="0" r="0" b="0"/>
            <wp:docPr id="1303990520" name="Image 1303990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extLst>
                        <a:ext uri="{28A0092B-C50C-407E-A947-70E740481C1C}">
                          <a14:useLocalDpi xmlns:a14="http://schemas.microsoft.com/office/drawing/2010/main" val="0"/>
                        </a:ext>
                      </a:extLst>
                    </a:blip>
                    <a:stretch>
                      <a:fillRect/>
                    </a:stretch>
                  </pic:blipFill>
                  <pic:spPr>
                    <a:xfrm>
                      <a:off x="0" y="0"/>
                      <a:ext cx="2689622" cy="7172325"/>
                    </a:xfrm>
                    <a:prstGeom prst="rect">
                      <a:avLst/>
                    </a:prstGeom>
                  </pic:spPr>
                </pic:pic>
              </a:graphicData>
            </a:graphic>
          </wp:inline>
        </w:drawing>
      </w:r>
    </w:p>
    <w:p w14:paraId="0ACF2A81" w14:textId="77777777" w:rsidR="00F95E28" w:rsidRDefault="00F95E28" w:rsidP="00AD25AB">
      <w:pPr>
        <w:rPr>
          <w:szCs w:val="20"/>
        </w:rPr>
      </w:pPr>
    </w:p>
    <w:p w14:paraId="36A1510B" w14:textId="79FE8FA3" w:rsidR="00AD25AB" w:rsidRPr="00F95E28" w:rsidRDefault="00AD25AB" w:rsidP="00AD25AB">
      <w:pPr>
        <w:rPr>
          <w:szCs w:val="20"/>
        </w:rPr>
      </w:pPr>
      <w:r w:rsidRPr="00F95E28">
        <w:rPr>
          <w:szCs w:val="20"/>
        </w:rPr>
        <w:t xml:space="preserve">Au </w:t>
      </w:r>
      <w:r w:rsidR="00920EFC" w:rsidRPr="00F95E28">
        <w:rPr>
          <w:szCs w:val="20"/>
        </w:rPr>
        <w:t>31 décembre 2020</w:t>
      </w:r>
      <w:r w:rsidRPr="00F95E28">
        <w:rPr>
          <w:szCs w:val="20"/>
        </w:rPr>
        <w:t xml:space="preserve">, la Société réalise plus de </w:t>
      </w:r>
      <w:r w:rsidR="00F95E28" w:rsidRPr="00F95E28">
        <w:rPr>
          <w:szCs w:val="20"/>
        </w:rPr>
        <w:t>88</w:t>
      </w:r>
      <w:r w:rsidRPr="00F95E28">
        <w:rPr>
          <w:szCs w:val="20"/>
        </w:rPr>
        <w:t>% de ses ventes à l’export</w:t>
      </w:r>
      <w:r w:rsidR="00920EFC" w:rsidRPr="00F95E28">
        <w:rPr>
          <w:szCs w:val="20"/>
        </w:rPr>
        <w:t xml:space="preserve"> (contre 87% au 31 décembre 2019)</w:t>
      </w:r>
      <w:r w:rsidRPr="00F95E28">
        <w:rPr>
          <w:szCs w:val="20"/>
        </w:rPr>
        <w:t>,</w:t>
      </w:r>
      <w:r w:rsidRPr="00A529B7">
        <w:rPr>
          <w:szCs w:val="20"/>
        </w:rPr>
        <w:t xml:space="preserve"> </w:t>
      </w:r>
      <w:r w:rsidRPr="00F95E28">
        <w:rPr>
          <w:szCs w:val="20"/>
        </w:rPr>
        <w:t xml:space="preserve">via des distributeurs. </w:t>
      </w:r>
    </w:p>
    <w:p w14:paraId="03CC8693" w14:textId="35D969B6" w:rsidR="00AD25AB" w:rsidRPr="00F95E28" w:rsidRDefault="54FDD3F0" w:rsidP="54FDD3F0">
      <w:r w:rsidRPr="00F95E28">
        <w:t>Ses produits sont aujourd’hui distribués dans 30 pays sur 5 continents, grâce à un réseau d’environ 60 distributeurs locaux.</w:t>
      </w:r>
    </w:p>
    <w:p w14:paraId="3531649A" w14:textId="700B8E0C" w:rsidR="00AD25AB" w:rsidRPr="00F95E28" w:rsidRDefault="00AD25AB" w:rsidP="00AD25AB">
      <w:pPr>
        <w:rPr>
          <w:szCs w:val="20"/>
        </w:rPr>
      </w:pPr>
      <w:r w:rsidRPr="00F95E28">
        <w:rPr>
          <w:szCs w:val="20"/>
        </w:rPr>
        <w:t>Les produits vendus en France (</w:t>
      </w:r>
      <w:r w:rsidR="003E1DCD" w:rsidRPr="00F95E28">
        <w:rPr>
          <w:szCs w:val="20"/>
        </w:rPr>
        <w:t xml:space="preserve">12% de son chiffre d’affaires au 31 décembre 2020 et </w:t>
      </w:r>
      <w:r w:rsidR="00DF15DB" w:rsidRPr="00F95E28">
        <w:rPr>
          <w:szCs w:val="20"/>
        </w:rPr>
        <w:t>13</w:t>
      </w:r>
      <w:r w:rsidRPr="00F95E28">
        <w:rPr>
          <w:szCs w:val="20"/>
        </w:rPr>
        <w:t xml:space="preserve">% au </w:t>
      </w:r>
      <w:r w:rsidR="00DF15DB" w:rsidRPr="00F95E28">
        <w:rPr>
          <w:szCs w:val="20"/>
        </w:rPr>
        <w:t>31 décembre 2019</w:t>
      </w:r>
      <w:r w:rsidRPr="00F95E28">
        <w:rPr>
          <w:szCs w:val="20"/>
        </w:rPr>
        <w:t xml:space="preserve">) le sont </w:t>
      </w:r>
      <w:r w:rsidR="007C78EA" w:rsidRPr="00F95E28">
        <w:rPr>
          <w:szCs w:val="20"/>
        </w:rPr>
        <w:t xml:space="preserve">principalement </w:t>
      </w:r>
      <w:r w:rsidRPr="00F95E28">
        <w:rPr>
          <w:szCs w:val="20"/>
        </w:rPr>
        <w:t>en vente directe.</w:t>
      </w:r>
    </w:p>
    <w:p w14:paraId="4A2CD698" w14:textId="77777777" w:rsidR="00AD25AB" w:rsidRPr="00F95E28" w:rsidRDefault="00AD25AB" w:rsidP="00332D67">
      <w:pPr>
        <w:rPr>
          <w:szCs w:val="20"/>
        </w:rPr>
      </w:pPr>
    </w:p>
    <w:p w14:paraId="6C0E9C12" w14:textId="70B92A94" w:rsidR="00AD25AB" w:rsidRPr="00A529B7" w:rsidRDefault="54FDD3F0" w:rsidP="00AD25AB">
      <w:r w:rsidRPr="00F95E28">
        <w:t xml:space="preserve">A la date du Document d’enregistrement universel, le Groupe compte une </w:t>
      </w:r>
      <w:r w:rsidRPr="00325B85">
        <w:t>trentaine</w:t>
      </w:r>
      <w:r w:rsidRPr="00F95E28">
        <w:t xml:space="preserve"> de collaborateurs, basés au</w:t>
      </w:r>
      <w:r>
        <w:t xml:space="preserve"> siège social à Ecully (région lyonnaise).</w:t>
      </w:r>
    </w:p>
    <w:p w14:paraId="15A4BDB6" w14:textId="77777777" w:rsidR="00AD25AB" w:rsidRPr="00A529B7" w:rsidRDefault="00AD25AB" w:rsidP="00332D67">
      <w:pPr>
        <w:rPr>
          <w:szCs w:val="20"/>
        </w:rPr>
      </w:pPr>
    </w:p>
    <w:p w14:paraId="63E4A235" w14:textId="0BE2E63F" w:rsidR="00332D67" w:rsidRPr="00332D67" w:rsidRDefault="00022584" w:rsidP="00A529B7">
      <w:pPr>
        <w:pStyle w:val="Titre2"/>
      </w:pPr>
      <w:bookmarkStart w:id="115" w:name="_Toc475033183"/>
      <w:r>
        <w:lastRenderedPageBreak/>
        <w:t>5</w:t>
      </w:r>
      <w:r w:rsidR="00332D67">
        <w:t>.</w:t>
      </w:r>
      <w:r w:rsidR="00F41022">
        <w:t>1</w:t>
      </w:r>
      <w:r w:rsidR="00332D67" w:rsidRPr="00A601E8">
        <w:t xml:space="preserve">. </w:t>
      </w:r>
      <w:r w:rsidR="00D1755C">
        <w:t>principales activités</w:t>
      </w:r>
      <w:r w:rsidR="00036E0A">
        <w:t xml:space="preserve"> de Spineway</w:t>
      </w:r>
      <w:bookmarkEnd w:id="115"/>
    </w:p>
    <w:p w14:paraId="26256350" w14:textId="775DB82D" w:rsidR="00332D67" w:rsidRDefault="00022584" w:rsidP="00332D67">
      <w:pPr>
        <w:pStyle w:val="Titre3"/>
      </w:pPr>
      <w:bookmarkStart w:id="116" w:name="_Ref368923045"/>
      <w:bookmarkStart w:id="117" w:name="_Toc475033184"/>
      <w:r>
        <w:t>5</w:t>
      </w:r>
      <w:r w:rsidR="00332D67">
        <w:t>.</w:t>
      </w:r>
      <w:r w:rsidR="00F41022">
        <w:t>1</w:t>
      </w:r>
      <w:r w:rsidR="00332D67">
        <w:t>.</w:t>
      </w:r>
      <w:r w:rsidR="00332D67" w:rsidRPr="00A601E8">
        <w:t xml:space="preserve">1. </w:t>
      </w:r>
      <w:r w:rsidR="00A70D60">
        <w:t>Le cœur de métier de Spineway : la chirurgie de la colonne vertébrale</w:t>
      </w:r>
      <w:bookmarkEnd w:id="116"/>
      <w:bookmarkEnd w:id="117"/>
      <w:r w:rsidR="00A70D60">
        <w:t> </w:t>
      </w:r>
    </w:p>
    <w:p w14:paraId="3E524D32" w14:textId="77777777" w:rsidR="00A70D60" w:rsidRDefault="00A70D60" w:rsidP="00A70D60"/>
    <w:p w14:paraId="3C49CDE5" w14:textId="1DB6EB84" w:rsidR="00A529B7" w:rsidRPr="00D6279E" w:rsidRDefault="00A529B7" w:rsidP="00C622C2">
      <w:pPr>
        <w:pStyle w:val="Paragraphedeliste"/>
        <w:numPr>
          <w:ilvl w:val="0"/>
          <w:numId w:val="34"/>
        </w:numPr>
        <w:rPr>
          <w:b/>
          <w:bCs/>
          <w:iCs/>
          <w:szCs w:val="20"/>
        </w:rPr>
      </w:pPr>
      <w:r w:rsidRPr="00D6279E">
        <w:rPr>
          <w:b/>
          <w:bCs/>
          <w:iCs/>
          <w:szCs w:val="20"/>
        </w:rPr>
        <w:t>Introduction sur la chirurgie orthopédique</w:t>
      </w:r>
      <w:r w:rsidR="00D6279E">
        <w:rPr>
          <w:b/>
          <w:bCs/>
          <w:iCs/>
          <w:szCs w:val="20"/>
        </w:rPr>
        <w:t> :</w:t>
      </w:r>
    </w:p>
    <w:p w14:paraId="766C94AB" w14:textId="77777777" w:rsidR="00A529B7" w:rsidRPr="00A529B7" w:rsidRDefault="00A529B7" w:rsidP="00A529B7">
      <w:pPr>
        <w:rPr>
          <w:szCs w:val="20"/>
        </w:rPr>
      </w:pPr>
    </w:p>
    <w:p w14:paraId="3E905317" w14:textId="5BDFCAC8" w:rsidR="00A529B7" w:rsidRPr="00A529B7" w:rsidRDefault="00A529B7" w:rsidP="00A529B7">
      <w:pPr>
        <w:rPr>
          <w:szCs w:val="20"/>
        </w:rPr>
      </w:pPr>
      <w:r w:rsidRPr="00A529B7">
        <w:rPr>
          <w:szCs w:val="20"/>
        </w:rPr>
        <w:t xml:space="preserve">La chirurgie orthopédique </w:t>
      </w:r>
      <w:r w:rsidR="00005861">
        <w:rPr>
          <w:szCs w:val="20"/>
        </w:rPr>
        <w:t>a recourt à des</w:t>
      </w:r>
      <w:r w:rsidRPr="00A529B7">
        <w:rPr>
          <w:szCs w:val="20"/>
        </w:rPr>
        <w:t xml:space="preserve"> produits nécessaires au traitement chirurgical des maladies osseuses</w:t>
      </w:r>
      <w:r w:rsidR="00120CBA">
        <w:rPr>
          <w:szCs w:val="20"/>
        </w:rPr>
        <w:t>. Ces produits sont</w:t>
      </w:r>
      <w:r w:rsidRPr="00A529B7">
        <w:rPr>
          <w:szCs w:val="20"/>
        </w:rPr>
        <w:t xml:space="preserve"> :</w:t>
      </w:r>
    </w:p>
    <w:p w14:paraId="41D073A5" w14:textId="70551454" w:rsidR="00A529B7" w:rsidRPr="00A529B7" w:rsidRDefault="00A529B7" w:rsidP="00C622C2">
      <w:pPr>
        <w:numPr>
          <w:ilvl w:val="0"/>
          <w:numId w:val="16"/>
        </w:numPr>
        <w:tabs>
          <w:tab w:val="clear" w:pos="1440"/>
          <w:tab w:val="num" w:pos="360"/>
        </w:tabs>
        <w:ind w:left="360"/>
        <w:rPr>
          <w:szCs w:val="20"/>
        </w:rPr>
      </w:pPr>
      <w:r w:rsidRPr="00A529B7">
        <w:rPr>
          <w:szCs w:val="20"/>
        </w:rPr>
        <w:t>le matériel d’équipement des blocs opératoires</w:t>
      </w:r>
      <w:r w:rsidR="00005861">
        <w:rPr>
          <w:szCs w:val="20"/>
        </w:rPr>
        <w:t xml:space="preserve"> et</w:t>
      </w:r>
      <w:r w:rsidR="00005861" w:rsidRPr="00A529B7">
        <w:rPr>
          <w:szCs w:val="20"/>
        </w:rPr>
        <w:t xml:space="preserve"> </w:t>
      </w:r>
      <w:r w:rsidRPr="00A529B7">
        <w:rPr>
          <w:szCs w:val="20"/>
        </w:rPr>
        <w:t>le matériel spécifique pour pratiquer la chirurgie orthopédiqu</w:t>
      </w:r>
      <w:r w:rsidR="000A1C6C">
        <w:rPr>
          <w:szCs w:val="20"/>
        </w:rPr>
        <w:t>e</w:t>
      </w:r>
      <w:r w:rsidR="00005861">
        <w:rPr>
          <w:szCs w:val="20"/>
        </w:rPr>
        <w:t xml:space="preserve"> </w:t>
      </w:r>
      <w:r w:rsidRPr="00A529B7">
        <w:rPr>
          <w:szCs w:val="20"/>
        </w:rPr>
        <w:t>;</w:t>
      </w:r>
    </w:p>
    <w:p w14:paraId="74F1560F" w14:textId="77777777" w:rsidR="00A529B7" w:rsidRPr="00A529B7" w:rsidRDefault="00A529B7" w:rsidP="00C622C2">
      <w:pPr>
        <w:numPr>
          <w:ilvl w:val="0"/>
          <w:numId w:val="16"/>
        </w:numPr>
        <w:tabs>
          <w:tab w:val="clear" w:pos="1440"/>
          <w:tab w:val="num" w:pos="360"/>
        </w:tabs>
        <w:ind w:left="360"/>
        <w:rPr>
          <w:szCs w:val="20"/>
        </w:rPr>
      </w:pPr>
      <w:r w:rsidRPr="00A529B7">
        <w:rPr>
          <w:szCs w:val="20"/>
        </w:rPr>
        <w:t>le matériel consommable spécifique pour la fixation et la réparation des os présentant des pathologies :</w:t>
      </w:r>
    </w:p>
    <w:p w14:paraId="697F6479" w14:textId="616F8EC1" w:rsidR="00A529B7" w:rsidRPr="00A529B7" w:rsidRDefault="00A529B7" w:rsidP="00C622C2">
      <w:pPr>
        <w:numPr>
          <w:ilvl w:val="1"/>
          <w:numId w:val="16"/>
        </w:numPr>
        <w:rPr>
          <w:szCs w:val="20"/>
        </w:rPr>
      </w:pPr>
      <w:r w:rsidRPr="00A529B7">
        <w:rPr>
          <w:szCs w:val="20"/>
        </w:rPr>
        <w:t>aigues</w:t>
      </w:r>
      <w:r w:rsidR="00BE14A6">
        <w:rPr>
          <w:szCs w:val="20"/>
        </w:rPr>
        <w:t> :</w:t>
      </w:r>
      <w:r w:rsidRPr="00A529B7">
        <w:rPr>
          <w:szCs w:val="20"/>
        </w:rPr>
        <w:t xml:space="preserve"> les accidents/fractures ;</w:t>
      </w:r>
    </w:p>
    <w:p w14:paraId="573E6CDE" w14:textId="0AA36A34" w:rsidR="00A529B7" w:rsidRPr="00A529B7" w:rsidRDefault="54FDD3F0" w:rsidP="00C622C2">
      <w:pPr>
        <w:numPr>
          <w:ilvl w:val="1"/>
          <w:numId w:val="16"/>
        </w:numPr>
      </w:pPr>
      <w:r>
        <w:t>chroniques : dégénératifs (arthrose), congénitaux (scolioses), tumoraux (cancers) ou infectieux (infections à germes comme la tuberculose).</w:t>
      </w:r>
    </w:p>
    <w:p w14:paraId="10E3649B" w14:textId="77777777" w:rsidR="00A529B7" w:rsidRPr="00A529B7" w:rsidRDefault="00A529B7" w:rsidP="00A529B7">
      <w:pPr>
        <w:rPr>
          <w:szCs w:val="20"/>
        </w:rPr>
      </w:pPr>
    </w:p>
    <w:p w14:paraId="7E974D9F" w14:textId="18C65AC5" w:rsidR="00A529B7" w:rsidRPr="00A529B7" w:rsidRDefault="00A529B7" w:rsidP="00A529B7">
      <w:pPr>
        <w:rPr>
          <w:szCs w:val="20"/>
        </w:rPr>
      </w:pPr>
      <w:r w:rsidRPr="00A529B7">
        <w:rPr>
          <w:szCs w:val="20"/>
        </w:rPr>
        <w:t xml:space="preserve">Il existe schématiquement trois grands secteurs d’activités au sein de l’orthopédie chirurgicale, chacun </w:t>
      </w:r>
      <w:r w:rsidR="00D6279E">
        <w:rPr>
          <w:szCs w:val="20"/>
        </w:rPr>
        <w:t>étant suffisamment</w:t>
      </w:r>
      <w:r w:rsidR="00A444F4">
        <w:rPr>
          <w:szCs w:val="20"/>
        </w:rPr>
        <w:t xml:space="preserve"> complexe pour requérir une sur</w:t>
      </w:r>
      <w:r w:rsidR="00220302">
        <w:rPr>
          <w:szCs w:val="20"/>
        </w:rPr>
        <w:t>-</w:t>
      </w:r>
      <w:r w:rsidRPr="00A529B7">
        <w:rPr>
          <w:szCs w:val="20"/>
        </w:rPr>
        <w:t>spécialisation de la part des intervenants :</w:t>
      </w:r>
    </w:p>
    <w:p w14:paraId="0D89B943" w14:textId="77777777" w:rsidR="00A529B7" w:rsidRPr="00A529B7" w:rsidRDefault="00A529B7" w:rsidP="00C622C2">
      <w:pPr>
        <w:numPr>
          <w:ilvl w:val="2"/>
          <w:numId w:val="16"/>
        </w:numPr>
        <w:tabs>
          <w:tab w:val="clear" w:pos="2160"/>
          <w:tab w:val="num" w:pos="360"/>
        </w:tabs>
        <w:ind w:left="360"/>
        <w:rPr>
          <w:szCs w:val="20"/>
        </w:rPr>
      </w:pPr>
      <w:r w:rsidRPr="00A529B7">
        <w:rPr>
          <w:szCs w:val="20"/>
        </w:rPr>
        <w:t>la traumatologie : fractures des os ;</w:t>
      </w:r>
    </w:p>
    <w:p w14:paraId="7794F369" w14:textId="0FC47E6C" w:rsidR="00A529B7" w:rsidRPr="00A529B7" w:rsidRDefault="54FDD3F0" w:rsidP="00C622C2">
      <w:pPr>
        <w:numPr>
          <w:ilvl w:val="2"/>
          <w:numId w:val="16"/>
        </w:numPr>
        <w:tabs>
          <w:tab w:val="clear" w:pos="2160"/>
          <w:tab w:val="num" w:pos="360"/>
        </w:tabs>
        <w:ind w:left="360"/>
      </w:pPr>
      <w:r>
        <w:t>la chirurgie orthopédique de pathologies chroniques des articulations</w:t>
      </w:r>
      <w:r w:rsidR="00BE14A6">
        <w:t xml:space="preserve"> : </w:t>
      </w:r>
      <w:r>
        <w:t>marché des prothèses nécessaires au remplacement des articulations (hanche, genou, épaule…) ;</w:t>
      </w:r>
    </w:p>
    <w:p w14:paraId="284B0C91" w14:textId="0AF9D8EC" w:rsidR="00A529B7" w:rsidRPr="00A529B7" w:rsidRDefault="188C713A" w:rsidP="00C622C2">
      <w:pPr>
        <w:numPr>
          <w:ilvl w:val="2"/>
          <w:numId w:val="16"/>
        </w:numPr>
        <w:tabs>
          <w:tab w:val="clear" w:pos="2160"/>
          <w:tab w:val="num" w:pos="360"/>
        </w:tabs>
        <w:ind w:left="360"/>
      </w:pPr>
      <w:r>
        <w:t>la chirurgie de la colonne vertébrale</w:t>
      </w:r>
      <w:r w:rsidR="00BE14A6">
        <w:t xml:space="preserve"> : </w:t>
      </w:r>
      <w:r>
        <w:t>le secteur « cible » de Spineway, qui inclut à son tour de nombreuses pathologies de nature orthopédique, neurochirurgicale, ayant pour origine des malformations (pédiatrie), des traumatismes, des maladies dégénératives (</w:t>
      </w:r>
      <w:r w:rsidR="00005861">
        <w:t>lesquelles sont à l’origine</w:t>
      </w:r>
      <w:r>
        <w:t xml:space="preserve"> de plus de 60 % de l’utilisation des implants), et, dans une moindre mesure, tumorale ou infectieuse.</w:t>
      </w:r>
    </w:p>
    <w:p w14:paraId="622DCF3F" w14:textId="77777777" w:rsidR="00A529B7" w:rsidRPr="00A529B7" w:rsidRDefault="00A529B7" w:rsidP="00A529B7">
      <w:pPr>
        <w:rPr>
          <w:szCs w:val="20"/>
        </w:rPr>
      </w:pPr>
    </w:p>
    <w:p w14:paraId="31584696" w14:textId="74880643" w:rsidR="00D6279E" w:rsidRDefault="54FDD3F0" w:rsidP="00A529B7">
      <w:r>
        <w:t xml:space="preserve">Si </w:t>
      </w:r>
      <w:r w:rsidR="00005861">
        <w:t xml:space="preserve">les </w:t>
      </w:r>
      <w:r>
        <w:t>chirurgie</w:t>
      </w:r>
      <w:r w:rsidR="00005861">
        <w:t>s</w:t>
      </w:r>
      <w:r>
        <w:t xml:space="preserve"> traumatologique</w:t>
      </w:r>
      <w:r w:rsidR="00696043">
        <w:t>s</w:t>
      </w:r>
      <w:r w:rsidR="00005861">
        <w:t xml:space="preserve"> et </w:t>
      </w:r>
      <w:r>
        <w:t>articulaire (notamment hanche et genou) sont réglées et stabilisées depuis 10 à 20 ans et offrent de très bons résultats (</w:t>
      </w:r>
      <w:r w:rsidR="00696043">
        <w:t xml:space="preserve">taux </w:t>
      </w:r>
      <w:r>
        <w:t xml:space="preserve">supérieurs à 95% de satisfaction et survie supérieure à 10 ans pour la hanche), ce n’est pas le cas pour la chirurgie du rachis. Cette chirurgie est encore, aujourd’hui, en cours d’évolution, avec des attentes fortes de la communauté chirurgicale. </w:t>
      </w:r>
    </w:p>
    <w:p w14:paraId="6B83F7E8" w14:textId="34762928" w:rsidR="00D6279E" w:rsidRDefault="54FDD3F0" w:rsidP="00A529B7">
      <w:r>
        <w:t xml:space="preserve">Ces attentes sont une source de motivation pour les acteurs du marché mais constituent également une contrainte dans la mesure où </w:t>
      </w:r>
      <w:r w:rsidR="006056EC">
        <w:t>elles</w:t>
      </w:r>
      <w:r>
        <w:t xml:space="preserve"> nécessitent écoute et adaptation permanente à leurs besoins. </w:t>
      </w:r>
    </w:p>
    <w:p w14:paraId="1274830C" w14:textId="21EB943F" w:rsidR="00A529B7" w:rsidRPr="00A529B7" w:rsidRDefault="00005861" w:rsidP="00A529B7">
      <w:r>
        <w:t>L</w:t>
      </w:r>
      <w:r w:rsidR="54FDD3F0">
        <w:t xml:space="preserve">’important potentiel qui réside dans les nouvelles solutions thérapeutiques (implants et instruments) </w:t>
      </w:r>
      <w:r>
        <w:t>pouvant</w:t>
      </w:r>
      <w:r w:rsidR="54FDD3F0">
        <w:t xml:space="preserve"> encore être développées à l’avenir </w:t>
      </w:r>
      <w:r>
        <w:t>est une opportunité pour Spineway. L’enjeu est de</w:t>
      </w:r>
      <w:r w:rsidR="54FDD3F0">
        <w:t xml:space="preserve"> traduire en </w:t>
      </w:r>
      <w:r w:rsidR="00696043">
        <w:t xml:space="preserve">des </w:t>
      </w:r>
      <w:r w:rsidR="54FDD3F0">
        <w:t>produits l’expression des besoins opératoires.</w:t>
      </w:r>
      <w:r w:rsidR="00F95E28">
        <w:t xml:space="preserve"> </w:t>
      </w:r>
      <w:r>
        <w:t xml:space="preserve">Dans ce contexte, les </w:t>
      </w:r>
      <w:r w:rsidR="54FDD3F0">
        <w:t>atouts de Spineway sont son expertise interne en R&amp;D, son relationnel auprès de leaders d’opinion au plan international, et sa capacité à répondre à des besoins très variés, comme en témoigne sa large gamme de produits.</w:t>
      </w:r>
    </w:p>
    <w:p w14:paraId="1AD43110" w14:textId="0A5B185D" w:rsidR="00A529B7" w:rsidRPr="00A529B7" w:rsidRDefault="00A529B7" w:rsidP="00A529B7">
      <w:pPr>
        <w:rPr>
          <w:szCs w:val="20"/>
        </w:rPr>
      </w:pPr>
    </w:p>
    <w:p w14:paraId="596AF426" w14:textId="65A2EC1B" w:rsidR="00A529B7" w:rsidRPr="00A529B7" w:rsidRDefault="54FDD3F0" w:rsidP="00A529B7">
      <w:r>
        <w:t>La chirurgie du rachis poursuit son évolution et n’est pas encore stabilisée dans tous ses aspects. Si quelques pathologies du rachis sont plutôt bien traitées depuis 10-15 ans, d’autres pathologies sont encore traitées de façon jugée insuffisamment satisfaisante. Il s’agit notamment des problèmes dégénératifs lombaires des sujets âgés de plus de 60 ans</w:t>
      </w:r>
      <w:r w:rsidR="00522552">
        <w:t xml:space="preserve"> et </w:t>
      </w:r>
      <w:r>
        <w:t>des pathologies touchant les jeunes enfants, notamment pour les affections de type scoliotique.</w:t>
      </w:r>
    </w:p>
    <w:p w14:paraId="77253EA0" w14:textId="77777777" w:rsidR="00A529B7" w:rsidRDefault="00A529B7" w:rsidP="00A529B7">
      <w:pPr>
        <w:rPr>
          <w:szCs w:val="20"/>
        </w:rPr>
      </w:pPr>
    </w:p>
    <w:p w14:paraId="28FDB53F" w14:textId="0BA45656" w:rsidR="00AE609D" w:rsidRPr="00AE609D" w:rsidRDefault="00AE609D" w:rsidP="00C622C2">
      <w:pPr>
        <w:pStyle w:val="Paragraphedeliste"/>
        <w:numPr>
          <w:ilvl w:val="0"/>
          <w:numId w:val="34"/>
        </w:numPr>
        <w:rPr>
          <w:b/>
          <w:bCs/>
          <w:iCs/>
          <w:szCs w:val="20"/>
        </w:rPr>
      </w:pPr>
      <w:r>
        <w:rPr>
          <w:b/>
          <w:bCs/>
          <w:iCs/>
          <w:szCs w:val="20"/>
        </w:rPr>
        <w:t>Histoire de la chirurgie rachidienne</w:t>
      </w:r>
    </w:p>
    <w:p w14:paraId="281F0489" w14:textId="77777777" w:rsidR="00AE609D" w:rsidRPr="00A529B7" w:rsidRDefault="00AE609D" w:rsidP="00A529B7">
      <w:pPr>
        <w:rPr>
          <w:szCs w:val="20"/>
        </w:rPr>
      </w:pPr>
    </w:p>
    <w:p w14:paraId="6AE084BF" w14:textId="053141A1" w:rsidR="00A529B7" w:rsidRPr="00A529B7" w:rsidRDefault="00D6279E" w:rsidP="00A529B7">
      <w:pPr>
        <w:rPr>
          <w:szCs w:val="20"/>
        </w:rPr>
      </w:pPr>
      <w:r>
        <w:rPr>
          <w:szCs w:val="20"/>
        </w:rPr>
        <w:t>C</w:t>
      </w:r>
      <w:r w:rsidR="00A529B7" w:rsidRPr="00A529B7">
        <w:rPr>
          <w:szCs w:val="20"/>
        </w:rPr>
        <w:t>’est en 1960 que se produit le premier grand événement de la chirurgie rachidienne, avec la publication</w:t>
      </w:r>
      <w:r>
        <w:rPr>
          <w:szCs w:val="20"/>
        </w:rPr>
        <w:t>,</w:t>
      </w:r>
      <w:r w:rsidR="00A529B7" w:rsidRPr="00A529B7">
        <w:rPr>
          <w:szCs w:val="20"/>
        </w:rPr>
        <w:t xml:space="preserve"> par Harrington</w:t>
      </w:r>
      <w:r>
        <w:rPr>
          <w:szCs w:val="20"/>
        </w:rPr>
        <w:t>,</w:t>
      </w:r>
      <w:r w:rsidR="00A529B7" w:rsidRPr="00A529B7">
        <w:rPr>
          <w:szCs w:val="20"/>
        </w:rPr>
        <w:t xml:space="preserve"> de ses dix-neuf premiers cas de scolioses opérés par une instrumentation qui effectue une traction dans la concavité de la déformation. Il s’agit d’une fixation par crochets aux extrémités d’une barre crantée, qui réduit la déformation et augmente les taux de fusion tout en limitant la durée du plâtre et de l’alitement post-opératoire.</w:t>
      </w:r>
    </w:p>
    <w:p w14:paraId="425180B5" w14:textId="77777777" w:rsidR="00A529B7" w:rsidRPr="00A529B7" w:rsidRDefault="00A529B7" w:rsidP="00A529B7">
      <w:pPr>
        <w:rPr>
          <w:szCs w:val="20"/>
        </w:rPr>
      </w:pPr>
      <w:r w:rsidRPr="00A529B7">
        <w:rPr>
          <w:szCs w:val="20"/>
        </w:rPr>
        <w:t>En 1961, le français R. Roy-Camille décrit le premier le vissage pédiculaire, c’est-à-dire la fixation par l’arrière de la vertèbre au moyen d’un implant métallique vissé d’arrière en avant dans toute la vertèbre. Cela apporte enfin une possibilité de prise segmentaire vertébrale stable, sans ouverture du canal médullaire et sans crochet instable.</w:t>
      </w:r>
    </w:p>
    <w:p w14:paraId="4BC37A31" w14:textId="3A90E940" w:rsidR="00A529B7" w:rsidRPr="00A529B7" w:rsidRDefault="00A529B7" w:rsidP="00A529B7">
      <w:pPr>
        <w:rPr>
          <w:szCs w:val="20"/>
        </w:rPr>
      </w:pPr>
      <w:r w:rsidRPr="00A529B7">
        <w:rPr>
          <w:szCs w:val="20"/>
        </w:rPr>
        <w:t>De 1973 au début des années 1980</w:t>
      </w:r>
      <w:r w:rsidR="00AE609D">
        <w:rPr>
          <w:szCs w:val="20"/>
        </w:rPr>
        <w:t>,</w:t>
      </w:r>
      <w:r w:rsidRPr="00A529B7">
        <w:rPr>
          <w:szCs w:val="20"/>
        </w:rPr>
        <w:t xml:space="preserve"> les dispositifs et techniques évoluent de manière constante mais sans innovation majeure.</w:t>
      </w:r>
    </w:p>
    <w:p w14:paraId="25338CDC" w14:textId="6A128B08" w:rsidR="00A529B7" w:rsidRPr="00A529B7" w:rsidRDefault="00A529B7" w:rsidP="00A529B7">
      <w:pPr>
        <w:rPr>
          <w:szCs w:val="20"/>
        </w:rPr>
      </w:pPr>
      <w:r w:rsidRPr="00A529B7">
        <w:rPr>
          <w:szCs w:val="20"/>
        </w:rPr>
        <w:t xml:space="preserve">En 1983 se produit alors une innovation majeure : la présentation de la technique dite de </w:t>
      </w:r>
      <w:r w:rsidR="00AE609D">
        <w:rPr>
          <w:szCs w:val="20"/>
        </w:rPr>
        <w:t>« </w:t>
      </w:r>
      <w:r w:rsidRPr="00A529B7">
        <w:rPr>
          <w:szCs w:val="20"/>
        </w:rPr>
        <w:t>Cotrel et Dubousset</w:t>
      </w:r>
      <w:r w:rsidR="00AE609D">
        <w:rPr>
          <w:szCs w:val="20"/>
        </w:rPr>
        <w:t> »</w:t>
      </w:r>
      <w:r w:rsidRPr="00A529B7">
        <w:rPr>
          <w:szCs w:val="20"/>
        </w:rPr>
        <w:t xml:space="preserve">. Ces deux chirurgiens français, en collaboration avec la société française Sofamor, mettent au point </w:t>
      </w:r>
      <w:r w:rsidRPr="00A529B7">
        <w:rPr>
          <w:szCs w:val="20"/>
        </w:rPr>
        <w:lastRenderedPageBreak/>
        <w:t xml:space="preserve">une nouvelle instrumentation vertébrale postérieure dite segmentaire et universelle. Tous les systèmes actuels s’inspirent d’une manière ou d’une autre de ces principes. C’est en prenant en compte </w:t>
      </w:r>
      <w:r w:rsidR="00696043">
        <w:rPr>
          <w:szCs w:val="20"/>
        </w:rPr>
        <w:t xml:space="preserve">de </w:t>
      </w:r>
      <w:r w:rsidRPr="00A529B7">
        <w:rPr>
          <w:szCs w:val="20"/>
        </w:rPr>
        <w:t xml:space="preserve">l’aspect tridimensionnel de la déformation, de l’existence de zones stratégiques à instrumenter et en utilisant le </w:t>
      </w:r>
      <w:r w:rsidRPr="00082731">
        <w:rPr>
          <w:szCs w:val="20"/>
        </w:rPr>
        <w:t xml:space="preserve">principe de la dérotation </w:t>
      </w:r>
      <w:r w:rsidR="00AE609D" w:rsidRPr="00082731">
        <w:rPr>
          <w:szCs w:val="20"/>
        </w:rPr>
        <w:t>(</w:t>
      </w:r>
      <w:r w:rsidRPr="00082731">
        <w:rPr>
          <w:szCs w:val="20"/>
        </w:rPr>
        <w:t xml:space="preserve">permise par les deux tiges liées au rachis par des implants </w:t>
      </w:r>
      <w:r w:rsidRPr="002E381F">
        <w:rPr>
          <w:szCs w:val="20"/>
        </w:rPr>
        <w:t>vissés pédiculaires</w:t>
      </w:r>
      <w:r w:rsidRPr="00082731">
        <w:rPr>
          <w:szCs w:val="20"/>
        </w:rPr>
        <w:t xml:space="preserve"> ou des crochets spécifiques</w:t>
      </w:r>
      <w:r w:rsidR="00AE609D" w:rsidRPr="00082731">
        <w:rPr>
          <w:szCs w:val="20"/>
        </w:rPr>
        <w:t>)</w:t>
      </w:r>
      <w:r w:rsidRPr="00082731">
        <w:rPr>
          <w:szCs w:val="20"/>
        </w:rPr>
        <w:t xml:space="preserve"> que cette</w:t>
      </w:r>
      <w:r w:rsidRPr="00A529B7">
        <w:rPr>
          <w:szCs w:val="20"/>
        </w:rPr>
        <w:t xml:space="preserve"> technique se distingue.</w:t>
      </w:r>
    </w:p>
    <w:p w14:paraId="45AF8C58" w14:textId="77777777" w:rsidR="00A529B7" w:rsidRPr="00A529B7" w:rsidRDefault="00A529B7" w:rsidP="00A529B7">
      <w:pPr>
        <w:rPr>
          <w:szCs w:val="20"/>
        </w:rPr>
      </w:pPr>
      <w:r w:rsidRPr="00A529B7">
        <w:rPr>
          <w:szCs w:val="20"/>
        </w:rPr>
        <w:t>Depuis lors, les principales innovations de la chirurgie rachidienne tiennent essentiellement aux progrès réalisés pour faciliter la connexion entre la vis pédiculaire et la tige de liaison entre les ancrages.</w:t>
      </w:r>
    </w:p>
    <w:p w14:paraId="0D0CCEE8" w14:textId="77777777" w:rsidR="00A529B7" w:rsidRPr="00A529B7" w:rsidRDefault="00A529B7" w:rsidP="00A529B7">
      <w:pPr>
        <w:rPr>
          <w:szCs w:val="20"/>
        </w:rPr>
      </w:pPr>
    </w:p>
    <w:p w14:paraId="4EF9EC12" w14:textId="77777777" w:rsidR="00A529B7" w:rsidRPr="00D6279E" w:rsidRDefault="00A529B7" w:rsidP="00C622C2">
      <w:pPr>
        <w:pStyle w:val="Paragraphedeliste"/>
        <w:numPr>
          <w:ilvl w:val="0"/>
          <w:numId w:val="34"/>
        </w:numPr>
        <w:rPr>
          <w:b/>
          <w:bCs/>
          <w:iCs/>
          <w:szCs w:val="20"/>
        </w:rPr>
      </w:pPr>
      <w:r w:rsidRPr="00D6279E">
        <w:rPr>
          <w:b/>
          <w:bCs/>
          <w:iCs/>
          <w:szCs w:val="20"/>
        </w:rPr>
        <w:t>Anatomie de la colonne vertébrale</w:t>
      </w:r>
    </w:p>
    <w:p w14:paraId="64E24800" w14:textId="77777777" w:rsidR="00A529B7" w:rsidRPr="00A529B7" w:rsidRDefault="00A529B7" w:rsidP="00A529B7">
      <w:pPr>
        <w:rPr>
          <w:szCs w:val="20"/>
        </w:rPr>
      </w:pPr>
    </w:p>
    <w:tbl>
      <w:tblPr>
        <w:tblW w:w="9208" w:type="dxa"/>
        <w:tblLayout w:type="fixed"/>
        <w:tblLook w:val="01E0" w:firstRow="1" w:lastRow="1" w:firstColumn="1" w:lastColumn="1" w:noHBand="0" w:noVBand="0"/>
      </w:tblPr>
      <w:tblGrid>
        <w:gridCol w:w="3808"/>
        <w:gridCol w:w="5400"/>
      </w:tblGrid>
      <w:tr w:rsidR="00A529B7" w:rsidRPr="00A529B7" w14:paraId="3C54A471" w14:textId="77777777" w:rsidTr="01257A3D">
        <w:tc>
          <w:tcPr>
            <w:tcW w:w="3808" w:type="dxa"/>
            <w:shd w:val="clear" w:color="auto" w:fill="auto"/>
          </w:tcPr>
          <w:p w14:paraId="57F1238E" w14:textId="77777777" w:rsidR="00A529B7" w:rsidRPr="00A529B7" w:rsidRDefault="00A529B7" w:rsidP="00AD71B5">
            <w:pPr>
              <w:rPr>
                <w:szCs w:val="20"/>
              </w:rPr>
            </w:pPr>
            <w:r w:rsidRPr="00A529B7">
              <w:rPr>
                <w:szCs w:val="20"/>
              </w:rPr>
              <w:t>La colonne vertébrale se compose de 24 vertèbres qui forment une colonne protégeant la moelle épinière. Elle se décompose en :</w:t>
            </w:r>
          </w:p>
          <w:p w14:paraId="58EDEC94" w14:textId="3648C2FE" w:rsidR="00A529B7" w:rsidRPr="00A529B7" w:rsidRDefault="00696043" w:rsidP="00C622C2">
            <w:pPr>
              <w:numPr>
                <w:ilvl w:val="0"/>
                <w:numId w:val="18"/>
              </w:numPr>
              <w:tabs>
                <w:tab w:val="clear" w:pos="1440"/>
                <w:tab w:val="num" w:pos="360"/>
              </w:tabs>
              <w:ind w:left="360"/>
              <w:rPr>
                <w:szCs w:val="20"/>
              </w:rPr>
            </w:pPr>
            <w:r>
              <w:rPr>
                <w:szCs w:val="20"/>
              </w:rPr>
              <w:t>s</w:t>
            </w:r>
            <w:r w:rsidRPr="00A529B7">
              <w:rPr>
                <w:szCs w:val="20"/>
              </w:rPr>
              <w:t xml:space="preserve">ept </w:t>
            </w:r>
            <w:r w:rsidR="00A529B7" w:rsidRPr="00A529B7">
              <w:rPr>
                <w:szCs w:val="20"/>
              </w:rPr>
              <w:t>vertèbres au niveau du cou (cervicales)</w:t>
            </w:r>
          </w:p>
          <w:p w14:paraId="3A99DC7B" w14:textId="206D556E" w:rsidR="00A529B7" w:rsidRPr="00A529B7" w:rsidRDefault="00696043" w:rsidP="00C622C2">
            <w:pPr>
              <w:numPr>
                <w:ilvl w:val="0"/>
                <w:numId w:val="18"/>
              </w:numPr>
              <w:tabs>
                <w:tab w:val="clear" w:pos="1440"/>
                <w:tab w:val="num" w:pos="360"/>
              </w:tabs>
              <w:ind w:left="360"/>
              <w:rPr>
                <w:szCs w:val="20"/>
              </w:rPr>
            </w:pPr>
            <w:r>
              <w:rPr>
                <w:szCs w:val="20"/>
              </w:rPr>
              <w:t>d</w:t>
            </w:r>
            <w:r w:rsidRPr="00A529B7">
              <w:rPr>
                <w:szCs w:val="20"/>
              </w:rPr>
              <w:t xml:space="preserve">ouze </w:t>
            </w:r>
            <w:r w:rsidR="00A529B7" w:rsidRPr="00A529B7">
              <w:rPr>
                <w:szCs w:val="20"/>
              </w:rPr>
              <w:t>au niveau du haut du dos (thoraciques)</w:t>
            </w:r>
          </w:p>
          <w:p w14:paraId="3BAC380B" w14:textId="1D73178F" w:rsidR="00A529B7" w:rsidRPr="00A529B7" w:rsidRDefault="00696043" w:rsidP="00C622C2">
            <w:pPr>
              <w:numPr>
                <w:ilvl w:val="0"/>
                <w:numId w:val="18"/>
              </w:numPr>
              <w:tabs>
                <w:tab w:val="clear" w:pos="1440"/>
                <w:tab w:val="num" w:pos="360"/>
              </w:tabs>
              <w:ind w:left="360"/>
              <w:rPr>
                <w:szCs w:val="20"/>
              </w:rPr>
            </w:pPr>
            <w:r>
              <w:rPr>
                <w:szCs w:val="20"/>
              </w:rPr>
              <w:t>c</w:t>
            </w:r>
            <w:r w:rsidRPr="00A529B7">
              <w:rPr>
                <w:szCs w:val="20"/>
              </w:rPr>
              <w:t xml:space="preserve">inq </w:t>
            </w:r>
            <w:r w:rsidR="00A529B7" w:rsidRPr="00A529B7">
              <w:rPr>
                <w:szCs w:val="20"/>
              </w:rPr>
              <w:t xml:space="preserve">au niveau du bas du dos (lombaires) </w:t>
            </w:r>
          </w:p>
          <w:p w14:paraId="3F6A4A89" w14:textId="77777777" w:rsidR="00AE609D" w:rsidRDefault="00AE609D" w:rsidP="00AD71B5">
            <w:pPr>
              <w:rPr>
                <w:szCs w:val="20"/>
              </w:rPr>
            </w:pPr>
          </w:p>
          <w:p w14:paraId="58EEE446" w14:textId="639E0AE5" w:rsidR="00A529B7" w:rsidRPr="00A529B7" w:rsidRDefault="00A529B7" w:rsidP="00AD71B5">
            <w:pPr>
              <w:rPr>
                <w:szCs w:val="20"/>
              </w:rPr>
            </w:pPr>
            <w:r w:rsidRPr="00082731">
              <w:rPr>
                <w:szCs w:val="20"/>
              </w:rPr>
              <w:t>Cinq vertèbres (sacrées)</w:t>
            </w:r>
            <w:r w:rsidR="00AE609D" w:rsidRPr="00082731">
              <w:rPr>
                <w:szCs w:val="20"/>
              </w:rPr>
              <w:t xml:space="preserve"> </w:t>
            </w:r>
            <w:r w:rsidRPr="00082731">
              <w:rPr>
                <w:szCs w:val="20"/>
              </w:rPr>
              <w:t>fusionnées à la base de la colonne vertébrale font suite au rachis lombal et précèdent le rachis coccygien (pièces</w:t>
            </w:r>
            <w:r w:rsidRPr="00A529B7">
              <w:rPr>
                <w:szCs w:val="20"/>
              </w:rPr>
              <w:t xml:space="preserve"> fusionnées et atrophiées).</w:t>
            </w:r>
          </w:p>
          <w:p w14:paraId="40470F5D" w14:textId="77777777" w:rsidR="00AE609D" w:rsidRDefault="00A529B7" w:rsidP="00AD71B5">
            <w:pPr>
              <w:rPr>
                <w:szCs w:val="20"/>
              </w:rPr>
            </w:pPr>
            <w:r w:rsidRPr="00A529B7">
              <w:rPr>
                <w:szCs w:val="20"/>
              </w:rPr>
              <w:t>La colonne vertébrale est courbée dans le plan sa</w:t>
            </w:r>
            <w:r w:rsidR="00AE609D">
              <w:rPr>
                <w:szCs w:val="20"/>
              </w:rPr>
              <w:t>gittal médian, selon un axe antéro-posté</w:t>
            </w:r>
            <w:r w:rsidRPr="00A529B7">
              <w:rPr>
                <w:szCs w:val="20"/>
              </w:rPr>
              <w:t xml:space="preserve">rieur. </w:t>
            </w:r>
          </w:p>
          <w:p w14:paraId="5FB828F2" w14:textId="012547F1" w:rsidR="00A529B7" w:rsidRPr="00A529B7" w:rsidRDefault="00A529B7" w:rsidP="00AD71B5">
            <w:pPr>
              <w:rPr>
                <w:szCs w:val="20"/>
              </w:rPr>
            </w:pPr>
            <w:r w:rsidRPr="00A529B7">
              <w:rPr>
                <w:szCs w:val="20"/>
              </w:rPr>
              <w:t>Elle présente deux courbures primaires (concaves en avant), aussi appelées cyphoses, au niveau des rachis thoracique et sacré, ainsi que deux courbes secondaires (concaves en arrière) appelées lordoses au niveau des rachis cervical et lombaire.</w:t>
            </w:r>
          </w:p>
        </w:tc>
        <w:tc>
          <w:tcPr>
            <w:tcW w:w="5400" w:type="dxa"/>
            <w:shd w:val="clear" w:color="auto" w:fill="auto"/>
          </w:tcPr>
          <w:p w14:paraId="3707ABC0" w14:textId="4A1F7392" w:rsidR="00A529B7" w:rsidRPr="00A529B7" w:rsidRDefault="00A529B7" w:rsidP="00AD71B5">
            <w:pPr>
              <w:rPr>
                <w:szCs w:val="20"/>
              </w:rPr>
            </w:pPr>
            <w:r>
              <w:rPr>
                <w:noProof/>
              </w:rPr>
              <w:drawing>
                <wp:inline distT="0" distB="0" distL="0" distR="0" wp14:anchorId="48994DC8" wp14:editId="529A892F">
                  <wp:extent cx="3434080" cy="3860800"/>
                  <wp:effectExtent l="0" t="0" r="0" b="0"/>
                  <wp:docPr id="19" name="Image 3" descr="colonn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pic:cNvPicPr/>
                        </pic:nvPicPr>
                        <pic:blipFill>
                          <a:blip r:embed="rId28">
                            <a:extLst>
                              <a:ext uri="{28A0092B-C50C-407E-A947-70E740481C1C}">
                                <a14:useLocalDpi xmlns:a14="http://schemas.microsoft.com/office/drawing/2010/main" val="0"/>
                              </a:ext>
                            </a:extLst>
                          </a:blip>
                          <a:stretch>
                            <a:fillRect/>
                          </a:stretch>
                        </pic:blipFill>
                        <pic:spPr>
                          <a:xfrm>
                            <a:off x="0" y="0"/>
                            <a:ext cx="3434080" cy="3860800"/>
                          </a:xfrm>
                          <a:prstGeom prst="rect">
                            <a:avLst/>
                          </a:prstGeom>
                        </pic:spPr>
                      </pic:pic>
                    </a:graphicData>
                  </a:graphic>
                </wp:inline>
              </w:drawing>
            </w:r>
          </w:p>
        </w:tc>
      </w:tr>
    </w:tbl>
    <w:p w14:paraId="163545AA" w14:textId="77777777" w:rsidR="00A529B7" w:rsidRPr="00A529B7" w:rsidRDefault="00A529B7" w:rsidP="00A529B7">
      <w:pPr>
        <w:rPr>
          <w:szCs w:val="20"/>
        </w:rPr>
      </w:pPr>
    </w:p>
    <w:p w14:paraId="0E45A446" w14:textId="77777777" w:rsidR="00AE609D" w:rsidRDefault="00A529B7" w:rsidP="00A529B7">
      <w:pPr>
        <w:rPr>
          <w:szCs w:val="20"/>
        </w:rPr>
      </w:pPr>
      <w:r w:rsidRPr="00A529B7">
        <w:rPr>
          <w:szCs w:val="20"/>
        </w:rPr>
        <w:t xml:space="preserve">Entre chaque vertèbre des segments thoraciques, cervical, lombaire se situe un disque intervertébral. </w:t>
      </w:r>
    </w:p>
    <w:p w14:paraId="14BE5098" w14:textId="59B77230" w:rsidR="00A529B7" w:rsidRPr="00A529B7" w:rsidRDefault="00A529B7" w:rsidP="00A529B7">
      <w:pPr>
        <w:rPr>
          <w:szCs w:val="20"/>
        </w:rPr>
      </w:pPr>
      <w:r w:rsidRPr="00A529B7">
        <w:rPr>
          <w:szCs w:val="20"/>
        </w:rPr>
        <w:t xml:space="preserve">Les disques intervertébraux </w:t>
      </w:r>
      <w:r w:rsidR="00AE609D">
        <w:rPr>
          <w:szCs w:val="20"/>
        </w:rPr>
        <w:t>peuvent</w:t>
      </w:r>
      <w:r w:rsidRPr="00A529B7">
        <w:rPr>
          <w:szCs w:val="20"/>
        </w:rPr>
        <w:t xml:space="preserve"> être comparés à des coussins mous, dont la consistance ressemble à du gel, et qui agissent comme des amortisseurs aidant à absorber la pression. Ils créent également un espace entre les vertèbres et permettant la mobilité de la colonne vertébrale. </w:t>
      </w:r>
    </w:p>
    <w:p w14:paraId="642695C8" w14:textId="77777777" w:rsidR="00A529B7" w:rsidRPr="00A529B7" w:rsidRDefault="00A529B7" w:rsidP="00A529B7">
      <w:pPr>
        <w:rPr>
          <w:szCs w:val="20"/>
        </w:rPr>
      </w:pPr>
    </w:p>
    <w:p w14:paraId="374D0D32" w14:textId="77777777" w:rsidR="00A529B7" w:rsidRPr="00D6279E" w:rsidRDefault="00A529B7" w:rsidP="00C622C2">
      <w:pPr>
        <w:pStyle w:val="Paragraphedeliste"/>
        <w:numPr>
          <w:ilvl w:val="0"/>
          <w:numId w:val="34"/>
        </w:numPr>
        <w:rPr>
          <w:b/>
          <w:bCs/>
          <w:iCs/>
          <w:szCs w:val="20"/>
        </w:rPr>
      </w:pPr>
      <w:r w:rsidRPr="00D6279E">
        <w:rPr>
          <w:b/>
          <w:bCs/>
          <w:iCs/>
          <w:szCs w:val="20"/>
        </w:rPr>
        <w:t>Pathologies</w:t>
      </w:r>
    </w:p>
    <w:p w14:paraId="22001474" w14:textId="77777777" w:rsidR="00A529B7" w:rsidRPr="00A529B7" w:rsidRDefault="00A529B7" w:rsidP="00A529B7">
      <w:pPr>
        <w:rPr>
          <w:szCs w:val="20"/>
        </w:rPr>
      </w:pPr>
    </w:p>
    <w:p w14:paraId="781D5F15" w14:textId="77777777" w:rsidR="00A529B7" w:rsidRDefault="00A529B7" w:rsidP="00A529B7">
      <w:pPr>
        <w:rPr>
          <w:szCs w:val="20"/>
        </w:rPr>
      </w:pPr>
      <w:r w:rsidRPr="00A529B7">
        <w:rPr>
          <w:szCs w:val="20"/>
        </w:rPr>
        <w:t>Il existe différents types de pathologies du rachis :</w:t>
      </w:r>
    </w:p>
    <w:p w14:paraId="142EC486" w14:textId="77777777" w:rsidR="00AE609D" w:rsidRPr="00A529B7" w:rsidRDefault="00AE609D" w:rsidP="00A529B7">
      <w:pPr>
        <w:rPr>
          <w:szCs w:val="20"/>
        </w:rPr>
      </w:pPr>
    </w:p>
    <w:p w14:paraId="19D5AAA2" w14:textId="42259906" w:rsidR="00A529B7" w:rsidRPr="00A529B7" w:rsidRDefault="00A529B7" w:rsidP="00C622C2">
      <w:pPr>
        <w:numPr>
          <w:ilvl w:val="0"/>
          <w:numId w:val="17"/>
        </w:numPr>
        <w:rPr>
          <w:szCs w:val="20"/>
        </w:rPr>
      </w:pPr>
      <w:r w:rsidRPr="00A529B7">
        <w:rPr>
          <w:b/>
          <w:bCs/>
          <w:szCs w:val="20"/>
        </w:rPr>
        <w:t>les pathologies dégénératives</w:t>
      </w:r>
      <w:r w:rsidRPr="00A529B7">
        <w:rPr>
          <w:szCs w:val="20"/>
        </w:rPr>
        <w:t xml:space="preserve"> : du fait d’un vieillissement </w:t>
      </w:r>
      <w:r w:rsidR="009373DA" w:rsidRPr="00A529B7">
        <w:rPr>
          <w:szCs w:val="20"/>
        </w:rPr>
        <w:t>prématuré, la</w:t>
      </w:r>
      <w:r w:rsidRPr="00A529B7">
        <w:rPr>
          <w:szCs w:val="20"/>
        </w:rPr>
        <w:t xml:space="preserve"> colonne vertébrale subit plusieurs remodelages, les ligaments de distendent et n’assument plus leur rôle de contention, le disque intervertébral se déshydrate et perd sa forme et sa stabilité, les articulations sont le siège d’arthrose générant des excroissances pouvant venir au contact de la moelle et des racines nerveuses. Ce sont les segments cervicaux et lombaires bas qui sont les plus souvent affectés :</w:t>
      </w:r>
    </w:p>
    <w:p w14:paraId="34FFC206" w14:textId="77777777" w:rsidR="00A529B7" w:rsidRPr="00A529B7" w:rsidRDefault="00A529B7" w:rsidP="00C622C2">
      <w:pPr>
        <w:numPr>
          <w:ilvl w:val="1"/>
          <w:numId w:val="16"/>
        </w:numPr>
        <w:rPr>
          <w:szCs w:val="20"/>
        </w:rPr>
      </w:pPr>
      <w:r w:rsidRPr="00A529B7">
        <w:rPr>
          <w:szCs w:val="20"/>
        </w:rPr>
        <w:t>Au niveau cervical, les principales pathologies sont de deux types :</w:t>
      </w:r>
    </w:p>
    <w:p w14:paraId="52C32A5C" w14:textId="3CD87F65" w:rsidR="00A529B7" w:rsidRPr="00636983" w:rsidRDefault="00A529B7" w:rsidP="00C622C2">
      <w:pPr>
        <w:numPr>
          <w:ilvl w:val="2"/>
          <w:numId w:val="14"/>
        </w:numPr>
        <w:spacing w:line="264" w:lineRule="auto"/>
        <w:rPr>
          <w:szCs w:val="20"/>
        </w:rPr>
      </w:pPr>
      <w:r w:rsidRPr="00636983">
        <w:rPr>
          <w:szCs w:val="20"/>
        </w:rPr>
        <w:t xml:space="preserve">le canal cervical étroit : il résulte d’une diminution du diamètre canalaire par développement de l’arthrose sur les différentes articulations intervertébrales venant réduire le diamètre du canal </w:t>
      </w:r>
      <w:r w:rsidR="00082731" w:rsidRPr="00636983">
        <w:rPr>
          <w:szCs w:val="20"/>
        </w:rPr>
        <w:t>médul</w:t>
      </w:r>
      <w:r w:rsidR="003050CB">
        <w:rPr>
          <w:szCs w:val="20"/>
        </w:rPr>
        <w:t>l</w:t>
      </w:r>
      <w:r w:rsidR="00AE609D" w:rsidRPr="00636983">
        <w:rPr>
          <w:szCs w:val="20"/>
        </w:rPr>
        <w:t>aire</w:t>
      </w:r>
      <w:r w:rsidRPr="00636983">
        <w:rPr>
          <w:szCs w:val="20"/>
        </w:rPr>
        <w:t> ;</w:t>
      </w:r>
    </w:p>
    <w:p w14:paraId="243CDE85" w14:textId="589C0D06" w:rsidR="00A529B7" w:rsidRPr="00A529B7" w:rsidRDefault="00A529B7" w:rsidP="00C622C2">
      <w:pPr>
        <w:numPr>
          <w:ilvl w:val="2"/>
          <w:numId w:val="14"/>
        </w:numPr>
        <w:spacing w:line="264" w:lineRule="auto"/>
        <w:rPr>
          <w:szCs w:val="20"/>
        </w:rPr>
      </w:pPr>
      <w:r w:rsidRPr="00A529B7">
        <w:rPr>
          <w:szCs w:val="20"/>
        </w:rPr>
        <w:t>la hernie discale cervicale : de la matière provenant du disque intervertébral rompu peut être exclu</w:t>
      </w:r>
      <w:r w:rsidR="003050CB">
        <w:rPr>
          <w:szCs w:val="20"/>
        </w:rPr>
        <w:t>e</w:t>
      </w:r>
      <w:r w:rsidRPr="00A529B7">
        <w:rPr>
          <w:szCs w:val="20"/>
        </w:rPr>
        <w:t xml:space="preserve"> dans le canal médullaire en arrière (hernie discale molle) ou au niveau des racines nerveuses. </w:t>
      </w:r>
    </w:p>
    <w:p w14:paraId="4E3158A7" w14:textId="77777777" w:rsidR="00A529B7" w:rsidRPr="00A529B7" w:rsidRDefault="00A529B7" w:rsidP="00AE609D">
      <w:pPr>
        <w:spacing w:line="264" w:lineRule="auto"/>
        <w:ind w:left="1418"/>
        <w:rPr>
          <w:szCs w:val="20"/>
        </w:rPr>
      </w:pPr>
      <w:r w:rsidRPr="00A529B7">
        <w:rPr>
          <w:szCs w:val="20"/>
        </w:rPr>
        <w:lastRenderedPageBreak/>
        <w:t>Pour ces deux pathologies, sur le plan clinique, le retentissement est mixte. La compression de la moelle épinière se traduit par une paralysie progressive tandis que la compression des troncs nerveux s’exprime par des douleurs irradiant les membres.</w:t>
      </w:r>
    </w:p>
    <w:p w14:paraId="5622CB52" w14:textId="0C6E9FD4" w:rsidR="00A529B7" w:rsidRPr="00A529B7" w:rsidRDefault="00A529B7" w:rsidP="00C622C2">
      <w:pPr>
        <w:numPr>
          <w:ilvl w:val="1"/>
          <w:numId w:val="16"/>
        </w:numPr>
        <w:rPr>
          <w:szCs w:val="20"/>
        </w:rPr>
      </w:pPr>
      <w:r w:rsidRPr="00A529B7">
        <w:rPr>
          <w:szCs w:val="20"/>
        </w:rPr>
        <w:t>Au niveau lombaire, on observe principalement trois entités pathologiques qui ont la particularité de s’as</w:t>
      </w:r>
      <w:r w:rsidR="00AE609D">
        <w:rPr>
          <w:szCs w:val="20"/>
        </w:rPr>
        <w:t>socier pour avoir certaines inte</w:t>
      </w:r>
      <w:r w:rsidRPr="00A529B7">
        <w:rPr>
          <w:szCs w:val="20"/>
        </w:rPr>
        <w:t>ractions chronologiques :</w:t>
      </w:r>
    </w:p>
    <w:p w14:paraId="0FDEDBAA" w14:textId="77777777" w:rsidR="00A529B7" w:rsidRPr="00A529B7" w:rsidRDefault="00A529B7" w:rsidP="00C622C2">
      <w:pPr>
        <w:numPr>
          <w:ilvl w:val="2"/>
          <w:numId w:val="14"/>
        </w:numPr>
        <w:spacing w:line="264" w:lineRule="auto"/>
        <w:rPr>
          <w:szCs w:val="20"/>
        </w:rPr>
      </w:pPr>
      <w:r w:rsidRPr="00A529B7">
        <w:rPr>
          <w:szCs w:val="20"/>
        </w:rPr>
        <w:t>La hernie discale lombaire : une altération dégénérative du disque constitue habituellement la lésion initiale, avec perte de son épaisseur, fissuration de son anneau fibreux et réalisation progressive ou brutale d’une hernie discale par saillie du nucleus sur une racine ou dans le canal médullaire lombaire. Les hernies discales lombaires peuvent être traumatiques (après un violent effort pour soulever une charge) ou progressives (par dégénérescence des constituants du disque). Leur apparition entraîne des lombalgies et des épisodes de sciatique par conflit direct sur une ou plusieurs racines avec radiculalgies ;</w:t>
      </w:r>
    </w:p>
    <w:p w14:paraId="739DB82F" w14:textId="77777777" w:rsidR="00A529B7" w:rsidRPr="00A529B7" w:rsidRDefault="00A529B7" w:rsidP="00C622C2">
      <w:pPr>
        <w:numPr>
          <w:ilvl w:val="2"/>
          <w:numId w:val="14"/>
        </w:numPr>
        <w:spacing w:line="264" w:lineRule="auto"/>
        <w:rPr>
          <w:szCs w:val="20"/>
        </w:rPr>
      </w:pPr>
      <w:r w:rsidRPr="00A529B7">
        <w:rPr>
          <w:szCs w:val="20"/>
        </w:rPr>
        <w:t>L’instabilité vertébrale : l’instabilité vertébrale est la résultante d’une faillite des articulations vertébrales (disque et facette articulaire). Il en découle une dislocation intervertébrale le plus souvent d’arrière en avant mais parfois rotatoire, à l’origine des déformations pouvant prendre plusieurs aspects. Symptomatologie douloureuse, invalidante et d’évolution progressive ;</w:t>
      </w:r>
    </w:p>
    <w:p w14:paraId="04AFE275" w14:textId="77777777" w:rsidR="00A529B7" w:rsidRPr="00A529B7" w:rsidRDefault="00A529B7" w:rsidP="00C622C2">
      <w:pPr>
        <w:numPr>
          <w:ilvl w:val="2"/>
          <w:numId w:val="14"/>
        </w:numPr>
        <w:spacing w:line="264" w:lineRule="auto"/>
        <w:rPr>
          <w:szCs w:val="20"/>
        </w:rPr>
      </w:pPr>
      <w:r w:rsidRPr="00A529B7">
        <w:rPr>
          <w:szCs w:val="20"/>
        </w:rPr>
        <w:t>La sténose canalaire, ou rétrécissement du canal médulaire : l’arthrose est un processus généralisé à toutes les articulations chez l’homme et indissociable du vieillissement. Au niveau des vertèbres lombaires, ce processus est très fréquent et se caractérise par l’apparition d’excroissances osseuses (ostéophytes) développées sur les articulations vertébrales postérieures et sur le pourtour du disque intervertébral. Le canal vertébral voit son diamètre diminué avec pour conséquence un ralentissement des flux nerveux et des douleurs articulaires ;</w:t>
      </w:r>
    </w:p>
    <w:p w14:paraId="6A8F4DE3" w14:textId="3D5F82EE" w:rsidR="00A529B7" w:rsidRDefault="00A529B7" w:rsidP="00C622C2">
      <w:pPr>
        <w:numPr>
          <w:ilvl w:val="2"/>
          <w:numId w:val="14"/>
        </w:numPr>
        <w:spacing w:line="264" w:lineRule="auto"/>
        <w:rPr>
          <w:szCs w:val="20"/>
        </w:rPr>
      </w:pPr>
      <w:r w:rsidRPr="00A529B7">
        <w:rPr>
          <w:szCs w:val="20"/>
        </w:rPr>
        <w:t>Le spondylolisthesis : constitutif ou secondaire à une des 3 précédentes pathologies, il vient aggraver les causes citées plus haut et évolue pour son propre compte vers une compression neurologique radicu</w:t>
      </w:r>
      <w:r w:rsidR="00AE609D">
        <w:rPr>
          <w:szCs w:val="20"/>
        </w:rPr>
        <w:t>laire dans le bas rachis</w:t>
      </w:r>
      <w:r w:rsidRPr="00A529B7">
        <w:rPr>
          <w:szCs w:val="20"/>
        </w:rPr>
        <w:t>. Le canal lombaire étroit constitutionnel est fréquent et vient aggraver la pathologie</w:t>
      </w:r>
    </w:p>
    <w:p w14:paraId="6135F6E9" w14:textId="77777777" w:rsidR="00AE609D" w:rsidRPr="00A529B7" w:rsidRDefault="00AE609D" w:rsidP="00AE609D">
      <w:pPr>
        <w:spacing w:line="264" w:lineRule="auto"/>
        <w:ind w:left="2160"/>
        <w:rPr>
          <w:szCs w:val="20"/>
        </w:rPr>
      </w:pPr>
    </w:p>
    <w:p w14:paraId="16ABDDD3" w14:textId="635B7E12" w:rsidR="00A529B7" w:rsidRPr="00A529B7" w:rsidRDefault="00A529B7" w:rsidP="00C622C2">
      <w:pPr>
        <w:numPr>
          <w:ilvl w:val="0"/>
          <w:numId w:val="17"/>
        </w:numPr>
        <w:rPr>
          <w:szCs w:val="20"/>
        </w:rPr>
      </w:pPr>
      <w:r w:rsidRPr="00A529B7">
        <w:rPr>
          <w:b/>
          <w:bCs/>
          <w:szCs w:val="20"/>
        </w:rPr>
        <w:t>les troubles déformatifs</w:t>
      </w:r>
      <w:r w:rsidRPr="00A529B7">
        <w:rPr>
          <w:szCs w:val="20"/>
        </w:rPr>
        <w:t xml:space="preserve"> : Une déformation </w:t>
      </w:r>
      <w:r w:rsidR="00976300">
        <w:rPr>
          <w:szCs w:val="20"/>
        </w:rPr>
        <w:t>consiste en</w:t>
      </w:r>
      <w:r w:rsidRPr="00A529B7">
        <w:rPr>
          <w:szCs w:val="20"/>
        </w:rPr>
        <w:t xml:space="preserve"> un déséquilibre de la colonne vertébrale dans les 3 trois plans de l’espace. Lorsqu’elle touche strictement le profil (ou lorsque l’équilibre sagittal est perturbé), elle est appelée hyper cyphose ou hyper lordose. C’est une scoliose lorsqu’elle atteint la colonne vue de face, en rotation et bascule, ainsi que sur le plan sagittal. La conjonction des deux est fréquente et se nomme cyphoscoliose. Les déformations peuvent apparaître :</w:t>
      </w:r>
    </w:p>
    <w:p w14:paraId="5A69B1C1" w14:textId="376C6607" w:rsidR="00A529B7" w:rsidRPr="00A529B7" w:rsidRDefault="00A529B7" w:rsidP="00C622C2">
      <w:pPr>
        <w:pStyle w:val="Paragraphedeliste1"/>
        <w:widowControl w:val="0"/>
        <w:numPr>
          <w:ilvl w:val="0"/>
          <w:numId w:val="19"/>
        </w:numPr>
        <w:tabs>
          <w:tab w:val="num" w:pos="1500"/>
        </w:tabs>
        <w:autoSpaceDE w:val="0"/>
        <w:autoSpaceDN w:val="0"/>
        <w:adjustRightInd w:val="0"/>
        <w:spacing w:after="240"/>
        <w:ind w:left="1500" w:hanging="400"/>
        <w:contextualSpacing/>
        <w:jc w:val="both"/>
        <w:rPr>
          <w:rFonts w:asciiTheme="majorHAnsi" w:hAnsiTheme="majorHAnsi"/>
          <w:sz w:val="20"/>
          <w:szCs w:val="20"/>
        </w:rPr>
      </w:pPr>
      <w:r w:rsidRPr="00A529B7">
        <w:rPr>
          <w:rFonts w:asciiTheme="majorHAnsi" w:hAnsiTheme="majorHAnsi"/>
          <w:sz w:val="20"/>
          <w:szCs w:val="20"/>
        </w:rPr>
        <w:t xml:space="preserve">très précocement, dans des atteintes neurologiques (souffrance fœtale, maladie de Friedriech) et des maladies poly malformatives neurologiques ou neuro-musculaires (myopathies, neurofibromatose). Ces pathologies peuvent être traitées par le système Mont Blanc </w:t>
      </w:r>
      <w:r w:rsidR="00674914">
        <w:rPr>
          <w:rFonts w:asciiTheme="majorHAnsi" w:hAnsiTheme="majorHAnsi"/>
          <w:sz w:val="20"/>
          <w:szCs w:val="20"/>
        </w:rPr>
        <w:t>b</w:t>
      </w:r>
      <w:r w:rsidRPr="00A529B7">
        <w:rPr>
          <w:rFonts w:asciiTheme="majorHAnsi" w:hAnsiTheme="majorHAnsi"/>
          <w:sz w:val="20"/>
          <w:szCs w:val="20"/>
        </w:rPr>
        <w:t>aby Spineway,</w:t>
      </w:r>
    </w:p>
    <w:p w14:paraId="23D52B9B" w14:textId="5492F521" w:rsidR="00A529B7" w:rsidRPr="00A529B7" w:rsidRDefault="00A529B7" w:rsidP="00C622C2">
      <w:pPr>
        <w:pStyle w:val="Paragraphedeliste1"/>
        <w:widowControl w:val="0"/>
        <w:numPr>
          <w:ilvl w:val="0"/>
          <w:numId w:val="19"/>
        </w:numPr>
        <w:tabs>
          <w:tab w:val="num" w:pos="1500"/>
        </w:tabs>
        <w:autoSpaceDE w:val="0"/>
        <w:autoSpaceDN w:val="0"/>
        <w:adjustRightInd w:val="0"/>
        <w:spacing w:after="240"/>
        <w:ind w:left="1500" w:hanging="400"/>
        <w:contextualSpacing/>
        <w:jc w:val="both"/>
        <w:rPr>
          <w:rFonts w:asciiTheme="majorHAnsi" w:hAnsiTheme="majorHAnsi"/>
          <w:sz w:val="20"/>
          <w:szCs w:val="20"/>
        </w:rPr>
      </w:pPr>
      <w:r w:rsidRPr="00A529B7">
        <w:rPr>
          <w:rFonts w:asciiTheme="majorHAnsi" w:hAnsiTheme="majorHAnsi"/>
          <w:sz w:val="20"/>
          <w:szCs w:val="20"/>
        </w:rPr>
        <w:t>soit pendant la croissance de l’enfant (scolioses infantile et i</w:t>
      </w:r>
      <w:r w:rsidR="00A444F4">
        <w:rPr>
          <w:rFonts w:asciiTheme="majorHAnsi" w:hAnsiTheme="majorHAnsi"/>
          <w:sz w:val="20"/>
          <w:szCs w:val="20"/>
        </w:rPr>
        <w:t>diopathique), la plus fréquente</w:t>
      </w:r>
      <w:r w:rsidRPr="00A529B7">
        <w:rPr>
          <w:rFonts w:asciiTheme="majorHAnsi" w:hAnsiTheme="majorHAnsi"/>
          <w:sz w:val="20"/>
          <w:szCs w:val="20"/>
        </w:rPr>
        <w:t xml:space="preserve">. Ces pathologies sont traitées par le système Mont Blanc, Mont Blanc </w:t>
      </w:r>
      <w:r w:rsidR="00610D31" w:rsidRPr="00A529B7">
        <w:rPr>
          <w:rFonts w:asciiTheme="majorHAnsi" w:hAnsiTheme="majorHAnsi"/>
          <w:sz w:val="20"/>
          <w:szCs w:val="20"/>
        </w:rPr>
        <w:t>baby et</w:t>
      </w:r>
      <w:r w:rsidRPr="00A529B7">
        <w:rPr>
          <w:rFonts w:asciiTheme="majorHAnsi" w:hAnsiTheme="majorHAnsi"/>
          <w:sz w:val="20"/>
          <w:szCs w:val="20"/>
        </w:rPr>
        <w:t xml:space="preserve"> Mont Blanc 3D+ Spineway,</w:t>
      </w:r>
    </w:p>
    <w:p w14:paraId="67A8A87A" w14:textId="71B9B38A" w:rsidR="00A529B7" w:rsidRPr="00AE609D" w:rsidRDefault="00A529B7" w:rsidP="00C622C2">
      <w:pPr>
        <w:pStyle w:val="Paragraphedeliste1"/>
        <w:widowControl w:val="0"/>
        <w:numPr>
          <w:ilvl w:val="0"/>
          <w:numId w:val="19"/>
        </w:numPr>
        <w:tabs>
          <w:tab w:val="num" w:pos="1500"/>
        </w:tabs>
        <w:autoSpaceDE w:val="0"/>
        <w:autoSpaceDN w:val="0"/>
        <w:adjustRightInd w:val="0"/>
        <w:spacing w:after="240"/>
        <w:ind w:left="1500" w:hanging="400"/>
        <w:contextualSpacing/>
        <w:jc w:val="both"/>
        <w:rPr>
          <w:rFonts w:asciiTheme="majorHAnsi" w:hAnsiTheme="majorHAnsi"/>
          <w:sz w:val="20"/>
          <w:szCs w:val="20"/>
        </w:rPr>
      </w:pPr>
      <w:r w:rsidRPr="00A529B7">
        <w:rPr>
          <w:rFonts w:asciiTheme="majorHAnsi" w:hAnsiTheme="majorHAnsi"/>
          <w:sz w:val="20"/>
          <w:szCs w:val="20"/>
        </w:rPr>
        <w:t xml:space="preserve">soit chez le sujet âgé par phénomène </w:t>
      </w:r>
      <w:r w:rsidR="00A444F4">
        <w:rPr>
          <w:rFonts w:asciiTheme="majorHAnsi" w:hAnsiTheme="majorHAnsi"/>
          <w:sz w:val="20"/>
          <w:szCs w:val="20"/>
        </w:rPr>
        <w:t xml:space="preserve">arthrosique et </w:t>
      </w:r>
      <w:r w:rsidR="009373DA">
        <w:rPr>
          <w:rFonts w:asciiTheme="majorHAnsi" w:hAnsiTheme="majorHAnsi"/>
          <w:sz w:val="20"/>
          <w:szCs w:val="20"/>
        </w:rPr>
        <w:t>ostéoporotique, les</w:t>
      </w:r>
      <w:r w:rsidRPr="00A529B7">
        <w:rPr>
          <w:rFonts w:asciiTheme="majorHAnsi" w:hAnsiTheme="majorHAnsi"/>
          <w:sz w:val="20"/>
          <w:szCs w:val="20"/>
        </w:rPr>
        <w:t xml:space="preserve"> scolioses dégénératives. Ces pathologies sont adressées par le système Kili cage lombaire par voie antérieure, (innovation brevetée </w:t>
      </w:r>
      <w:r w:rsidR="00674914" w:rsidRPr="00A529B7">
        <w:rPr>
          <w:rFonts w:asciiTheme="majorHAnsi" w:hAnsiTheme="majorHAnsi"/>
          <w:sz w:val="20"/>
          <w:szCs w:val="20"/>
        </w:rPr>
        <w:t>Spineway) ainsi</w:t>
      </w:r>
      <w:r w:rsidRPr="00A529B7">
        <w:rPr>
          <w:rFonts w:asciiTheme="majorHAnsi" w:hAnsiTheme="majorHAnsi"/>
          <w:sz w:val="20"/>
          <w:szCs w:val="20"/>
        </w:rPr>
        <w:t xml:space="preserve"> que par le système Mont Blanc postérieur Spineway.</w:t>
      </w:r>
    </w:p>
    <w:p w14:paraId="4C544D13" w14:textId="657AC8DE" w:rsidR="00A529B7" w:rsidRPr="00A529B7" w:rsidRDefault="00A529B7" w:rsidP="00A529B7">
      <w:pPr>
        <w:pStyle w:val="Paragraphedeliste1"/>
        <w:widowControl w:val="0"/>
        <w:autoSpaceDE w:val="0"/>
        <w:autoSpaceDN w:val="0"/>
        <w:adjustRightInd w:val="0"/>
        <w:spacing w:after="240"/>
        <w:ind w:left="400"/>
        <w:contextualSpacing/>
        <w:jc w:val="both"/>
        <w:rPr>
          <w:rFonts w:asciiTheme="majorHAnsi" w:hAnsiTheme="majorHAnsi"/>
          <w:sz w:val="20"/>
          <w:szCs w:val="20"/>
        </w:rPr>
      </w:pPr>
      <w:r w:rsidRPr="00A529B7">
        <w:rPr>
          <w:rFonts w:asciiTheme="majorHAnsi" w:hAnsiTheme="majorHAnsi"/>
          <w:sz w:val="20"/>
          <w:szCs w:val="20"/>
        </w:rPr>
        <w:t xml:space="preserve">Les déformations peuvent aussi être secondaires à des pathologies </w:t>
      </w:r>
      <w:r w:rsidR="00674914" w:rsidRPr="00A529B7">
        <w:rPr>
          <w:rFonts w:asciiTheme="majorHAnsi" w:hAnsiTheme="majorHAnsi"/>
          <w:sz w:val="20"/>
          <w:szCs w:val="20"/>
        </w:rPr>
        <w:t>préexistantes :</w:t>
      </w:r>
      <w:r w:rsidRPr="00A529B7">
        <w:rPr>
          <w:rFonts w:asciiTheme="majorHAnsi" w:hAnsiTheme="majorHAnsi"/>
          <w:sz w:val="20"/>
          <w:szCs w:val="20"/>
        </w:rPr>
        <w:t xml:space="preserve"> maladies de système, </w:t>
      </w:r>
      <w:r w:rsidR="00AE609D" w:rsidRPr="00A529B7">
        <w:rPr>
          <w:rFonts w:asciiTheme="majorHAnsi" w:hAnsiTheme="majorHAnsi"/>
          <w:sz w:val="20"/>
          <w:szCs w:val="20"/>
        </w:rPr>
        <w:t>syndromes</w:t>
      </w:r>
      <w:r w:rsidRPr="00A529B7">
        <w:rPr>
          <w:rFonts w:asciiTheme="majorHAnsi" w:hAnsiTheme="majorHAnsi"/>
          <w:sz w:val="20"/>
          <w:szCs w:val="20"/>
        </w:rPr>
        <w:t xml:space="preserve"> malformatifs (pédiatrie), maladies inflammatoires (spondylarthrite ankylosante), ou, plus rarement désormais, maladies infectieuses (ex tuberculose vertébrale ou mal de Pott, observé dans certaines zones d’endémie tuberculeuse africaines ou asiatiques).</w:t>
      </w:r>
    </w:p>
    <w:p w14:paraId="591DBC4D" w14:textId="77777777" w:rsidR="00A529B7" w:rsidRDefault="00A529B7" w:rsidP="00C622C2">
      <w:pPr>
        <w:numPr>
          <w:ilvl w:val="0"/>
          <w:numId w:val="17"/>
        </w:numPr>
        <w:rPr>
          <w:szCs w:val="20"/>
        </w:rPr>
      </w:pPr>
      <w:r w:rsidRPr="00A529B7">
        <w:rPr>
          <w:b/>
          <w:bCs/>
          <w:szCs w:val="20"/>
        </w:rPr>
        <w:t>les traumatismes</w:t>
      </w:r>
      <w:r w:rsidRPr="00A529B7">
        <w:rPr>
          <w:szCs w:val="20"/>
        </w:rPr>
        <w:t xml:space="preserve"> : la pathologie traumatique du rachis est très variée et répartie sur l’ensemble du rachis. Elle touche indifféremment le sujet jeune (sport, travail non protégé et accidents sur la voie publique) et le sujet âgé (chute et ostéoporose). L’ensemble de ces fractures est actuellement bien codifié et répond à de nombreuses classifications selon leur caractère et leur retentissement neurologique. Les conséquences des fractures sont souvent graves, elles modifient substantiellement l’équilibre du rachis, ou entraînent une </w:t>
      </w:r>
      <w:r w:rsidRPr="00A529B7">
        <w:rPr>
          <w:szCs w:val="20"/>
        </w:rPr>
        <w:lastRenderedPageBreak/>
        <w:t xml:space="preserve">souffrance des structures neurologiques (paraplégie, tétraplégie, atteinte génito-sphinctérienne). Le coût sociétal est important pour les pays émergents. </w:t>
      </w:r>
    </w:p>
    <w:p w14:paraId="53DFB0E4" w14:textId="77777777" w:rsidR="00AE609D" w:rsidRPr="00A529B7" w:rsidRDefault="00AE609D" w:rsidP="00AE609D">
      <w:pPr>
        <w:ind w:left="360"/>
        <w:rPr>
          <w:szCs w:val="20"/>
        </w:rPr>
      </w:pPr>
    </w:p>
    <w:p w14:paraId="64CDAD1D" w14:textId="7CE60CA5" w:rsidR="00A529B7" w:rsidRPr="00A529B7" w:rsidRDefault="00A529B7" w:rsidP="00C622C2">
      <w:pPr>
        <w:numPr>
          <w:ilvl w:val="0"/>
          <w:numId w:val="17"/>
        </w:numPr>
        <w:rPr>
          <w:szCs w:val="20"/>
        </w:rPr>
      </w:pPr>
      <w:r w:rsidRPr="00A529B7">
        <w:rPr>
          <w:b/>
          <w:bCs/>
          <w:szCs w:val="20"/>
        </w:rPr>
        <w:t>les tumeurs</w:t>
      </w:r>
      <w:r w:rsidRPr="00A529B7">
        <w:rPr>
          <w:szCs w:val="20"/>
        </w:rPr>
        <w:t xml:space="preserve"> : le rachis étant constitué de tissus osseux et conjonctifs, il n’échappe donc pas au développement de pathologies tumorales primitives (ostéosarcome, myélome, etc.). Par ailleurs, les localisations tumorales secondaires (métastases) sont les plus fréquentes. Leurs conséquences sont multiples allant de la destruction des vertèbres à la compression des structures neurologiques environnantes.</w:t>
      </w:r>
    </w:p>
    <w:p w14:paraId="2080194B" w14:textId="77777777" w:rsidR="00674914" w:rsidRPr="00A529B7" w:rsidRDefault="00674914" w:rsidP="007D6147">
      <w:pPr>
        <w:rPr>
          <w:szCs w:val="20"/>
        </w:rPr>
      </w:pPr>
    </w:p>
    <w:p w14:paraId="417714E4" w14:textId="02AE595D" w:rsidR="00A529B7" w:rsidRPr="00A529B7" w:rsidRDefault="00A529B7" w:rsidP="00C622C2">
      <w:pPr>
        <w:numPr>
          <w:ilvl w:val="0"/>
          <w:numId w:val="17"/>
        </w:numPr>
        <w:rPr>
          <w:szCs w:val="20"/>
        </w:rPr>
      </w:pPr>
      <w:r w:rsidRPr="00A529B7">
        <w:rPr>
          <w:b/>
          <w:bCs/>
          <w:szCs w:val="20"/>
        </w:rPr>
        <w:t>les infections</w:t>
      </w:r>
      <w:r w:rsidRPr="00A529B7">
        <w:rPr>
          <w:szCs w:val="20"/>
        </w:rPr>
        <w:t xml:space="preserve"> : pour mémoire, moins fréquentes et moins instrumentées. On peut citer des exérèses corporelles larges en cas de tuberculose osseuse (cf</w:t>
      </w:r>
      <w:r w:rsidR="00082731">
        <w:rPr>
          <w:szCs w:val="20"/>
        </w:rPr>
        <w:t>.</w:t>
      </w:r>
      <w:r w:rsidRPr="00A529B7">
        <w:rPr>
          <w:szCs w:val="20"/>
        </w:rPr>
        <w:t xml:space="preserve"> </w:t>
      </w:r>
      <w:r w:rsidR="00082731">
        <w:rPr>
          <w:szCs w:val="20"/>
        </w:rPr>
        <w:t>ci-dessus « </w:t>
      </w:r>
      <w:r w:rsidRPr="00A529B7">
        <w:rPr>
          <w:szCs w:val="20"/>
        </w:rPr>
        <w:t>mal de Pott</w:t>
      </w:r>
      <w:r w:rsidR="00082731">
        <w:rPr>
          <w:szCs w:val="20"/>
        </w:rPr>
        <w:t> »</w:t>
      </w:r>
      <w:r w:rsidRPr="00A529B7">
        <w:rPr>
          <w:szCs w:val="20"/>
        </w:rPr>
        <w:t>)</w:t>
      </w:r>
    </w:p>
    <w:p w14:paraId="10694320" w14:textId="77777777" w:rsidR="00A529B7" w:rsidRPr="00A529B7" w:rsidRDefault="00A529B7" w:rsidP="00A529B7">
      <w:pPr>
        <w:ind w:left="1080"/>
        <w:rPr>
          <w:szCs w:val="20"/>
        </w:rPr>
      </w:pPr>
    </w:p>
    <w:p w14:paraId="3140E35D" w14:textId="77777777" w:rsidR="00A529B7" w:rsidRPr="00A529B7" w:rsidRDefault="00A529B7" w:rsidP="00A529B7">
      <w:pPr>
        <w:rPr>
          <w:szCs w:val="20"/>
        </w:rPr>
      </w:pPr>
      <w:r w:rsidRPr="00A529B7">
        <w:rPr>
          <w:szCs w:val="20"/>
        </w:rPr>
        <w:t>Le graphe ci-dessous détaille la répartition des types de pathologies pour 100 opérations telle qu’elle est communément admise dans la profession :</w:t>
      </w:r>
    </w:p>
    <w:p w14:paraId="215F3E3B" w14:textId="15A70BE7" w:rsidR="00A529B7" w:rsidRPr="00A529B7" w:rsidRDefault="00C11727" w:rsidP="00A529B7">
      <w:pPr>
        <w:jc w:val="center"/>
        <w:rPr>
          <w:szCs w:val="20"/>
        </w:rPr>
      </w:pPr>
      <w:r>
        <w:rPr>
          <w:noProof/>
        </w:rPr>
        <w:drawing>
          <wp:inline distT="0" distB="0" distL="0" distR="0" wp14:anchorId="44804B86" wp14:editId="24773D82">
            <wp:extent cx="4572000" cy="2743200"/>
            <wp:effectExtent l="0" t="0" r="0" b="0"/>
            <wp:docPr id="6" name="Graphique 6"/>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5DE30FEF" w14:textId="77777777" w:rsidR="00A529B7" w:rsidRPr="00A529B7" w:rsidRDefault="00A529B7" w:rsidP="00A529B7">
      <w:pPr>
        <w:rPr>
          <w:szCs w:val="20"/>
        </w:rPr>
      </w:pPr>
      <w:r w:rsidRPr="00A529B7">
        <w:rPr>
          <w:i/>
          <w:szCs w:val="20"/>
        </w:rPr>
        <w:t>Source : estimations Spineway</w:t>
      </w:r>
    </w:p>
    <w:p w14:paraId="6AE72DFF" w14:textId="77777777" w:rsidR="00A529B7" w:rsidRPr="00A529B7" w:rsidRDefault="00A529B7" w:rsidP="00A529B7">
      <w:pPr>
        <w:rPr>
          <w:szCs w:val="20"/>
        </w:rPr>
      </w:pPr>
    </w:p>
    <w:p w14:paraId="41DC783D" w14:textId="77777777" w:rsidR="00A529B7" w:rsidRPr="00D6279E" w:rsidRDefault="00A529B7" w:rsidP="00C622C2">
      <w:pPr>
        <w:pStyle w:val="Paragraphedeliste"/>
        <w:numPr>
          <w:ilvl w:val="0"/>
          <w:numId w:val="34"/>
        </w:numPr>
        <w:rPr>
          <w:b/>
          <w:bCs/>
          <w:iCs/>
          <w:szCs w:val="20"/>
        </w:rPr>
      </w:pPr>
      <w:r w:rsidRPr="00D6279E">
        <w:rPr>
          <w:b/>
          <w:bCs/>
          <w:iCs/>
          <w:szCs w:val="20"/>
        </w:rPr>
        <w:t>Traitements</w:t>
      </w:r>
    </w:p>
    <w:p w14:paraId="41FD8584" w14:textId="77777777" w:rsidR="00A529B7" w:rsidRPr="00A529B7" w:rsidRDefault="00A529B7" w:rsidP="00A529B7">
      <w:pPr>
        <w:rPr>
          <w:szCs w:val="20"/>
        </w:rPr>
      </w:pPr>
    </w:p>
    <w:p w14:paraId="4792065A" w14:textId="77777777" w:rsidR="00AE609D" w:rsidRDefault="00A529B7" w:rsidP="00A529B7">
      <w:pPr>
        <w:rPr>
          <w:szCs w:val="20"/>
        </w:rPr>
      </w:pPr>
      <w:r w:rsidRPr="00A529B7">
        <w:rPr>
          <w:szCs w:val="20"/>
        </w:rPr>
        <w:t xml:space="preserve">Il existe différents types de traitements des pathologies du rachis, chirurgicaux ou non-chirurgicaux. De manière générale, les médecins encouragent les patients à suivre des traitements non-chirurgicaux avant d’envisager sérieusement la possibilité d’une intervention chirurgicale. </w:t>
      </w:r>
    </w:p>
    <w:p w14:paraId="35F7EC20" w14:textId="3278E74F" w:rsidR="00A529B7" w:rsidRPr="00A529B7" w:rsidRDefault="54FDD3F0" w:rsidP="00A529B7">
      <w:r>
        <w:t xml:space="preserve">Les traitements non-chirurgicaux vont du simple repos à la thérapie physique, perte de poids, médicaments anti-inflammatoires et infiltrations locales. Il existe plusieurs gestes opératoires de décompression locale ou d’exérèse (hernie) ne faisant pas intervenir d’implants. Environ 25% des patients traités médicalement vont nécessiter un recours à la chirurgie (source PMSI France, 2012) dont environ 30% (en France) </w:t>
      </w:r>
      <w:r w:rsidR="00A26C49">
        <w:t>vont</w:t>
      </w:r>
      <w:r>
        <w:t xml:space="preserve"> requérir l’emploi d’implants. Certains facteurs contribuent par ailleurs à la banalisation du traitement des pathologies du rachis par le recours à des techniques chirurgicales. En effet, ces techniques se sont nettement améliorées, tout comme les propriétés des implants rachidiens. </w:t>
      </w:r>
      <w:bookmarkStart w:id="118" w:name="OLE_LINK1"/>
      <w:bookmarkStart w:id="119" w:name="OLE_LINK2"/>
      <w:bookmarkEnd w:id="118"/>
      <w:bookmarkEnd w:id="119"/>
    </w:p>
    <w:p w14:paraId="032A52EF" w14:textId="77777777" w:rsidR="00A529B7" w:rsidRPr="00A529B7" w:rsidRDefault="00A529B7" w:rsidP="00A529B7">
      <w:pPr>
        <w:rPr>
          <w:szCs w:val="20"/>
        </w:rPr>
      </w:pPr>
    </w:p>
    <w:p w14:paraId="09BC3CFF" w14:textId="77777777" w:rsidR="00A529B7" w:rsidRDefault="00A529B7" w:rsidP="00A529B7">
      <w:pPr>
        <w:rPr>
          <w:szCs w:val="20"/>
        </w:rPr>
      </w:pPr>
      <w:r w:rsidRPr="00A529B7">
        <w:rPr>
          <w:szCs w:val="20"/>
        </w:rPr>
        <w:t>Il existe par la suite plusieurs types de chirurgie instrumentée du rachis, fusion rachidienne, stabilisation lombaire dynamique et remplacement du disque cervical. Chacune suppose l’utilisation d’un implant, placé de manière pertinente dans le corps à l’aide d’un kit d’instrument dédié (</w:t>
      </w:r>
      <w:r w:rsidRPr="006F1325">
        <w:rPr>
          <w:szCs w:val="20"/>
        </w:rPr>
        <w:t>ancillaire</w:t>
      </w:r>
      <w:r w:rsidRPr="00A529B7">
        <w:rPr>
          <w:szCs w:val="20"/>
        </w:rPr>
        <w:t>) :</w:t>
      </w:r>
    </w:p>
    <w:p w14:paraId="1AA492A5" w14:textId="77777777" w:rsidR="00E57321" w:rsidRPr="00A529B7" w:rsidRDefault="00E57321" w:rsidP="00A529B7">
      <w:pPr>
        <w:rPr>
          <w:szCs w:val="20"/>
        </w:rPr>
      </w:pPr>
    </w:p>
    <w:p w14:paraId="157CAF86" w14:textId="77777777" w:rsidR="00A529B7" w:rsidRPr="00A529B7" w:rsidRDefault="00A529B7" w:rsidP="00C622C2">
      <w:pPr>
        <w:numPr>
          <w:ilvl w:val="0"/>
          <w:numId w:val="15"/>
        </w:numPr>
        <w:tabs>
          <w:tab w:val="clear" w:pos="1440"/>
          <w:tab w:val="num" w:pos="360"/>
        </w:tabs>
        <w:ind w:left="360"/>
        <w:rPr>
          <w:szCs w:val="20"/>
        </w:rPr>
      </w:pPr>
      <w:r w:rsidRPr="00A529B7">
        <w:rPr>
          <w:b/>
          <w:bCs/>
          <w:szCs w:val="20"/>
        </w:rPr>
        <w:t>Fusion rachidienne</w:t>
      </w:r>
      <w:r w:rsidRPr="00A529B7">
        <w:rPr>
          <w:szCs w:val="20"/>
        </w:rPr>
        <w:t xml:space="preserve"> : </w:t>
      </w:r>
      <w:r w:rsidRPr="00A529B7">
        <w:rPr>
          <w:b/>
          <w:bCs/>
          <w:szCs w:val="20"/>
        </w:rPr>
        <w:t>98 % des interventions pratiquées au plan mondial</w:t>
      </w:r>
    </w:p>
    <w:p w14:paraId="6B666A94" w14:textId="1FB26A4B" w:rsidR="00A529B7" w:rsidRPr="00A529B7" w:rsidRDefault="00E57321" w:rsidP="00E57321">
      <w:pPr>
        <w:rPr>
          <w:szCs w:val="20"/>
        </w:rPr>
      </w:pPr>
      <w:r>
        <w:rPr>
          <w:szCs w:val="20"/>
        </w:rPr>
        <w:t>L</w:t>
      </w:r>
      <w:r w:rsidR="00A529B7" w:rsidRPr="00A529B7">
        <w:rPr>
          <w:szCs w:val="20"/>
        </w:rPr>
        <w:t xml:space="preserve">a fusion rachidienne consiste à corriger la partie instable de la colonne vertébrale, par jonction de deux vertèbres ou plus, permettant ainsi de traiter les états dégénératifs, en empêchant le mouvement. La partie dégénérative du disque causant l’instabilité est retirée et des plaques ou tiges sont utilisées afin de joindre les vertèbres situées de part et d’autre du disque endommagé. Les implants de fusion les plus utilisés au niveau lombaire sont des implants connus sous le nom de vis tiges en arrière et en avant de cages, implants utilisés pour remplacer les disques endommagés et stabiliser la structure. Les cages sont remplies soit de petits fragments d’os placés dans les cages au moyen d’une greffe osseuse, et/ou d’autres substituts osseux (biomatériaux) </w:t>
      </w:r>
      <w:r w:rsidR="00A529B7" w:rsidRPr="00A529B7">
        <w:rPr>
          <w:szCs w:val="20"/>
        </w:rPr>
        <w:lastRenderedPageBreak/>
        <w:t>conçus pour assurer la croissance de l’os entre les deux vertèbres. Les deux vertèbres fusionnent effectivement avec les plaques ou tiges, supprimant tout mouvement dans ce segment moteur. Dans certains cas, la chirurgie de fusion rachidienne requiert non seulement l’ablation de la partie dégénérative du disque, mais également celle du corps vertébral dégénératif. Ce procédé, connu sous le nom de corpectomie, requiert l’insertion d’implant pour remplacer le corps vertébral endommagé et stabiliser la structure. En complément des cages, les implants de fusion sont aussi constitués de systèmes de fixation (tiges ou plaques). La voie postérieure est la plus fréquente mais différentes techniques par voie antérieure existent aussi.</w:t>
      </w:r>
    </w:p>
    <w:p w14:paraId="5313A896" w14:textId="77777777" w:rsidR="00A529B7" w:rsidRDefault="00A529B7" w:rsidP="00A529B7">
      <w:pPr>
        <w:rPr>
          <w:szCs w:val="20"/>
        </w:rPr>
      </w:pPr>
    </w:p>
    <w:p w14:paraId="0A0FB806" w14:textId="77777777" w:rsidR="00EB03FF" w:rsidRPr="00A529B7" w:rsidRDefault="00EB03FF" w:rsidP="00A529B7">
      <w:pPr>
        <w:rPr>
          <w:szCs w:val="20"/>
        </w:rPr>
      </w:pPr>
    </w:p>
    <w:p w14:paraId="34376B9E" w14:textId="77777777" w:rsidR="00A529B7" w:rsidRPr="00A529B7" w:rsidRDefault="00A529B7" w:rsidP="00C622C2">
      <w:pPr>
        <w:numPr>
          <w:ilvl w:val="0"/>
          <w:numId w:val="15"/>
        </w:numPr>
        <w:tabs>
          <w:tab w:val="clear" w:pos="1440"/>
          <w:tab w:val="num" w:pos="360"/>
        </w:tabs>
        <w:ind w:left="360"/>
        <w:rPr>
          <w:b/>
          <w:bCs/>
          <w:szCs w:val="20"/>
        </w:rPr>
      </w:pPr>
      <w:r w:rsidRPr="00A529B7">
        <w:rPr>
          <w:b/>
          <w:bCs/>
          <w:szCs w:val="20"/>
        </w:rPr>
        <w:t>Non Fusion rachidienne : 2% des interventions</w:t>
      </w:r>
    </w:p>
    <w:p w14:paraId="4D28602B" w14:textId="77777777" w:rsidR="00A529B7" w:rsidRPr="00A529B7" w:rsidRDefault="00A529B7" w:rsidP="00E57321">
      <w:pPr>
        <w:rPr>
          <w:szCs w:val="20"/>
        </w:rPr>
      </w:pPr>
      <w:r w:rsidRPr="00A529B7">
        <w:rPr>
          <w:b/>
          <w:szCs w:val="20"/>
        </w:rPr>
        <w:t>Stabilisation dynamique (non-fusion) :</w:t>
      </w:r>
      <w:r w:rsidRPr="00A529B7">
        <w:rPr>
          <w:szCs w:val="20"/>
        </w:rPr>
        <w:t xml:space="preserve"> les technologies de stabilisation dynamique dans la région lombaire de la colonne vertébrale sont conçues pour fournir une stabilisation, sans fusion des vertèbres, ce qui permet de conserver une certaine mobilité dans le segment moteur. Dans le cadre d’un procédé de stabilisation dynamique, un dispositif est fixé sur la colonne vertébrale pour aider à stabiliser le segment, tout en laissant les disques intervertébraux intacts. </w:t>
      </w:r>
    </w:p>
    <w:p w14:paraId="20FE2E4F" w14:textId="4732FCDA" w:rsidR="00A529B7" w:rsidRPr="00A529B7" w:rsidRDefault="00A529B7" w:rsidP="00E57321">
      <w:pPr>
        <w:rPr>
          <w:szCs w:val="20"/>
        </w:rPr>
      </w:pPr>
      <w:r w:rsidRPr="00A529B7">
        <w:rPr>
          <w:b/>
          <w:szCs w:val="20"/>
        </w:rPr>
        <w:t>Remplacement du disque</w:t>
      </w:r>
      <w:r w:rsidR="00A444F4">
        <w:rPr>
          <w:b/>
          <w:szCs w:val="20"/>
        </w:rPr>
        <w:t xml:space="preserve"> </w:t>
      </w:r>
      <w:r w:rsidR="00A26C49">
        <w:rPr>
          <w:b/>
          <w:szCs w:val="20"/>
        </w:rPr>
        <w:t>intervertébral</w:t>
      </w:r>
      <w:r w:rsidR="00A26C49" w:rsidRPr="00A529B7">
        <w:rPr>
          <w:b/>
          <w:szCs w:val="20"/>
        </w:rPr>
        <w:t xml:space="preserve"> :</w:t>
      </w:r>
      <w:r w:rsidRPr="00A529B7">
        <w:rPr>
          <w:szCs w:val="20"/>
        </w:rPr>
        <w:t xml:space="preserve"> les disques intervertébraux endommagés de la région lombaire ou cervicale peuvent être remplacés par des disques artificiels dans le cadre d’une procédure chirurgicale dénommée arthroplastie. Le remplacement de l’intégralité d’un disque intervertébral par un disque artificiel a pour finalité de restaurer la hauteur du disque anatomique, à l’image du rôle joué par la cage dans le cadre de la fusion </w:t>
      </w:r>
      <w:r w:rsidR="00A26C49" w:rsidRPr="00A529B7">
        <w:rPr>
          <w:szCs w:val="20"/>
        </w:rPr>
        <w:t>intervertébrale :</w:t>
      </w:r>
      <w:r w:rsidRPr="00A529B7">
        <w:rPr>
          <w:szCs w:val="20"/>
        </w:rPr>
        <w:t xml:space="preserve"> le disque intervertébral endommagé se trouve ainsi remplacé par un implant mobile. Ce procédé permet d’éviter le recours à la fusion des vertèbres associées, une meilleure mobilité du patient ainsi qu’une réduction de la dégénérescence des disques adjacents.</w:t>
      </w:r>
    </w:p>
    <w:p w14:paraId="6233CDC4" w14:textId="77777777" w:rsidR="00A529B7" w:rsidRPr="00A529B7" w:rsidRDefault="00A529B7" w:rsidP="00A70D60">
      <w:pPr>
        <w:rPr>
          <w:szCs w:val="20"/>
        </w:rPr>
      </w:pPr>
    </w:p>
    <w:p w14:paraId="19129AE5" w14:textId="0A1B215F" w:rsidR="00A70D60" w:rsidRPr="00A529B7" w:rsidRDefault="00022584" w:rsidP="00A70D60">
      <w:pPr>
        <w:pStyle w:val="Titre3"/>
        <w:rPr>
          <w:szCs w:val="20"/>
        </w:rPr>
      </w:pPr>
      <w:bookmarkStart w:id="120" w:name="_Ref469908713"/>
      <w:bookmarkStart w:id="121" w:name="_Toc475033185"/>
      <w:r>
        <w:rPr>
          <w:szCs w:val="20"/>
        </w:rPr>
        <w:t>5</w:t>
      </w:r>
      <w:r w:rsidR="00A70D60" w:rsidRPr="00A529B7">
        <w:rPr>
          <w:szCs w:val="20"/>
        </w:rPr>
        <w:t>.</w:t>
      </w:r>
      <w:r w:rsidR="00D1755C">
        <w:rPr>
          <w:szCs w:val="20"/>
        </w:rPr>
        <w:t>1</w:t>
      </w:r>
      <w:r w:rsidR="00A70D60" w:rsidRPr="00A529B7">
        <w:rPr>
          <w:szCs w:val="20"/>
        </w:rPr>
        <w:t>.2. Les produits conçus, développés et commercialisés par Spineway : les implants du rachis</w:t>
      </w:r>
      <w:bookmarkEnd w:id="120"/>
      <w:bookmarkEnd w:id="121"/>
      <w:r w:rsidR="00A70D60" w:rsidRPr="00A529B7">
        <w:rPr>
          <w:szCs w:val="20"/>
        </w:rPr>
        <w:t> </w:t>
      </w:r>
    </w:p>
    <w:p w14:paraId="2D4B83FD" w14:textId="77777777" w:rsidR="00A70D60" w:rsidRPr="00A529B7" w:rsidRDefault="00A70D60">
      <w:pPr>
        <w:jc w:val="left"/>
        <w:rPr>
          <w:szCs w:val="20"/>
        </w:rPr>
      </w:pPr>
    </w:p>
    <w:p w14:paraId="66E26EC5" w14:textId="77777777" w:rsidR="00A529B7" w:rsidRPr="00A529B7" w:rsidRDefault="00A529B7" w:rsidP="00A529B7">
      <w:pPr>
        <w:rPr>
          <w:szCs w:val="20"/>
        </w:rPr>
      </w:pPr>
      <w:r w:rsidRPr="00A529B7">
        <w:rPr>
          <w:szCs w:val="20"/>
        </w:rPr>
        <w:t xml:space="preserve">Depuis sa création en 2005, Spineway a démontré sa capacité à concevoir, développer et commercialiser en France et à l’international une large gamme d’implants utilisés dans la fusion rachidienne. </w:t>
      </w:r>
    </w:p>
    <w:p w14:paraId="787CCD71" w14:textId="44E5F498" w:rsidR="00A529B7" w:rsidRPr="00A529B7" w:rsidRDefault="003050CB" w:rsidP="00AD25AB">
      <w:pPr>
        <w:rPr>
          <w:szCs w:val="20"/>
        </w:rPr>
      </w:pPr>
      <w:r w:rsidRPr="00A529B7">
        <w:rPr>
          <w:szCs w:val="20"/>
        </w:rPr>
        <w:t xml:space="preserve">La Société estime aujourd’hui que son portefeuille de produits couvre environ </w:t>
      </w:r>
      <w:r>
        <w:rPr>
          <w:szCs w:val="20"/>
        </w:rPr>
        <w:t>9</w:t>
      </w:r>
      <w:r w:rsidRPr="00A529B7">
        <w:rPr>
          <w:szCs w:val="20"/>
        </w:rPr>
        <w:t>0% des</w:t>
      </w:r>
      <w:r>
        <w:rPr>
          <w:szCs w:val="20"/>
        </w:rPr>
        <w:t xml:space="preserve"> type d’implants du rachis couramment utilisés par les chirurgiens au plan mondial</w:t>
      </w:r>
      <w:r w:rsidRPr="00A529B7">
        <w:rPr>
          <w:szCs w:val="20"/>
        </w:rPr>
        <w:t>.</w:t>
      </w:r>
    </w:p>
    <w:p w14:paraId="65364D8E" w14:textId="77777777" w:rsidR="00280C8F" w:rsidRPr="00B97AEC" w:rsidRDefault="00A529B7" w:rsidP="000B2445">
      <w:pPr>
        <w:rPr>
          <w:szCs w:val="20"/>
        </w:rPr>
      </w:pPr>
      <w:r w:rsidRPr="00B97AEC">
        <w:rPr>
          <w:szCs w:val="20"/>
        </w:rPr>
        <w:t>L’offre de pro</w:t>
      </w:r>
      <w:r w:rsidR="00280C8F" w:rsidRPr="00B97AEC">
        <w:rPr>
          <w:szCs w:val="20"/>
        </w:rPr>
        <w:t xml:space="preserve">duits développés par la Société, </w:t>
      </w:r>
      <w:r w:rsidRPr="00B97AEC">
        <w:rPr>
          <w:szCs w:val="20"/>
        </w:rPr>
        <w:t xml:space="preserve">historiquement centrée sur la fourniture de produits </w:t>
      </w:r>
      <w:r w:rsidR="00611C16" w:rsidRPr="00B97AEC">
        <w:rPr>
          <w:i/>
          <w:iCs/>
          <w:szCs w:val="20"/>
        </w:rPr>
        <w:t>G</w:t>
      </w:r>
      <w:r w:rsidRPr="00B97AEC">
        <w:rPr>
          <w:i/>
          <w:iCs/>
          <w:szCs w:val="20"/>
        </w:rPr>
        <w:t xml:space="preserve">old </w:t>
      </w:r>
      <w:r w:rsidR="00611C16" w:rsidRPr="00976300">
        <w:rPr>
          <w:i/>
          <w:iCs/>
          <w:szCs w:val="20"/>
        </w:rPr>
        <w:t>S</w:t>
      </w:r>
      <w:r w:rsidRPr="00976300">
        <w:rPr>
          <w:i/>
          <w:iCs/>
          <w:szCs w:val="20"/>
        </w:rPr>
        <w:t>tandard</w:t>
      </w:r>
      <w:r w:rsidRPr="00976300">
        <w:rPr>
          <w:i/>
          <w:szCs w:val="20"/>
        </w:rPr>
        <w:t> </w:t>
      </w:r>
      <w:r w:rsidR="00280C8F" w:rsidRPr="00B97AEC">
        <w:rPr>
          <w:szCs w:val="20"/>
        </w:rPr>
        <w:t>(</w:t>
      </w:r>
      <w:r w:rsidR="000B2445" w:rsidRPr="00B97AEC">
        <w:rPr>
          <w:szCs w:val="20"/>
        </w:rPr>
        <w:t xml:space="preserve">lesquels correspondent </w:t>
      </w:r>
      <w:r w:rsidRPr="00B97AEC">
        <w:rPr>
          <w:szCs w:val="20"/>
        </w:rPr>
        <w:t>aux besoins bien identifiés des marchés internationaux</w:t>
      </w:r>
      <w:r w:rsidR="000B2445" w:rsidRPr="00B97AEC">
        <w:rPr>
          <w:szCs w:val="20"/>
        </w:rPr>
        <w:t xml:space="preserve">, à des produits d’ores et déjà disponibles sur le marché </w:t>
      </w:r>
      <w:r w:rsidR="0093228C" w:rsidRPr="00B97AEC">
        <w:rPr>
          <w:szCs w:val="20"/>
        </w:rPr>
        <w:t>lesquels</w:t>
      </w:r>
      <w:r w:rsidR="000B2445" w:rsidRPr="00B97AEC">
        <w:rPr>
          <w:szCs w:val="20"/>
        </w:rPr>
        <w:t xml:space="preserve"> sont utilisables immédiatement</w:t>
      </w:r>
      <w:r w:rsidR="00280C8F" w:rsidRPr="00B97AEC">
        <w:rPr>
          <w:szCs w:val="20"/>
        </w:rPr>
        <w:t xml:space="preserve">) est désormais repositionnée sur des produits </w:t>
      </w:r>
      <w:r w:rsidR="00280C8F" w:rsidRPr="005B42F0">
        <w:rPr>
          <w:i/>
          <w:szCs w:val="20"/>
        </w:rPr>
        <w:t>Premium</w:t>
      </w:r>
      <w:r w:rsidR="00280C8F" w:rsidRPr="00B97AEC">
        <w:rPr>
          <w:szCs w:val="20"/>
        </w:rPr>
        <w:t xml:space="preserve"> (répondant aux plus hautes exigences existant sur le marché)</w:t>
      </w:r>
      <w:r w:rsidR="000B2445" w:rsidRPr="00B97AEC">
        <w:rPr>
          <w:szCs w:val="20"/>
        </w:rPr>
        <w:t xml:space="preserve">. </w:t>
      </w:r>
    </w:p>
    <w:p w14:paraId="18780453" w14:textId="004DF1DC" w:rsidR="000B2445" w:rsidRDefault="00280C8F" w:rsidP="000B2445">
      <w:pPr>
        <w:rPr>
          <w:szCs w:val="20"/>
        </w:rPr>
      </w:pPr>
      <w:r>
        <w:rPr>
          <w:szCs w:val="20"/>
        </w:rPr>
        <w:t>Les</w:t>
      </w:r>
      <w:r w:rsidR="00277EFE" w:rsidRPr="00B52D4F">
        <w:rPr>
          <w:szCs w:val="20"/>
        </w:rPr>
        <w:t xml:space="preserve"> produits innovants </w:t>
      </w:r>
      <w:r w:rsidR="00277EFE">
        <w:rPr>
          <w:szCs w:val="20"/>
        </w:rPr>
        <w:t xml:space="preserve">développés par Spineway </w:t>
      </w:r>
      <w:r w:rsidR="00277EFE" w:rsidRPr="00B52D4F">
        <w:rPr>
          <w:szCs w:val="20"/>
        </w:rPr>
        <w:t>sont différenci</w:t>
      </w:r>
      <w:r w:rsidR="00277EFE">
        <w:rPr>
          <w:szCs w:val="20"/>
        </w:rPr>
        <w:t>és sur le plan de la séquence d’utilisation des instruments (technique opératoire), et</w:t>
      </w:r>
      <w:r w:rsidR="00277EFE" w:rsidRPr="00B52D4F">
        <w:rPr>
          <w:szCs w:val="20"/>
        </w:rPr>
        <w:t xml:space="preserve"> nécessitent une </w:t>
      </w:r>
      <w:r w:rsidR="00277EFE">
        <w:rPr>
          <w:szCs w:val="20"/>
        </w:rPr>
        <w:t>in</w:t>
      </w:r>
      <w:r w:rsidR="00277EFE" w:rsidRPr="00B52D4F">
        <w:rPr>
          <w:szCs w:val="20"/>
        </w:rPr>
        <w:t xml:space="preserve">formation plus </w:t>
      </w:r>
      <w:r w:rsidR="00277EFE">
        <w:rPr>
          <w:szCs w:val="20"/>
        </w:rPr>
        <w:t>détaillée (Cf. paragraphes « </w:t>
      </w:r>
      <w:r w:rsidR="00277EFE">
        <w:rPr>
          <w:szCs w:val="20"/>
        </w:rPr>
        <w:fldChar w:fldCharType="begin"/>
      </w:r>
      <w:r w:rsidR="00277EFE">
        <w:rPr>
          <w:szCs w:val="20"/>
        </w:rPr>
        <w:instrText xml:space="preserve"> REF _Ref372883319 \h </w:instrText>
      </w:r>
      <w:r w:rsidR="00277EFE">
        <w:rPr>
          <w:szCs w:val="20"/>
        </w:rPr>
      </w:r>
      <w:r w:rsidR="00277EFE">
        <w:rPr>
          <w:szCs w:val="20"/>
        </w:rPr>
        <w:fldChar w:fldCharType="separate"/>
      </w:r>
      <w:r w:rsidR="003A0AD1">
        <w:t xml:space="preserve">5.1.3.4. </w:t>
      </w:r>
      <w:r w:rsidR="003A0AD1" w:rsidRPr="00AD71B5">
        <w:t xml:space="preserve">La </w:t>
      </w:r>
      <w:r w:rsidR="003A0AD1">
        <w:t>distribution</w:t>
      </w:r>
      <w:r w:rsidR="003A0AD1" w:rsidRPr="00AD71B5">
        <w:t xml:space="preserve"> des produits</w:t>
      </w:r>
      <w:r w:rsidR="00277EFE">
        <w:rPr>
          <w:szCs w:val="20"/>
        </w:rPr>
        <w:fldChar w:fldCharType="end"/>
      </w:r>
      <w:r w:rsidR="00277EFE">
        <w:rPr>
          <w:szCs w:val="20"/>
        </w:rPr>
        <w:t xml:space="preserve"> » </w:t>
      </w:r>
      <w:r w:rsidR="000C10EB">
        <w:rPr>
          <w:szCs w:val="20"/>
        </w:rPr>
        <w:t xml:space="preserve">du </w:t>
      </w:r>
      <w:r w:rsidR="00920DEB">
        <w:rPr>
          <w:szCs w:val="20"/>
        </w:rPr>
        <w:t>Document d’enregistrement universel</w:t>
      </w:r>
      <w:r w:rsidR="00277EFE">
        <w:rPr>
          <w:szCs w:val="20"/>
        </w:rPr>
        <w:t>)</w:t>
      </w:r>
      <w:r w:rsidR="00277EFE" w:rsidRPr="00B52D4F">
        <w:rPr>
          <w:szCs w:val="20"/>
        </w:rPr>
        <w:t>.</w:t>
      </w:r>
    </w:p>
    <w:p w14:paraId="50423F02" w14:textId="77777777" w:rsidR="000B2445" w:rsidRDefault="000B2445" w:rsidP="00A529B7">
      <w:pPr>
        <w:rPr>
          <w:szCs w:val="20"/>
        </w:rPr>
      </w:pPr>
    </w:p>
    <w:p w14:paraId="09EB607D" w14:textId="2B686F69" w:rsidR="00A529B7" w:rsidRPr="00A529B7" w:rsidRDefault="000B2445" w:rsidP="00A529B7">
      <w:pPr>
        <w:rPr>
          <w:szCs w:val="20"/>
        </w:rPr>
      </w:pPr>
      <w:r>
        <w:rPr>
          <w:szCs w:val="20"/>
        </w:rPr>
        <w:t xml:space="preserve">Les produits </w:t>
      </w:r>
      <w:r w:rsidRPr="0012290E">
        <w:rPr>
          <w:i/>
          <w:iCs/>
          <w:szCs w:val="20"/>
        </w:rPr>
        <w:t>Gold Standard</w:t>
      </w:r>
      <w:r w:rsidRPr="0012290E">
        <w:rPr>
          <w:szCs w:val="20"/>
        </w:rPr>
        <w:t xml:space="preserve"> </w:t>
      </w:r>
      <w:r w:rsidR="00A529B7" w:rsidRPr="0012290E">
        <w:rPr>
          <w:szCs w:val="20"/>
        </w:rPr>
        <w:t>sont regroupés en 5 grandes</w:t>
      </w:r>
      <w:r w:rsidR="00A529B7" w:rsidRPr="00A529B7">
        <w:rPr>
          <w:szCs w:val="20"/>
        </w:rPr>
        <w:t xml:space="preserve"> familles. </w:t>
      </w:r>
    </w:p>
    <w:p w14:paraId="478A8997" w14:textId="77777777" w:rsidR="00A529B7" w:rsidRPr="00A529B7" w:rsidRDefault="00A529B7" w:rsidP="00AD25AB">
      <w:pPr>
        <w:rPr>
          <w:szCs w:val="20"/>
        </w:rPr>
      </w:pPr>
    </w:p>
    <w:p w14:paraId="0EF9258F" w14:textId="5FD86A8C" w:rsidR="00A529B7" w:rsidRDefault="00A529B7" w:rsidP="00C622C2">
      <w:pPr>
        <w:pStyle w:val="Paragraphedeliste"/>
        <w:numPr>
          <w:ilvl w:val="0"/>
          <w:numId w:val="32"/>
        </w:numPr>
        <w:rPr>
          <w:b/>
          <w:szCs w:val="20"/>
        </w:rPr>
      </w:pPr>
      <w:r w:rsidRPr="00E57321">
        <w:rPr>
          <w:b/>
          <w:szCs w:val="20"/>
        </w:rPr>
        <w:t>Les familles de produits :</w:t>
      </w:r>
    </w:p>
    <w:p w14:paraId="650B7DE3" w14:textId="77777777" w:rsidR="00A21D7C" w:rsidRPr="00A21D7C" w:rsidRDefault="00A21D7C" w:rsidP="00A21D7C">
      <w:pPr>
        <w:rPr>
          <w:b/>
          <w:szCs w:val="20"/>
        </w:rPr>
      </w:pPr>
    </w:p>
    <w:p w14:paraId="4CB4F75F" w14:textId="2871153B" w:rsidR="00AD25AB" w:rsidRDefault="009B634D" w:rsidP="00AD25AB">
      <w:pPr>
        <w:rPr>
          <w:szCs w:val="20"/>
        </w:rPr>
      </w:pPr>
      <w:r w:rsidRPr="005B42F0">
        <w:rPr>
          <w:noProof/>
          <w:szCs w:val="20"/>
        </w:rPr>
        <mc:AlternateContent>
          <mc:Choice Requires="wps">
            <w:drawing>
              <wp:anchor distT="0" distB="0" distL="114300" distR="114300" simplePos="0" relativeHeight="251670577" behindDoc="0" locked="0" layoutInCell="1" allowOverlap="1" wp14:anchorId="15482DEF" wp14:editId="5C1DE5EC">
                <wp:simplePos x="0" y="0"/>
                <wp:positionH relativeFrom="column">
                  <wp:posOffset>3886200</wp:posOffset>
                </wp:positionH>
                <wp:positionV relativeFrom="paragraph">
                  <wp:posOffset>6985</wp:posOffset>
                </wp:positionV>
                <wp:extent cx="2171700" cy="1257300"/>
                <wp:effectExtent l="0" t="0" r="0" b="12700"/>
                <wp:wrapSquare wrapText="bothSides"/>
                <wp:docPr id="93" name="Zone de texte 93"/>
                <wp:cNvGraphicFramePr/>
                <a:graphic xmlns:a="http://schemas.openxmlformats.org/drawingml/2006/main">
                  <a:graphicData uri="http://schemas.microsoft.com/office/word/2010/wordprocessingShape">
                    <wps:wsp>
                      <wps:cNvSpPr txBox="1"/>
                      <wps:spPr>
                        <a:xfrm>
                          <a:off x="0" y="0"/>
                          <a:ext cx="2171700" cy="12573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AC9E62B" w14:textId="77777777" w:rsidR="000511BB" w:rsidRDefault="000511BB" w:rsidP="009B634D">
                            <w:pPr>
                              <w:rPr>
                                <w:szCs w:val="20"/>
                              </w:rPr>
                            </w:pPr>
                            <w:r w:rsidRPr="00A529B7">
                              <w:rPr>
                                <w:b/>
                                <w:bCs/>
                                <w:szCs w:val="20"/>
                              </w:rPr>
                              <w:t>Cages intersomatiques</w:t>
                            </w:r>
                            <w:r w:rsidRPr="00A529B7">
                              <w:rPr>
                                <w:szCs w:val="20"/>
                              </w:rPr>
                              <w:t xml:space="preserve"> en matériau composite PEEK by Invibio : </w:t>
                            </w:r>
                          </w:p>
                          <w:p w14:paraId="0E8FEB72" w14:textId="54D9C86A" w:rsidR="000511BB" w:rsidRDefault="000511BB" w:rsidP="009B634D">
                            <w:r>
                              <w:t xml:space="preserve">Cages intersomatiques cervicales Ayers Rock, </w:t>
                            </w:r>
                          </w:p>
                          <w:p w14:paraId="18FB94A1" w14:textId="1B383CB5" w:rsidR="000511BB" w:rsidRDefault="000511BB" w:rsidP="009B634D">
                            <w:r>
                              <w:t>Cages intersomatiques lombaires (Twin Peaks, Kili-brevet)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0,0l0,21600,21600,21600,21600,0xe">
                <v:stroke joinstyle="miter"/>
                <v:path gradientshapeok="t" o:connecttype="rect"/>
              </v:shapetype>
              <v:shape id="Zone de texte 93" o:spid="_x0000_s1028" type="#_x0000_t202" style="position:absolute;left:0;text-align:left;margin-left:306pt;margin-top:.55pt;width:171pt;height:99pt;z-index:25167057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" filled="f" stroked="f">
                <v:textbox>
                  <w:txbxContent>
                    <w:p w14:paraId="5AC9E62B" w14:textId="77777777" w:rsidR="000511BB" w:rsidRDefault="000511BB" w:rsidP="009B634D">
                      <w:pPr>
                        <w:rPr>
                          <w:szCs w:val="20"/>
                        </w:rPr>
                      </w:pPr>
                      <w:r w:rsidRPr="00A529B7">
                        <w:rPr>
                          <w:b/>
                          <w:bCs/>
                          <w:szCs w:val="20"/>
                        </w:rPr>
                        <w:t>Cages intersomatiques</w:t>
                      </w:r>
                      <w:r w:rsidRPr="00A529B7">
                        <w:rPr>
                          <w:szCs w:val="20"/>
                        </w:rPr>
                        <w:t xml:space="preserve"> en matériau composite PEEK by Invibio : </w:t>
                      </w:r>
                    </w:p>
                    <w:p w14:paraId="0E8FEB72" w14:textId="54D9C86A" w:rsidR="000511BB" w:rsidRDefault="000511BB" w:rsidP="009B634D">
                      <w:r>
                        <w:t xml:space="preserve">Cages intersomatiques cervicales Ayers Rock, </w:t>
                      </w:r>
                    </w:p>
                    <w:p w14:paraId="18FB94A1" w14:textId="1B383CB5" w:rsidR="000511BB" w:rsidRDefault="000511BB" w:rsidP="009B634D">
                      <w:r>
                        <w:t>Cages intersomatiques lombaires (Twin Peaks, Kili-brevet)</w:t>
                      </w:r>
                    </w:p>
                  </w:txbxContent>
                </v:textbox>
                <w10:wrap type="square"/>
              </v:shape>
            </w:pict>
          </mc:Fallback>
        </mc:AlternateContent>
      </w:r>
    </w:p>
    <w:p w14:paraId="2A7FEFDD" w14:textId="335480BC" w:rsidR="009B634D" w:rsidRDefault="009B634D" w:rsidP="00AD25AB">
      <w:pPr>
        <w:rPr>
          <w:szCs w:val="20"/>
        </w:rPr>
      </w:pPr>
      <w:r w:rsidRPr="005B42F0">
        <w:rPr>
          <w:noProof/>
          <w:szCs w:val="20"/>
        </w:rPr>
        <w:drawing>
          <wp:inline distT="0" distB="0" distL="0" distR="0" wp14:anchorId="4BDB793F" wp14:editId="3DC754A2">
            <wp:extent cx="3570894" cy="982980"/>
            <wp:effectExtent l="0" t="0" r="10795" b="7620"/>
            <wp:docPr id="9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572681" cy="983472"/>
                    </a:xfrm>
                    <a:prstGeom prst="rect">
                      <a:avLst/>
                    </a:prstGeom>
                    <a:noFill/>
                    <a:ln>
                      <a:noFill/>
                    </a:ln>
                  </pic:spPr>
                </pic:pic>
              </a:graphicData>
            </a:graphic>
          </wp:inline>
        </w:drawing>
      </w:r>
    </w:p>
    <w:p w14:paraId="0921AA4F" w14:textId="77777777" w:rsidR="009B634D" w:rsidRPr="00A529B7" w:rsidRDefault="009B634D" w:rsidP="00AD25AB">
      <w:pPr>
        <w:rPr>
          <w:szCs w:val="20"/>
        </w:rPr>
      </w:pPr>
    </w:p>
    <w:tbl>
      <w:tblPr>
        <w:tblW w:w="3988" w:type="dxa"/>
        <w:tblLook w:val="01E0" w:firstRow="1" w:lastRow="1" w:firstColumn="1" w:lastColumn="1" w:noHBand="0" w:noVBand="0"/>
      </w:tblPr>
      <w:tblGrid>
        <w:gridCol w:w="3988"/>
      </w:tblGrid>
      <w:tr w:rsidR="009B634D" w:rsidRPr="00A529B7" w14:paraId="25371655" w14:textId="77777777" w:rsidTr="00A21D7C">
        <w:tc>
          <w:tcPr>
            <w:tcW w:w="3988" w:type="dxa"/>
            <w:shd w:val="clear" w:color="auto" w:fill="auto"/>
          </w:tcPr>
          <w:p w14:paraId="5582E4AE" w14:textId="654A6CA6" w:rsidR="009B634D" w:rsidRPr="00A529B7" w:rsidRDefault="009B634D" w:rsidP="00BE3BB4"/>
        </w:tc>
      </w:tr>
    </w:tbl>
    <w:p w14:paraId="22BCE0D8" w14:textId="04BEA289" w:rsidR="00EB03FF" w:rsidRDefault="00A21D7C">
      <w:pPr>
        <w:jc w:val="left"/>
      </w:pPr>
      <w:r>
        <w:rPr>
          <w:noProof/>
        </w:rPr>
        <mc:AlternateContent>
          <mc:Choice Requires="wps">
            <w:drawing>
              <wp:anchor distT="0" distB="0" distL="114300" distR="114300" simplePos="0" relativeHeight="251671601" behindDoc="0" locked="0" layoutInCell="1" allowOverlap="1" wp14:anchorId="55DD8055" wp14:editId="3C808311">
                <wp:simplePos x="0" y="0"/>
                <wp:positionH relativeFrom="column">
                  <wp:posOffset>800100</wp:posOffset>
                </wp:positionH>
                <wp:positionV relativeFrom="paragraph">
                  <wp:posOffset>231775</wp:posOffset>
                </wp:positionV>
                <wp:extent cx="1828800" cy="685800"/>
                <wp:effectExtent l="0" t="0" r="0" b="0"/>
                <wp:wrapSquare wrapText="bothSides"/>
                <wp:docPr id="94" name="Zone de texte 94"/>
                <wp:cNvGraphicFramePr/>
                <a:graphic xmlns:a="http://schemas.openxmlformats.org/drawingml/2006/main">
                  <a:graphicData uri="http://schemas.microsoft.com/office/word/2010/wordprocessingShape">
                    <wps:wsp>
                      <wps:cNvSpPr txBox="1"/>
                      <wps:spPr>
                        <a:xfrm>
                          <a:off x="0" y="0"/>
                          <a:ext cx="1828800" cy="6858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9856D14" w14:textId="77777777" w:rsidR="000511BB" w:rsidRDefault="000511BB" w:rsidP="009B634D">
                            <w:pPr>
                              <w:ind w:left="-108"/>
                              <w:rPr>
                                <w:szCs w:val="20"/>
                              </w:rPr>
                            </w:pPr>
                          </w:p>
                          <w:p w14:paraId="2EB653FC" w14:textId="0BF5550C" w:rsidR="000511BB" w:rsidRDefault="000511BB" w:rsidP="009B634D">
                            <w:pPr>
                              <w:ind w:left="-108"/>
                            </w:pPr>
                            <w:r>
                              <w:t>Plaque cervicale Blue Mountain et ses vis de fixation</w:t>
                            </w:r>
                          </w:p>
                          <w:p w14:paraId="76EDFB53" w14:textId="77777777" w:rsidR="000511BB" w:rsidRDefault="000511B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94" o:spid="_x0000_s1029" type="#_x0000_t202" style="position:absolute;margin-left:63pt;margin-top:18.25pt;width:2in;height:54pt;z-index:25167160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" filled="f" stroked="f">
                <v:textbox>
                  <w:txbxContent>
                    <w:p w14:paraId="19856D14" w14:textId="77777777" w:rsidR="000511BB" w:rsidRDefault="000511BB" w:rsidP="009B634D">
                      <w:pPr>
                        <w:ind w:left="-108"/>
                        <w:rPr>
                          <w:szCs w:val="20"/>
                        </w:rPr>
                      </w:pPr>
                    </w:p>
                    <w:p w14:paraId="2EB653FC" w14:textId="0BF5550C" w:rsidR="000511BB" w:rsidRDefault="000511BB" w:rsidP="009B634D">
                      <w:pPr>
                        <w:ind w:left="-108"/>
                      </w:pPr>
                      <w:r>
                        <w:t>Plaque cervicale Blue Mountain et ses vis de fixation</w:t>
                      </w:r>
                    </w:p>
                    <w:p w14:paraId="76EDFB53" w14:textId="77777777" w:rsidR="000511BB" w:rsidRDefault="000511BB"/>
                  </w:txbxContent>
                </v:textbox>
                <w10:wrap type="square"/>
              </v:shape>
            </w:pict>
          </mc:Fallback>
        </mc:AlternateContent>
      </w:r>
      <w:r w:rsidR="009B634D">
        <w:rPr>
          <w:noProof/>
        </w:rPr>
        <mc:AlternateContent>
          <mc:Choice Requires="wps">
            <w:drawing>
              <wp:anchor distT="0" distB="0" distL="114300" distR="114300" simplePos="0" relativeHeight="251672625" behindDoc="0" locked="0" layoutInCell="1" allowOverlap="1" wp14:anchorId="7C3495DC" wp14:editId="206E0B5B">
                <wp:simplePos x="0" y="0"/>
                <wp:positionH relativeFrom="column">
                  <wp:posOffset>3314700</wp:posOffset>
                </wp:positionH>
                <wp:positionV relativeFrom="paragraph">
                  <wp:posOffset>117475</wp:posOffset>
                </wp:positionV>
                <wp:extent cx="1828800" cy="1028700"/>
                <wp:effectExtent l="0" t="0" r="0" b="12700"/>
                <wp:wrapSquare wrapText="bothSides"/>
                <wp:docPr id="95" name="Zone de texte 95"/>
                <wp:cNvGraphicFramePr/>
                <a:graphic xmlns:a="http://schemas.openxmlformats.org/drawingml/2006/main">
                  <a:graphicData uri="http://schemas.microsoft.com/office/word/2010/wordprocessingShape">
                    <wps:wsp>
                      <wps:cNvSpPr txBox="1"/>
                      <wps:spPr>
                        <a:xfrm>
                          <a:off x="0" y="0"/>
                          <a:ext cx="1828800" cy="10287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2439B2B" w14:textId="77777777" w:rsidR="000511BB" w:rsidRPr="00A529B7" w:rsidRDefault="000511BB" w:rsidP="009B634D">
                            <w:pPr>
                              <w:ind w:left="638"/>
                            </w:pPr>
                            <w:r>
                              <w:rPr>
                                <w:noProof/>
                              </w:rPr>
                              <w:drawing>
                                <wp:inline distT="0" distB="0" distL="0" distR="0" wp14:anchorId="4F088FD4" wp14:editId="1682868B">
                                  <wp:extent cx="614045" cy="564609"/>
                                  <wp:effectExtent l="0" t="0" r="0" b="0"/>
                                  <wp:docPr id="110" name="Image 110" descr="Macintosh HD:Users:CBN:Desktop:pl_BM-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7"/>
                                          <pic:cNvPicPr/>
                                        </pic:nvPicPr>
                                        <pic:blipFill>
                                          <a:blip r:embed="rId31">
                                            <a:extLst>
                                              <a:ext uri="{28A0092B-C50C-407E-A947-70E740481C1C}">
                                                <a14:useLocalDpi xmlns:a14="http://schemas.microsoft.com/office/drawing/2010/main" val="0"/>
                                              </a:ext>
                                            </a:extLst>
                                          </a:blip>
                                          <a:stretch>
                                            <a:fillRect/>
                                          </a:stretch>
                                        </pic:blipFill>
                                        <pic:spPr>
                                          <a:xfrm>
                                            <a:off x="0" y="0"/>
                                            <a:ext cx="614045" cy="564609"/>
                                          </a:xfrm>
                                          <a:prstGeom prst="rect">
                                            <a:avLst/>
                                          </a:prstGeom>
                                        </pic:spPr>
                                      </pic:pic>
                                    </a:graphicData>
                                  </a:graphic>
                                </wp:inline>
                              </w:drawing>
                            </w:r>
                            <w:r>
                              <w:t xml:space="preserve">    </w:t>
                            </w:r>
                          </w:p>
                          <w:p w14:paraId="16A48B2D" w14:textId="77777777" w:rsidR="000511BB" w:rsidRDefault="000511BB" w:rsidP="009B634D">
                            <w:pPr>
                              <w:rPr>
                                <w:b/>
                                <w:bCs/>
                                <w:color w:val="4F81BD" w:themeColor="accent1"/>
                              </w:rPr>
                            </w:pPr>
                            <w:r>
                              <w:rPr>
                                <w:b/>
                                <w:bCs/>
                                <w:color w:val="4F81BD" w:themeColor="accent1"/>
                                <w:sz w:val="16"/>
                                <w:szCs w:val="16"/>
                              </w:rPr>
                              <w:t xml:space="preserve">               </w:t>
                            </w:r>
                            <w:r w:rsidRPr="003A65B2">
                              <w:rPr>
                                <w:b/>
                                <w:bCs/>
                                <w:color w:val="4F81BD" w:themeColor="accent1"/>
                                <w:sz w:val="16"/>
                                <w:szCs w:val="16"/>
                              </w:rPr>
                              <w:t>BLUE MOUNTAIN</w:t>
                            </w:r>
                            <w:r w:rsidRPr="54FDD3F0">
                              <w:rPr>
                                <w:b/>
                                <w:bCs/>
                                <w:color w:val="4F81BD" w:themeColor="accent1"/>
                              </w:rPr>
                              <w:t xml:space="preserve">   </w:t>
                            </w:r>
                          </w:p>
                          <w:p w14:paraId="6CDA8C07" w14:textId="417C0CEC" w:rsidR="000511BB" w:rsidRDefault="000511BB" w:rsidP="009B634D">
                            <w:r>
                              <w:rPr>
                                <w:i/>
                                <w:iCs/>
                                <w:sz w:val="16"/>
                                <w:szCs w:val="16"/>
                              </w:rPr>
                              <w:t xml:space="preserve">               </w:t>
                            </w:r>
                            <w:r w:rsidRPr="003A65B2">
                              <w:rPr>
                                <w:i/>
                                <w:iCs/>
                                <w:sz w:val="16"/>
                                <w:szCs w:val="16"/>
                              </w:rPr>
                              <w:t>Plaque cervicale</w:t>
                            </w:r>
                            <w:r w:rsidRPr="54FDD3F0">
                              <w:rPr>
                                <w:i/>
                                <w:iCs/>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Zone de texte 95" o:spid="_x0000_s1030" type="#_x0000_t202" style="position:absolute;margin-left:261pt;margin-top:9.25pt;width:2in;height:81pt;z-index:251672625;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" filled="f" stroked="f">
                <v:textbox>
                  <w:txbxContent>
                    <w:p w14:paraId="22439B2B" w14:textId="77777777" w:rsidR="000511BB" w:rsidRPr="00A529B7" w:rsidRDefault="000511BB" w:rsidP="009B634D">
                      <w:pPr>
                        <w:ind w:left="638"/>
                      </w:pPr>
                      <w:r>
                        <w:rPr>
                          <w:noProof/>
                        </w:rPr>
                        <w:drawing>
                          <wp:inline distT="0" distB="0" distL="0" distR="0" wp14:anchorId="4F088FD4" wp14:editId="1682868B">
                            <wp:extent cx="614045" cy="564609"/>
                            <wp:effectExtent l="0" t="0" r="0" b="0"/>
                            <wp:docPr id="110" name="Image 110" descr="Macintosh HD:Users:CBN:Desktop:pl_BM-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7"/>
                                    <pic:cNvPicPr/>
                                  </pic:nvPicPr>
                                  <pic:blipFill>
                                    <a:blip r:embed="rId31">
                                      <a:extLst>
                                        <a:ext uri="{28A0092B-C50C-407E-A947-70E740481C1C}">
                                          <a14:useLocalDpi xmlns:a14="http://schemas.microsoft.com/office/drawing/2010/main" val="0"/>
                                        </a:ext>
                                      </a:extLst>
                                    </a:blip>
                                    <a:stretch>
                                      <a:fillRect/>
                                    </a:stretch>
                                  </pic:blipFill>
                                  <pic:spPr>
                                    <a:xfrm>
                                      <a:off x="0" y="0"/>
                                      <a:ext cx="614045" cy="564609"/>
                                    </a:xfrm>
                                    <a:prstGeom prst="rect">
                                      <a:avLst/>
                                    </a:prstGeom>
                                  </pic:spPr>
                                </pic:pic>
                              </a:graphicData>
                            </a:graphic>
                          </wp:inline>
                        </w:drawing>
                      </w:r>
                      <w:r>
                        <w:t xml:space="preserve">    </w:t>
                      </w:r>
                    </w:p>
                    <w:p w14:paraId="16A48B2D" w14:textId="77777777" w:rsidR="000511BB" w:rsidRDefault="000511BB" w:rsidP="009B634D">
                      <w:pPr>
                        <w:rPr>
                          <w:b/>
                          <w:bCs/>
                          <w:color w:val="4F81BD" w:themeColor="accent1"/>
                        </w:rPr>
                      </w:pPr>
                      <w:r>
                        <w:rPr>
                          <w:b/>
                          <w:bCs/>
                          <w:color w:val="4F81BD" w:themeColor="accent1"/>
                          <w:sz w:val="16"/>
                          <w:szCs w:val="16"/>
                        </w:rPr>
                        <w:t xml:space="preserve">               </w:t>
                      </w:r>
                      <w:r w:rsidRPr="003A65B2">
                        <w:rPr>
                          <w:b/>
                          <w:bCs/>
                          <w:color w:val="4F81BD" w:themeColor="accent1"/>
                          <w:sz w:val="16"/>
                          <w:szCs w:val="16"/>
                        </w:rPr>
                        <w:t>BLUE MOUNTAIN</w:t>
                      </w:r>
                      <w:r w:rsidRPr="54FDD3F0">
                        <w:rPr>
                          <w:b/>
                          <w:bCs/>
                          <w:color w:val="4F81BD" w:themeColor="accent1"/>
                        </w:rPr>
                        <w:t xml:space="preserve">   </w:t>
                      </w:r>
                    </w:p>
                    <w:p w14:paraId="6CDA8C07" w14:textId="417C0CEC" w:rsidR="000511BB" w:rsidRDefault="000511BB" w:rsidP="009B634D">
                      <w:r>
                        <w:rPr>
                          <w:i/>
                          <w:iCs/>
                          <w:sz w:val="16"/>
                          <w:szCs w:val="16"/>
                        </w:rPr>
                        <w:t xml:space="preserve">               </w:t>
                      </w:r>
                      <w:r w:rsidRPr="003A65B2">
                        <w:rPr>
                          <w:i/>
                          <w:iCs/>
                          <w:sz w:val="16"/>
                          <w:szCs w:val="16"/>
                        </w:rPr>
                        <w:t>Plaque cervicale</w:t>
                      </w:r>
                      <w:r w:rsidRPr="54FDD3F0">
                        <w:rPr>
                          <w:i/>
                          <w:iCs/>
                        </w:rPr>
                        <w:t xml:space="preserve">      </w:t>
                      </w:r>
                    </w:p>
                  </w:txbxContent>
                </v:textbox>
                <w10:wrap type="square"/>
              </v:shape>
            </w:pict>
          </mc:Fallback>
        </mc:AlternateContent>
      </w:r>
    </w:p>
    <w:tbl>
      <w:tblPr>
        <w:tblW w:w="5330" w:type="dxa"/>
        <w:tblLook w:val="01E0" w:firstRow="1" w:lastRow="1" w:firstColumn="1" w:lastColumn="1" w:noHBand="0" w:noVBand="0"/>
      </w:tblPr>
      <w:tblGrid>
        <w:gridCol w:w="5330"/>
      </w:tblGrid>
      <w:tr w:rsidR="009B634D" w:rsidRPr="00A529B7" w14:paraId="327C931D" w14:textId="77777777" w:rsidTr="00A21D7C">
        <w:tc>
          <w:tcPr>
            <w:tcW w:w="5330" w:type="dxa"/>
            <w:shd w:val="clear" w:color="auto" w:fill="auto"/>
          </w:tcPr>
          <w:p w14:paraId="2059BA52" w14:textId="78B46F04" w:rsidR="009B634D" w:rsidRPr="00A529B7" w:rsidRDefault="009B634D" w:rsidP="00EB03FF">
            <w:pPr>
              <w:rPr>
                <w:szCs w:val="20"/>
              </w:rPr>
            </w:pPr>
          </w:p>
          <w:p w14:paraId="2D4D8DC5" w14:textId="77777777" w:rsidR="009B634D" w:rsidRPr="00A529B7" w:rsidRDefault="009B634D" w:rsidP="00EB03FF">
            <w:pPr>
              <w:rPr>
                <w:szCs w:val="20"/>
              </w:rPr>
            </w:pPr>
          </w:p>
          <w:p w14:paraId="2BBDFC16" w14:textId="4071B3CC" w:rsidR="009B634D" w:rsidRPr="00A529B7" w:rsidRDefault="009B634D" w:rsidP="00EB03FF">
            <w:pPr>
              <w:rPr>
                <w:szCs w:val="20"/>
              </w:rPr>
            </w:pPr>
            <w:r w:rsidRPr="54FDD3F0">
              <w:rPr>
                <w:i/>
                <w:iCs/>
              </w:rPr>
              <w:t xml:space="preserve"> </w:t>
            </w:r>
          </w:p>
        </w:tc>
      </w:tr>
    </w:tbl>
    <w:p w14:paraId="3B6C7DAE" w14:textId="656B4886" w:rsidR="00EB03FF" w:rsidRDefault="00EB03FF" w:rsidP="005B42F0"/>
    <w:tbl>
      <w:tblPr>
        <w:tblW w:w="9004" w:type="dxa"/>
        <w:tblLook w:val="01E0" w:firstRow="1" w:lastRow="1" w:firstColumn="1" w:lastColumn="1" w:noHBand="0" w:noVBand="0"/>
      </w:tblPr>
      <w:tblGrid>
        <w:gridCol w:w="3988"/>
        <w:gridCol w:w="5016"/>
      </w:tblGrid>
      <w:tr w:rsidR="00AD25AB" w:rsidRPr="00A529B7" w14:paraId="0C7D3816" w14:textId="77777777" w:rsidTr="00782B22">
        <w:trPr>
          <w:trHeight w:val="2447"/>
        </w:trPr>
        <w:tc>
          <w:tcPr>
            <w:tcW w:w="3988" w:type="dxa"/>
            <w:shd w:val="clear" w:color="auto" w:fill="auto"/>
          </w:tcPr>
          <w:p w14:paraId="309C8479" w14:textId="77777777" w:rsidR="0012290E" w:rsidRDefault="0012290E" w:rsidP="0012290E">
            <w:pPr>
              <w:rPr>
                <w:szCs w:val="20"/>
              </w:rPr>
            </w:pPr>
          </w:p>
          <w:p w14:paraId="0BCF97D1" w14:textId="77777777" w:rsidR="00082731" w:rsidRDefault="00082731" w:rsidP="00A529B7">
            <w:pPr>
              <w:ind w:left="360"/>
              <w:rPr>
                <w:szCs w:val="20"/>
              </w:rPr>
            </w:pPr>
          </w:p>
          <w:p w14:paraId="35FFE247" w14:textId="77777777" w:rsidR="00082731" w:rsidRPr="00A529B7" w:rsidRDefault="00082731" w:rsidP="00082731">
            <w:pPr>
              <w:rPr>
                <w:szCs w:val="20"/>
              </w:rPr>
            </w:pPr>
          </w:p>
          <w:p w14:paraId="70659173" w14:textId="64F91349" w:rsidR="00DB1E26" w:rsidRDefault="00AD25AB" w:rsidP="00A529B7">
            <w:pPr>
              <w:rPr>
                <w:szCs w:val="20"/>
              </w:rPr>
            </w:pPr>
            <w:r w:rsidRPr="00A529B7">
              <w:rPr>
                <w:b/>
                <w:bCs/>
                <w:szCs w:val="20"/>
              </w:rPr>
              <w:t>Fixation thoraco-</w:t>
            </w:r>
            <w:r w:rsidR="00F724DF" w:rsidRPr="00A529B7">
              <w:rPr>
                <w:b/>
                <w:bCs/>
                <w:szCs w:val="20"/>
              </w:rPr>
              <w:t>lombaire</w:t>
            </w:r>
            <w:r w:rsidR="00F724DF" w:rsidRPr="00A529B7">
              <w:rPr>
                <w:szCs w:val="20"/>
              </w:rPr>
              <w:t xml:space="preserve"> :</w:t>
            </w:r>
            <w:r w:rsidRPr="00A529B7">
              <w:rPr>
                <w:szCs w:val="20"/>
              </w:rPr>
              <w:t xml:space="preserve"> </w:t>
            </w:r>
          </w:p>
          <w:p w14:paraId="5A77110E" w14:textId="4944424A" w:rsidR="00DB1E26" w:rsidRDefault="00F724DF" w:rsidP="00A529B7">
            <w:r>
              <w:t>Mont</w:t>
            </w:r>
            <w:r w:rsidR="54FDD3F0">
              <w:t xml:space="preserve"> </w:t>
            </w:r>
            <w:r w:rsidR="00696043">
              <w:t>Blanc</w:t>
            </w:r>
            <w:r w:rsidR="54FDD3F0">
              <w:t xml:space="preserve">, </w:t>
            </w:r>
          </w:p>
          <w:p w14:paraId="44D3016F" w14:textId="5AAFE1A8" w:rsidR="00DB1E26" w:rsidRDefault="00F724DF" w:rsidP="00A529B7">
            <w:r>
              <w:t>Mont</w:t>
            </w:r>
            <w:r w:rsidR="54FDD3F0">
              <w:t xml:space="preserve"> </w:t>
            </w:r>
            <w:r w:rsidR="00696043">
              <w:t xml:space="preserve">Blanc </w:t>
            </w:r>
            <w:r w:rsidR="54FDD3F0">
              <w:t xml:space="preserve">baby (système spécifique pour la pédiatrie-déformations), </w:t>
            </w:r>
          </w:p>
          <w:p w14:paraId="66AB05A4" w14:textId="2870CAEA" w:rsidR="00DB1E26" w:rsidRDefault="00F724DF" w:rsidP="00A529B7">
            <w:r>
              <w:t>Mont</w:t>
            </w:r>
            <w:r w:rsidR="54FDD3F0">
              <w:t xml:space="preserve"> </w:t>
            </w:r>
            <w:r w:rsidR="00696043">
              <w:t xml:space="preserve">Blanc </w:t>
            </w:r>
            <w:r w:rsidR="54FDD3F0">
              <w:t xml:space="preserve">3D + (traitement de la scoliose), </w:t>
            </w:r>
          </w:p>
          <w:p w14:paraId="245EEC8E" w14:textId="0A254788" w:rsidR="00DB1E26" w:rsidRDefault="00F724DF" w:rsidP="00A529B7">
            <w:r>
              <w:t>Mont</w:t>
            </w:r>
            <w:r w:rsidR="54FDD3F0">
              <w:t xml:space="preserve"> </w:t>
            </w:r>
            <w:r w:rsidR="00696043">
              <w:t xml:space="preserve">Blanc </w:t>
            </w:r>
            <w:r w:rsidR="54FDD3F0">
              <w:t xml:space="preserve">MIS (système mini invasif) gamme </w:t>
            </w:r>
            <w:r w:rsidR="54FDD3F0" w:rsidRPr="005B42F0">
              <w:rPr>
                <w:i/>
              </w:rPr>
              <w:t>Premium</w:t>
            </w:r>
            <w:r w:rsidR="54FDD3F0">
              <w:t xml:space="preserve">, </w:t>
            </w:r>
          </w:p>
          <w:p w14:paraId="35714B30" w14:textId="012DC2A2" w:rsidR="00AD25AB" w:rsidRPr="00A529B7" w:rsidRDefault="00AD25AB" w:rsidP="00A529B7">
            <w:pPr>
              <w:rPr>
                <w:szCs w:val="20"/>
              </w:rPr>
            </w:pPr>
            <w:r w:rsidRPr="00A529B7">
              <w:rPr>
                <w:szCs w:val="20"/>
              </w:rPr>
              <w:t>Rift lombaire (instrumentation).</w:t>
            </w:r>
          </w:p>
        </w:tc>
        <w:tc>
          <w:tcPr>
            <w:tcW w:w="5016" w:type="dxa"/>
            <w:shd w:val="clear" w:color="auto" w:fill="auto"/>
          </w:tcPr>
          <w:p w14:paraId="565E41E2" w14:textId="77777777" w:rsidR="00AD25AB" w:rsidRPr="00A529B7" w:rsidRDefault="00AD25AB" w:rsidP="00A529B7">
            <w:pPr>
              <w:rPr>
                <w:noProof/>
                <w:szCs w:val="20"/>
                <w:lang w:eastAsia="ja-JP"/>
              </w:rPr>
            </w:pPr>
          </w:p>
          <w:p w14:paraId="791265F2" w14:textId="77777777" w:rsidR="00AD25AB" w:rsidRPr="00A529B7" w:rsidRDefault="00AD25AB" w:rsidP="00A529B7">
            <w:pPr>
              <w:rPr>
                <w:noProof/>
                <w:szCs w:val="20"/>
                <w:lang w:eastAsia="ja-JP"/>
              </w:rPr>
            </w:pPr>
          </w:p>
          <w:p w14:paraId="51DDF5DD" w14:textId="77777777" w:rsidR="00AD25AB" w:rsidRPr="00A529B7" w:rsidRDefault="00AD25AB" w:rsidP="00A529B7">
            <w:pPr>
              <w:rPr>
                <w:noProof/>
                <w:szCs w:val="20"/>
                <w:lang w:eastAsia="ja-JP"/>
              </w:rPr>
            </w:pPr>
            <w:r w:rsidRPr="00A529B7">
              <w:rPr>
                <w:noProof/>
                <w:szCs w:val="20"/>
              </w:rPr>
              <w:drawing>
                <wp:inline distT="0" distB="0" distL="0" distR="0" wp14:anchorId="094A507A" wp14:editId="02FE1DA2">
                  <wp:extent cx="1069975" cy="638175"/>
                  <wp:effectExtent l="0" t="0" r="0" b="0"/>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2">
                            <a:extLst>
                              <a:ext uri="{28A0092B-C50C-407E-A947-70E740481C1C}">
                                <a14:useLocalDpi xmlns:a14="http://schemas.microsoft.com/office/drawing/2010/main" val="0"/>
                              </a:ext>
                            </a:extLst>
                          </a:blip>
                          <a:srcRect l="11951" r="5472"/>
                          <a:stretch>
                            <a:fillRect/>
                          </a:stretch>
                        </pic:blipFill>
                        <pic:spPr bwMode="auto">
                          <a:xfrm>
                            <a:off x="0" y="0"/>
                            <a:ext cx="1069975" cy="638175"/>
                          </a:xfrm>
                          <a:prstGeom prst="rect">
                            <a:avLst/>
                          </a:prstGeom>
                          <a:noFill/>
                          <a:ln>
                            <a:noFill/>
                          </a:ln>
                        </pic:spPr>
                      </pic:pic>
                    </a:graphicData>
                  </a:graphic>
                </wp:inline>
              </w:drawing>
            </w:r>
            <w:r w:rsidRPr="01257A3D">
              <w:rPr>
                <w:noProof/>
                <w:lang w:eastAsia="ja-JP"/>
              </w:rPr>
              <w:t xml:space="preserve"> </w:t>
            </w:r>
            <w:r w:rsidRPr="00A529B7">
              <w:rPr>
                <w:noProof/>
                <w:szCs w:val="20"/>
              </w:rPr>
              <w:drawing>
                <wp:inline distT="0" distB="0" distL="0" distR="0" wp14:anchorId="69C38400" wp14:editId="0CABDE08">
                  <wp:extent cx="1069975" cy="500380"/>
                  <wp:effectExtent l="0" t="0" r="0" b="7620"/>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3">
                            <a:extLst>
                              <a:ext uri="{28A0092B-C50C-407E-A947-70E740481C1C}">
                                <a14:useLocalDpi xmlns:a14="http://schemas.microsoft.com/office/drawing/2010/main" val="0"/>
                              </a:ext>
                            </a:extLst>
                          </a:blip>
                          <a:srcRect l="13737" t="-2539" r="3935"/>
                          <a:stretch>
                            <a:fillRect/>
                          </a:stretch>
                        </pic:blipFill>
                        <pic:spPr bwMode="auto">
                          <a:xfrm>
                            <a:off x="0" y="0"/>
                            <a:ext cx="1069975" cy="500380"/>
                          </a:xfrm>
                          <a:prstGeom prst="rect">
                            <a:avLst/>
                          </a:prstGeom>
                          <a:noFill/>
                          <a:ln>
                            <a:noFill/>
                          </a:ln>
                        </pic:spPr>
                      </pic:pic>
                    </a:graphicData>
                  </a:graphic>
                </wp:inline>
              </w:drawing>
            </w:r>
          </w:p>
          <w:p w14:paraId="4B2E105A" w14:textId="17550F05" w:rsidR="00AD25AB" w:rsidRPr="00A529B7" w:rsidRDefault="00AD25AB" w:rsidP="00A529B7">
            <w:pPr>
              <w:rPr>
                <w:b/>
                <w:color w:val="4F81BD" w:themeColor="accent1"/>
                <w:szCs w:val="20"/>
              </w:rPr>
            </w:pPr>
            <w:r w:rsidRPr="00A529B7">
              <w:rPr>
                <w:b/>
                <w:color w:val="4F81BD" w:themeColor="accent1"/>
                <w:szCs w:val="20"/>
              </w:rPr>
              <w:t xml:space="preserve">                         </w:t>
            </w:r>
          </w:p>
          <w:p w14:paraId="55FE011A" w14:textId="0F1D3490" w:rsidR="00AD25AB" w:rsidRPr="00A529B7" w:rsidRDefault="00F17555" w:rsidP="00A529B7">
            <w:pPr>
              <w:rPr>
                <w:szCs w:val="20"/>
              </w:rPr>
            </w:pPr>
            <w:r>
              <w:rPr>
                <w:noProof/>
              </w:rPr>
              <w:drawing>
                <wp:inline distT="0" distB="0" distL="0" distR="0" wp14:anchorId="6E7642F1" wp14:editId="126CC0D0">
                  <wp:extent cx="3042497" cy="1152667"/>
                  <wp:effectExtent l="0" t="0" r="5715" b="0"/>
                  <wp:docPr id="88"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
                          <pic:cNvPicPr/>
                        </pic:nvPicPr>
                        <pic:blipFill>
                          <a:blip r:embed="rId34">
                            <a:extLst>
                              <a:ext uri="{28A0092B-C50C-407E-A947-70E740481C1C}">
                                <a14:useLocalDpi xmlns:a14="http://schemas.microsoft.com/office/drawing/2010/main" val="0"/>
                              </a:ext>
                            </a:extLst>
                          </a:blip>
                          <a:stretch>
                            <a:fillRect/>
                          </a:stretch>
                        </pic:blipFill>
                        <pic:spPr>
                          <a:xfrm>
                            <a:off x="0" y="0"/>
                            <a:ext cx="3042497" cy="1152667"/>
                          </a:xfrm>
                          <a:prstGeom prst="rect">
                            <a:avLst/>
                          </a:prstGeom>
                        </pic:spPr>
                      </pic:pic>
                    </a:graphicData>
                  </a:graphic>
                </wp:inline>
              </w:drawing>
            </w:r>
          </w:p>
        </w:tc>
      </w:tr>
      <w:tr w:rsidR="00976300" w:rsidRPr="00A529B7" w14:paraId="3D87E200" w14:textId="77777777" w:rsidTr="003A65B2">
        <w:trPr>
          <w:trHeight w:val="1021"/>
        </w:trPr>
        <w:tc>
          <w:tcPr>
            <w:tcW w:w="3988" w:type="dxa"/>
            <w:shd w:val="clear" w:color="auto" w:fill="auto"/>
          </w:tcPr>
          <w:p w14:paraId="1EA44896" w14:textId="77777777" w:rsidR="00976300" w:rsidRDefault="00976300" w:rsidP="003A65B2">
            <w:pPr>
              <w:rPr>
                <w:b/>
                <w:bCs/>
                <w:szCs w:val="20"/>
              </w:rPr>
            </w:pPr>
          </w:p>
          <w:p w14:paraId="1F815BF7" w14:textId="77777777" w:rsidR="00976300" w:rsidRDefault="00976300" w:rsidP="003A65B2">
            <w:pPr>
              <w:rPr>
                <w:b/>
                <w:bCs/>
                <w:szCs w:val="20"/>
              </w:rPr>
            </w:pPr>
          </w:p>
          <w:p w14:paraId="40B1D26B" w14:textId="77777777" w:rsidR="00976300" w:rsidRDefault="00976300" w:rsidP="003A65B2">
            <w:pPr>
              <w:rPr>
                <w:szCs w:val="20"/>
              </w:rPr>
            </w:pPr>
            <w:r w:rsidRPr="00A529B7">
              <w:rPr>
                <w:b/>
                <w:bCs/>
                <w:szCs w:val="20"/>
              </w:rPr>
              <w:t>Biomatériaux</w:t>
            </w:r>
            <w:r w:rsidRPr="00A529B7">
              <w:rPr>
                <w:szCs w:val="20"/>
              </w:rPr>
              <w:t xml:space="preserve"> : </w:t>
            </w:r>
          </w:p>
          <w:p w14:paraId="00E23BDA" w14:textId="77777777" w:rsidR="00976300" w:rsidRPr="00A529B7" w:rsidRDefault="00976300" w:rsidP="003A65B2">
            <w:pPr>
              <w:rPr>
                <w:szCs w:val="20"/>
              </w:rPr>
            </w:pPr>
            <w:r>
              <w:rPr>
                <w:szCs w:val="20"/>
              </w:rPr>
              <w:t>S</w:t>
            </w:r>
            <w:r w:rsidRPr="00A529B7">
              <w:rPr>
                <w:szCs w:val="20"/>
              </w:rPr>
              <w:t>ubstituts osseux synthétiques Névé, S</w:t>
            </w:r>
            <w:r>
              <w:rPr>
                <w:szCs w:val="20"/>
              </w:rPr>
              <w:t>onora</w:t>
            </w:r>
          </w:p>
          <w:p w14:paraId="021EB9AB" w14:textId="77777777" w:rsidR="00976300" w:rsidRDefault="00976300" w:rsidP="003A65B2">
            <w:pPr>
              <w:ind w:left="360"/>
              <w:rPr>
                <w:b/>
                <w:bCs/>
                <w:szCs w:val="20"/>
              </w:rPr>
            </w:pPr>
          </w:p>
          <w:p w14:paraId="0EDE3703" w14:textId="77777777" w:rsidR="00A21D7C" w:rsidRDefault="00A21D7C" w:rsidP="003A65B2">
            <w:pPr>
              <w:ind w:left="360"/>
              <w:rPr>
                <w:b/>
                <w:bCs/>
                <w:szCs w:val="20"/>
              </w:rPr>
            </w:pPr>
          </w:p>
          <w:p w14:paraId="7DF132B9" w14:textId="77777777" w:rsidR="00A21D7C" w:rsidRPr="00A529B7" w:rsidRDefault="00A21D7C" w:rsidP="003A65B2">
            <w:pPr>
              <w:ind w:left="360"/>
              <w:rPr>
                <w:b/>
                <w:bCs/>
                <w:szCs w:val="20"/>
              </w:rPr>
            </w:pPr>
          </w:p>
          <w:p w14:paraId="6FC593AF" w14:textId="77777777" w:rsidR="00976300" w:rsidRPr="00A529B7" w:rsidRDefault="00976300" w:rsidP="003A65B2">
            <w:pPr>
              <w:ind w:left="360"/>
              <w:rPr>
                <w:szCs w:val="20"/>
              </w:rPr>
            </w:pPr>
          </w:p>
        </w:tc>
        <w:tc>
          <w:tcPr>
            <w:tcW w:w="5016" w:type="dxa"/>
            <w:shd w:val="clear" w:color="auto" w:fill="auto"/>
          </w:tcPr>
          <w:p w14:paraId="09BF9F9E" w14:textId="77777777" w:rsidR="00976300" w:rsidRPr="00A529B7" w:rsidRDefault="00976300" w:rsidP="003A65B2">
            <w:pPr>
              <w:pStyle w:val="Paragraphedeliste"/>
              <w:rPr>
                <w:noProof/>
                <w:szCs w:val="20"/>
                <w:lang w:eastAsia="ja-JP"/>
              </w:rPr>
            </w:pPr>
          </w:p>
          <w:p w14:paraId="175B1F15" w14:textId="77777777" w:rsidR="00976300" w:rsidRDefault="00976300" w:rsidP="003A65B2">
            <w:pPr>
              <w:rPr>
                <w:noProof/>
                <w:szCs w:val="20"/>
                <w:lang w:eastAsia="ja-JP"/>
              </w:rPr>
            </w:pPr>
          </w:p>
          <w:p w14:paraId="1DC42253" w14:textId="77777777" w:rsidR="00976300" w:rsidRPr="00A529B7" w:rsidRDefault="00976300" w:rsidP="003A65B2">
            <w:pPr>
              <w:rPr>
                <w:noProof/>
                <w:szCs w:val="20"/>
                <w:lang w:eastAsia="ja-JP"/>
              </w:rPr>
            </w:pPr>
          </w:p>
          <w:p w14:paraId="08659EC0" w14:textId="179D6859" w:rsidR="00976300" w:rsidRPr="00FF7B0F" w:rsidRDefault="00A21D7C" w:rsidP="003A65B2">
            <w:pPr>
              <w:rPr>
                <w:szCs w:val="20"/>
              </w:rPr>
            </w:pPr>
            <w:r w:rsidRPr="00A529B7">
              <w:rPr>
                <w:noProof/>
              </w:rPr>
              <w:drawing>
                <wp:anchor distT="0" distB="0" distL="114300" distR="114300" simplePos="0" relativeHeight="251668529" behindDoc="0" locked="0" layoutInCell="1" allowOverlap="1" wp14:anchorId="3ABFC9F2" wp14:editId="2B3E11EA">
                  <wp:simplePos x="0" y="0"/>
                  <wp:positionH relativeFrom="column">
                    <wp:posOffset>96520</wp:posOffset>
                  </wp:positionH>
                  <wp:positionV relativeFrom="paragraph">
                    <wp:posOffset>888365</wp:posOffset>
                  </wp:positionV>
                  <wp:extent cx="731520" cy="351790"/>
                  <wp:effectExtent l="0" t="0" r="5080" b="3810"/>
                  <wp:wrapNone/>
                  <wp:docPr id="106" name="Imag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731520" cy="35179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976300" w:rsidRPr="00A529B7">
              <w:rPr>
                <w:noProof/>
              </w:rPr>
              <w:drawing>
                <wp:anchor distT="0" distB="0" distL="114300" distR="114300" simplePos="0" relativeHeight="251667505" behindDoc="0" locked="0" layoutInCell="1" allowOverlap="1" wp14:anchorId="027C0862" wp14:editId="6B5A4AA0">
                  <wp:simplePos x="0" y="0"/>
                  <wp:positionH relativeFrom="column">
                    <wp:posOffset>979805</wp:posOffset>
                  </wp:positionH>
                  <wp:positionV relativeFrom="paragraph">
                    <wp:posOffset>147320</wp:posOffset>
                  </wp:positionV>
                  <wp:extent cx="1257300" cy="457200"/>
                  <wp:effectExtent l="0" t="0" r="0" b="0"/>
                  <wp:wrapNone/>
                  <wp:docPr id="89" name="Imag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257300" cy="457200"/>
                          </a:xfrm>
                          <a:prstGeom prst="rect">
                            <a:avLst/>
                          </a:prstGeom>
                          <a:noFill/>
                          <a:ln>
                            <a:noFill/>
                          </a:ln>
                        </pic:spPr>
                      </pic:pic>
                    </a:graphicData>
                  </a:graphic>
                  <wp14:sizeRelH relativeFrom="page">
                    <wp14:pctWidth>0</wp14:pctWidth>
                  </wp14:sizeRelH>
                  <wp14:sizeRelV relativeFrom="page">
                    <wp14:pctHeight>0</wp14:pctHeight>
                  </wp14:sizeRelV>
                </wp:anchor>
              </w:drawing>
            </w:r>
            <w:r w:rsidR="00976300" w:rsidRPr="00A529B7">
              <w:rPr>
                <w:noProof/>
              </w:rPr>
              <w:drawing>
                <wp:inline distT="0" distB="0" distL="0" distR="0" wp14:anchorId="01EDD0B8" wp14:editId="0CB8DE8A">
                  <wp:extent cx="621030" cy="483235"/>
                  <wp:effectExtent l="0" t="0" r="0" b="0"/>
                  <wp:docPr id="97" name="Imag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21030" cy="483235"/>
                          </a:xfrm>
                          <a:prstGeom prst="rect">
                            <a:avLst/>
                          </a:prstGeom>
                          <a:noFill/>
                          <a:ln>
                            <a:noFill/>
                          </a:ln>
                        </pic:spPr>
                      </pic:pic>
                    </a:graphicData>
                  </a:graphic>
                </wp:inline>
              </w:drawing>
            </w:r>
          </w:p>
        </w:tc>
      </w:tr>
      <w:tr w:rsidR="00976300" w:rsidRPr="00A529B7" w14:paraId="43BE9C39" w14:textId="77777777" w:rsidTr="003A65B2">
        <w:tc>
          <w:tcPr>
            <w:tcW w:w="3988" w:type="dxa"/>
            <w:shd w:val="clear" w:color="auto" w:fill="auto"/>
          </w:tcPr>
          <w:p w14:paraId="20F5E0F6" w14:textId="77777777" w:rsidR="00976300" w:rsidRDefault="00976300" w:rsidP="003A65B2">
            <w:pPr>
              <w:rPr>
                <w:szCs w:val="20"/>
              </w:rPr>
            </w:pPr>
            <w:r w:rsidRPr="00A529B7">
              <w:rPr>
                <w:b/>
                <w:bCs/>
                <w:szCs w:val="20"/>
              </w:rPr>
              <w:t>Abord mini open</w:t>
            </w:r>
            <w:r w:rsidRPr="00A529B7">
              <w:rPr>
                <w:szCs w:val="20"/>
              </w:rPr>
              <w:t xml:space="preserve"> : </w:t>
            </w:r>
          </w:p>
          <w:p w14:paraId="13C3F15F" w14:textId="2A06CA45" w:rsidR="00976300" w:rsidRPr="00A529B7" w:rsidRDefault="00976300" w:rsidP="003A65B2">
            <w:pPr>
              <w:rPr>
                <w:szCs w:val="20"/>
              </w:rPr>
            </w:pPr>
            <w:r>
              <w:rPr>
                <w:szCs w:val="20"/>
              </w:rPr>
              <w:t>I</w:t>
            </w:r>
            <w:r w:rsidRPr="00A529B7">
              <w:rPr>
                <w:szCs w:val="20"/>
              </w:rPr>
              <w:t xml:space="preserve">nstrument écarteur </w:t>
            </w:r>
            <w:r>
              <w:rPr>
                <w:szCs w:val="20"/>
              </w:rPr>
              <w:t>a</w:t>
            </w:r>
            <w:r w:rsidRPr="00A529B7">
              <w:rPr>
                <w:szCs w:val="20"/>
              </w:rPr>
              <w:t>utostatiq</w:t>
            </w:r>
            <w:r w:rsidR="00A21D7C">
              <w:rPr>
                <w:szCs w:val="20"/>
              </w:rPr>
              <w:t>ue à lumière froide, autoclavab</w:t>
            </w:r>
          </w:p>
        </w:tc>
        <w:tc>
          <w:tcPr>
            <w:tcW w:w="5016" w:type="dxa"/>
            <w:shd w:val="clear" w:color="auto" w:fill="auto"/>
          </w:tcPr>
          <w:p w14:paraId="5F0F7F3C" w14:textId="77777777" w:rsidR="00976300" w:rsidRDefault="00976300" w:rsidP="003A65B2">
            <w:pPr>
              <w:rPr>
                <w:szCs w:val="20"/>
              </w:rPr>
            </w:pPr>
            <w:r w:rsidRPr="00A529B7">
              <w:rPr>
                <w:noProof/>
              </w:rPr>
              <w:drawing>
                <wp:anchor distT="0" distB="0" distL="114300" distR="114300" simplePos="0" relativeHeight="251669553" behindDoc="0" locked="0" layoutInCell="1" allowOverlap="1" wp14:anchorId="738B8BD4" wp14:editId="4B80365B">
                  <wp:simplePos x="0" y="0"/>
                  <wp:positionH relativeFrom="column">
                    <wp:posOffset>979805</wp:posOffset>
                  </wp:positionH>
                  <wp:positionV relativeFrom="paragraph">
                    <wp:posOffset>57785</wp:posOffset>
                  </wp:positionV>
                  <wp:extent cx="1028700" cy="229235"/>
                  <wp:effectExtent l="0" t="0" r="0" b="0"/>
                  <wp:wrapNone/>
                  <wp:docPr id="107" name="Imag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028700" cy="2292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09103B3" w14:textId="77777777" w:rsidR="00976300" w:rsidRDefault="00976300" w:rsidP="003A65B2">
            <w:pPr>
              <w:rPr>
                <w:szCs w:val="20"/>
              </w:rPr>
            </w:pPr>
          </w:p>
          <w:p w14:paraId="0647E13E" w14:textId="77777777" w:rsidR="00976300" w:rsidRDefault="00976300" w:rsidP="003A65B2">
            <w:pPr>
              <w:rPr>
                <w:szCs w:val="20"/>
              </w:rPr>
            </w:pPr>
          </w:p>
          <w:p w14:paraId="0E98BAB4" w14:textId="77777777" w:rsidR="00976300" w:rsidRDefault="00976300" w:rsidP="003A65B2">
            <w:pPr>
              <w:rPr>
                <w:szCs w:val="20"/>
              </w:rPr>
            </w:pPr>
          </w:p>
          <w:p w14:paraId="143F4131" w14:textId="77777777" w:rsidR="00976300" w:rsidRDefault="00976300" w:rsidP="003A65B2">
            <w:pPr>
              <w:jc w:val="left"/>
              <w:rPr>
                <w:szCs w:val="20"/>
              </w:rPr>
            </w:pPr>
          </w:p>
          <w:p w14:paraId="59B4B84F" w14:textId="77777777" w:rsidR="00976300" w:rsidRDefault="00976300" w:rsidP="003A65B2">
            <w:pPr>
              <w:jc w:val="left"/>
              <w:rPr>
                <w:szCs w:val="20"/>
              </w:rPr>
            </w:pPr>
          </w:p>
          <w:p w14:paraId="050FA1CB" w14:textId="77777777" w:rsidR="00976300" w:rsidRPr="00FF7B0F" w:rsidRDefault="00976300" w:rsidP="003A65B2">
            <w:pPr>
              <w:rPr>
                <w:szCs w:val="20"/>
              </w:rPr>
            </w:pPr>
          </w:p>
        </w:tc>
      </w:tr>
    </w:tbl>
    <w:p w14:paraId="64886CA4" w14:textId="51C5D4A5" w:rsidR="00A21D7C" w:rsidRDefault="00A21D7C" w:rsidP="00A21D7C">
      <w:pPr>
        <w:rPr>
          <w:b/>
          <w:bCs/>
        </w:rPr>
      </w:pPr>
    </w:p>
    <w:p w14:paraId="2D7BAE56" w14:textId="77777777" w:rsidR="00A21D7C" w:rsidRDefault="00A21D7C">
      <w:pPr>
        <w:jc w:val="left"/>
        <w:rPr>
          <w:b/>
          <w:bCs/>
        </w:rPr>
      </w:pPr>
      <w:r>
        <w:rPr>
          <w:b/>
          <w:bCs/>
        </w:rPr>
        <w:br w:type="page"/>
      </w:r>
    </w:p>
    <w:p w14:paraId="19C5BBE4" w14:textId="77777777" w:rsidR="00976300" w:rsidRPr="00A21D7C" w:rsidRDefault="00976300" w:rsidP="00A21D7C">
      <w:pPr>
        <w:rPr>
          <w:b/>
          <w:bCs/>
        </w:rPr>
      </w:pPr>
    </w:p>
    <w:p w14:paraId="6FE07FFC" w14:textId="5E18F86D" w:rsidR="00A529B7" w:rsidRPr="00E57321" w:rsidRDefault="54FDD3F0" w:rsidP="00C622C2">
      <w:pPr>
        <w:pStyle w:val="Paragraphedeliste"/>
        <w:numPr>
          <w:ilvl w:val="0"/>
          <w:numId w:val="32"/>
        </w:numPr>
        <w:rPr>
          <w:b/>
          <w:bCs/>
        </w:rPr>
      </w:pPr>
      <w:r w:rsidRPr="54FDD3F0">
        <w:rPr>
          <w:b/>
          <w:bCs/>
        </w:rPr>
        <w:t xml:space="preserve">Les gammes d’implants commercialisés par </w:t>
      </w:r>
      <w:r w:rsidR="009373DA" w:rsidRPr="54FDD3F0">
        <w:rPr>
          <w:b/>
          <w:bCs/>
        </w:rPr>
        <w:t>Spineway :</w:t>
      </w:r>
    </w:p>
    <w:p w14:paraId="4358B08A" w14:textId="77777777" w:rsidR="00A529B7" w:rsidRPr="00A529B7" w:rsidRDefault="00A529B7" w:rsidP="00A529B7">
      <w:pPr>
        <w:rPr>
          <w:szCs w:val="20"/>
        </w:rPr>
      </w:pPr>
    </w:p>
    <w:tbl>
      <w:tblPr>
        <w:tblW w:w="94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127"/>
        <w:gridCol w:w="1275"/>
        <w:gridCol w:w="1134"/>
        <w:gridCol w:w="1276"/>
        <w:gridCol w:w="3686"/>
      </w:tblGrid>
      <w:tr w:rsidR="00BC2C9F" w:rsidRPr="00A529B7" w14:paraId="334606CA" w14:textId="77777777" w:rsidTr="54FDD3F0">
        <w:trPr>
          <w:trHeight w:val="598"/>
          <w:tblHeader/>
        </w:trPr>
        <w:tc>
          <w:tcPr>
            <w:tcW w:w="2127" w:type="dxa"/>
            <w:shd w:val="clear" w:color="auto" w:fill="1F40A1"/>
            <w:vAlign w:val="center"/>
          </w:tcPr>
          <w:p w14:paraId="3C7980AA" w14:textId="77777777" w:rsidR="00BC2C9F" w:rsidRPr="00A529B7" w:rsidRDefault="00BC2C9F" w:rsidP="00BC2C9F">
            <w:pPr>
              <w:jc w:val="center"/>
              <w:rPr>
                <w:b/>
                <w:bCs/>
                <w:color w:val="FFFFFF" w:themeColor="background1"/>
                <w:szCs w:val="20"/>
              </w:rPr>
            </w:pPr>
            <w:r w:rsidRPr="00A529B7">
              <w:rPr>
                <w:b/>
                <w:bCs/>
                <w:color w:val="FFFFFF" w:themeColor="background1"/>
                <w:szCs w:val="20"/>
              </w:rPr>
              <w:t>Nom du produit</w:t>
            </w:r>
          </w:p>
        </w:tc>
        <w:tc>
          <w:tcPr>
            <w:tcW w:w="1275" w:type="dxa"/>
            <w:shd w:val="clear" w:color="auto" w:fill="1F40A1"/>
            <w:vAlign w:val="center"/>
          </w:tcPr>
          <w:p w14:paraId="1C49CE21" w14:textId="77777777" w:rsidR="00BC2C9F" w:rsidRPr="00A529B7" w:rsidRDefault="00BC2C9F" w:rsidP="00BC2C9F">
            <w:pPr>
              <w:jc w:val="center"/>
              <w:rPr>
                <w:b/>
                <w:bCs/>
                <w:color w:val="FFFFFF" w:themeColor="background1"/>
                <w:szCs w:val="20"/>
              </w:rPr>
            </w:pPr>
            <w:r w:rsidRPr="00A529B7">
              <w:rPr>
                <w:b/>
                <w:bCs/>
                <w:color w:val="FFFFFF" w:themeColor="background1"/>
                <w:szCs w:val="20"/>
              </w:rPr>
              <w:t>Catégorie</w:t>
            </w:r>
          </w:p>
        </w:tc>
        <w:tc>
          <w:tcPr>
            <w:tcW w:w="1134" w:type="dxa"/>
            <w:shd w:val="clear" w:color="auto" w:fill="1F40A1"/>
            <w:vAlign w:val="center"/>
          </w:tcPr>
          <w:p w14:paraId="3C0E9006" w14:textId="6AB82ECF" w:rsidR="00BC2C9F" w:rsidRPr="00A529B7" w:rsidRDefault="00BC2C9F" w:rsidP="00BC2C9F">
            <w:pPr>
              <w:jc w:val="center"/>
              <w:rPr>
                <w:b/>
                <w:bCs/>
                <w:color w:val="FFFFFF" w:themeColor="background1"/>
                <w:szCs w:val="20"/>
              </w:rPr>
            </w:pPr>
            <w:r>
              <w:rPr>
                <w:b/>
                <w:bCs/>
                <w:color w:val="FFFFFF" w:themeColor="background1"/>
                <w:szCs w:val="20"/>
              </w:rPr>
              <w:t>Brevets</w:t>
            </w:r>
          </w:p>
        </w:tc>
        <w:tc>
          <w:tcPr>
            <w:tcW w:w="1276" w:type="dxa"/>
            <w:shd w:val="clear" w:color="auto" w:fill="1F40A1"/>
            <w:vAlign w:val="center"/>
          </w:tcPr>
          <w:p w14:paraId="56758FB2" w14:textId="00EDC0EA" w:rsidR="00BC2C9F" w:rsidRPr="00A529B7" w:rsidRDefault="00BC2C9F" w:rsidP="00BC2C9F">
            <w:pPr>
              <w:jc w:val="center"/>
              <w:rPr>
                <w:b/>
                <w:bCs/>
                <w:color w:val="FFFFFF" w:themeColor="background1"/>
                <w:szCs w:val="20"/>
              </w:rPr>
            </w:pPr>
            <w:r w:rsidRPr="00A529B7">
              <w:rPr>
                <w:b/>
                <w:bCs/>
                <w:color w:val="FFFFFF" w:themeColor="background1"/>
                <w:szCs w:val="20"/>
              </w:rPr>
              <w:t>Agréments</w:t>
            </w:r>
          </w:p>
        </w:tc>
        <w:tc>
          <w:tcPr>
            <w:tcW w:w="3686" w:type="dxa"/>
            <w:shd w:val="clear" w:color="auto" w:fill="1F40A1"/>
            <w:vAlign w:val="center"/>
          </w:tcPr>
          <w:p w14:paraId="771672FB" w14:textId="77777777" w:rsidR="00BC2C9F" w:rsidRPr="00A529B7" w:rsidRDefault="00BC2C9F" w:rsidP="00BC2C9F">
            <w:pPr>
              <w:jc w:val="center"/>
              <w:rPr>
                <w:b/>
                <w:bCs/>
                <w:color w:val="FFFFFF" w:themeColor="background1"/>
                <w:szCs w:val="20"/>
              </w:rPr>
            </w:pPr>
            <w:r w:rsidRPr="00A529B7">
              <w:rPr>
                <w:b/>
                <w:bCs/>
                <w:color w:val="FFFFFF" w:themeColor="background1"/>
                <w:szCs w:val="20"/>
              </w:rPr>
              <w:t>Description</w:t>
            </w:r>
          </w:p>
        </w:tc>
      </w:tr>
      <w:tr w:rsidR="00BC2C9F" w:rsidRPr="00A529B7" w14:paraId="59E4703A" w14:textId="77777777" w:rsidTr="54FDD3F0">
        <w:trPr>
          <w:trHeight w:val="1134"/>
          <w:tblHeader/>
        </w:trPr>
        <w:tc>
          <w:tcPr>
            <w:tcW w:w="2127" w:type="dxa"/>
            <w:shd w:val="clear" w:color="auto" w:fill="auto"/>
            <w:vAlign w:val="center"/>
          </w:tcPr>
          <w:p w14:paraId="207F33C0" w14:textId="5335DBAF" w:rsidR="00BC2C9F" w:rsidRPr="00A529B7" w:rsidRDefault="00F724DF" w:rsidP="00AD71B5">
            <w:pPr>
              <w:jc w:val="center"/>
            </w:pPr>
            <w:r>
              <w:t>A</w:t>
            </w:r>
            <w:r w:rsidR="54FDD3F0">
              <w:t xml:space="preserve">yers </w:t>
            </w:r>
            <w:r w:rsidR="00696043">
              <w:t>Rock</w:t>
            </w:r>
          </w:p>
          <w:p w14:paraId="4AF10159" w14:textId="77777777" w:rsidR="00BC2C9F" w:rsidRPr="00A529B7" w:rsidRDefault="00BC2C9F" w:rsidP="00AD71B5">
            <w:pPr>
              <w:jc w:val="center"/>
              <w:rPr>
                <w:szCs w:val="20"/>
              </w:rPr>
            </w:pPr>
            <w:r>
              <w:rPr>
                <w:noProof/>
              </w:rPr>
              <w:drawing>
                <wp:inline distT="0" distB="0" distL="0" distR="0" wp14:anchorId="287BDE3D" wp14:editId="7F8008AC">
                  <wp:extent cx="690245" cy="517525"/>
                  <wp:effectExtent l="0" t="0" r="0" b="0"/>
                  <wp:docPr id="98" name="Imag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98"/>
                          <pic:cNvPicPr/>
                        </pic:nvPicPr>
                        <pic:blipFill>
                          <a:blip r:embed="rId39">
                            <a:extLst>
                              <a:ext uri="{28A0092B-C50C-407E-A947-70E740481C1C}">
                                <a14:useLocalDpi xmlns:a14="http://schemas.microsoft.com/office/drawing/2010/main" val="0"/>
                              </a:ext>
                            </a:extLst>
                          </a:blip>
                          <a:stretch>
                            <a:fillRect/>
                          </a:stretch>
                        </pic:blipFill>
                        <pic:spPr>
                          <a:xfrm>
                            <a:off x="0" y="0"/>
                            <a:ext cx="690245" cy="517525"/>
                          </a:xfrm>
                          <a:prstGeom prst="rect">
                            <a:avLst/>
                          </a:prstGeom>
                        </pic:spPr>
                      </pic:pic>
                    </a:graphicData>
                  </a:graphic>
                </wp:inline>
              </w:drawing>
            </w:r>
          </w:p>
        </w:tc>
        <w:tc>
          <w:tcPr>
            <w:tcW w:w="1275" w:type="dxa"/>
            <w:shd w:val="clear" w:color="auto" w:fill="auto"/>
            <w:vAlign w:val="center"/>
          </w:tcPr>
          <w:p w14:paraId="1ACDA0CE" w14:textId="77777777" w:rsidR="00BC2C9F" w:rsidRPr="00A529B7" w:rsidRDefault="00BC2C9F" w:rsidP="00AD71B5">
            <w:pPr>
              <w:jc w:val="center"/>
              <w:rPr>
                <w:szCs w:val="20"/>
              </w:rPr>
            </w:pPr>
            <w:r w:rsidRPr="00A529B7">
              <w:rPr>
                <w:szCs w:val="20"/>
              </w:rPr>
              <w:t>Cervical</w:t>
            </w:r>
          </w:p>
        </w:tc>
        <w:tc>
          <w:tcPr>
            <w:tcW w:w="1134" w:type="dxa"/>
            <w:vAlign w:val="center"/>
          </w:tcPr>
          <w:p w14:paraId="4FE9DCDC" w14:textId="27599E09" w:rsidR="00BC2C9F" w:rsidRPr="00A529B7" w:rsidRDefault="00BC2C9F" w:rsidP="00AD71B5">
            <w:pPr>
              <w:jc w:val="center"/>
              <w:rPr>
                <w:szCs w:val="20"/>
              </w:rPr>
            </w:pPr>
            <w:r w:rsidRPr="00BC2C9F">
              <w:rPr>
                <w:szCs w:val="20"/>
              </w:rPr>
              <w:t>Néant</w:t>
            </w:r>
          </w:p>
        </w:tc>
        <w:tc>
          <w:tcPr>
            <w:tcW w:w="1276" w:type="dxa"/>
            <w:shd w:val="clear" w:color="auto" w:fill="auto"/>
            <w:vAlign w:val="center"/>
          </w:tcPr>
          <w:p w14:paraId="5D9EC0C5" w14:textId="152F47CA" w:rsidR="00BC2C9F" w:rsidRPr="00A529B7" w:rsidRDefault="54FDD3F0" w:rsidP="00AD71B5">
            <w:pPr>
              <w:jc w:val="center"/>
            </w:pPr>
            <w:r>
              <w:t>CE-UE</w:t>
            </w:r>
          </w:p>
          <w:p w14:paraId="2E563FC7" w14:textId="77777777" w:rsidR="00BC2C9F" w:rsidRPr="00A529B7" w:rsidRDefault="54FDD3F0" w:rsidP="00AD71B5">
            <w:pPr>
              <w:jc w:val="center"/>
            </w:pPr>
            <w:r>
              <w:t>US FDA</w:t>
            </w:r>
          </w:p>
          <w:p w14:paraId="208B67C3" w14:textId="31D004A1" w:rsidR="54FDD3F0" w:rsidRDefault="54FDD3F0" w:rsidP="54FDD3F0">
            <w:pPr>
              <w:jc w:val="center"/>
            </w:pPr>
          </w:p>
          <w:p w14:paraId="43F99F3E" w14:textId="6573C0D8" w:rsidR="00BC2C9F" w:rsidRPr="00A529B7" w:rsidRDefault="54FDD3F0" w:rsidP="54FDD3F0">
            <w:pPr>
              <w:jc w:val="center"/>
              <w:rPr>
                <w:rFonts w:ascii="Calibri" w:eastAsia="Calibri" w:hAnsi="Calibri" w:cs="Calibri"/>
                <w:szCs w:val="20"/>
              </w:rPr>
            </w:pPr>
            <w:r w:rsidRPr="54FDD3F0">
              <w:rPr>
                <w:rFonts w:ascii="Calibri" w:eastAsia="Calibri" w:hAnsi="Calibri" w:cs="Calibri"/>
                <w:szCs w:val="20"/>
              </w:rPr>
              <w:t xml:space="preserve"> Algérie</w:t>
            </w:r>
          </w:p>
          <w:p w14:paraId="105FD36B" w14:textId="551B3C7E" w:rsidR="00BC2C9F" w:rsidRPr="00A529B7" w:rsidRDefault="54FDD3F0" w:rsidP="00877039">
            <w:pPr>
              <w:jc w:val="center"/>
              <w:rPr>
                <w:rFonts w:ascii="Calibri" w:eastAsia="Calibri" w:hAnsi="Calibri" w:cs="Calibri"/>
                <w:szCs w:val="20"/>
              </w:rPr>
            </w:pPr>
            <w:r w:rsidRPr="54FDD3F0">
              <w:rPr>
                <w:rFonts w:ascii="Calibri" w:eastAsia="Calibri" w:hAnsi="Calibri" w:cs="Calibri"/>
                <w:szCs w:val="20"/>
              </w:rPr>
              <w:t>Argentine</w:t>
            </w:r>
          </w:p>
          <w:p w14:paraId="4A19E217" w14:textId="60C55C82" w:rsidR="00BC2C9F" w:rsidRPr="00A529B7" w:rsidRDefault="54FDD3F0" w:rsidP="00877039">
            <w:pPr>
              <w:jc w:val="center"/>
              <w:rPr>
                <w:rFonts w:ascii="Calibri" w:eastAsia="Calibri" w:hAnsi="Calibri" w:cs="Calibri"/>
                <w:szCs w:val="20"/>
              </w:rPr>
            </w:pPr>
            <w:r w:rsidRPr="54FDD3F0">
              <w:rPr>
                <w:rFonts w:ascii="Calibri" w:eastAsia="Calibri" w:hAnsi="Calibri" w:cs="Calibri"/>
                <w:szCs w:val="20"/>
              </w:rPr>
              <w:t>Australie</w:t>
            </w:r>
          </w:p>
          <w:p w14:paraId="0C0184A8" w14:textId="4F25713E" w:rsidR="00BC2C9F" w:rsidRPr="00A529B7" w:rsidRDefault="54FDD3F0" w:rsidP="00877039">
            <w:pPr>
              <w:jc w:val="center"/>
              <w:rPr>
                <w:rFonts w:ascii="Calibri" w:eastAsia="Calibri" w:hAnsi="Calibri" w:cs="Calibri"/>
                <w:szCs w:val="20"/>
              </w:rPr>
            </w:pPr>
            <w:r w:rsidRPr="54FDD3F0">
              <w:rPr>
                <w:rFonts w:ascii="Calibri" w:eastAsia="Calibri" w:hAnsi="Calibri" w:cs="Calibri"/>
                <w:szCs w:val="20"/>
              </w:rPr>
              <w:t>Bolivie</w:t>
            </w:r>
          </w:p>
          <w:p w14:paraId="25D3D65A" w14:textId="072978D4" w:rsidR="00BC2C9F" w:rsidRPr="00A529B7" w:rsidRDefault="54FDD3F0" w:rsidP="00877039">
            <w:pPr>
              <w:jc w:val="center"/>
              <w:rPr>
                <w:rFonts w:ascii="Calibri" w:eastAsia="Calibri" w:hAnsi="Calibri" w:cs="Calibri"/>
                <w:szCs w:val="20"/>
              </w:rPr>
            </w:pPr>
            <w:r w:rsidRPr="54FDD3F0">
              <w:rPr>
                <w:rFonts w:ascii="Calibri" w:eastAsia="Calibri" w:hAnsi="Calibri" w:cs="Calibri"/>
                <w:szCs w:val="20"/>
              </w:rPr>
              <w:t>Brésil</w:t>
            </w:r>
          </w:p>
          <w:p w14:paraId="34C9AF52" w14:textId="3E7880A5" w:rsidR="00BC2C9F" w:rsidRPr="00A529B7" w:rsidRDefault="54FDD3F0" w:rsidP="00877039">
            <w:pPr>
              <w:jc w:val="center"/>
              <w:rPr>
                <w:rFonts w:ascii="Calibri" w:eastAsia="Calibri" w:hAnsi="Calibri" w:cs="Calibri"/>
                <w:szCs w:val="20"/>
              </w:rPr>
            </w:pPr>
            <w:r w:rsidRPr="54FDD3F0">
              <w:rPr>
                <w:rFonts w:ascii="Calibri" w:eastAsia="Calibri" w:hAnsi="Calibri" w:cs="Calibri"/>
                <w:szCs w:val="20"/>
              </w:rPr>
              <w:t>Chine</w:t>
            </w:r>
          </w:p>
          <w:p w14:paraId="5DF56BA4" w14:textId="0FEE7BA6" w:rsidR="00BC2C9F" w:rsidRPr="00A529B7" w:rsidRDefault="54FDD3F0" w:rsidP="00877039">
            <w:pPr>
              <w:jc w:val="center"/>
              <w:rPr>
                <w:rFonts w:ascii="Calibri" w:eastAsia="Calibri" w:hAnsi="Calibri" w:cs="Calibri"/>
                <w:szCs w:val="20"/>
              </w:rPr>
            </w:pPr>
            <w:r w:rsidRPr="54FDD3F0">
              <w:rPr>
                <w:rFonts w:ascii="Calibri" w:eastAsia="Calibri" w:hAnsi="Calibri" w:cs="Calibri"/>
                <w:szCs w:val="20"/>
              </w:rPr>
              <w:t>Équateur</w:t>
            </w:r>
          </w:p>
          <w:p w14:paraId="427EBF89" w14:textId="674A31F3" w:rsidR="00BC2C9F" w:rsidRPr="00A529B7" w:rsidRDefault="54FDD3F0" w:rsidP="00877039">
            <w:pPr>
              <w:jc w:val="center"/>
              <w:rPr>
                <w:rFonts w:ascii="Calibri" w:eastAsia="Calibri" w:hAnsi="Calibri" w:cs="Calibri"/>
                <w:szCs w:val="20"/>
              </w:rPr>
            </w:pPr>
            <w:r w:rsidRPr="54FDD3F0">
              <w:rPr>
                <w:rFonts w:ascii="Calibri" w:eastAsia="Calibri" w:hAnsi="Calibri" w:cs="Calibri"/>
                <w:szCs w:val="20"/>
              </w:rPr>
              <w:t>Inde</w:t>
            </w:r>
          </w:p>
          <w:p w14:paraId="775C3171" w14:textId="443EDBB4" w:rsidR="00BC2C9F" w:rsidRPr="00A529B7" w:rsidRDefault="54FDD3F0" w:rsidP="00877039">
            <w:pPr>
              <w:jc w:val="center"/>
              <w:rPr>
                <w:rFonts w:ascii="Calibri" w:eastAsia="Calibri" w:hAnsi="Calibri" w:cs="Calibri"/>
                <w:szCs w:val="20"/>
              </w:rPr>
            </w:pPr>
            <w:r w:rsidRPr="54FDD3F0">
              <w:rPr>
                <w:rFonts w:ascii="Calibri" w:eastAsia="Calibri" w:hAnsi="Calibri" w:cs="Calibri"/>
                <w:szCs w:val="20"/>
              </w:rPr>
              <w:t>Indonésie</w:t>
            </w:r>
          </w:p>
          <w:p w14:paraId="53295313" w14:textId="44C9FED0" w:rsidR="00BC2C9F" w:rsidRPr="00A529B7" w:rsidRDefault="54FDD3F0" w:rsidP="00877039">
            <w:pPr>
              <w:jc w:val="center"/>
              <w:rPr>
                <w:rFonts w:ascii="Calibri" w:eastAsia="Calibri" w:hAnsi="Calibri" w:cs="Calibri"/>
                <w:szCs w:val="20"/>
              </w:rPr>
            </w:pPr>
            <w:r w:rsidRPr="54FDD3F0">
              <w:rPr>
                <w:rFonts w:ascii="Calibri" w:eastAsia="Calibri" w:hAnsi="Calibri" w:cs="Calibri"/>
                <w:szCs w:val="20"/>
              </w:rPr>
              <w:t>Israël</w:t>
            </w:r>
          </w:p>
          <w:p w14:paraId="521D2308" w14:textId="5B8086F8" w:rsidR="00BC2C9F" w:rsidRPr="00A529B7" w:rsidRDefault="54FDD3F0" w:rsidP="00877039">
            <w:pPr>
              <w:jc w:val="center"/>
              <w:rPr>
                <w:rFonts w:ascii="Calibri" w:eastAsia="Calibri" w:hAnsi="Calibri" w:cs="Calibri"/>
                <w:szCs w:val="20"/>
              </w:rPr>
            </w:pPr>
            <w:r w:rsidRPr="54FDD3F0">
              <w:rPr>
                <w:rFonts w:ascii="Calibri" w:eastAsia="Calibri" w:hAnsi="Calibri" w:cs="Calibri"/>
                <w:szCs w:val="20"/>
              </w:rPr>
              <w:t>Liban</w:t>
            </w:r>
          </w:p>
          <w:p w14:paraId="78C8A63E" w14:textId="69F2D200" w:rsidR="00BC2C9F" w:rsidRPr="00A529B7" w:rsidRDefault="54FDD3F0" w:rsidP="00877039">
            <w:pPr>
              <w:jc w:val="center"/>
              <w:rPr>
                <w:rFonts w:ascii="Calibri" w:eastAsia="Calibri" w:hAnsi="Calibri" w:cs="Calibri"/>
                <w:szCs w:val="20"/>
              </w:rPr>
            </w:pPr>
            <w:r w:rsidRPr="54FDD3F0">
              <w:rPr>
                <w:rFonts w:ascii="Calibri" w:eastAsia="Calibri" w:hAnsi="Calibri" w:cs="Calibri"/>
                <w:szCs w:val="20"/>
              </w:rPr>
              <w:t>Maldives</w:t>
            </w:r>
          </w:p>
          <w:p w14:paraId="270BB4BD" w14:textId="5A8561F1" w:rsidR="00BC2C9F" w:rsidRPr="00A529B7" w:rsidRDefault="54FDD3F0" w:rsidP="00877039">
            <w:pPr>
              <w:jc w:val="center"/>
              <w:rPr>
                <w:rFonts w:ascii="Calibri" w:eastAsia="Calibri" w:hAnsi="Calibri" w:cs="Calibri"/>
                <w:szCs w:val="20"/>
              </w:rPr>
            </w:pPr>
            <w:r w:rsidRPr="54FDD3F0">
              <w:rPr>
                <w:rFonts w:ascii="Calibri" w:eastAsia="Calibri" w:hAnsi="Calibri" w:cs="Calibri"/>
                <w:szCs w:val="20"/>
              </w:rPr>
              <w:t>Panama</w:t>
            </w:r>
          </w:p>
          <w:p w14:paraId="69B73AF3" w14:textId="69DA1645" w:rsidR="00BC2C9F" w:rsidRPr="00A529B7" w:rsidRDefault="54FDD3F0" w:rsidP="00877039">
            <w:pPr>
              <w:jc w:val="center"/>
              <w:rPr>
                <w:rFonts w:ascii="Calibri" w:eastAsia="Calibri" w:hAnsi="Calibri" w:cs="Calibri"/>
                <w:szCs w:val="20"/>
              </w:rPr>
            </w:pPr>
            <w:r w:rsidRPr="54FDD3F0">
              <w:rPr>
                <w:rFonts w:ascii="Calibri" w:eastAsia="Calibri" w:hAnsi="Calibri" w:cs="Calibri"/>
                <w:szCs w:val="20"/>
              </w:rPr>
              <w:t>Pérou</w:t>
            </w:r>
          </w:p>
          <w:p w14:paraId="05BE0F8D" w14:textId="49F998D8" w:rsidR="00BC2C9F" w:rsidRPr="00A529B7" w:rsidRDefault="54FDD3F0" w:rsidP="00877039">
            <w:pPr>
              <w:jc w:val="center"/>
              <w:rPr>
                <w:rFonts w:ascii="Calibri" w:eastAsia="Calibri" w:hAnsi="Calibri" w:cs="Calibri"/>
                <w:szCs w:val="20"/>
              </w:rPr>
            </w:pPr>
            <w:r w:rsidRPr="54FDD3F0">
              <w:rPr>
                <w:rFonts w:ascii="Calibri" w:eastAsia="Calibri" w:hAnsi="Calibri" w:cs="Calibri"/>
                <w:szCs w:val="20"/>
              </w:rPr>
              <w:t>Soudan</w:t>
            </w:r>
          </w:p>
          <w:p w14:paraId="37634CD9" w14:textId="7327A1B9" w:rsidR="00BC2C9F" w:rsidRPr="00A529B7" w:rsidRDefault="54FDD3F0" w:rsidP="00877039">
            <w:pPr>
              <w:jc w:val="center"/>
              <w:rPr>
                <w:rFonts w:ascii="Calibri" w:eastAsia="Calibri" w:hAnsi="Calibri" w:cs="Calibri"/>
                <w:szCs w:val="20"/>
              </w:rPr>
            </w:pPr>
            <w:r w:rsidRPr="54FDD3F0">
              <w:rPr>
                <w:rFonts w:ascii="Calibri" w:eastAsia="Calibri" w:hAnsi="Calibri" w:cs="Calibri"/>
                <w:szCs w:val="20"/>
              </w:rPr>
              <w:t>Thaïlande</w:t>
            </w:r>
          </w:p>
          <w:p w14:paraId="52328D3E" w14:textId="60251450" w:rsidR="00BC2C9F" w:rsidRPr="00A529B7" w:rsidRDefault="54FDD3F0" w:rsidP="00877039">
            <w:pPr>
              <w:jc w:val="center"/>
              <w:rPr>
                <w:rFonts w:ascii="Calibri" w:eastAsia="Calibri" w:hAnsi="Calibri" w:cs="Calibri"/>
                <w:szCs w:val="20"/>
              </w:rPr>
            </w:pPr>
            <w:r w:rsidRPr="54FDD3F0">
              <w:rPr>
                <w:rFonts w:ascii="Calibri" w:eastAsia="Calibri" w:hAnsi="Calibri" w:cs="Calibri"/>
                <w:szCs w:val="20"/>
              </w:rPr>
              <w:t>Taïwan</w:t>
            </w:r>
          </w:p>
          <w:p w14:paraId="3B2B04CC" w14:textId="294C3237" w:rsidR="00BC2C9F" w:rsidRPr="00A529B7" w:rsidRDefault="54FDD3F0" w:rsidP="00877039">
            <w:pPr>
              <w:jc w:val="center"/>
              <w:rPr>
                <w:rFonts w:ascii="Calibri" w:eastAsia="Calibri" w:hAnsi="Calibri" w:cs="Calibri"/>
                <w:szCs w:val="20"/>
              </w:rPr>
            </w:pPr>
            <w:r w:rsidRPr="54FDD3F0">
              <w:rPr>
                <w:rFonts w:ascii="Calibri" w:eastAsia="Calibri" w:hAnsi="Calibri" w:cs="Calibri"/>
                <w:szCs w:val="20"/>
              </w:rPr>
              <w:t>Venezuela</w:t>
            </w:r>
          </w:p>
          <w:p w14:paraId="3DD97296" w14:textId="316C98B2" w:rsidR="00BC2C9F" w:rsidRPr="00A529B7" w:rsidRDefault="54FDD3F0" w:rsidP="00877039">
            <w:pPr>
              <w:jc w:val="center"/>
              <w:rPr>
                <w:rFonts w:ascii="Calibri" w:eastAsia="Calibri" w:hAnsi="Calibri" w:cs="Calibri"/>
                <w:szCs w:val="20"/>
              </w:rPr>
            </w:pPr>
            <w:r w:rsidRPr="54FDD3F0">
              <w:rPr>
                <w:rFonts w:ascii="Calibri" w:eastAsia="Calibri" w:hAnsi="Calibri" w:cs="Calibri"/>
                <w:szCs w:val="20"/>
              </w:rPr>
              <w:t>Vietnam</w:t>
            </w:r>
          </w:p>
        </w:tc>
        <w:tc>
          <w:tcPr>
            <w:tcW w:w="3686" w:type="dxa"/>
            <w:shd w:val="clear" w:color="auto" w:fill="auto"/>
            <w:vAlign w:val="center"/>
          </w:tcPr>
          <w:p w14:paraId="5A0DAE4C" w14:textId="45A20571" w:rsidR="00BC2C9F" w:rsidRPr="00A529B7" w:rsidRDefault="54FDD3F0" w:rsidP="00696043">
            <w:r>
              <w:t xml:space="preserve">La cage </w:t>
            </w:r>
            <w:r w:rsidR="00696043">
              <w:t xml:space="preserve">Ayers Rock </w:t>
            </w:r>
            <w:r>
              <w:t>est une cage au design anatomique en PEEK (by Invibio), conçue pour l’arthrodèse cervicale antérieure en stand alone ou combinée à une plaque-vis.</w:t>
            </w:r>
          </w:p>
        </w:tc>
      </w:tr>
      <w:tr w:rsidR="00877039" w:rsidRPr="00A529B7" w14:paraId="3721A5F6" w14:textId="77777777" w:rsidTr="005B42F0">
        <w:trPr>
          <w:trHeight w:val="1971"/>
          <w:tblHeader/>
        </w:trPr>
        <w:tc>
          <w:tcPr>
            <w:tcW w:w="2127" w:type="dxa"/>
            <w:shd w:val="clear" w:color="auto" w:fill="auto"/>
            <w:vAlign w:val="center"/>
          </w:tcPr>
          <w:p w14:paraId="2BB23A03" w14:textId="73B79FA8" w:rsidR="00877039" w:rsidRPr="00A529B7" w:rsidRDefault="00F724DF" w:rsidP="54FDD3F0">
            <w:pPr>
              <w:jc w:val="center"/>
            </w:pPr>
            <w:r>
              <w:t>B</w:t>
            </w:r>
            <w:r w:rsidR="00877039">
              <w:t xml:space="preserve">lue </w:t>
            </w:r>
            <w:r w:rsidR="00696043">
              <w:t>Mountain</w:t>
            </w:r>
          </w:p>
          <w:p w14:paraId="6F684FDE" w14:textId="77777777" w:rsidR="00877039" w:rsidRPr="00A529B7" w:rsidRDefault="00877039" w:rsidP="00AD71B5">
            <w:pPr>
              <w:jc w:val="center"/>
              <w:rPr>
                <w:szCs w:val="20"/>
              </w:rPr>
            </w:pPr>
            <w:r>
              <w:rPr>
                <w:noProof/>
              </w:rPr>
              <w:drawing>
                <wp:inline distT="0" distB="0" distL="0" distR="0" wp14:anchorId="0FF752F0" wp14:editId="1DC3CE60">
                  <wp:extent cx="655320" cy="586740"/>
                  <wp:effectExtent l="0" t="0" r="5080" b="0"/>
                  <wp:docPr id="99" name="Imag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99"/>
                          <pic:cNvPicPr/>
                        </pic:nvPicPr>
                        <pic:blipFill>
                          <a:blip r:embed="rId40">
                            <a:extLst>
                              <a:ext uri="{28A0092B-C50C-407E-A947-70E740481C1C}">
                                <a14:useLocalDpi xmlns:a14="http://schemas.microsoft.com/office/drawing/2010/main" val="0"/>
                              </a:ext>
                            </a:extLst>
                          </a:blip>
                          <a:stretch>
                            <a:fillRect/>
                          </a:stretch>
                        </pic:blipFill>
                        <pic:spPr>
                          <a:xfrm>
                            <a:off x="0" y="0"/>
                            <a:ext cx="655320" cy="586740"/>
                          </a:xfrm>
                          <a:prstGeom prst="rect">
                            <a:avLst/>
                          </a:prstGeom>
                        </pic:spPr>
                      </pic:pic>
                    </a:graphicData>
                  </a:graphic>
                </wp:inline>
              </w:drawing>
            </w:r>
          </w:p>
        </w:tc>
        <w:tc>
          <w:tcPr>
            <w:tcW w:w="1275" w:type="dxa"/>
            <w:shd w:val="clear" w:color="auto" w:fill="auto"/>
            <w:vAlign w:val="center"/>
          </w:tcPr>
          <w:p w14:paraId="0FCCDC21" w14:textId="77777777" w:rsidR="00877039" w:rsidRPr="00A529B7" w:rsidRDefault="00877039" w:rsidP="00AD71B5">
            <w:pPr>
              <w:jc w:val="center"/>
              <w:rPr>
                <w:szCs w:val="20"/>
              </w:rPr>
            </w:pPr>
            <w:r w:rsidRPr="00A529B7">
              <w:rPr>
                <w:szCs w:val="20"/>
              </w:rPr>
              <w:t>Cervical</w:t>
            </w:r>
          </w:p>
        </w:tc>
        <w:tc>
          <w:tcPr>
            <w:tcW w:w="1134" w:type="dxa"/>
            <w:vAlign w:val="center"/>
          </w:tcPr>
          <w:p w14:paraId="51D33407" w14:textId="7C6A8293" w:rsidR="00877039" w:rsidRPr="00A529B7" w:rsidRDefault="00877039" w:rsidP="005A0092">
            <w:pPr>
              <w:jc w:val="center"/>
              <w:rPr>
                <w:szCs w:val="20"/>
              </w:rPr>
            </w:pPr>
            <w:r w:rsidRPr="00BC2C9F">
              <w:rPr>
                <w:szCs w:val="20"/>
              </w:rPr>
              <w:t xml:space="preserve">1 </w:t>
            </w:r>
            <w:r>
              <w:rPr>
                <w:szCs w:val="20"/>
              </w:rPr>
              <w:t>Brevet (France)</w:t>
            </w:r>
          </w:p>
        </w:tc>
        <w:tc>
          <w:tcPr>
            <w:tcW w:w="1276" w:type="dxa"/>
            <w:vMerge w:val="restart"/>
            <w:shd w:val="clear" w:color="auto" w:fill="auto"/>
            <w:vAlign w:val="center"/>
          </w:tcPr>
          <w:p w14:paraId="44E5F85E" w14:textId="4D5CCE15" w:rsidR="00877039" w:rsidRPr="00A529B7" w:rsidRDefault="00877039" w:rsidP="00F95E28">
            <w:pPr>
              <w:jc w:val="center"/>
              <w:rPr>
                <w:rFonts w:ascii="Calibri" w:eastAsia="Calibri" w:hAnsi="Calibri" w:cs="Calibri"/>
                <w:szCs w:val="20"/>
              </w:rPr>
            </w:pPr>
            <w:r w:rsidRPr="54FDD3F0">
              <w:rPr>
                <w:rFonts w:ascii="Calibri" w:eastAsia="Calibri" w:hAnsi="Calibri" w:cs="Calibri"/>
                <w:szCs w:val="20"/>
              </w:rPr>
              <w:t xml:space="preserve"> </w:t>
            </w:r>
          </w:p>
          <w:p w14:paraId="72AA0683" w14:textId="7D8BABA7" w:rsidR="00877039" w:rsidRPr="00A529B7" w:rsidRDefault="00877039" w:rsidP="00877039">
            <w:pPr>
              <w:jc w:val="center"/>
              <w:rPr>
                <w:rFonts w:ascii="Calibri" w:eastAsia="Calibri" w:hAnsi="Calibri" w:cs="Calibri"/>
                <w:szCs w:val="20"/>
              </w:rPr>
            </w:pPr>
            <w:r w:rsidRPr="54FDD3F0">
              <w:rPr>
                <w:rFonts w:ascii="Calibri" w:eastAsia="Calibri" w:hAnsi="Calibri" w:cs="Calibri"/>
                <w:szCs w:val="20"/>
              </w:rPr>
              <w:t>CE-UE</w:t>
            </w:r>
          </w:p>
          <w:p w14:paraId="7FC8B989" w14:textId="77777777" w:rsidR="00877039" w:rsidRPr="00A529B7" w:rsidRDefault="00877039" w:rsidP="00877039">
            <w:pPr>
              <w:jc w:val="center"/>
              <w:rPr>
                <w:rFonts w:ascii="Calibri" w:eastAsia="Calibri" w:hAnsi="Calibri" w:cs="Calibri"/>
                <w:szCs w:val="20"/>
              </w:rPr>
            </w:pPr>
            <w:r w:rsidRPr="54FDD3F0">
              <w:rPr>
                <w:rFonts w:ascii="Calibri" w:eastAsia="Calibri" w:hAnsi="Calibri" w:cs="Calibri"/>
                <w:szCs w:val="20"/>
              </w:rPr>
              <w:t>Algérie</w:t>
            </w:r>
          </w:p>
          <w:p w14:paraId="5282B6FA" w14:textId="77777777" w:rsidR="00877039" w:rsidRPr="00A529B7" w:rsidRDefault="00877039" w:rsidP="00877039">
            <w:pPr>
              <w:jc w:val="center"/>
              <w:rPr>
                <w:rFonts w:ascii="Calibri" w:eastAsia="Calibri" w:hAnsi="Calibri" w:cs="Calibri"/>
                <w:szCs w:val="20"/>
              </w:rPr>
            </w:pPr>
            <w:r w:rsidRPr="54FDD3F0">
              <w:rPr>
                <w:rFonts w:ascii="Calibri" w:eastAsia="Calibri" w:hAnsi="Calibri" w:cs="Calibri"/>
                <w:szCs w:val="20"/>
              </w:rPr>
              <w:t>Argentine</w:t>
            </w:r>
          </w:p>
          <w:p w14:paraId="7BB2788C" w14:textId="77777777" w:rsidR="00877039" w:rsidRPr="00A529B7" w:rsidRDefault="00877039" w:rsidP="00877039">
            <w:pPr>
              <w:jc w:val="center"/>
              <w:rPr>
                <w:rFonts w:ascii="Calibri" w:eastAsia="Calibri" w:hAnsi="Calibri" w:cs="Calibri"/>
                <w:szCs w:val="20"/>
              </w:rPr>
            </w:pPr>
            <w:r w:rsidRPr="54FDD3F0">
              <w:rPr>
                <w:rFonts w:ascii="Calibri" w:eastAsia="Calibri" w:hAnsi="Calibri" w:cs="Calibri"/>
                <w:szCs w:val="20"/>
              </w:rPr>
              <w:t>Australie</w:t>
            </w:r>
          </w:p>
          <w:p w14:paraId="08C78A00" w14:textId="77777777" w:rsidR="00877039" w:rsidRPr="00A529B7" w:rsidRDefault="00877039" w:rsidP="00877039">
            <w:pPr>
              <w:jc w:val="center"/>
              <w:rPr>
                <w:rFonts w:ascii="Calibri" w:eastAsia="Calibri" w:hAnsi="Calibri" w:cs="Calibri"/>
                <w:szCs w:val="20"/>
              </w:rPr>
            </w:pPr>
            <w:r w:rsidRPr="54FDD3F0">
              <w:rPr>
                <w:rFonts w:ascii="Calibri" w:eastAsia="Calibri" w:hAnsi="Calibri" w:cs="Calibri"/>
                <w:szCs w:val="20"/>
              </w:rPr>
              <w:t>Bolivie</w:t>
            </w:r>
          </w:p>
          <w:p w14:paraId="6A05CE48" w14:textId="77777777" w:rsidR="00877039" w:rsidRPr="00A529B7" w:rsidRDefault="00877039" w:rsidP="00877039">
            <w:pPr>
              <w:jc w:val="center"/>
              <w:rPr>
                <w:rFonts w:ascii="Calibri" w:eastAsia="Calibri" w:hAnsi="Calibri" w:cs="Calibri"/>
                <w:szCs w:val="20"/>
              </w:rPr>
            </w:pPr>
            <w:r w:rsidRPr="54FDD3F0">
              <w:rPr>
                <w:rFonts w:ascii="Calibri" w:eastAsia="Calibri" w:hAnsi="Calibri" w:cs="Calibri"/>
                <w:szCs w:val="20"/>
              </w:rPr>
              <w:t>Brésil</w:t>
            </w:r>
          </w:p>
          <w:p w14:paraId="7BC78767" w14:textId="77777777" w:rsidR="00877039" w:rsidRPr="00A529B7" w:rsidRDefault="00877039" w:rsidP="00877039">
            <w:pPr>
              <w:jc w:val="center"/>
              <w:rPr>
                <w:rFonts w:ascii="Calibri" w:eastAsia="Calibri" w:hAnsi="Calibri" w:cs="Calibri"/>
                <w:szCs w:val="20"/>
              </w:rPr>
            </w:pPr>
            <w:r w:rsidRPr="54FDD3F0">
              <w:rPr>
                <w:rFonts w:ascii="Calibri" w:eastAsia="Calibri" w:hAnsi="Calibri" w:cs="Calibri"/>
                <w:szCs w:val="20"/>
              </w:rPr>
              <w:t>Chine</w:t>
            </w:r>
          </w:p>
          <w:p w14:paraId="30A28629" w14:textId="77777777" w:rsidR="00877039" w:rsidRPr="00A529B7" w:rsidRDefault="00877039" w:rsidP="00877039">
            <w:pPr>
              <w:jc w:val="center"/>
              <w:rPr>
                <w:rFonts w:ascii="Calibri" w:eastAsia="Calibri" w:hAnsi="Calibri" w:cs="Calibri"/>
                <w:szCs w:val="20"/>
              </w:rPr>
            </w:pPr>
            <w:r w:rsidRPr="54FDD3F0">
              <w:rPr>
                <w:rFonts w:ascii="Calibri" w:eastAsia="Calibri" w:hAnsi="Calibri" w:cs="Calibri"/>
                <w:szCs w:val="20"/>
              </w:rPr>
              <w:t>Equateur</w:t>
            </w:r>
          </w:p>
          <w:p w14:paraId="6601A397" w14:textId="77777777" w:rsidR="00877039" w:rsidRPr="00A529B7" w:rsidRDefault="00877039" w:rsidP="00877039">
            <w:pPr>
              <w:jc w:val="center"/>
              <w:rPr>
                <w:rFonts w:ascii="Calibri" w:eastAsia="Calibri" w:hAnsi="Calibri" w:cs="Calibri"/>
                <w:szCs w:val="20"/>
              </w:rPr>
            </w:pPr>
            <w:r w:rsidRPr="54FDD3F0">
              <w:rPr>
                <w:rFonts w:ascii="Calibri" w:eastAsia="Calibri" w:hAnsi="Calibri" w:cs="Calibri"/>
                <w:szCs w:val="20"/>
              </w:rPr>
              <w:t>Inde</w:t>
            </w:r>
          </w:p>
          <w:p w14:paraId="67EDC9BF" w14:textId="77777777" w:rsidR="00877039" w:rsidRPr="00A529B7" w:rsidRDefault="00877039" w:rsidP="00877039">
            <w:pPr>
              <w:jc w:val="center"/>
              <w:rPr>
                <w:rFonts w:ascii="Calibri" w:eastAsia="Calibri" w:hAnsi="Calibri" w:cs="Calibri"/>
                <w:szCs w:val="20"/>
              </w:rPr>
            </w:pPr>
            <w:r w:rsidRPr="54FDD3F0">
              <w:rPr>
                <w:rFonts w:ascii="Calibri" w:eastAsia="Calibri" w:hAnsi="Calibri" w:cs="Calibri"/>
                <w:szCs w:val="20"/>
              </w:rPr>
              <w:t>Indonésie</w:t>
            </w:r>
          </w:p>
          <w:p w14:paraId="286181D3" w14:textId="77777777" w:rsidR="00877039" w:rsidRPr="00A529B7" w:rsidRDefault="00877039" w:rsidP="00877039">
            <w:pPr>
              <w:jc w:val="center"/>
              <w:rPr>
                <w:rFonts w:ascii="Calibri" w:eastAsia="Calibri" w:hAnsi="Calibri" w:cs="Calibri"/>
                <w:szCs w:val="20"/>
              </w:rPr>
            </w:pPr>
            <w:r w:rsidRPr="54FDD3F0">
              <w:rPr>
                <w:rFonts w:ascii="Calibri" w:eastAsia="Calibri" w:hAnsi="Calibri" w:cs="Calibri"/>
                <w:szCs w:val="20"/>
              </w:rPr>
              <w:t>Israël</w:t>
            </w:r>
          </w:p>
          <w:p w14:paraId="3FBE4289" w14:textId="77777777" w:rsidR="00877039" w:rsidRPr="00A529B7" w:rsidRDefault="00877039" w:rsidP="00877039">
            <w:pPr>
              <w:jc w:val="center"/>
              <w:rPr>
                <w:rFonts w:ascii="Calibri" w:eastAsia="Calibri" w:hAnsi="Calibri" w:cs="Calibri"/>
                <w:szCs w:val="20"/>
              </w:rPr>
            </w:pPr>
            <w:r w:rsidRPr="54FDD3F0">
              <w:rPr>
                <w:rFonts w:ascii="Calibri" w:eastAsia="Calibri" w:hAnsi="Calibri" w:cs="Calibri"/>
                <w:szCs w:val="20"/>
              </w:rPr>
              <w:t>Maldives</w:t>
            </w:r>
          </w:p>
          <w:p w14:paraId="010B552B" w14:textId="77777777" w:rsidR="00877039" w:rsidRPr="00A529B7" w:rsidRDefault="00877039" w:rsidP="00877039">
            <w:pPr>
              <w:jc w:val="center"/>
              <w:rPr>
                <w:rFonts w:ascii="Calibri" w:eastAsia="Calibri" w:hAnsi="Calibri" w:cs="Calibri"/>
                <w:szCs w:val="20"/>
              </w:rPr>
            </w:pPr>
            <w:r w:rsidRPr="54FDD3F0">
              <w:rPr>
                <w:rFonts w:ascii="Calibri" w:eastAsia="Calibri" w:hAnsi="Calibri" w:cs="Calibri"/>
                <w:szCs w:val="20"/>
              </w:rPr>
              <w:t>Mexique</w:t>
            </w:r>
          </w:p>
          <w:p w14:paraId="2ACF0C78" w14:textId="77777777" w:rsidR="00877039" w:rsidRPr="00A529B7" w:rsidRDefault="00877039" w:rsidP="00877039">
            <w:pPr>
              <w:jc w:val="center"/>
              <w:rPr>
                <w:rFonts w:ascii="Calibri" w:eastAsia="Calibri" w:hAnsi="Calibri" w:cs="Calibri"/>
                <w:szCs w:val="20"/>
              </w:rPr>
            </w:pPr>
            <w:r w:rsidRPr="54FDD3F0">
              <w:rPr>
                <w:rFonts w:ascii="Calibri" w:eastAsia="Calibri" w:hAnsi="Calibri" w:cs="Calibri"/>
                <w:szCs w:val="20"/>
              </w:rPr>
              <w:t>Panama</w:t>
            </w:r>
          </w:p>
          <w:p w14:paraId="641E13C3" w14:textId="77777777" w:rsidR="00877039" w:rsidRPr="00A529B7" w:rsidRDefault="00877039" w:rsidP="00877039">
            <w:pPr>
              <w:jc w:val="center"/>
              <w:rPr>
                <w:rFonts w:ascii="Calibri" w:eastAsia="Calibri" w:hAnsi="Calibri" w:cs="Calibri"/>
                <w:szCs w:val="20"/>
              </w:rPr>
            </w:pPr>
            <w:r w:rsidRPr="54FDD3F0">
              <w:rPr>
                <w:rFonts w:ascii="Calibri" w:eastAsia="Calibri" w:hAnsi="Calibri" w:cs="Calibri"/>
                <w:szCs w:val="20"/>
              </w:rPr>
              <w:t>Pérou</w:t>
            </w:r>
          </w:p>
          <w:p w14:paraId="70E8FFB5" w14:textId="77777777" w:rsidR="00877039" w:rsidRPr="00A529B7" w:rsidRDefault="00877039" w:rsidP="00877039">
            <w:pPr>
              <w:jc w:val="center"/>
              <w:rPr>
                <w:rFonts w:ascii="Calibri" w:eastAsia="Calibri" w:hAnsi="Calibri" w:cs="Calibri"/>
                <w:szCs w:val="20"/>
              </w:rPr>
            </w:pPr>
            <w:r w:rsidRPr="54FDD3F0">
              <w:rPr>
                <w:rFonts w:ascii="Calibri" w:eastAsia="Calibri" w:hAnsi="Calibri" w:cs="Calibri"/>
                <w:szCs w:val="20"/>
              </w:rPr>
              <w:t>Soudan</w:t>
            </w:r>
          </w:p>
          <w:p w14:paraId="7178E1B9" w14:textId="5C0EA14E" w:rsidR="00877039" w:rsidRPr="00A529B7" w:rsidRDefault="00877039" w:rsidP="00877039">
            <w:pPr>
              <w:jc w:val="center"/>
              <w:rPr>
                <w:rFonts w:ascii="Calibri" w:eastAsia="Calibri" w:hAnsi="Calibri" w:cs="Calibri"/>
                <w:szCs w:val="20"/>
              </w:rPr>
            </w:pPr>
            <w:r w:rsidRPr="54FDD3F0">
              <w:rPr>
                <w:rFonts w:ascii="Calibri" w:eastAsia="Calibri" w:hAnsi="Calibri" w:cs="Calibri"/>
                <w:szCs w:val="20"/>
              </w:rPr>
              <w:t>Vietnam</w:t>
            </w:r>
            <w:r w:rsidDel="54FDD3F0">
              <w:t xml:space="preserve"> </w:t>
            </w:r>
          </w:p>
        </w:tc>
        <w:tc>
          <w:tcPr>
            <w:tcW w:w="3686" w:type="dxa"/>
            <w:shd w:val="clear" w:color="auto" w:fill="auto"/>
            <w:vAlign w:val="center"/>
          </w:tcPr>
          <w:p w14:paraId="45786759" w14:textId="6674E78A" w:rsidR="00877039" w:rsidRPr="00A529B7" w:rsidRDefault="00F724DF" w:rsidP="00696043">
            <w:r>
              <w:t>B</w:t>
            </w:r>
            <w:r w:rsidR="00877039">
              <w:t xml:space="preserve">lue </w:t>
            </w:r>
            <w:r w:rsidR="00696043">
              <w:t xml:space="preserve">Mountain </w:t>
            </w:r>
            <w:r w:rsidR="00877039">
              <w:t>est un système de plaques et vis cervicales de type semi-contraint rotationnel Dispositif de rétention de vis innovant - Pas de pièce supplémentaire pour le système de blocage des vis - Plaque ultrafine</w:t>
            </w:r>
            <w:r>
              <w:t>.</w:t>
            </w:r>
          </w:p>
        </w:tc>
      </w:tr>
      <w:tr w:rsidR="00877039" w:rsidRPr="00A529B7" w14:paraId="550C2F3F" w14:textId="77777777" w:rsidTr="005B42F0">
        <w:trPr>
          <w:trHeight w:val="2254"/>
          <w:tblHeader/>
        </w:trPr>
        <w:tc>
          <w:tcPr>
            <w:tcW w:w="2127" w:type="dxa"/>
            <w:shd w:val="clear" w:color="auto" w:fill="auto"/>
            <w:vAlign w:val="center"/>
          </w:tcPr>
          <w:p w14:paraId="20E8A609" w14:textId="2DE38E8C" w:rsidR="00877039" w:rsidRPr="00A529B7" w:rsidRDefault="009B0FBC" w:rsidP="00AD71B5">
            <w:pPr>
              <w:jc w:val="center"/>
            </w:pPr>
            <w:r>
              <w:t xml:space="preserve">Mont </w:t>
            </w:r>
            <w:r w:rsidR="00696043">
              <w:t xml:space="preserve">Blanc </w:t>
            </w:r>
          </w:p>
          <w:p w14:paraId="18366EAE" w14:textId="77777777" w:rsidR="00877039" w:rsidRPr="00A529B7" w:rsidRDefault="00877039" w:rsidP="00AD71B5">
            <w:pPr>
              <w:jc w:val="center"/>
              <w:rPr>
                <w:szCs w:val="20"/>
              </w:rPr>
            </w:pPr>
            <w:r>
              <w:rPr>
                <w:noProof/>
              </w:rPr>
              <w:drawing>
                <wp:inline distT="0" distB="0" distL="0" distR="0" wp14:anchorId="0727C8A3" wp14:editId="38DC1216">
                  <wp:extent cx="793750" cy="362585"/>
                  <wp:effectExtent l="0" t="0" r="0" b="0"/>
                  <wp:docPr id="100" name="Imag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00"/>
                          <pic:cNvPicPr/>
                        </pic:nvPicPr>
                        <pic:blipFill>
                          <a:blip r:embed="rId41">
                            <a:extLst>
                              <a:ext uri="{28A0092B-C50C-407E-A947-70E740481C1C}">
                                <a14:useLocalDpi xmlns:a14="http://schemas.microsoft.com/office/drawing/2010/main" val="0"/>
                              </a:ext>
                            </a:extLst>
                          </a:blip>
                          <a:stretch>
                            <a:fillRect/>
                          </a:stretch>
                        </pic:blipFill>
                        <pic:spPr>
                          <a:xfrm>
                            <a:off x="0" y="0"/>
                            <a:ext cx="793750" cy="362585"/>
                          </a:xfrm>
                          <a:prstGeom prst="rect">
                            <a:avLst/>
                          </a:prstGeom>
                        </pic:spPr>
                      </pic:pic>
                    </a:graphicData>
                  </a:graphic>
                </wp:inline>
              </w:drawing>
            </w:r>
          </w:p>
        </w:tc>
        <w:tc>
          <w:tcPr>
            <w:tcW w:w="1275" w:type="dxa"/>
            <w:shd w:val="clear" w:color="auto" w:fill="auto"/>
            <w:vAlign w:val="center"/>
          </w:tcPr>
          <w:p w14:paraId="7B40C0A8" w14:textId="77777777" w:rsidR="00877039" w:rsidRPr="00A529B7" w:rsidRDefault="00877039" w:rsidP="00AD71B5">
            <w:pPr>
              <w:jc w:val="center"/>
              <w:rPr>
                <w:szCs w:val="20"/>
              </w:rPr>
            </w:pPr>
            <w:r w:rsidRPr="00A529B7">
              <w:rPr>
                <w:szCs w:val="20"/>
              </w:rPr>
              <w:t>Thoraco-lombo-sacré</w:t>
            </w:r>
          </w:p>
        </w:tc>
        <w:tc>
          <w:tcPr>
            <w:tcW w:w="1134" w:type="dxa"/>
            <w:vAlign w:val="center"/>
          </w:tcPr>
          <w:p w14:paraId="79EB0798" w14:textId="5C34E70D" w:rsidR="00877039" w:rsidRPr="00BC2C9F" w:rsidRDefault="00877039" w:rsidP="00BC2C9F">
            <w:pPr>
              <w:jc w:val="center"/>
              <w:rPr>
                <w:color w:val="FF0000"/>
                <w:szCs w:val="20"/>
                <w:highlight w:val="yellow"/>
              </w:rPr>
            </w:pPr>
            <w:r w:rsidRPr="00BC2C9F">
              <w:rPr>
                <w:szCs w:val="20"/>
              </w:rPr>
              <w:t xml:space="preserve">1 </w:t>
            </w:r>
            <w:r>
              <w:rPr>
                <w:szCs w:val="20"/>
              </w:rPr>
              <w:t>Brevet (France)</w:t>
            </w:r>
          </w:p>
        </w:tc>
        <w:tc>
          <w:tcPr>
            <w:tcW w:w="1276" w:type="dxa"/>
            <w:vMerge/>
            <w:shd w:val="clear" w:color="auto" w:fill="auto"/>
            <w:vAlign w:val="center"/>
          </w:tcPr>
          <w:p w14:paraId="613D57F2" w14:textId="5A50585E" w:rsidR="00877039" w:rsidRPr="00A529B7" w:rsidRDefault="00877039" w:rsidP="00877039">
            <w:pPr>
              <w:jc w:val="center"/>
              <w:rPr>
                <w:rFonts w:ascii="Calibri" w:eastAsia="Calibri" w:hAnsi="Calibri" w:cs="Calibri"/>
                <w:szCs w:val="20"/>
              </w:rPr>
            </w:pPr>
          </w:p>
        </w:tc>
        <w:tc>
          <w:tcPr>
            <w:tcW w:w="3686" w:type="dxa"/>
            <w:shd w:val="clear" w:color="auto" w:fill="auto"/>
            <w:vAlign w:val="center"/>
          </w:tcPr>
          <w:p w14:paraId="0963CF16" w14:textId="0DE05C8A" w:rsidR="00877039" w:rsidRPr="00A529B7" w:rsidRDefault="009B0FBC" w:rsidP="00696043">
            <w:r>
              <w:t>Mont</w:t>
            </w:r>
            <w:r w:rsidR="00877039">
              <w:t xml:space="preserve"> </w:t>
            </w:r>
            <w:r w:rsidR="00696043">
              <w:t xml:space="preserve">Blanc </w:t>
            </w:r>
            <w:r w:rsidR="00877039">
              <w:t>est une solution complète pour l’arthrodèse postérieure thoraco-lombo-sacrée caractérisée par sa simplicité et sa fiabilité. Composée de vis monobloc, polyaxiales, vis de traction pour tous les types d’interventions sur pathologies dégénérative, traumatique, tumorale et déformative.</w:t>
            </w:r>
          </w:p>
        </w:tc>
      </w:tr>
      <w:tr w:rsidR="00877039" w:rsidRPr="00A529B7" w14:paraId="7C2BF2CA" w14:textId="77777777" w:rsidTr="005B42F0">
        <w:trPr>
          <w:trHeight w:val="1421"/>
          <w:tblHeader/>
        </w:trPr>
        <w:tc>
          <w:tcPr>
            <w:tcW w:w="2127" w:type="dxa"/>
            <w:shd w:val="clear" w:color="auto" w:fill="auto"/>
            <w:vAlign w:val="center"/>
          </w:tcPr>
          <w:p w14:paraId="4F7D5CD3" w14:textId="734ADF24" w:rsidR="00877039" w:rsidRPr="00A529B7" w:rsidRDefault="009B0FBC" w:rsidP="00AD71B5">
            <w:pPr>
              <w:jc w:val="center"/>
            </w:pPr>
            <w:r>
              <w:t xml:space="preserve">Mont </w:t>
            </w:r>
            <w:r w:rsidR="00696043">
              <w:t xml:space="preserve">Blanc </w:t>
            </w:r>
            <w:r w:rsidR="00877039">
              <w:t>MIS</w:t>
            </w:r>
          </w:p>
          <w:p w14:paraId="27A05AB7" w14:textId="11FE4F87" w:rsidR="00877039" w:rsidRDefault="00877039" w:rsidP="00877039">
            <w:pPr>
              <w:jc w:val="center"/>
            </w:pPr>
            <w:r>
              <w:rPr>
                <w:noProof/>
              </w:rPr>
              <w:drawing>
                <wp:inline distT="0" distB="0" distL="0" distR="0" wp14:anchorId="60A2ECC3" wp14:editId="78E97A5F">
                  <wp:extent cx="666750" cy="419100"/>
                  <wp:effectExtent l="0" t="0" r="0" b="0"/>
                  <wp:docPr id="1354660882" name="Image 1354660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extLst>
                              <a:ext uri="{28A0092B-C50C-407E-A947-70E740481C1C}">
                                <a14:useLocalDpi xmlns:a14="http://schemas.microsoft.com/office/drawing/2010/main" val="0"/>
                              </a:ext>
                            </a:extLst>
                          </a:blip>
                          <a:stretch>
                            <a:fillRect/>
                          </a:stretch>
                        </pic:blipFill>
                        <pic:spPr>
                          <a:xfrm>
                            <a:off x="0" y="0"/>
                            <a:ext cx="666750" cy="419100"/>
                          </a:xfrm>
                          <a:prstGeom prst="rect">
                            <a:avLst/>
                          </a:prstGeom>
                        </pic:spPr>
                      </pic:pic>
                    </a:graphicData>
                  </a:graphic>
                </wp:inline>
              </w:drawing>
            </w:r>
          </w:p>
          <w:p w14:paraId="175EFBCC" w14:textId="26670745" w:rsidR="00877039" w:rsidRPr="00A529B7" w:rsidRDefault="00877039" w:rsidP="00AD71B5">
            <w:pPr>
              <w:jc w:val="center"/>
            </w:pPr>
          </w:p>
        </w:tc>
        <w:tc>
          <w:tcPr>
            <w:tcW w:w="1275" w:type="dxa"/>
            <w:shd w:val="clear" w:color="auto" w:fill="auto"/>
            <w:vAlign w:val="center"/>
          </w:tcPr>
          <w:p w14:paraId="31EE7F3A" w14:textId="77777777" w:rsidR="00877039" w:rsidRPr="00A529B7" w:rsidRDefault="00877039" w:rsidP="00AD71B5">
            <w:pPr>
              <w:jc w:val="center"/>
              <w:rPr>
                <w:szCs w:val="20"/>
              </w:rPr>
            </w:pPr>
            <w:r w:rsidRPr="00A529B7">
              <w:rPr>
                <w:szCs w:val="20"/>
              </w:rPr>
              <w:t>Thoraco-lombaire</w:t>
            </w:r>
          </w:p>
        </w:tc>
        <w:tc>
          <w:tcPr>
            <w:tcW w:w="1134" w:type="dxa"/>
            <w:vAlign w:val="center"/>
          </w:tcPr>
          <w:p w14:paraId="5570EBA7" w14:textId="77777777" w:rsidR="00BE3BB4" w:rsidRDefault="00877039" w:rsidP="00BC2C9F">
            <w:pPr>
              <w:jc w:val="center"/>
              <w:rPr>
                <w:szCs w:val="20"/>
              </w:rPr>
            </w:pPr>
            <w:r>
              <w:rPr>
                <w:szCs w:val="20"/>
              </w:rPr>
              <w:t>2 brevets </w:t>
            </w:r>
          </w:p>
          <w:p w14:paraId="3D59CAFB" w14:textId="1A5F4D16" w:rsidR="00877039" w:rsidRPr="00BC2C9F" w:rsidRDefault="00877039" w:rsidP="00BC2C9F">
            <w:pPr>
              <w:jc w:val="center"/>
              <w:rPr>
                <w:szCs w:val="20"/>
              </w:rPr>
            </w:pPr>
            <w:r>
              <w:rPr>
                <w:szCs w:val="20"/>
              </w:rPr>
              <w:t>(</w:t>
            </w:r>
            <w:r w:rsidRPr="00BC2C9F">
              <w:rPr>
                <w:szCs w:val="20"/>
              </w:rPr>
              <w:t>F</w:t>
            </w:r>
            <w:r w:rsidR="00BE3BB4">
              <w:rPr>
                <w:szCs w:val="20"/>
              </w:rPr>
              <w:t>r</w:t>
            </w:r>
            <w:r w:rsidRPr="00BC2C9F">
              <w:rPr>
                <w:szCs w:val="20"/>
              </w:rPr>
              <w:t xml:space="preserve">ance Europe, </w:t>
            </w:r>
            <w:r>
              <w:rPr>
                <w:szCs w:val="20"/>
              </w:rPr>
              <w:t>Etats-Unis)</w:t>
            </w:r>
          </w:p>
        </w:tc>
        <w:tc>
          <w:tcPr>
            <w:tcW w:w="1276" w:type="dxa"/>
            <w:vMerge/>
            <w:shd w:val="clear" w:color="auto" w:fill="auto"/>
            <w:vAlign w:val="center"/>
          </w:tcPr>
          <w:p w14:paraId="31692896" w14:textId="575AFC24" w:rsidR="00877039" w:rsidRPr="00A529B7" w:rsidRDefault="00877039" w:rsidP="00877039">
            <w:pPr>
              <w:jc w:val="center"/>
              <w:rPr>
                <w:rFonts w:ascii="Calibri" w:eastAsia="Calibri" w:hAnsi="Calibri" w:cs="Calibri"/>
                <w:szCs w:val="20"/>
              </w:rPr>
            </w:pPr>
          </w:p>
        </w:tc>
        <w:tc>
          <w:tcPr>
            <w:tcW w:w="3686" w:type="dxa"/>
            <w:shd w:val="clear" w:color="auto" w:fill="auto"/>
            <w:vAlign w:val="center"/>
          </w:tcPr>
          <w:p w14:paraId="2A46E0D4" w14:textId="04743C34" w:rsidR="00877039" w:rsidRPr="00A529B7" w:rsidRDefault="00877039" w:rsidP="00F27A8E">
            <w:pPr>
              <w:rPr>
                <w:szCs w:val="20"/>
              </w:rPr>
            </w:pPr>
            <w:r w:rsidRPr="00A529B7">
              <w:rPr>
                <w:szCs w:val="20"/>
              </w:rPr>
              <w:t xml:space="preserve">Gamme </w:t>
            </w:r>
            <w:r>
              <w:rPr>
                <w:szCs w:val="20"/>
              </w:rPr>
              <w:t xml:space="preserve">de vis et tiges </w:t>
            </w:r>
            <w:r w:rsidRPr="00A529B7">
              <w:rPr>
                <w:szCs w:val="20"/>
              </w:rPr>
              <w:t>pour la fixation thoraco-lombaire</w:t>
            </w:r>
            <w:r>
              <w:rPr>
                <w:szCs w:val="20"/>
              </w:rPr>
              <w:t xml:space="preserve"> par abord postérieur</w:t>
            </w:r>
            <w:r w:rsidRPr="00A529B7">
              <w:rPr>
                <w:szCs w:val="20"/>
              </w:rPr>
              <w:t xml:space="preserve"> </w:t>
            </w:r>
            <w:r>
              <w:rPr>
                <w:szCs w:val="20"/>
              </w:rPr>
              <w:t>Mini-Invasif</w:t>
            </w:r>
            <w:r w:rsidRPr="00A529B7">
              <w:rPr>
                <w:szCs w:val="20"/>
              </w:rPr>
              <w:t>. Pathologies dégénératives, traumatiques, déformatives</w:t>
            </w:r>
            <w:r w:rsidR="009B0FBC">
              <w:rPr>
                <w:szCs w:val="20"/>
              </w:rPr>
              <w:t>.</w:t>
            </w:r>
          </w:p>
        </w:tc>
      </w:tr>
      <w:tr w:rsidR="00877039" w:rsidRPr="00A529B7" w14:paraId="75AF4BE1" w14:textId="77777777" w:rsidTr="005B42F0">
        <w:trPr>
          <w:trHeight w:val="2108"/>
          <w:tblHeader/>
        </w:trPr>
        <w:tc>
          <w:tcPr>
            <w:tcW w:w="2127" w:type="dxa"/>
            <w:shd w:val="clear" w:color="auto" w:fill="auto"/>
            <w:vAlign w:val="center"/>
          </w:tcPr>
          <w:p w14:paraId="3D0E1E0D" w14:textId="529A6F18" w:rsidR="00877039" w:rsidRPr="00A529B7" w:rsidRDefault="009B0FBC" w:rsidP="00AD71B5">
            <w:pPr>
              <w:jc w:val="center"/>
            </w:pPr>
            <w:r>
              <w:lastRenderedPageBreak/>
              <w:t>Mont</w:t>
            </w:r>
            <w:r w:rsidR="00877039">
              <w:t xml:space="preserve"> </w:t>
            </w:r>
            <w:r w:rsidR="00DF043A">
              <w:t>Blanc Baby</w:t>
            </w:r>
          </w:p>
          <w:p w14:paraId="61A3BD80" w14:textId="77777777" w:rsidR="00877039" w:rsidRPr="00A529B7" w:rsidRDefault="00877039" w:rsidP="00AD71B5">
            <w:pPr>
              <w:jc w:val="center"/>
              <w:rPr>
                <w:szCs w:val="20"/>
              </w:rPr>
            </w:pPr>
            <w:r>
              <w:rPr>
                <w:noProof/>
              </w:rPr>
              <w:drawing>
                <wp:inline distT="0" distB="0" distL="0" distR="0" wp14:anchorId="63E83651" wp14:editId="0A7C541E">
                  <wp:extent cx="914400" cy="448310"/>
                  <wp:effectExtent l="0" t="0" r="0" b="8890"/>
                  <wp:docPr id="102" name="Imag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02"/>
                          <pic:cNvPicPr/>
                        </pic:nvPicPr>
                        <pic:blipFill>
                          <a:blip r:embed="rId43">
                            <a:extLst>
                              <a:ext uri="{28A0092B-C50C-407E-A947-70E740481C1C}">
                                <a14:useLocalDpi xmlns:a14="http://schemas.microsoft.com/office/drawing/2010/main" val="0"/>
                              </a:ext>
                            </a:extLst>
                          </a:blip>
                          <a:stretch>
                            <a:fillRect/>
                          </a:stretch>
                        </pic:blipFill>
                        <pic:spPr>
                          <a:xfrm>
                            <a:off x="0" y="0"/>
                            <a:ext cx="914400" cy="448310"/>
                          </a:xfrm>
                          <a:prstGeom prst="rect">
                            <a:avLst/>
                          </a:prstGeom>
                        </pic:spPr>
                      </pic:pic>
                    </a:graphicData>
                  </a:graphic>
                </wp:inline>
              </w:drawing>
            </w:r>
          </w:p>
        </w:tc>
        <w:tc>
          <w:tcPr>
            <w:tcW w:w="1275" w:type="dxa"/>
            <w:shd w:val="clear" w:color="auto" w:fill="auto"/>
            <w:vAlign w:val="center"/>
          </w:tcPr>
          <w:p w14:paraId="61A9BD1A" w14:textId="77777777" w:rsidR="00877039" w:rsidRPr="00A529B7" w:rsidRDefault="00877039" w:rsidP="00AD71B5">
            <w:pPr>
              <w:jc w:val="center"/>
              <w:rPr>
                <w:szCs w:val="20"/>
              </w:rPr>
            </w:pPr>
            <w:r w:rsidRPr="00A529B7">
              <w:rPr>
                <w:szCs w:val="20"/>
              </w:rPr>
              <w:t>Thoraco-lombaire</w:t>
            </w:r>
          </w:p>
        </w:tc>
        <w:tc>
          <w:tcPr>
            <w:tcW w:w="1134" w:type="dxa"/>
            <w:vAlign w:val="center"/>
          </w:tcPr>
          <w:p w14:paraId="26A8A19A" w14:textId="25663A84" w:rsidR="00877039" w:rsidRPr="00BC2C9F" w:rsidRDefault="00877039" w:rsidP="00AD71B5">
            <w:pPr>
              <w:jc w:val="center"/>
              <w:rPr>
                <w:szCs w:val="20"/>
              </w:rPr>
            </w:pPr>
            <w:r w:rsidRPr="00BC2C9F">
              <w:rPr>
                <w:szCs w:val="20"/>
              </w:rPr>
              <w:t xml:space="preserve">1 brevet </w:t>
            </w:r>
            <w:r>
              <w:rPr>
                <w:szCs w:val="20"/>
              </w:rPr>
              <w:t>(France)</w:t>
            </w:r>
          </w:p>
        </w:tc>
        <w:tc>
          <w:tcPr>
            <w:tcW w:w="1276" w:type="dxa"/>
            <w:vMerge/>
            <w:shd w:val="clear" w:color="auto" w:fill="auto"/>
            <w:vAlign w:val="center"/>
          </w:tcPr>
          <w:p w14:paraId="313C2CBC" w14:textId="337F2F54" w:rsidR="00877039" w:rsidRPr="00A529B7" w:rsidRDefault="00877039" w:rsidP="00877039">
            <w:pPr>
              <w:jc w:val="center"/>
              <w:rPr>
                <w:rFonts w:ascii="Calibri" w:eastAsia="Calibri" w:hAnsi="Calibri" w:cs="Calibri"/>
                <w:szCs w:val="20"/>
              </w:rPr>
            </w:pPr>
          </w:p>
        </w:tc>
        <w:tc>
          <w:tcPr>
            <w:tcW w:w="3686" w:type="dxa"/>
            <w:shd w:val="clear" w:color="auto" w:fill="auto"/>
            <w:vAlign w:val="center"/>
          </w:tcPr>
          <w:p w14:paraId="6C8CEEBA" w14:textId="121C0689" w:rsidR="00877039" w:rsidRPr="00A529B7" w:rsidRDefault="009B0FBC" w:rsidP="00DF043A">
            <w:r>
              <w:t>Mont</w:t>
            </w:r>
            <w:r w:rsidR="00877039">
              <w:t xml:space="preserve"> </w:t>
            </w:r>
            <w:r w:rsidR="00DF043A">
              <w:t xml:space="preserve">Blanc Baby </w:t>
            </w:r>
            <w:r w:rsidR="00877039">
              <w:t>est un système de fixation postérieure du rachis, spécifiquement préconisé en chirurgie pédiatrique. Il est indiqué en cas de scoliose infantile et juvénile pour enfants jusqu’à 20kg. Permet de réaliser des opérations de fusion ou de non fusion.</w:t>
            </w:r>
          </w:p>
        </w:tc>
      </w:tr>
      <w:tr w:rsidR="00877039" w:rsidRPr="00A529B7" w14:paraId="3A81DD7F" w14:textId="77777777" w:rsidTr="005B42F0">
        <w:trPr>
          <w:trHeight w:val="2252"/>
          <w:tblHeader/>
        </w:trPr>
        <w:tc>
          <w:tcPr>
            <w:tcW w:w="2127" w:type="dxa"/>
            <w:shd w:val="clear" w:color="auto" w:fill="auto"/>
            <w:vAlign w:val="center"/>
          </w:tcPr>
          <w:p w14:paraId="60FEEFBF" w14:textId="5833809F" w:rsidR="00877039" w:rsidRPr="003A2BE1" w:rsidRDefault="009B0FBC" w:rsidP="54FDD3F0">
            <w:pPr>
              <w:jc w:val="center"/>
              <w:rPr>
                <w:lang w:val="en-GB"/>
              </w:rPr>
            </w:pPr>
            <w:r>
              <w:rPr>
                <w:lang w:val="en-GB"/>
              </w:rPr>
              <w:t>T</w:t>
            </w:r>
            <w:r w:rsidR="00877039" w:rsidRPr="54FDD3F0">
              <w:rPr>
                <w:lang w:val="en-GB"/>
              </w:rPr>
              <w:t xml:space="preserve">win </w:t>
            </w:r>
            <w:r w:rsidR="00DF043A">
              <w:rPr>
                <w:lang w:val="en-GB"/>
              </w:rPr>
              <w:t>P</w:t>
            </w:r>
            <w:r w:rsidR="00DF043A" w:rsidRPr="54FDD3F0">
              <w:rPr>
                <w:lang w:val="en-GB"/>
              </w:rPr>
              <w:t xml:space="preserve">eaks </w:t>
            </w:r>
            <w:r w:rsidR="00877039" w:rsidRPr="54FDD3F0">
              <w:rPr>
                <w:lang w:val="en-GB"/>
              </w:rPr>
              <w:t>bullet shape</w:t>
            </w:r>
            <w:proofErr w:type="gramStart"/>
            <w:r w:rsidR="00877039" w:rsidRPr="54FDD3F0">
              <w:rPr>
                <w:lang w:val="en-GB"/>
              </w:rPr>
              <w:t>,twinpeaks</w:t>
            </w:r>
            <w:proofErr w:type="gramEnd"/>
            <w:r w:rsidR="00877039" w:rsidRPr="54FDD3F0">
              <w:rPr>
                <w:lang w:val="en-GB"/>
              </w:rPr>
              <w:t xml:space="preserve"> OLIF,</w:t>
            </w:r>
          </w:p>
          <w:p w14:paraId="2F4059B7" w14:textId="4FFF71CC" w:rsidR="00877039" w:rsidRPr="00A529B7" w:rsidRDefault="00877039" w:rsidP="00AD71B5">
            <w:pPr>
              <w:jc w:val="center"/>
            </w:pPr>
            <w:r>
              <w:t>twin peaks TLIF</w:t>
            </w:r>
          </w:p>
          <w:p w14:paraId="52BE8776" w14:textId="77777777" w:rsidR="00877039" w:rsidRPr="00A529B7" w:rsidRDefault="00877039" w:rsidP="00AD71B5">
            <w:pPr>
              <w:jc w:val="center"/>
              <w:rPr>
                <w:szCs w:val="20"/>
              </w:rPr>
            </w:pPr>
            <w:r>
              <w:rPr>
                <w:noProof/>
              </w:rPr>
              <w:drawing>
                <wp:inline distT="0" distB="0" distL="0" distR="0" wp14:anchorId="58B1DA48" wp14:editId="577E251A">
                  <wp:extent cx="1382395" cy="427230"/>
                  <wp:effectExtent l="0" t="0" r="0" b="5080"/>
                  <wp:docPr id="103" name="Image 103" descr="Macintosh HD:Users:CBN:Desktop:TP_Gamme_PLIFBS-OLIF-TLIF_3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03"/>
                          <pic:cNvPicPr/>
                        </pic:nvPicPr>
                        <pic:blipFill>
                          <a:blip r:embed="rId44">
                            <a:extLst>
                              <a:ext uri="{28A0092B-C50C-407E-A947-70E740481C1C}">
                                <a14:useLocalDpi xmlns:a14="http://schemas.microsoft.com/office/drawing/2010/main" val="0"/>
                              </a:ext>
                            </a:extLst>
                          </a:blip>
                          <a:stretch>
                            <a:fillRect/>
                          </a:stretch>
                        </pic:blipFill>
                        <pic:spPr>
                          <a:xfrm>
                            <a:off x="0" y="0"/>
                            <a:ext cx="1382395" cy="427230"/>
                          </a:xfrm>
                          <a:prstGeom prst="rect">
                            <a:avLst/>
                          </a:prstGeom>
                        </pic:spPr>
                      </pic:pic>
                    </a:graphicData>
                  </a:graphic>
                </wp:inline>
              </w:drawing>
            </w:r>
          </w:p>
        </w:tc>
        <w:tc>
          <w:tcPr>
            <w:tcW w:w="1275" w:type="dxa"/>
            <w:shd w:val="clear" w:color="auto" w:fill="auto"/>
            <w:vAlign w:val="center"/>
          </w:tcPr>
          <w:p w14:paraId="725FACBB" w14:textId="77777777" w:rsidR="00877039" w:rsidRPr="00A529B7" w:rsidRDefault="00877039" w:rsidP="00AD71B5">
            <w:pPr>
              <w:jc w:val="center"/>
              <w:rPr>
                <w:szCs w:val="20"/>
              </w:rPr>
            </w:pPr>
            <w:r w:rsidRPr="00A529B7">
              <w:rPr>
                <w:szCs w:val="20"/>
              </w:rPr>
              <w:t>Thoraco-lombaire</w:t>
            </w:r>
          </w:p>
        </w:tc>
        <w:tc>
          <w:tcPr>
            <w:tcW w:w="1134" w:type="dxa"/>
            <w:vAlign w:val="center"/>
          </w:tcPr>
          <w:p w14:paraId="429B6A5C" w14:textId="2775F076" w:rsidR="00877039" w:rsidRPr="00BC2C9F" w:rsidRDefault="00877039" w:rsidP="00AD71B5">
            <w:pPr>
              <w:jc w:val="center"/>
              <w:rPr>
                <w:szCs w:val="20"/>
              </w:rPr>
            </w:pPr>
            <w:r w:rsidRPr="00BC2C9F">
              <w:rPr>
                <w:szCs w:val="20"/>
              </w:rPr>
              <w:t xml:space="preserve">1 brevet </w:t>
            </w:r>
          </w:p>
        </w:tc>
        <w:tc>
          <w:tcPr>
            <w:tcW w:w="1276" w:type="dxa"/>
            <w:vMerge/>
            <w:shd w:val="clear" w:color="auto" w:fill="auto"/>
            <w:vAlign w:val="center"/>
          </w:tcPr>
          <w:p w14:paraId="453029DC" w14:textId="18E8B217" w:rsidR="00877039" w:rsidRPr="00A529B7" w:rsidRDefault="00877039" w:rsidP="00877039">
            <w:pPr>
              <w:jc w:val="center"/>
              <w:rPr>
                <w:rFonts w:ascii="Calibri" w:eastAsia="Calibri" w:hAnsi="Calibri" w:cs="Calibri"/>
                <w:szCs w:val="20"/>
              </w:rPr>
            </w:pPr>
          </w:p>
        </w:tc>
        <w:tc>
          <w:tcPr>
            <w:tcW w:w="3686" w:type="dxa"/>
            <w:shd w:val="clear" w:color="auto" w:fill="auto"/>
            <w:vAlign w:val="center"/>
          </w:tcPr>
          <w:p w14:paraId="63C2B5B6" w14:textId="31B7C03A" w:rsidR="00877039" w:rsidRPr="00A529B7" w:rsidRDefault="00877039" w:rsidP="00AD71B5">
            <w:r>
              <w:t xml:space="preserve">Le design des cages </w:t>
            </w:r>
            <w:r w:rsidR="00DF043A">
              <w:t xml:space="preserve">Twin Peaks </w:t>
            </w:r>
            <w:r>
              <w:t>se rapproche de la forme de l’espace discal</w:t>
            </w:r>
          </w:p>
          <w:p w14:paraId="3FC1EA53" w14:textId="77777777" w:rsidR="00877039" w:rsidRPr="00A529B7" w:rsidRDefault="00877039" w:rsidP="00A27F37">
            <w:pPr>
              <w:jc w:val="left"/>
              <w:rPr>
                <w:szCs w:val="20"/>
              </w:rPr>
            </w:pPr>
            <w:r w:rsidRPr="00A529B7">
              <w:rPr>
                <w:szCs w:val="20"/>
              </w:rPr>
              <w:t>- Fixation primaire améliorée</w:t>
            </w:r>
          </w:p>
          <w:p w14:paraId="0D473883" w14:textId="77777777" w:rsidR="00877039" w:rsidRPr="00A529B7" w:rsidRDefault="00877039" w:rsidP="00A27F37">
            <w:pPr>
              <w:jc w:val="left"/>
              <w:rPr>
                <w:szCs w:val="20"/>
              </w:rPr>
            </w:pPr>
            <w:r w:rsidRPr="00A529B7">
              <w:rPr>
                <w:szCs w:val="20"/>
              </w:rPr>
              <w:t>- Prévention des mouvements de recul</w:t>
            </w:r>
          </w:p>
          <w:p w14:paraId="004FC293" w14:textId="77777777" w:rsidR="00877039" w:rsidRPr="00A529B7" w:rsidRDefault="00877039" w:rsidP="00A27F37">
            <w:pPr>
              <w:jc w:val="left"/>
              <w:rPr>
                <w:szCs w:val="20"/>
              </w:rPr>
            </w:pPr>
            <w:r w:rsidRPr="00A529B7">
              <w:rPr>
                <w:szCs w:val="20"/>
              </w:rPr>
              <w:t>- Promotion de la repousse osseuse favorisant l’arthrodèse</w:t>
            </w:r>
          </w:p>
          <w:p w14:paraId="0EE831BC" w14:textId="77777777" w:rsidR="00877039" w:rsidRPr="00A529B7" w:rsidRDefault="00877039" w:rsidP="00A27F37">
            <w:pPr>
              <w:jc w:val="left"/>
              <w:rPr>
                <w:szCs w:val="20"/>
              </w:rPr>
            </w:pPr>
            <w:r w:rsidRPr="00A529B7">
              <w:rPr>
                <w:szCs w:val="20"/>
              </w:rPr>
              <w:t>- Correction de la hauteur intervertébrale</w:t>
            </w:r>
          </w:p>
          <w:p w14:paraId="7CC8B2D7" w14:textId="35E7B06B" w:rsidR="00877039" w:rsidRPr="00A529B7" w:rsidRDefault="00877039" w:rsidP="00A27F37">
            <w:pPr>
              <w:jc w:val="left"/>
              <w:rPr>
                <w:szCs w:val="20"/>
              </w:rPr>
            </w:pPr>
            <w:r w:rsidRPr="00A529B7">
              <w:rPr>
                <w:szCs w:val="20"/>
              </w:rPr>
              <w:t>- Restauration de la lordose physiologique</w:t>
            </w:r>
            <w:r w:rsidR="009B0FBC">
              <w:rPr>
                <w:szCs w:val="20"/>
              </w:rPr>
              <w:t>.</w:t>
            </w:r>
          </w:p>
        </w:tc>
      </w:tr>
      <w:tr w:rsidR="00877039" w:rsidRPr="00A529B7" w14:paraId="2A069363" w14:textId="77777777" w:rsidTr="005B42F0">
        <w:trPr>
          <w:trHeight w:val="2553"/>
          <w:tblHeader/>
        </w:trPr>
        <w:tc>
          <w:tcPr>
            <w:tcW w:w="2127" w:type="dxa"/>
            <w:shd w:val="clear" w:color="auto" w:fill="auto"/>
            <w:vAlign w:val="center"/>
          </w:tcPr>
          <w:p w14:paraId="231B12B3" w14:textId="71564117" w:rsidR="00877039" w:rsidRPr="00A529B7" w:rsidRDefault="00DF043A" w:rsidP="00AD71B5">
            <w:pPr>
              <w:jc w:val="center"/>
              <w:rPr>
                <w:szCs w:val="20"/>
              </w:rPr>
            </w:pPr>
            <w:r w:rsidRPr="00A529B7">
              <w:rPr>
                <w:szCs w:val="20"/>
              </w:rPr>
              <w:t>K</w:t>
            </w:r>
            <w:r>
              <w:rPr>
                <w:szCs w:val="20"/>
              </w:rPr>
              <w:t>ili</w:t>
            </w:r>
          </w:p>
          <w:p w14:paraId="60A93464" w14:textId="77777777" w:rsidR="00877039" w:rsidRPr="00A529B7" w:rsidRDefault="00877039" w:rsidP="00AD71B5">
            <w:pPr>
              <w:jc w:val="center"/>
              <w:rPr>
                <w:szCs w:val="20"/>
              </w:rPr>
            </w:pPr>
            <w:r>
              <w:rPr>
                <w:noProof/>
              </w:rPr>
              <w:drawing>
                <wp:inline distT="0" distB="0" distL="0" distR="0" wp14:anchorId="0DDEDA4F" wp14:editId="60DA8F37">
                  <wp:extent cx="690245" cy="569595"/>
                  <wp:effectExtent l="0" t="0" r="0" b="0"/>
                  <wp:docPr id="104" name="Imag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04"/>
                          <pic:cNvPicPr/>
                        </pic:nvPicPr>
                        <pic:blipFill>
                          <a:blip r:embed="rId45">
                            <a:extLst>
                              <a:ext uri="{28A0092B-C50C-407E-A947-70E740481C1C}">
                                <a14:useLocalDpi xmlns:a14="http://schemas.microsoft.com/office/drawing/2010/main" val="0"/>
                              </a:ext>
                            </a:extLst>
                          </a:blip>
                          <a:stretch>
                            <a:fillRect/>
                          </a:stretch>
                        </pic:blipFill>
                        <pic:spPr>
                          <a:xfrm>
                            <a:off x="0" y="0"/>
                            <a:ext cx="690245" cy="569595"/>
                          </a:xfrm>
                          <a:prstGeom prst="rect">
                            <a:avLst/>
                          </a:prstGeom>
                        </pic:spPr>
                      </pic:pic>
                    </a:graphicData>
                  </a:graphic>
                </wp:inline>
              </w:drawing>
            </w:r>
          </w:p>
        </w:tc>
        <w:tc>
          <w:tcPr>
            <w:tcW w:w="1275" w:type="dxa"/>
            <w:shd w:val="clear" w:color="auto" w:fill="auto"/>
            <w:vAlign w:val="center"/>
          </w:tcPr>
          <w:p w14:paraId="564BD896" w14:textId="77777777" w:rsidR="00877039" w:rsidRPr="00A529B7" w:rsidRDefault="00877039" w:rsidP="00AD71B5">
            <w:pPr>
              <w:jc w:val="center"/>
              <w:rPr>
                <w:szCs w:val="20"/>
              </w:rPr>
            </w:pPr>
            <w:r w:rsidRPr="00A529B7">
              <w:rPr>
                <w:szCs w:val="20"/>
              </w:rPr>
              <w:t>Thoraco-lombaire</w:t>
            </w:r>
          </w:p>
        </w:tc>
        <w:tc>
          <w:tcPr>
            <w:tcW w:w="1134" w:type="dxa"/>
            <w:vAlign w:val="center"/>
          </w:tcPr>
          <w:p w14:paraId="0536046C" w14:textId="1CB0E419" w:rsidR="00877039" w:rsidRPr="00BC2C9F" w:rsidRDefault="00877039" w:rsidP="00BC2C9F">
            <w:pPr>
              <w:jc w:val="center"/>
              <w:rPr>
                <w:szCs w:val="20"/>
              </w:rPr>
            </w:pPr>
            <w:r w:rsidRPr="00BC2C9F">
              <w:rPr>
                <w:szCs w:val="20"/>
              </w:rPr>
              <w:t xml:space="preserve">1 brevet </w:t>
            </w:r>
            <w:r>
              <w:rPr>
                <w:szCs w:val="20"/>
              </w:rPr>
              <w:t>(</w:t>
            </w:r>
            <w:r w:rsidRPr="00BC2C9F">
              <w:rPr>
                <w:szCs w:val="20"/>
              </w:rPr>
              <w:t xml:space="preserve">France et Europe </w:t>
            </w:r>
            <w:r w:rsidR="00EC6294" w:rsidRPr="00BC2C9F">
              <w:rPr>
                <w:szCs w:val="20"/>
              </w:rPr>
              <w:t>Brésil</w:t>
            </w:r>
            <w:r w:rsidRPr="00BC2C9F">
              <w:rPr>
                <w:szCs w:val="20"/>
              </w:rPr>
              <w:t xml:space="preserve">, </w:t>
            </w:r>
            <w:r>
              <w:rPr>
                <w:szCs w:val="20"/>
              </w:rPr>
              <w:t>Etats-Unis)</w:t>
            </w:r>
          </w:p>
        </w:tc>
        <w:tc>
          <w:tcPr>
            <w:tcW w:w="1276" w:type="dxa"/>
            <w:vMerge/>
            <w:shd w:val="clear" w:color="auto" w:fill="auto"/>
            <w:vAlign w:val="center"/>
          </w:tcPr>
          <w:p w14:paraId="36C0E0CA" w14:textId="12900F61" w:rsidR="00877039" w:rsidRPr="00A529B7" w:rsidRDefault="00877039" w:rsidP="00877039">
            <w:pPr>
              <w:jc w:val="center"/>
              <w:rPr>
                <w:rFonts w:ascii="Calibri" w:eastAsia="Calibri" w:hAnsi="Calibri" w:cs="Calibri"/>
                <w:szCs w:val="20"/>
              </w:rPr>
            </w:pPr>
          </w:p>
        </w:tc>
        <w:tc>
          <w:tcPr>
            <w:tcW w:w="3686" w:type="dxa"/>
            <w:shd w:val="clear" w:color="auto" w:fill="auto"/>
            <w:vAlign w:val="center"/>
          </w:tcPr>
          <w:p w14:paraId="207C673F" w14:textId="52E96ACE" w:rsidR="00877039" w:rsidRPr="00A529B7" w:rsidRDefault="00877039" w:rsidP="00AD71B5">
            <w:pPr>
              <w:rPr>
                <w:szCs w:val="20"/>
              </w:rPr>
            </w:pPr>
            <w:r w:rsidRPr="00A529B7">
              <w:rPr>
                <w:szCs w:val="20"/>
              </w:rPr>
              <w:t xml:space="preserve">Cage anatomique en PEEK (par Invibio), conçu pour l’arthrodèse thoraco-lombaire antérieure. </w:t>
            </w:r>
          </w:p>
          <w:p w14:paraId="5F91A8C3" w14:textId="77777777" w:rsidR="00877039" w:rsidRPr="00A529B7" w:rsidRDefault="00877039" w:rsidP="00A27F37">
            <w:pPr>
              <w:jc w:val="left"/>
              <w:rPr>
                <w:szCs w:val="20"/>
              </w:rPr>
            </w:pPr>
            <w:r w:rsidRPr="00A529B7">
              <w:rPr>
                <w:szCs w:val="20"/>
              </w:rPr>
              <w:t>- Fixation primaire améliorée</w:t>
            </w:r>
          </w:p>
          <w:p w14:paraId="7204289D" w14:textId="1CC7E0C1" w:rsidR="00877039" w:rsidRPr="00A529B7" w:rsidRDefault="00877039" w:rsidP="00A27F37">
            <w:pPr>
              <w:jc w:val="left"/>
              <w:rPr>
                <w:szCs w:val="20"/>
              </w:rPr>
            </w:pPr>
            <w:r>
              <w:rPr>
                <w:szCs w:val="20"/>
              </w:rPr>
              <w:t xml:space="preserve">- </w:t>
            </w:r>
            <w:r w:rsidRPr="00A529B7">
              <w:rPr>
                <w:szCs w:val="20"/>
              </w:rPr>
              <w:t>Prévention des mouvements de recul</w:t>
            </w:r>
          </w:p>
          <w:p w14:paraId="2496FED5" w14:textId="77777777" w:rsidR="00877039" w:rsidRPr="00A529B7" w:rsidRDefault="00877039" w:rsidP="00A27F37">
            <w:pPr>
              <w:jc w:val="left"/>
              <w:rPr>
                <w:szCs w:val="20"/>
              </w:rPr>
            </w:pPr>
            <w:r w:rsidRPr="00A529B7">
              <w:rPr>
                <w:szCs w:val="20"/>
              </w:rPr>
              <w:t>- Promotion de la repousse osseuse favorisant l’arthrodèse</w:t>
            </w:r>
          </w:p>
          <w:p w14:paraId="4FBAE527" w14:textId="77777777" w:rsidR="00877039" w:rsidRPr="00A529B7" w:rsidRDefault="00877039" w:rsidP="00A27F37">
            <w:pPr>
              <w:jc w:val="left"/>
              <w:rPr>
                <w:szCs w:val="20"/>
              </w:rPr>
            </w:pPr>
            <w:r w:rsidRPr="00A529B7">
              <w:rPr>
                <w:szCs w:val="20"/>
              </w:rPr>
              <w:t>- Correction de la hauteur intervertébrale</w:t>
            </w:r>
          </w:p>
          <w:p w14:paraId="4FF5F6B6" w14:textId="1467BC03" w:rsidR="00877039" w:rsidRPr="00A529B7" w:rsidRDefault="00877039" w:rsidP="00A27F37">
            <w:pPr>
              <w:jc w:val="left"/>
              <w:rPr>
                <w:szCs w:val="20"/>
              </w:rPr>
            </w:pPr>
            <w:r w:rsidRPr="00A529B7">
              <w:rPr>
                <w:szCs w:val="20"/>
              </w:rPr>
              <w:t>- Restauration de la lordose physiologique</w:t>
            </w:r>
            <w:r w:rsidR="009B0FBC">
              <w:rPr>
                <w:szCs w:val="20"/>
              </w:rPr>
              <w:t>.</w:t>
            </w:r>
          </w:p>
        </w:tc>
      </w:tr>
      <w:tr w:rsidR="00BC2C9F" w:rsidRPr="00A529B7" w14:paraId="0BE8BD47" w14:textId="77777777" w:rsidTr="54FDD3F0">
        <w:trPr>
          <w:trHeight w:val="1134"/>
          <w:tblHeader/>
        </w:trPr>
        <w:tc>
          <w:tcPr>
            <w:tcW w:w="2127" w:type="dxa"/>
            <w:shd w:val="clear" w:color="auto" w:fill="auto"/>
            <w:vAlign w:val="center"/>
          </w:tcPr>
          <w:p w14:paraId="59510CB0" w14:textId="1EE7EEF9" w:rsidR="00BC2C9F" w:rsidRPr="00A529B7" w:rsidRDefault="00BC2C9F" w:rsidP="00AD71B5">
            <w:pPr>
              <w:jc w:val="center"/>
              <w:rPr>
                <w:szCs w:val="20"/>
              </w:rPr>
            </w:pPr>
            <w:r w:rsidRPr="00A529B7">
              <w:rPr>
                <w:szCs w:val="20"/>
              </w:rPr>
              <w:t>M</w:t>
            </w:r>
            <w:r w:rsidR="009B0FBC">
              <w:rPr>
                <w:szCs w:val="20"/>
              </w:rPr>
              <w:t>ont Blanc</w:t>
            </w:r>
            <w:r w:rsidRPr="00A529B7">
              <w:rPr>
                <w:szCs w:val="20"/>
              </w:rPr>
              <w:t xml:space="preserve"> 3D+</w:t>
            </w:r>
          </w:p>
          <w:p w14:paraId="15609FF8" w14:textId="77777777" w:rsidR="00BC2C9F" w:rsidRPr="00A529B7" w:rsidRDefault="00BC2C9F" w:rsidP="00AD71B5">
            <w:pPr>
              <w:jc w:val="center"/>
              <w:rPr>
                <w:szCs w:val="20"/>
              </w:rPr>
            </w:pPr>
            <w:r>
              <w:rPr>
                <w:noProof/>
              </w:rPr>
              <w:drawing>
                <wp:inline distT="0" distB="0" distL="0" distR="0" wp14:anchorId="2B6CF91A" wp14:editId="0EE5BEAC">
                  <wp:extent cx="1192530" cy="717550"/>
                  <wp:effectExtent l="0" t="0" r="1270" b="0"/>
                  <wp:docPr id="105" name="Image 105" descr="Macintosh HD:Users:CBN:Desktop:couverture_Plaquette3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05"/>
                          <pic:cNvPicPr/>
                        </pic:nvPicPr>
                        <pic:blipFill>
                          <a:blip r:embed="rId46">
                            <a:extLst>
                              <a:ext uri="{28A0092B-C50C-407E-A947-70E740481C1C}">
                                <a14:useLocalDpi xmlns:a14="http://schemas.microsoft.com/office/drawing/2010/main" val="0"/>
                              </a:ext>
                            </a:extLst>
                          </a:blip>
                          <a:stretch>
                            <a:fillRect/>
                          </a:stretch>
                        </pic:blipFill>
                        <pic:spPr>
                          <a:xfrm>
                            <a:off x="0" y="0"/>
                            <a:ext cx="1192530" cy="717550"/>
                          </a:xfrm>
                          <a:prstGeom prst="rect">
                            <a:avLst/>
                          </a:prstGeom>
                        </pic:spPr>
                      </pic:pic>
                    </a:graphicData>
                  </a:graphic>
                </wp:inline>
              </w:drawing>
            </w:r>
          </w:p>
        </w:tc>
        <w:tc>
          <w:tcPr>
            <w:tcW w:w="1275" w:type="dxa"/>
            <w:shd w:val="clear" w:color="auto" w:fill="auto"/>
            <w:vAlign w:val="center"/>
          </w:tcPr>
          <w:p w14:paraId="36E5B361" w14:textId="77777777" w:rsidR="00BC2C9F" w:rsidRPr="00BC2C9F" w:rsidRDefault="00BC2C9F" w:rsidP="00AD71B5">
            <w:pPr>
              <w:jc w:val="center"/>
              <w:rPr>
                <w:szCs w:val="20"/>
              </w:rPr>
            </w:pPr>
            <w:r w:rsidRPr="00BC2C9F">
              <w:rPr>
                <w:szCs w:val="20"/>
              </w:rPr>
              <w:t>Thoraco-lombaire</w:t>
            </w:r>
          </w:p>
        </w:tc>
        <w:tc>
          <w:tcPr>
            <w:tcW w:w="1134" w:type="dxa"/>
            <w:vAlign w:val="center"/>
          </w:tcPr>
          <w:p w14:paraId="350A9936" w14:textId="42C78E3D" w:rsidR="00BC2C9F" w:rsidRPr="00BC2C9F" w:rsidRDefault="00BC2C9F" w:rsidP="00BC2C9F">
            <w:pPr>
              <w:jc w:val="center"/>
              <w:rPr>
                <w:szCs w:val="20"/>
              </w:rPr>
            </w:pPr>
            <w:r w:rsidRPr="00BC2C9F">
              <w:rPr>
                <w:szCs w:val="20"/>
              </w:rPr>
              <w:t>2 Brevets étendus (France, Europe, Brésil, Chine, Corée, et Etat Unis)</w:t>
            </w:r>
          </w:p>
        </w:tc>
        <w:tc>
          <w:tcPr>
            <w:tcW w:w="1276" w:type="dxa"/>
            <w:shd w:val="clear" w:color="auto" w:fill="auto"/>
            <w:vAlign w:val="center"/>
          </w:tcPr>
          <w:p w14:paraId="2321BF02" w14:textId="1AD20533" w:rsidR="00BC2C9F" w:rsidRPr="00BC2C9F" w:rsidRDefault="54FDD3F0" w:rsidP="54FDD3F0">
            <w:pPr>
              <w:jc w:val="center"/>
              <w:rPr>
                <w:rFonts w:ascii="Calibri" w:eastAsia="Calibri" w:hAnsi="Calibri" w:cs="Calibri"/>
                <w:szCs w:val="20"/>
              </w:rPr>
            </w:pPr>
            <w:r w:rsidRPr="54FDD3F0">
              <w:rPr>
                <w:rFonts w:ascii="Calibri" w:eastAsia="Calibri" w:hAnsi="Calibri" w:cs="Calibri"/>
                <w:szCs w:val="20"/>
              </w:rPr>
              <w:t xml:space="preserve"> CE-UE</w:t>
            </w:r>
          </w:p>
          <w:p w14:paraId="213ACE00" w14:textId="4BA01013" w:rsidR="00BC2C9F" w:rsidRPr="00BC2C9F" w:rsidRDefault="54FDD3F0" w:rsidP="00877039">
            <w:pPr>
              <w:jc w:val="center"/>
              <w:rPr>
                <w:rFonts w:ascii="Calibri" w:eastAsia="Calibri" w:hAnsi="Calibri" w:cs="Calibri"/>
                <w:szCs w:val="20"/>
              </w:rPr>
            </w:pPr>
            <w:r w:rsidRPr="54FDD3F0">
              <w:rPr>
                <w:rFonts w:ascii="Calibri" w:eastAsia="Calibri" w:hAnsi="Calibri" w:cs="Calibri"/>
                <w:szCs w:val="20"/>
              </w:rPr>
              <w:t>US FDA</w:t>
            </w:r>
          </w:p>
          <w:p w14:paraId="173318A8" w14:textId="7D3818F0" w:rsidR="00BC2C9F" w:rsidRPr="00BC2C9F" w:rsidRDefault="54FDD3F0" w:rsidP="00877039">
            <w:pPr>
              <w:jc w:val="center"/>
              <w:rPr>
                <w:rFonts w:ascii="Calibri" w:eastAsia="Calibri" w:hAnsi="Calibri" w:cs="Calibri"/>
                <w:szCs w:val="20"/>
              </w:rPr>
            </w:pPr>
            <w:r w:rsidRPr="54FDD3F0">
              <w:rPr>
                <w:rFonts w:ascii="Calibri" w:eastAsia="Calibri" w:hAnsi="Calibri" w:cs="Calibri"/>
                <w:szCs w:val="20"/>
              </w:rPr>
              <w:t>Argentine</w:t>
            </w:r>
          </w:p>
          <w:p w14:paraId="4F52E05F" w14:textId="313EF528" w:rsidR="00BC2C9F" w:rsidRPr="00BC2C9F" w:rsidRDefault="54FDD3F0" w:rsidP="00877039">
            <w:pPr>
              <w:jc w:val="center"/>
              <w:rPr>
                <w:rFonts w:ascii="Calibri" w:eastAsia="Calibri" w:hAnsi="Calibri" w:cs="Calibri"/>
                <w:szCs w:val="20"/>
              </w:rPr>
            </w:pPr>
            <w:r w:rsidRPr="54FDD3F0">
              <w:rPr>
                <w:rFonts w:ascii="Calibri" w:eastAsia="Calibri" w:hAnsi="Calibri" w:cs="Calibri"/>
                <w:szCs w:val="20"/>
              </w:rPr>
              <w:t>Australie</w:t>
            </w:r>
          </w:p>
          <w:p w14:paraId="59F03607" w14:textId="323CE55F" w:rsidR="00BC2C9F" w:rsidRPr="00BC2C9F" w:rsidRDefault="54FDD3F0" w:rsidP="00877039">
            <w:pPr>
              <w:jc w:val="center"/>
              <w:rPr>
                <w:rFonts w:ascii="Calibri" w:eastAsia="Calibri" w:hAnsi="Calibri" w:cs="Calibri"/>
                <w:szCs w:val="20"/>
              </w:rPr>
            </w:pPr>
            <w:r w:rsidRPr="54FDD3F0">
              <w:rPr>
                <w:rFonts w:ascii="Calibri" w:eastAsia="Calibri" w:hAnsi="Calibri" w:cs="Calibri"/>
                <w:szCs w:val="20"/>
              </w:rPr>
              <w:t>Bolivie</w:t>
            </w:r>
          </w:p>
          <w:p w14:paraId="1227877A" w14:textId="1420A8AD" w:rsidR="00BC2C9F" w:rsidRPr="00BC2C9F" w:rsidRDefault="54FDD3F0" w:rsidP="00877039">
            <w:pPr>
              <w:jc w:val="center"/>
              <w:rPr>
                <w:rFonts w:ascii="Calibri" w:eastAsia="Calibri" w:hAnsi="Calibri" w:cs="Calibri"/>
                <w:szCs w:val="20"/>
              </w:rPr>
            </w:pPr>
            <w:r w:rsidRPr="54FDD3F0">
              <w:rPr>
                <w:rFonts w:ascii="Calibri" w:eastAsia="Calibri" w:hAnsi="Calibri" w:cs="Calibri"/>
                <w:szCs w:val="20"/>
              </w:rPr>
              <w:t>Brésil</w:t>
            </w:r>
          </w:p>
          <w:p w14:paraId="7197EFA8" w14:textId="768EC498" w:rsidR="00BC2C9F" w:rsidRPr="00BC2C9F" w:rsidRDefault="54FDD3F0" w:rsidP="00877039">
            <w:pPr>
              <w:jc w:val="center"/>
              <w:rPr>
                <w:rFonts w:ascii="Calibri" w:eastAsia="Calibri" w:hAnsi="Calibri" w:cs="Calibri"/>
                <w:szCs w:val="20"/>
              </w:rPr>
            </w:pPr>
            <w:r w:rsidRPr="54FDD3F0">
              <w:rPr>
                <w:rFonts w:ascii="Calibri" w:eastAsia="Calibri" w:hAnsi="Calibri" w:cs="Calibri"/>
                <w:szCs w:val="20"/>
              </w:rPr>
              <w:t>Chine</w:t>
            </w:r>
          </w:p>
          <w:p w14:paraId="4BD639C3" w14:textId="41A3972E" w:rsidR="00BC2C9F" w:rsidRPr="00BC2C9F" w:rsidRDefault="54FDD3F0" w:rsidP="00877039">
            <w:pPr>
              <w:jc w:val="center"/>
              <w:rPr>
                <w:rFonts w:ascii="Calibri" w:eastAsia="Calibri" w:hAnsi="Calibri" w:cs="Calibri"/>
                <w:szCs w:val="20"/>
              </w:rPr>
            </w:pPr>
            <w:r w:rsidRPr="54FDD3F0">
              <w:rPr>
                <w:rFonts w:ascii="Calibri" w:eastAsia="Calibri" w:hAnsi="Calibri" w:cs="Calibri"/>
                <w:szCs w:val="20"/>
              </w:rPr>
              <w:t>Équateur</w:t>
            </w:r>
          </w:p>
          <w:p w14:paraId="72E579FE" w14:textId="478C9952" w:rsidR="00BC2C9F" w:rsidRPr="00BC2C9F" w:rsidRDefault="54FDD3F0" w:rsidP="00877039">
            <w:pPr>
              <w:jc w:val="center"/>
              <w:rPr>
                <w:rFonts w:ascii="Calibri" w:eastAsia="Calibri" w:hAnsi="Calibri" w:cs="Calibri"/>
                <w:szCs w:val="20"/>
              </w:rPr>
            </w:pPr>
            <w:r w:rsidRPr="54FDD3F0">
              <w:rPr>
                <w:rFonts w:ascii="Calibri" w:eastAsia="Calibri" w:hAnsi="Calibri" w:cs="Calibri"/>
                <w:szCs w:val="20"/>
              </w:rPr>
              <w:t>Inde</w:t>
            </w:r>
          </w:p>
          <w:p w14:paraId="1DE50205" w14:textId="2705EBE4" w:rsidR="00BC2C9F" w:rsidRPr="00BC2C9F" w:rsidRDefault="54FDD3F0" w:rsidP="00877039">
            <w:pPr>
              <w:jc w:val="center"/>
              <w:rPr>
                <w:rFonts w:ascii="Calibri" w:eastAsia="Calibri" w:hAnsi="Calibri" w:cs="Calibri"/>
                <w:szCs w:val="20"/>
              </w:rPr>
            </w:pPr>
            <w:r w:rsidRPr="54FDD3F0">
              <w:rPr>
                <w:rFonts w:ascii="Calibri" w:eastAsia="Calibri" w:hAnsi="Calibri" w:cs="Calibri"/>
                <w:szCs w:val="20"/>
              </w:rPr>
              <w:t>Indonésie</w:t>
            </w:r>
          </w:p>
          <w:p w14:paraId="5CF62A80" w14:textId="02790D5E" w:rsidR="00BC2C9F" w:rsidRPr="00BC2C9F" w:rsidRDefault="54FDD3F0" w:rsidP="00877039">
            <w:pPr>
              <w:jc w:val="center"/>
              <w:rPr>
                <w:rFonts w:ascii="Calibri" w:eastAsia="Calibri" w:hAnsi="Calibri" w:cs="Calibri"/>
                <w:szCs w:val="20"/>
              </w:rPr>
            </w:pPr>
            <w:r w:rsidRPr="54FDD3F0">
              <w:rPr>
                <w:rFonts w:ascii="Calibri" w:eastAsia="Calibri" w:hAnsi="Calibri" w:cs="Calibri"/>
                <w:szCs w:val="20"/>
              </w:rPr>
              <w:t>Israël</w:t>
            </w:r>
          </w:p>
          <w:p w14:paraId="72CD03D5" w14:textId="10D2F61A" w:rsidR="00BC2C9F" w:rsidRPr="00BC2C9F" w:rsidRDefault="54FDD3F0" w:rsidP="00877039">
            <w:pPr>
              <w:jc w:val="center"/>
              <w:rPr>
                <w:rFonts w:ascii="Calibri" w:eastAsia="Calibri" w:hAnsi="Calibri" w:cs="Calibri"/>
                <w:szCs w:val="20"/>
              </w:rPr>
            </w:pPr>
            <w:r w:rsidRPr="54FDD3F0">
              <w:rPr>
                <w:rFonts w:ascii="Calibri" w:eastAsia="Calibri" w:hAnsi="Calibri" w:cs="Calibri"/>
                <w:szCs w:val="20"/>
              </w:rPr>
              <w:t>Liban</w:t>
            </w:r>
          </w:p>
          <w:p w14:paraId="0A56CD23" w14:textId="4397E2E5" w:rsidR="00BC2C9F" w:rsidRPr="00BC2C9F" w:rsidRDefault="54FDD3F0" w:rsidP="00877039">
            <w:pPr>
              <w:jc w:val="center"/>
              <w:rPr>
                <w:rFonts w:ascii="Calibri" w:eastAsia="Calibri" w:hAnsi="Calibri" w:cs="Calibri"/>
                <w:szCs w:val="20"/>
              </w:rPr>
            </w:pPr>
            <w:r w:rsidRPr="54FDD3F0">
              <w:rPr>
                <w:rFonts w:ascii="Calibri" w:eastAsia="Calibri" w:hAnsi="Calibri" w:cs="Calibri"/>
                <w:szCs w:val="20"/>
              </w:rPr>
              <w:t>Maldives</w:t>
            </w:r>
          </w:p>
          <w:p w14:paraId="4B94B1C1" w14:textId="745A117E" w:rsidR="00BC2C9F" w:rsidRPr="00BC2C9F" w:rsidRDefault="54FDD3F0" w:rsidP="00877039">
            <w:pPr>
              <w:jc w:val="center"/>
              <w:rPr>
                <w:rFonts w:ascii="Calibri" w:eastAsia="Calibri" w:hAnsi="Calibri" w:cs="Calibri"/>
                <w:szCs w:val="20"/>
              </w:rPr>
            </w:pPr>
            <w:r w:rsidRPr="54FDD3F0">
              <w:rPr>
                <w:rFonts w:ascii="Calibri" w:eastAsia="Calibri" w:hAnsi="Calibri" w:cs="Calibri"/>
                <w:szCs w:val="20"/>
              </w:rPr>
              <w:t>Panama</w:t>
            </w:r>
          </w:p>
          <w:p w14:paraId="09B02752" w14:textId="2E12CFE6" w:rsidR="00BC2C9F" w:rsidRPr="00BC2C9F" w:rsidRDefault="54FDD3F0" w:rsidP="00877039">
            <w:pPr>
              <w:jc w:val="center"/>
              <w:rPr>
                <w:rFonts w:ascii="Calibri" w:eastAsia="Calibri" w:hAnsi="Calibri" w:cs="Calibri"/>
                <w:szCs w:val="20"/>
              </w:rPr>
            </w:pPr>
            <w:r w:rsidRPr="54FDD3F0">
              <w:rPr>
                <w:rFonts w:ascii="Calibri" w:eastAsia="Calibri" w:hAnsi="Calibri" w:cs="Calibri"/>
                <w:szCs w:val="20"/>
              </w:rPr>
              <w:t>Pérou</w:t>
            </w:r>
          </w:p>
          <w:p w14:paraId="17A49F46" w14:textId="6EFA53B2" w:rsidR="00BC2C9F" w:rsidRPr="00BC2C9F" w:rsidRDefault="54FDD3F0" w:rsidP="00877039">
            <w:pPr>
              <w:jc w:val="center"/>
              <w:rPr>
                <w:rFonts w:ascii="Calibri" w:eastAsia="Calibri" w:hAnsi="Calibri" w:cs="Calibri"/>
                <w:szCs w:val="20"/>
              </w:rPr>
            </w:pPr>
            <w:r w:rsidRPr="54FDD3F0">
              <w:rPr>
                <w:rFonts w:ascii="Calibri" w:eastAsia="Calibri" w:hAnsi="Calibri" w:cs="Calibri"/>
                <w:szCs w:val="20"/>
              </w:rPr>
              <w:t>Philippines</w:t>
            </w:r>
          </w:p>
          <w:p w14:paraId="39E2AD4B" w14:textId="0CCDA960" w:rsidR="00BC2C9F" w:rsidRPr="00BC2C9F" w:rsidRDefault="54FDD3F0" w:rsidP="00877039">
            <w:pPr>
              <w:jc w:val="center"/>
              <w:rPr>
                <w:rFonts w:ascii="Calibri" w:eastAsia="Calibri" w:hAnsi="Calibri" w:cs="Calibri"/>
                <w:szCs w:val="20"/>
              </w:rPr>
            </w:pPr>
            <w:r w:rsidRPr="54FDD3F0">
              <w:rPr>
                <w:rFonts w:ascii="Calibri" w:eastAsia="Calibri" w:hAnsi="Calibri" w:cs="Calibri"/>
                <w:szCs w:val="20"/>
              </w:rPr>
              <w:t>Soudan</w:t>
            </w:r>
          </w:p>
          <w:p w14:paraId="77394D6B" w14:textId="59A3337E" w:rsidR="00BC2C9F" w:rsidRPr="00BC2C9F" w:rsidRDefault="54FDD3F0" w:rsidP="00877039">
            <w:pPr>
              <w:jc w:val="center"/>
              <w:rPr>
                <w:rFonts w:ascii="Calibri" w:eastAsia="Calibri" w:hAnsi="Calibri" w:cs="Calibri"/>
                <w:szCs w:val="20"/>
              </w:rPr>
            </w:pPr>
            <w:r w:rsidRPr="54FDD3F0">
              <w:rPr>
                <w:rFonts w:ascii="Calibri" w:eastAsia="Calibri" w:hAnsi="Calibri" w:cs="Calibri"/>
                <w:szCs w:val="20"/>
              </w:rPr>
              <w:t>Thaïlande</w:t>
            </w:r>
          </w:p>
          <w:p w14:paraId="22A6CBE1" w14:textId="52B4B41F" w:rsidR="00BC2C9F" w:rsidRPr="00BC2C9F" w:rsidRDefault="54FDD3F0" w:rsidP="00877039">
            <w:pPr>
              <w:jc w:val="center"/>
              <w:rPr>
                <w:rFonts w:ascii="Calibri" w:eastAsia="Calibri" w:hAnsi="Calibri" w:cs="Calibri"/>
                <w:szCs w:val="20"/>
              </w:rPr>
            </w:pPr>
            <w:r w:rsidRPr="54FDD3F0">
              <w:rPr>
                <w:rFonts w:ascii="Calibri" w:eastAsia="Calibri" w:hAnsi="Calibri" w:cs="Calibri"/>
                <w:szCs w:val="20"/>
              </w:rPr>
              <w:t>Taïwan</w:t>
            </w:r>
          </w:p>
          <w:p w14:paraId="251F5241" w14:textId="50C8FC32" w:rsidR="00BC2C9F" w:rsidRPr="00BC2C9F" w:rsidRDefault="54FDD3F0" w:rsidP="00877039">
            <w:pPr>
              <w:jc w:val="center"/>
              <w:rPr>
                <w:rFonts w:ascii="Calibri" w:eastAsia="Calibri" w:hAnsi="Calibri" w:cs="Calibri"/>
                <w:szCs w:val="20"/>
              </w:rPr>
            </w:pPr>
            <w:r w:rsidRPr="54FDD3F0">
              <w:rPr>
                <w:rFonts w:ascii="Calibri" w:eastAsia="Calibri" w:hAnsi="Calibri" w:cs="Calibri"/>
                <w:szCs w:val="20"/>
              </w:rPr>
              <w:t>Vietnam</w:t>
            </w:r>
          </w:p>
        </w:tc>
        <w:tc>
          <w:tcPr>
            <w:tcW w:w="3686" w:type="dxa"/>
            <w:shd w:val="clear" w:color="auto" w:fill="auto"/>
            <w:vAlign w:val="center"/>
          </w:tcPr>
          <w:p w14:paraId="3DA33C10" w14:textId="77777777" w:rsidR="00BC2C9F" w:rsidRPr="00A529B7" w:rsidRDefault="00BC2C9F" w:rsidP="00AD71B5">
            <w:pPr>
              <w:rPr>
                <w:szCs w:val="20"/>
              </w:rPr>
            </w:pPr>
            <w:r w:rsidRPr="00A529B7">
              <w:rPr>
                <w:szCs w:val="20"/>
              </w:rPr>
              <w:t>Indication : scoliose idiopathique d’adolescent.</w:t>
            </w:r>
          </w:p>
          <w:p w14:paraId="3A441159" w14:textId="77777777" w:rsidR="00BC2C9F" w:rsidRPr="00A529B7" w:rsidRDefault="00BC2C9F" w:rsidP="00A27F37">
            <w:pPr>
              <w:jc w:val="left"/>
              <w:rPr>
                <w:szCs w:val="20"/>
              </w:rPr>
            </w:pPr>
            <w:r w:rsidRPr="00A529B7">
              <w:rPr>
                <w:szCs w:val="20"/>
              </w:rPr>
              <w:t>- Correction 3D simultanée de la rotation, de la translation et récupération des courbures sagittales.</w:t>
            </w:r>
          </w:p>
          <w:p w14:paraId="605A4D82" w14:textId="77777777" w:rsidR="00BC2C9F" w:rsidRPr="00A529B7" w:rsidRDefault="00BC2C9F" w:rsidP="00A27F37">
            <w:pPr>
              <w:jc w:val="left"/>
              <w:rPr>
                <w:szCs w:val="20"/>
              </w:rPr>
            </w:pPr>
            <w:r w:rsidRPr="00A529B7">
              <w:rPr>
                <w:szCs w:val="20"/>
              </w:rPr>
              <w:t>- Correction globale sur toute la déformation.</w:t>
            </w:r>
          </w:p>
          <w:p w14:paraId="035C6DB0" w14:textId="77777777" w:rsidR="00BC2C9F" w:rsidRPr="00A529B7" w:rsidRDefault="00BC2C9F" w:rsidP="00A27F37">
            <w:pPr>
              <w:jc w:val="left"/>
              <w:rPr>
                <w:szCs w:val="20"/>
              </w:rPr>
            </w:pPr>
            <w:r w:rsidRPr="00A529B7">
              <w:rPr>
                <w:szCs w:val="20"/>
              </w:rPr>
              <w:t>- Prévention du dos plat.</w:t>
            </w:r>
          </w:p>
        </w:tc>
      </w:tr>
      <w:tr w:rsidR="00BC2C9F" w:rsidRPr="00A529B7" w14:paraId="190DE34E" w14:textId="77777777" w:rsidTr="005B42F0">
        <w:trPr>
          <w:trHeight w:val="1473"/>
          <w:tblHeader/>
        </w:trPr>
        <w:tc>
          <w:tcPr>
            <w:tcW w:w="2127" w:type="dxa"/>
            <w:shd w:val="clear" w:color="auto" w:fill="auto"/>
            <w:vAlign w:val="center"/>
          </w:tcPr>
          <w:p w14:paraId="4DB86938" w14:textId="77777777" w:rsidR="00BC2C9F" w:rsidRPr="00A529B7" w:rsidRDefault="00BC2C9F" w:rsidP="00AD71B5">
            <w:pPr>
              <w:jc w:val="center"/>
              <w:rPr>
                <w:szCs w:val="20"/>
              </w:rPr>
            </w:pPr>
            <w:r w:rsidRPr="00A529B7">
              <w:rPr>
                <w:szCs w:val="20"/>
              </w:rPr>
              <w:t>Neve</w:t>
            </w:r>
          </w:p>
          <w:p w14:paraId="36A95878" w14:textId="77777777" w:rsidR="00BC2C9F" w:rsidRPr="00A529B7" w:rsidRDefault="00BC2C9F" w:rsidP="00AD71B5">
            <w:pPr>
              <w:jc w:val="center"/>
              <w:rPr>
                <w:szCs w:val="20"/>
              </w:rPr>
            </w:pPr>
            <w:r>
              <w:rPr>
                <w:noProof/>
              </w:rPr>
              <w:drawing>
                <wp:inline distT="0" distB="0" distL="0" distR="0" wp14:anchorId="0CFA9703" wp14:editId="520872F2">
                  <wp:extent cx="758825" cy="586740"/>
                  <wp:effectExtent l="0" t="0" r="3175" b="0"/>
                  <wp:docPr id="109" name="Imag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09"/>
                          <pic:cNvPicPr/>
                        </pic:nvPicPr>
                        <pic:blipFill>
                          <a:blip r:embed="rId47">
                            <a:extLst>
                              <a:ext uri="{28A0092B-C50C-407E-A947-70E740481C1C}">
                                <a14:useLocalDpi xmlns:a14="http://schemas.microsoft.com/office/drawing/2010/main" val="0"/>
                              </a:ext>
                            </a:extLst>
                          </a:blip>
                          <a:stretch>
                            <a:fillRect/>
                          </a:stretch>
                        </pic:blipFill>
                        <pic:spPr>
                          <a:xfrm>
                            <a:off x="0" y="0"/>
                            <a:ext cx="758825" cy="586740"/>
                          </a:xfrm>
                          <a:prstGeom prst="rect">
                            <a:avLst/>
                          </a:prstGeom>
                        </pic:spPr>
                      </pic:pic>
                    </a:graphicData>
                  </a:graphic>
                </wp:inline>
              </w:drawing>
            </w:r>
          </w:p>
        </w:tc>
        <w:tc>
          <w:tcPr>
            <w:tcW w:w="1275" w:type="dxa"/>
            <w:shd w:val="clear" w:color="auto" w:fill="auto"/>
            <w:vAlign w:val="center"/>
          </w:tcPr>
          <w:p w14:paraId="19B3C63E" w14:textId="77777777" w:rsidR="00BC2C9F" w:rsidRPr="00A529B7" w:rsidRDefault="00BC2C9F" w:rsidP="00AD71B5">
            <w:pPr>
              <w:jc w:val="center"/>
              <w:rPr>
                <w:szCs w:val="20"/>
              </w:rPr>
            </w:pPr>
            <w:r w:rsidRPr="00A529B7">
              <w:rPr>
                <w:szCs w:val="20"/>
              </w:rPr>
              <w:t>Bio matériaux</w:t>
            </w:r>
          </w:p>
        </w:tc>
        <w:tc>
          <w:tcPr>
            <w:tcW w:w="1134" w:type="dxa"/>
            <w:vAlign w:val="center"/>
          </w:tcPr>
          <w:p w14:paraId="5286ED68" w14:textId="510B8314" w:rsidR="00BC2C9F" w:rsidRPr="00A529B7" w:rsidRDefault="00BC2C9F" w:rsidP="00BC2C9F">
            <w:pPr>
              <w:jc w:val="center"/>
              <w:rPr>
                <w:szCs w:val="20"/>
              </w:rPr>
            </w:pPr>
            <w:r w:rsidRPr="00BC2C9F">
              <w:rPr>
                <w:szCs w:val="20"/>
              </w:rPr>
              <w:t>Néant</w:t>
            </w:r>
          </w:p>
        </w:tc>
        <w:tc>
          <w:tcPr>
            <w:tcW w:w="1276" w:type="dxa"/>
            <w:shd w:val="clear" w:color="auto" w:fill="auto"/>
            <w:vAlign w:val="center"/>
          </w:tcPr>
          <w:p w14:paraId="379F9530" w14:textId="061E3572" w:rsidR="00BC2C9F" w:rsidRPr="00A529B7" w:rsidRDefault="54FDD3F0" w:rsidP="00AD71B5">
            <w:pPr>
              <w:jc w:val="center"/>
            </w:pPr>
            <w:r>
              <w:t xml:space="preserve"> CE-UE</w:t>
            </w:r>
          </w:p>
          <w:p w14:paraId="2995F06F" w14:textId="3048F2BD" w:rsidR="00BC2C9F" w:rsidRPr="00A529B7" w:rsidRDefault="54FDD3F0" w:rsidP="00877039">
            <w:pPr>
              <w:jc w:val="center"/>
              <w:rPr>
                <w:rFonts w:ascii="Calibri" w:eastAsia="Calibri" w:hAnsi="Calibri" w:cs="Calibri"/>
                <w:szCs w:val="20"/>
              </w:rPr>
            </w:pPr>
            <w:r w:rsidRPr="54FDD3F0">
              <w:rPr>
                <w:rFonts w:ascii="Calibri" w:eastAsia="Calibri" w:hAnsi="Calibri" w:cs="Calibri"/>
                <w:szCs w:val="20"/>
              </w:rPr>
              <w:t>Argentine</w:t>
            </w:r>
          </w:p>
          <w:p w14:paraId="06D8C0EC" w14:textId="76C13318" w:rsidR="00BC2C9F" w:rsidRPr="00A529B7" w:rsidRDefault="54FDD3F0" w:rsidP="00877039">
            <w:pPr>
              <w:jc w:val="center"/>
              <w:rPr>
                <w:rFonts w:ascii="Calibri" w:eastAsia="Calibri" w:hAnsi="Calibri" w:cs="Calibri"/>
                <w:szCs w:val="20"/>
              </w:rPr>
            </w:pPr>
            <w:r w:rsidRPr="54FDD3F0">
              <w:rPr>
                <w:rFonts w:ascii="Calibri" w:eastAsia="Calibri" w:hAnsi="Calibri" w:cs="Calibri"/>
                <w:szCs w:val="20"/>
              </w:rPr>
              <w:t>Colombie</w:t>
            </w:r>
          </w:p>
          <w:p w14:paraId="10765FAA" w14:textId="12BE866B" w:rsidR="00BC2C9F" w:rsidRPr="00A529B7" w:rsidRDefault="54FDD3F0" w:rsidP="00877039">
            <w:pPr>
              <w:jc w:val="center"/>
              <w:rPr>
                <w:rFonts w:ascii="Calibri" w:eastAsia="Calibri" w:hAnsi="Calibri" w:cs="Calibri"/>
                <w:szCs w:val="20"/>
              </w:rPr>
            </w:pPr>
            <w:r w:rsidRPr="54FDD3F0">
              <w:rPr>
                <w:rFonts w:ascii="Calibri" w:eastAsia="Calibri" w:hAnsi="Calibri" w:cs="Calibri"/>
                <w:szCs w:val="20"/>
              </w:rPr>
              <w:t>Equateur</w:t>
            </w:r>
          </w:p>
          <w:p w14:paraId="20C8F96A" w14:textId="38F19258" w:rsidR="00BC2C9F" w:rsidRPr="00A529B7" w:rsidRDefault="54FDD3F0" w:rsidP="00877039">
            <w:pPr>
              <w:jc w:val="center"/>
              <w:rPr>
                <w:rFonts w:ascii="Calibri" w:eastAsia="Calibri" w:hAnsi="Calibri" w:cs="Calibri"/>
                <w:szCs w:val="20"/>
              </w:rPr>
            </w:pPr>
            <w:r w:rsidRPr="54FDD3F0">
              <w:rPr>
                <w:rFonts w:ascii="Calibri" w:eastAsia="Calibri" w:hAnsi="Calibri" w:cs="Calibri"/>
                <w:szCs w:val="20"/>
              </w:rPr>
              <w:t>Indonésie</w:t>
            </w:r>
          </w:p>
        </w:tc>
        <w:tc>
          <w:tcPr>
            <w:tcW w:w="3686" w:type="dxa"/>
            <w:shd w:val="clear" w:color="auto" w:fill="auto"/>
            <w:vAlign w:val="center"/>
          </w:tcPr>
          <w:p w14:paraId="59151685" w14:textId="7CA89472" w:rsidR="00BC2C9F" w:rsidRPr="00A529B7" w:rsidRDefault="00BC2C9F" w:rsidP="00AD71B5">
            <w:pPr>
              <w:rPr>
                <w:szCs w:val="20"/>
              </w:rPr>
            </w:pPr>
            <w:r w:rsidRPr="00A529B7">
              <w:rPr>
                <w:szCs w:val="20"/>
              </w:rPr>
              <w:t xml:space="preserve">Gamme de substituts osseux afin d’améliorer la repousse osseuse </w:t>
            </w:r>
            <w:r w:rsidR="00EC6294" w:rsidRPr="00A529B7">
              <w:rPr>
                <w:szCs w:val="20"/>
              </w:rPr>
              <w:t>lors d’arthrodèse</w:t>
            </w:r>
            <w:r w:rsidRPr="00A529B7">
              <w:rPr>
                <w:szCs w:val="20"/>
              </w:rPr>
              <w:t>. Neve est un gel d’hydroxyapatite en solution aqueuse, 100% d’origine synthétique.</w:t>
            </w:r>
          </w:p>
        </w:tc>
      </w:tr>
    </w:tbl>
    <w:p w14:paraId="51E1D803" w14:textId="77777777" w:rsidR="00877039" w:rsidRDefault="00877039" w:rsidP="00590880"/>
    <w:p w14:paraId="19EFE1FF" w14:textId="77777777" w:rsidR="00A21D7C" w:rsidRDefault="00A21D7C">
      <w:pPr>
        <w:jc w:val="left"/>
      </w:pPr>
      <w:r>
        <w:br w:type="page"/>
      </w:r>
    </w:p>
    <w:p w14:paraId="0487B865" w14:textId="7CDBDE66" w:rsidR="00932C70" w:rsidRDefault="54FDD3F0" w:rsidP="00590880">
      <w:r>
        <w:lastRenderedPageBreak/>
        <w:t>L’activité du Groupe est principalement portée par 2 gammes de produits </w:t>
      </w:r>
      <w:r w:rsidR="00932C70">
        <w:t>qui comptent pour près de 65 % des ventes en 2020</w:t>
      </w:r>
      <w:r>
        <w:t xml:space="preserve">: </w:t>
      </w:r>
    </w:p>
    <w:p w14:paraId="051F0372" w14:textId="150C0F43" w:rsidR="00932C70" w:rsidRDefault="54FDD3F0" w:rsidP="005B42F0">
      <w:pPr>
        <w:pStyle w:val="Paragraphedeliste"/>
        <w:numPr>
          <w:ilvl w:val="0"/>
          <w:numId w:val="32"/>
        </w:numPr>
      </w:pPr>
      <w:r>
        <w:t xml:space="preserve">la gamme </w:t>
      </w:r>
      <w:r w:rsidR="00DF090A">
        <w:t>M</w:t>
      </w:r>
      <w:r>
        <w:t>ont</w:t>
      </w:r>
      <w:r w:rsidR="00DF090A">
        <w:t xml:space="preserve"> </w:t>
      </w:r>
      <w:r w:rsidR="00DF043A">
        <w:t>Blanc</w:t>
      </w:r>
      <w:r>
        <w:t>, leader du Groupe</w:t>
      </w:r>
      <w:r w:rsidR="00932C70">
        <w:t> ;</w:t>
      </w:r>
      <w:r>
        <w:t xml:space="preserve"> et</w:t>
      </w:r>
      <w:r w:rsidR="00932C70">
        <w:t>,</w:t>
      </w:r>
    </w:p>
    <w:p w14:paraId="09BEB005" w14:textId="13836A7A" w:rsidR="00877039" w:rsidRDefault="54FDD3F0" w:rsidP="005B42F0">
      <w:pPr>
        <w:pStyle w:val="Paragraphedeliste"/>
        <w:numPr>
          <w:ilvl w:val="0"/>
          <w:numId w:val="32"/>
        </w:numPr>
      </w:pPr>
      <w:r>
        <w:t>la gamme MIS</w:t>
      </w:r>
      <w:r w:rsidR="00932C70">
        <w:t>.</w:t>
      </w:r>
    </w:p>
    <w:p w14:paraId="7148D256" w14:textId="77777777" w:rsidR="00932C70" w:rsidRDefault="00932C70" w:rsidP="00590880"/>
    <w:p w14:paraId="33E05C36" w14:textId="0B3E3632" w:rsidR="00590880" w:rsidRDefault="54FDD3F0" w:rsidP="00590880">
      <w:r>
        <w:t>Le Groupe travaille à améliorer la croissance organique de ces gammes, au travers d’innovations permett</w:t>
      </w:r>
      <w:r w:rsidR="00932C70">
        <w:t>ant</w:t>
      </w:r>
      <w:r>
        <w:t xml:space="preserve"> </w:t>
      </w:r>
      <w:r w:rsidR="00932C70">
        <w:t>de recourir à</w:t>
      </w:r>
      <w:r>
        <w:t xml:space="preserve"> des techniques opératoires </w:t>
      </w:r>
      <w:r w:rsidR="00932C70">
        <w:t xml:space="preserve">qui rendent </w:t>
      </w:r>
      <w:r>
        <w:t>le geste des chirurgiens plus efficient.</w:t>
      </w:r>
    </w:p>
    <w:p w14:paraId="31E28723" w14:textId="77777777" w:rsidR="009D0480" w:rsidRDefault="009D0480" w:rsidP="00590880"/>
    <w:p w14:paraId="3A8BBBDA" w14:textId="421437A8" w:rsidR="009D0480" w:rsidRDefault="009D0480" w:rsidP="00590880">
      <w:r>
        <w:t xml:space="preserve">Ainsi, une étude clinique menée dans 4 pays, sur 32 mois et 49 patients a été publiée </w:t>
      </w:r>
      <w:r w:rsidR="00AE07B9">
        <w:t xml:space="preserve">et </w:t>
      </w:r>
      <w:r>
        <w:t>a démontré la qualité de l’instrumentation 3D+ dans le traitement de la scoliose idiopathique de l’adolescent (communiqué de presse du 22 juillet 2020</w:t>
      </w:r>
      <w:r w:rsidR="00BE3BB4">
        <w:t xml:space="preserve"> </w:t>
      </w:r>
      <w:r>
        <w:rPr>
          <w:rStyle w:val="Marquenotebasdepage"/>
        </w:rPr>
        <w:footnoteReference w:id="5"/>
      </w:r>
      <w:r>
        <w:t>).</w:t>
      </w:r>
    </w:p>
    <w:p w14:paraId="2328B3B6" w14:textId="77777777" w:rsidR="00932C70" w:rsidRDefault="00932C70" w:rsidP="00590880"/>
    <w:p w14:paraId="1DB264FA" w14:textId="77777777" w:rsidR="009D0480" w:rsidRDefault="009D0480" w:rsidP="00590880"/>
    <w:p w14:paraId="34DF6D8E" w14:textId="6D105F0C" w:rsidR="009D0480" w:rsidRDefault="009D0480" w:rsidP="00C622C2">
      <w:pPr>
        <w:pStyle w:val="Paragraphedeliste"/>
        <w:numPr>
          <w:ilvl w:val="0"/>
          <w:numId w:val="32"/>
        </w:numPr>
      </w:pPr>
      <w:r w:rsidRPr="009D0480">
        <w:rPr>
          <w:b/>
        </w:rPr>
        <w:t>L’innovante</w:t>
      </w:r>
      <w:r>
        <w:t xml:space="preserve"> </w:t>
      </w:r>
      <w:r w:rsidRPr="009D0480">
        <w:rPr>
          <w:b/>
        </w:rPr>
        <w:t>plateforme modulaire d’instrumentation MIS</w:t>
      </w:r>
      <w:r>
        <w:rPr>
          <w:b/>
        </w:rPr>
        <w:t> :</w:t>
      </w:r>
    </w:p>
    <w:p w14:paraId="599460AD" w14:textId="77777777" w:rsidR="009D0480" w:rsidRDefault="009D0480" w:rsidP="009D0480"/>
    <w:p w14:paraId="33C63EC4" w14:textId="60853C4C" w:rsidR="00590880" w:rsidRDefault="54FDD3F0" w:rsidP="009D0480">
      <w:r>
        <w:t>Spineway a lancé, en 2020, une plateforme modulaire d’instrumentation MIS qui permet aux chirurgiens d’opter pour l’approche chirurgicale de leur choix</w:t>
      </w:r>
      <w:r w:rsidR="00DF043A">
        <w:t>,</w:t>
      </w:r>
      <w:r>
        <w:t xml:space="preserve"> ouverte ou mini-</w:t>
      </w:r>
      <w:r w:rsidR="00877039">
        <w:t>i</w:t>
      </w:r>
      <w:r>
        <w:t>nvasive</w:t>
      </w:r>
      <w:r w:rsidR="00DF043A">
        <w:t>,</w:t>
      </w:r>
      <w:r>
        <w:t xml:space="preserve"> tout en sécurisant et facilitant leurs gestes (communiqué de presse du 9 septembre 2020).</w:t>
      </w:r>
    </w:p>
    <w:p w14:paraId="6B34A223" w14:textId="77777777" w:rsidR="00590880" w:rsidRDefault="00590880" w:rsidP="00590880"/>
    <w:p w14:paraId="62AACD7D" w14:textId="3E3F19E1" w:rsidR="00590880" w:rsidRDefault="00590880" w:rsidP="00BE3BB4">
      <w:pPr>
        <w:ind w:left="1276"/>
      </w:pPr>
      <w:r>
        <w:rPr>
          <w:noProof/>
        </w:rPr>
        <w:drawing>
          <wp:inline distT="0" distB="0" distL="0" distR="0" wp14:anchorId="481E4539" wp14:editId="4167A42F">
            <wp:extent cx="3889163" cy="2566688"/>
            <wp:effectExtent l="0" t="0" r="0" b="0"/>
            <wp:docPr id="56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pic:nvPicPr>
                  <pic:blipFill>
                    <a:blip r:embed="rId48">
                      <a:extLst>
                        <a:ext uri="{28A0092B-C50C-407E-A947-70E740481C1C}">
                          <a14:useLocalDpi xmlns:a14="http://schemas.microsoft.com/office/drawing/2010/main" val="0"/>
                        </a:ext>
                      </a:extLst>
                    </a:blip>
                    <a:stretch>
                      <a:fillRect/>
                    </a:stretch>
                  </pic:blipFill>
                  <pic:spPr>
                    <a:xfrm>
                      <a:off x="0" y="0"/>
                      <a:ext cx="3889163" cy="2566688"/>
                    </a:xfrm>
                    <a:prstGeom prst="rect">
                      <a:avLst/>
                    </a:prstGeom>
                  </pic:spPr>
                </pic:pic>
              </a:graphicData>
            </a:graphic>
          </wp:inline>
        </w:drawing>
      </w:r>
    </w:p>
    <w:p w14:paraId="37A059FD" w14:textId="77777777" w:rsidR="00590880" w:rsidRDefault="00590880" w:rsidP="00590880"/>
    <w:p w14:paraId="1DA90293" w14:textId="3A01E3ED" w:rsidR="00590880" w:rsidRDefault="00590880" w:rsidP="00590880">
      <w:r>
        <w:t xml:space="preserve">Cette innovation démontre la capacité de Spineway à </w:t>
      </w:r>
      <w:r w:rsidR="009D0480">
        <w:t>mettre au point des produits adaptés aux besoins de chirurgiens et aux pathologies de leurs patients.</w:t>
      </w:r>
    </w:p>
    <w:p w14:paraId="53F35B49" w14:textId="77777777" w:rsidR="009D0480" w:rsidRDefault="009D0480" w:rsidP="00590880"/>
    <w:p w14:paraId="23667963" w14:textId="08E200D2" w:rsidR="00A70D60" w:rsidRDefault="00022584" w:rsidP="00A70D60">
      <w:pPr>
        <w:pStyle w:val="Titre3"/>
      </w:pPr>
      <w:bookmarkStart w:id="122" w:name="_Toc475033186"/>
      <w:r>
        <w:t>5</w:t>
      </w:r>
      <w:r w:rsidR="00021C5D">
        <w:t>.</w:t>
      </w:r>
      <w:r w:rsidR="00D1755C">
        <w:t>1</w:t>
      </w:r>
      <w:r w:rsidR="00021C5D">
        <w:t>.3</w:t>
      </w:r>
      <w:r w:rsidR="00A70D60" w:rsidRPr="00A601E8">
        <w:t xml:space="preserve">. </w:t>
      </w:r>
      <w:r w:rsidR="00A70D60">
        <w:t>Les activités de Spineway : R&amp;D, conception, fabrication et commercialisation des implants du rachis</w:t>
      </w:r>
      <w:bookmarkEnd w:id="122"/>
      <w:r w:rsidR="00A70D60">
        <w:t> </w:t>
      </w:r>
    </w:p>
    <w:p w14:paraId="380FDAFC" w14:textId="171D3B37" w:rsidR="00A70D60" w:rsidRPr="00A529B7" w:rsidRDefault="00022584" w:rsidP="00AD71B5">
      <w:pPr>
        <w:pStyle w:val="Titre4"/>
      </w:pPr>
      <w:bookmarkStart w:id="123" w:name="_Ref368208809"/>
      <w:r>
        <w:t>5</w:t>
      </w:r>
      <w:r w:rsidR="00AD71B5">
        <w:t>.</w:t>
      </w:r>
      <w:r w:rsidR="00D1755C">
        <w:t>1</w:t>
      </w:r>
      <w:r w:rsidR="00AD71B5">
        <w:t>.</w:t>
      </w:r>
      <w:r w:rsidR="00021C5D">
        <w:t>3</w:t>
      </w:r>
      <w:r w:rsidR="00AD71B5">
        <w:t xml:space="preserve">.1. </w:t>
      </w:r>
      <w:r w:rsidR="00A444F4">
        <w:t>L</w:t>
      </w:r>
      <w:r w:rsidR="00A70D60" w:rsidRPr="00A529B7">
        <w:t>a R&amp;D et la conception des produits</w:t>
      </w:r>
      <w:bookmarkEnd w:id="123"/>
    </w:p>
    <w:p w14:paraId="2ABC9320" w14:textId="77777777" w:rsidR="00A70D60" w:rsidRPr="00A529B7" w:rsidRDefault="00A70D60" w:rsidP="00A70D60">
      <w:pPr>
        <w:jc w:val="left"/>
        <w:rPr>
          <w:color w:val="FF0000"/>
          <w:szCs w:val="20"/>
        </w:rPr>
      </w:pPr>
    </w:p>
    <w:p w14:paraId="0BFB31DB" w14:textId="19F1475B" w:rsidR="00A529B7" w:rsidRPr="00A529B7" w:rsidRDefault="00AD25AB" w:rsidP="00AD25AB">
      <w:pPr>
        <w:rPr>
          <w:szCs w:val="20"/>
        </w:rPr>
      </w:pPr>
      <w:r w:rsidRPr="00FF3CA3">
        <w:rPr>
          <w:szCs w:val="20"/>
        </w:rPr>
        <w:t>Depuis sa création, Spineway a réalisé d’importants travaux de R&amp;D</w:t>
      </w:r>
      <w:r w:rsidR="00540AEE">
        <w:rPr>
          <w:szCs w:val="20"/>
        </w:rPr>
        <w:t xml:space="preserve"> </w:t>
      </w:r>
      <w:r w:rsidRPr="00FF3CA3">
        <w:rPr>
          <w:szCs w:val="20"/>
        </w:rPr>
        <w:t>pour concevoir et développer ses produits, et a déposé une douzaine de familles de brevets qui ont donné lieu à une quarantaine de</w:t>
      </w:r>
      <w:r w:rsidRPr="00A529B7">
        <w:rPr>
          <w:szCs w:val="20"/>
        </w:rPr>
        <w:t xml:space="preserve"> brevets, considérant les extensions pays</w:t>
      </w:r>
      <w:r w:rsidR="00AC4D56">
        <w:rPr>
          <w:szCs w:val="20"/>
        </w:rPr>
        <w:t xml:space="preserve"> (c</w:t>
      </w:r>
      <w:r w:rsidR="00A529B7" w:rsidRPr="00A529B7">
        <w:rPr>
          <w:szCs w:val="20"/>
        </w:rPr>
        <w:t>f. paragraphe « </w:t>
      </w:r>
      <w:r w:rsidR="00BE3BB4">
        <w:rPr>
          <w:szCs w:val="20"/>
        </w:rPr>
        <w:fldChar w:fldCharType="begin"/>
      </w:r>
      <w:r w:rsidR="00BE3BB4">
        <w:rPr>
          <w:szCs w:val="20"/>
        </w:rPr>
        <w:instrText xml:space="preserve"> REF _Ref367969020 \h </w:instrText>
      </w:r>
      <w:r w:rsidR="00BE3BB4">
        <w:rPr>
          <w:szCs w:val="20"/>
        </w:rPr>
      </w:r>
      <w:r w:rsidR="00BE3BB4">
        <w:rPr>
          <w:szCs w:val="20"/>
        </w:rPr>
        <w:fldChar w:fldCharType="separate"/>
      </w:r>
      <w:r w:rsidR="003A0AD1">
        <w:t>5.5.1.2</w:t>
      </w:r>
      <w:r w:rsidR="003A0AD1" w:rsidRPr="009C781E">
        <w:t xml:space="preserve"> Brevets</w:t>
      </w:r>
      <w:r w:rsidR="00BE3BB4">
        <w:rPr>
          <w:szCs w:val="20"/>
        </w:rPr>
        <w:fldChar w:fldCharType="end"/>
      </w:r>
      <w:r w:rsidR="00A529B7" w:rsidRPr="00A529B7">
        <w:rPr>
          <w:szCs w:val="20"/>
        </w:rPr>
        <w:t xml:space="preserve"> » </w:t>
      </w:r>
      <w:r w:rsidR="000C10EB">
        <w:rPr>
          <w:szCs w:val="20"/>
        </w:rPr>
        <w:t xml:space="preserve">du </w:t>
      </w:r>
      <w:r w:rsidR="00920DEB">
        <w:rPr>
          <w:szCs w:val="20"/>
        </w:rPr>
        <w:t>Document d’enregistrement universel</w:t>
      </w:r>
      <w:r w:rsidR="00AC4D56">
        <w:rPr>
          <w:szCs w:val="20"/>
        </w:rPr>
        <w:t>).</w:t>
      </w:r>
    </w:p>
    <w:p w14:paraId="0AA06195" w14:textId="6BF6DECA" w:rsidR="00F27A8E" w:rsidRDefault="54FDD3F0" w:rsidP="00F27A8E">
      <w:r>
        <w:t>La direction a orienté la R&amp;D vers des développements de produits plus innovants, apportant des bénéfices aux chirurgiens utilisateurs avec des gestes chirurgicaux facilités, et aux patients avec une réduction de la récupération post opératoire, une diminution des effets secondaires à toute chirurgie ouverte et une réduction espérée du coût global du traitement des pathologies rachidiennes par les organismes payeurs.</w:t>
      </w:r>
    </w:p>
    <w:p w14:paraId="1582E4A8" w14:textId="77777777" w:rsidR="000B2321" w:rsidRDefault="000B2321" w:rsidP="000B2321">
      <w:pPr>
        <w:rPr>
          <w:szCs w:val="20"/>
        </w:rPr>
      </w:pPr>
    </w:p>
    <w:p w14:paraId="793FEAE8" w14:textId="6A42A328" w:rsidR="00F82ADE" w:rsidRPr="00F82ADE" w:rsidRDefault="00F82ADE" w:rsidP="00C577E0">
      <w:r w:rsidRPr="54FDD3F0">
        <w:t xml:space="preserve">La Société s’est déjà illustrée en mettant sur le marché </w:t>
      </w:r>
      <w:r w:rsidR="00C577E0" w:rsidRPr="54FDD3F0">
        <w:t xml:space="preserve">la </w:t>
      </w:r>
      <w:r w:rsidR="00C577E0" w:rsidRPr="00C577E0">
        <w:t>plateforme modulaire d’instrumentation MIS</w:t>
      </w:r>
      <w:r w:rsidR="00C577E0">
        <w:t xml:space="preserve"> en 2020</w:t>
      </w:r>
      <w:r w:rsidR="00C577E0" w:rsidRPr="54FDD3F0">
        <w:t xml:space="preserve"> (cf. paragraphe </w:t>
      </w:r>
      <w:r w:rsidR="00220302">
        <w:t>« </w:t>
      </w:r>
      <w:r w:rsidR="00C577E0">
        <w:rPr>
          <w:szCs w:val="20"/>
        </w:rPr>
        <w:fldChar w:fldCharType="begin"/>
      </w:r>
      <w:r w:rsidR="00C577E0">
        <w:rPr>
          <w:szCs w:val="20"/>
        </w:rPr>
        <w:instrText xml:space="preserve"> REF _Ref469908713 \h </w:instrText>
      </w:r>
      <w:r w:rsidR="00C577E0">
        <w:rPr>
          <w:szCs w:val="20"/>
        </w:rPr>
      </w:r>
      <w:r w:rsidR="00C577E0">
        <w:rPr>
          <w:szCs w:val="20"/>
        </w:rPr>
        <w:fldChar w:fldCharType="separate"/>
      </w:r>
      <w:r w:rsidR="003A0AD1">
        <w:rPr>
          <w:szCs w:val="20"/>
        </w:rPr>
        <w:t>5</w:t>
      </w:r>
      <w:r w:rsidR="003A0AD1" w:rsidRPr="00A529B7">
        <w:rPr>
          <w:szCs w:val="20"/>
        </w:rPr>
        <w:t>.</w:t>
      </w:r>
      <w:r w:rsidR="003A0AD1">
        <w:rPr>
          <w:szCs w:val="20"/>
        </w:rPr>
        <w:t>1</w:t>
      </w:r>
      <w:r w:rsidR="003A0AD1" w:rsidRPr="00A529B7">
        <w:rPr>
          <w:szCs w:val="20"/>
        </w:rPr>
        <w:t xml:space="preserve">.2. Les produits conçus, développés et commercialisés par Spineway : les implants du </w:t>
      </w:r>
      <w:r w:rsidR="003A0AD1" w:rsidRPr="00A529B7">
        <w:rPr>
          <w:szCs w:val="20"/>
        </w:rPr>
        <w:lastRenderedPageBreak/>
        <w:t>rachis</w:t>
      </w:r>
      <w:r w:rsidR="00C577E0">
        <w:rPr>
          <w:szCs w:val="20"/>
        </w:rPr>
        <w:fldChar w:fldCharType="end"/>
      </w:r>
      <w:r w:rsidR="00220302">
        <w:rPr>
          <w:szCs w:val="20"/>
        </w:rPr>
        <w:t> »</w:t>
      </w:r>
      <w:r w:rsidR="00C577E0" w:rsidRPr="54FDD3F0">
        <w:t xml:space="preserve">) et </w:t>
      </w:r>
      <w:r w:rsidRPr="54FDD3F0">
        <w:t>plusieurs solutions thérapeutiques originales, qui constituent un ensemble</w:t>
      </w:r>
      <w:r w:rsidR="00877039">
        <w:t xml:space="preserve"> </w:t>
      </w:r>
      <w:r w:rsidRPr="54FDD3F0">
        <w:t>modulaire en correspondance avec les attentes des chirurgiens </w:t>
      </w:r>
      <w:r w:rsidR="00DF043A">
        <w:t>de</w:t>
      </w:r>
      <w:r w:rsidR="00DF043A" w:rsidRPr="54FDD3F0">
        <w:t xml:space="preserve"> </w:t>
      </w:r>
      <w:r w:rsidRPr="54FDD3F0">
        <w:t>pouvoir effectuer un choix préopératoire entre plusieurs options correspondant à différentes techniques opératoires.</w:t>
      </w:r>
    </w:p>
    <w:p w14:paraId="2A6E3FD6" w14:textId="77777777" w:rsidR="00C577E0" w:rsidRDefault="00C577E0" w:rsidP="00F82ADE">
      <w:pPr>
        <w:widowControl w:val="0"/>
        <w:autoSpaceDE w:val="0"/>
        <w:autoSpaceDN w:val="0"/>
        <w:adjustRightInd w:val="0"/>
        <w:rPr>
          <w:szCs w:val="20"/>
        </w:rPr>
      </w:pPr>
    </w:p>
    <w:p w14:paraId="2423AC56" w14:textId="0CFF3753" w:rsidR="00F82ADE" w:rsidRPr="00F82ADE" w:rsidRDefault="54FDD3F0" w:rsidP="00F82ADE">
      <w:pPr>
        <w:widowControl w:val="0"/>
        <w:autoSpaceDE w:val="0"/>
        <w:autoSpaceDN w:val="0"/>
        <w:adjustRightInd w:val="0"/>
      </w:pPr>
      <w:r>
        <w:t>Les produits conçus par Spineway sont :</w:t>
      </w:r>
    </w:p>
    <w:p w14:paraId="07972202" w14:textId="0EA5F026" w:rsidR="00F82ADE" w:rsidRPr="00F82ADE" w:rsidRDefault="00F82ADE" w:rsidP="00C622C2">
      <w:pPr>
        <w:widowControl w:val="0"/>
        <w:numPr>
          <w:ilvl w:val="0"/>
          <w:numId w:val="47"/>
        </w:numPr>
        <w:tabs>
          <w:tab w:val="left" w:pos="220"/>
          <w:tab w:val="left" w:pos="720"/>
        </w:tabs>
        <w:autoSpaceDE w:val="0"/>
        <w:autoSpaceDN w:val="0"/>
        <w:adjustRightInd w:val="0"/>
        <w:rPr>
          <w:szCs w:val="20"/>
        </w:rPr>
      </w:pPr>
      <w:r w:rsidRPr="00F82ADE">
        <w:rPr>
          <w:szCs w:val="20"/>
        </w:rPr>
        <w:t>Mont Blanc Baby, pour traiter les déformations atteignant les petits enfants (syndromes malformatifs…)</w:t>
      </w:r>
      <w:r>
        <w:rPr>
          <w:szCs w:val="20"/>
        </w:rPr>
        <w:t> ;</w:t>
      </w:r>
    </w:p>
    <w:p w14:paraId="1F73AC8F" w14:textId="197A2A7F" w:rsidR="00C577E0" w:rsidRDefault="00DF043A" w:rsidP="00C622C2">
      <w:pPr>
        <w:widowControl w:val="0"/>
        <w:numPr>
          <w:ilvl w:val="0"/>
          <w:numId w:val="47"/>
        </w:numPr>
        <w:tabs>
          <w:tab w:val="left" w:pos="220"/>
          <w:tab w:val="left" w:pos="720"/>
        </w:tabs>
        <w:autoSpaceDE w:val="0"/>
        <w:autoSpaceDN w:val="0"/>
        <w:adjustRightInd w:val="0"/>
        <w:rPr>
          <w:szCs w:val="20"/>
        </w:rPr>
      </w:pPr>
      <w:r w:rsidRPr="00F82ADE">
        <w:rPr>
          <w:szCs w:val="20"/>
        </w:rPr>
        <w:t>K</w:t>
      </w:r>
      <w:r>
        <w:rPr>
          <w:szCs w:val="20"/>
        </w:rPr>
        <w:t>ili</w:t>
      </w:r>
      <w:r w:rsidR="00F82ADE" w:rsidRPr="00F82ADE">
        <w:rPr>
          <w:szCs w:val="20"/>
        </w:rPr>
        <w:t>, cage intersomatique mise en place par voie antérieure, indiquée pour le traitement de la scoliose lombaire dégénérative de l’adulte</w:t>
      </w:r>
      <w:r w:rsidR="00F82ADE">
        <w:rPr>
          <w:szCs w:val="20"/>
        </w:rPr>
        <w:t> ;</w:t>
      </w:r>
    </w:p>
    <w:p w14:paraId="43A8790A" w14:textId="6BFD7FB4" w:rsidR="00F82ADE" w:rsidRPr="00C577E0" w:rsidRDefault="00F82ADE" w:rsidP="00C622C2">
      <w:pPr>
        <w:widowControl w:val="0"/>
        <w:numPr>
          <w:ilvl w:val="0"/>
          <w:numId w:val="47"/>
        </w:numPr>
        <w:tabs>
          <w:tab w:val="left" w:pos="220"/>
          <w:tab w:val="left" w:pos="720"/>
        </w:tabs>
        <w:autoSpaceDE w:val="0"/>
        <w:autoSpaceDN w:val="0"/>
        <w:adjustRightInd w:val="0"/>
        <w:rPr>
          <w:szCs w:val="20"/>
        </w:rPr>
      </w:pPr>
      <w:r w:rsidRPr="00C577E0">
        <w:rPr>
          <w:szCs w:val="20"/>
        </w:rPr>
        <w:t>Mont Blanc 3D+, pour le traitement de la scoliose adolescente idiopathique</w:t>
      </w:r>
      <w:r w:rsidR="00C577E0" w:rsidRPr="00C577E0">
        <w:rPr>
          <w:szCs w:val="20"/>
        </w:rPr>
        <w:t xml:space="preserve"> </w:t>
      </w:r>
      <w:r w:rsidR="00C577E0">
        <w:t>et dont la qualité a été démontrée au travers la publication d’une étude clinique publiée en 2020</w:t>
      </w:r>
      <w:r w:rsidR="009300CB">
        <w:t xml:space="preserve"> </w:t>
      </w:r>
      <w:r w:rsidR="00C577E0">
        <w:rPr>
          <w:rStyle w:val="Marquenotebasdepage"/>
        </w:rPr>
        <w:footnoteReference w:id="6"/>
      </w:r>
      <w:r w:rsidR="00C577E0">
        <w:t xml:space="preserve"> </w:t>
      </w:r>
      <w:r w:rsidR="00C577E0">
        <w:rPr>
          <w:szCs w:val="20"/>
        </w:rPr>
        <w:t>(cf. paragraphe « </w:t>
      </w:r>
      <w:r w:rsidR="00C577E0">
        <w:rPr>
          <w:szCs w:val="20"/>
        </w:rPr>
        <w:fldChar w:fldCharType="begin"/>
      </w:r>
      <w:r w:rsidR="00C577E0">
        <w:rPr>
          <w:szCs w:val="20"/>
        </w:rPr>
        <w:instrText xml:space="preserve"> REF _Ref469908713 \h </w:instrText>
      </w:r>
      <w:r w:rsidR="00C577E0">
        <w:rPr>
          <w:szCs w:val="20"/>
        </w:rPr>
      </w:r>
      <w:r w:rsidR="00C577E0">
        <w:rPr>
          <w:szCs w:val="20"/>
        </w:rPr>
        <w:fldChar w:fldCharType="separate"/>
      </w:r>
      <w:r w:rsidR="003A0AD1">
        <w:rPr>
          <w:szCs w:val="20"/>
        </w:rPr>
        <w:t>5</w:t>
      </w:r>
      <w:r w:rsidR="003A0AD1" w:rsidRPr="00A529B7">
        <w:rPr>
          <w:szCs w:val="20"/>
        </w:rPr>
        <w:t>.</w:t>
      </w:r>
      <w:r w:rsidR="003A0AD1">
        <w:rPr>
          <w:szCs w:val="20"/>
        </w:rPr>
        <w:t>1</w:t>
      </w:r>
      <w:r w:rsidR="003A0AD1" w:rsidRPr="00A529B7">
        <w:rPr>
          <w:szCs w:val="20"/>
        </w:rPr>
        <w:t>.2. Les produits conçus, développés et commercialisés par Spineway : les implants du rachis</w:t>
      </w:r>
      <w:r w:rsidR="00C577E0">
        <w:rPr>
          <w:szCs w:val="20"/>
        </w:rPr>
        <w:fldChar w:fldCharType="end"/>
      </w:r>
      <w:r w:rsidR="00C577E0">
        <w:rPr>
          <w:szCs w:val="20"/>
        </w:rPr>
        <w:t xml:space="preserve"> » et le </w:t>
      </w:r>
      <w:r w:rsidR="00C577E0">
        <w:t>communiqué de presse du 22 juillet 2020).</w:t>
      </w:r>
    </w:p>
    <w:p w14:paraId="3138428F" w14:textId="7D7D844E" w:rsidR="00F82ADE" w:rsidRDefault="00F82ADE" w:rsidP="00C622C2">
      <w:pPr>
        <w:widowControl w:val="0"/>
        <w:numPr>
          <w:ilvl w:val="0"/>
          <w:numId w:val="47"/>
        </w:numPr>
        <w:tabs>
          <w:tab w:val="left" w:pos="220"/>
          <w:tab w:val="left" w:pos="720"/>
        </w:tabs>
        <w:autoSpaceDE w:val="0"/>
        <w:autoSpaceDN w:val="0"/>
        <w:adjustRightInd w:val="0"/>
        <w:rPr>
          <w:szCs w:val="20"/>
        </w:rPr>
      </w:pPr>
      <w:r w:rsidRPr="00F82ADE">
        <w:rPr>
          <w:szCs w:val="20"/>
        </w:rPr>
        <w:t>Mont Blanc MIS pour des opérations en Mini Invasif avec une toute dernière génération d’instrument</w:t>
      </w:r>
      <w:r w:rsidR="00B2272B">
        <w:rPr>
          <w:szCs w:val="20"/>
        </w:rPr>
        <w:t>s</w:t>
      </w:r>
      <w:r w:rsidRPr="00F82ADE">
        <w:rPr>
          <w:szCs w:val="20"/>
        </w:rPr>
        <w:t>.</w:t>
      </w:r>
    </w:p>
    <w:p w14:paraId="54950308" w14:textId="77777777" w:rsidR="00C577E0" w:rsidRPr="00877039" w:rsidRDefault="00C577E0" w:rsidP="00C577E0">
      <w:pPr>
        <w:rPr>
          <w:szCs w:val="20"/>
        </w:rPr>
      </w:pPr>
    </w:p>
    <w:p w14:paraId="3E3AEC58" w14:textId="6B830696" w:rsidR="00C577E0" w:rsidRPr="00877039" w:rsidRDefault="54FDD3F0" w:rsidP="54FDD3F0">
      <w:r w:rsidRPr="00877039">
        <w:t>Ces 4 produits représentent 82</w:t>
      </w:r>
      <w:r w:rsidR="00932C70">
        <w:t xml:space="preserve"> </w:t>
      </w:r>
      <w:r w:rsidRPr="00877039">
        <w:t xml:space="preserve">% du </w:t>
      </w:r>
      <w:r w:rsidR="00877039">
        <w:t>chiffre d’affaires</w:t>
      </w:r>
      <w:r w:rsidRPr="00877039">
        <w:t xml:space="preserve"> du Groupe en 2020, démontrant ainsi la réussite de l’innovation Spineway.</w:t>
      </w:r>
    </w:p>
    <w:p w14:paraId="441D5C70" w14:textId="29551418" w:rsidR="00C577E0" w:rsidRPr="00877039" w:rsidRDefault="54FDD3F0" w:rsidP="00C577E0">
      <w:r w:rsidRPr="00877039">
        <w:t>La gamme Mont-Blanc compte à elle-seule pour 45</w:t>
      </w:r>
      <w:r w:rsidR="00932C70">
        <w:t xml:space="preserve"> </w:t>
      </w:r>
      <w:r w:rsidRPr="00877039">
        <w:t>% du chiffre d’affaires en 2020 (</w:t>
      </w:r>
      <w:r w:rsidR="00877039">
        <w:t xml:space="preserve">contre </w:t>
      </w:r>
      <w:r w:rsidRPr="00877039">
        <w:t>51</w:t>
      </w:r>
      <w:r w:rsidR="00932C70">
        <w:t xml:space="preserve"> </w:t>
      </w:r>
      <w:r w:rsidRPr="00877039">
        <w:t>% en 2019) et la gamme MIS compte pour 20</w:t>
      </w:r>
      <w:r w:rsidR="00932C70">
        <w:t xml:space="preserve"> </w:t>
      </w:r>
      <w:r w:rsidRPr="00877039">
        <w:t xml:space="preserve">% des ventes </w:t>
      </w:r>
      <w:r w:rsidRPr="00877039">
        <w:rPr>
          <w:bCs/>
        </w:rPr>
        <w:t>en croissance par rapport à 2019 (17</w:t>
      </w:r>
      <w:r w:rsidR="00932C70">
        <w:rPr>
          <w:bCs/>
        </w:rPr>
        <w:t xml:space="preserve"> </w:t>
      </w:r>
      <w:r w:rsidRPr="00877039">
        <w:rPr>
          <w:bCs/>
        </w:rPr>
        <w:t>% des ventes) du fait du développement du Premium.</w:t>
      </w:r>
    </w:p>
    <w:p w14:paraId="38F7ED23" w14:textId="0BC5F2DC" w:rsidR="003A2BE1" w:rsidRPr="00877039" w:rsidRDefault="003A2BE1" w:rsidP="007939EC">
      <w:pPr>
        <w:rPr>
          <w:szCs w:val="20"/>
        </w:rPr>
      </w:pPr>
      <w:r w:rsidRPr="00877039">
        <w:rPr>
          <w:szCs w:val="20"/>
        </w:rPr>
        <w:t>Le processus de conception d’un produit peut être schématisé comme suit :</w:t>
      </w:r>
    </w:p>
    <w:p w14:paraId="2599BA0A" w14:textId="5E87156E" w:rsidR="000B2321" w:rsidRPr="007939EC" w:rsidRDefault="01257A3D" w:rsidP="007939EC">
      <w:pPr>
        <w:rPr>
          <w:szCs w:val="20"/>
        </w:rPr>
      </w:pPr>
      <w:r w:rsidRPr="01257A3D">
        <w:rPr>
          <w:noProof/>
        </w:rPr>
        <w:lastRenderedPageBreak/>
        <w:t xml:space="preserve"> </w:t>
      </w:r>
      <w:r w:rsidR="005B2BFD">
        <w:rPr>
          <w:noProof/>
        </w:rPr>
        <w:drawing>
          <wp:inline distT="0" distB="0" distL="0" distR="0" wp14:anchorId="473B946F" wp14:editId="307922C0">
            <wp:extent cx="5940427" cy="7685404"/>
            <wp:effectExtent l="0" t="0" r="3175" b="10795"/>
            <wp:docPr id="562"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0"/>
                    <pic:cNvPicPr/>
                  </pic:nvPicPr>
                  <pic:blipFill>
                    <a:blip r:embed="rId49">
                      <a:extLst>
                        <a:ext uri="{28A0092B-C50C-407E-A947-70E740481C1C}">
                          <a14:useLocalDpi xmlns:a14="http://schemas.microsoft.com/office/drawing/2010/main" val="0"/>
                        </a:ext>
                      </a:extLst>
                    </a:blip>
                    <a:stretch>
                      <a:fillRect/>
                    </a:stretch>
                  </pic:blipFill>
                  <pic:spPr>
                    <a:xfrm>
                      <a:off x="0" y="0"/>
                      <a:ext cx="5940427" cy="7685404"/>
                    </a:xfrm>
                    <a:prstGeom prst="rect">
                      <a:avLst/>
                    </a:prstGeom>
                  </pic:spPr>
                </pic:pic>
              </a:graphicData>
            </a:graphic>
          </wp:inline>
        </w:drawing>
      </w:r>
    </w:p>
    <w:p w14:paraId="6D79F2ED" w14:textId="77777777" w:rsidR="005B2BFD" w:rsidRDefault="005B2BFD" w:rsidP="00AD71B5">
      <w:pPr>
        <w:pStyle w:val="Titre4"/>
      </w:pPr>
    </w:p>
    <w:p w14:paraId="7DE83190" w14:textId="77777777" w:rsidR="00DE2A34" w:rsidRDefault="00DE2A34">
      <w:pPr>
        <w:jc w:val="left"/>
        <w:rPr>
          <w:rFonts w:eastAsiaTheme="majorEastAsia" w:cstheme="majorBidi"/>
          <w:b/>
          <w:bCs/>
          <w:i/>
          <w:iCs/>
          <w:color w:val="4F81BD" w:themeColor="accent1"/>
        </w:rPr>
      </w:pPr>
      <w:r>
        <w:br w:type="page"/>
      </w:r>
    </w:p>
    <w:p w14:paraId="2C72CDFE" w14:textId="23C44A02" w:rsidR="00A70D60" w:rsidRPr="00AD71B5" w:rsidRDefault="00022584" w:rsidP="00AD71B5">
      <w:pPr>
        <w:pStyle w:val="Titre4"/>
      </w:pPr>
      <w:r>
        <w:lastRenderedPageBreak/>
        <w:t>5</w:t>
      </w:r>
      <w:r w:rsidR="00021C5D">
        <w:t>.</w:t>
      </w:r>
      <w:r w:rsidR="00D1755C">
        <w:t>1</w:t>
      </w:r>
      <w:r w:rsidR="00021C5D">
        <w:t>.3</w:t>
      </w:r>
      <w:r w:rsidR="00AD71B5">
        <w:t xml:space="preserve">.2. </w:t>
      </w:r>
      <w:r w:rsidR="00A70D60" w:rsidRPr="00AD71B5">
        <w:t>La fabrication des produits et l</w:t>
      </w:r>
      <w:r w:rsidR="00F27A8E">
        <w:t>’organisation de la supply chain</w:t>
      </w:r>
    </w:p>
    <w:p w14:paraId="560EA358" w14:textId="77777777" w:rsidR="00A70D60" w:rsidRDefault="00A70D60" w:rsidP="00A70D60">
      <w:pPr>
        <w:jc w:val="left"/>
        <w:rPr>
          <w:b/>
          <w:szCs w:val="20"/>
        </w:rPr>
      </w:pPr>
    </w:p>
    <w:p w14:paraId="00303EF0" w14:textId="363FCA58" w:rsidR="005B2BFD" w:rsidRPr="005B2BFD" w:rsidRDefault="007939EC" w:rsidP="005B2BFD">
      <w:r>
        <w:t xml:space="preserve">Spineway </w:t>
      </w:r>
      <w:r w:rsidR="00A444F4">
        <w:t>ne</w:t>
      </w:r>
      <w:r w:rsidR="00813933">
        <w:t xml:space="preserve"> dispose pas d’outil</w:t>
      </w:r>
      <w:r>
        <w:t xml:space="preserve"> de production en propre. La fabrication des produits est sous-traitée.</w:t>
      </w:r>
    </w:p>
    <w:p w14:paraId="55EB403F" w14:textId="092DD04D" w:rsidR="005B2BFD" w:rsidRDefault="005B2BFD" w:rsidP="005B2BFD">
      <w:pPr>
        <w:rPr>
          <w:szCs w:val="20"/>
        </w:rPr>
      </w:pPr>
    </w:p>
    <w:p w14:paraId="63B97A65" w14:textId="03658A3B" w:rsidR="00082731" w:rsidRDefault="00082731" w:rsidP="00C622C2">
      <w:pPr>
        <w:pStyle w:val="Paragraphedeliste"/>
        <w:numPr>
          <w:ilvl w:val="0"/>
          <w:numId w:val="25"/>
        </w:numPr>
        <w:rPr>
          <w:b/>
          <w:bCs/>
          <w:iCs/>
          <w:szCs w:val="20"/>
        </w:rPr>
      </w:pPr>
      <w:r w:rsidRPr="00105403">
        <w:rPr>
          <w:b/>
          <w:bCs/>
          <w:iCs/>
          <w:szCs w:val="20"/>
        </w:rPr>
        <w:t>Processus de fabrication :</w:t>
      </w:r>
    </w:p>
    <w:p w14:paraId="22A233C0" w14:textId="77777777" w:rsidR="00082731" w:rsidRPr="000B2321" w:rsidRDefault="00082731" w:rsidP="000B2321">
      <w:pPr>
        <w:rPr>
          <w:b/>
          <w:bCs/>
          <w:iCs/>
          <w:szCs w:val="20"/>
        </w:rPr>
      </w:pPr>
    </w:p>
    <w:p w14:paraId="0141FF0B" w14:textId="18B2D900" w:rsidR="00057280" w:rsidRPr="00A529B7" w:rsidRDefault="54FDD3F0" w:rsidP="54FDD3F0">
      <w:r>
        <w:t>Exemple du process de fabrication d’une vis :</w:t>
      </w:r>
      <w:commentRangeStart w:id="124"/>
      <w:commentRangeEnd w:id="124"/>
    </w:p>
    <w:p w14:paraId="5BE20A55" w14:textId="1866F4F2" w:rsidR="00057280" w:rsidRPr="00A529B7" w:rsidRDefault="00057280" w:rsidP="00057280">
      <w:pPr>
        <w:rPr>
          <w:rFonts w:cs="Arial"/>
          <w:b/>
          <w:szCs w:val="20"/>
        </w:rPr>
      </w:pPr>
    </w:p>
    <w:p w14:paraId="317008D6" w14:textId="40CF9A44" w:rsidR="00877039" w:rsidRDefault="009300CB" w:rsidP="00057280">
      <w:pPr>
        <w:rPr>
          <w:rFonts w:cs="Arial"/>
          <w:noProof/>
          <w:szCs w:val="20"/>
          <w:lang w:eastAsia="en-US"/>
        </w:rPr>
      </w:pPr>
      <w:r w:rsidRPr="00A529B7">
        <w:rPr>
          <w:noProof/>
          <w:szCs w:val="20"/>
        </w:rPr>
        <mc:AlternateContent>
          <mc:Choice Requires="wpg">
            <w:drawing>
              <wp:anchor distT="0" distB="0" distL="114300" distR="114300" simplePos="0" relativeHeight="251658287" behindDoc="0" locked="0" layoutInCell="1" allowOverlap="1" wp14:anchorId="00BBD5BE" wp14:editId="1F5C65D4">
                <wp:simplePos x="0" y="0"/>
                <wp:positionH relativeFrom="column">
                  <wp:posOffset>0</wp:posOffset>
                </wp:positionH>
                <wp:positionV relativeFrom="paragraph">
                  <wp:posOffset>17145</wp:posOffset>
                </wp:positionV>
                <wp:extent cx="3646170" cy="1181735"/>
                <wp:effectExtent l="0" t="0" r="11430" b="12065"/>
                <wp:wrapNone/>
                <wp:docPr id="66" name="Grouper 66"/>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3646170" cy="1181735"/>
                          <a:chOff x="1418" y="2315"/>
                          <a:chExt cx="5742" cy="1861"/>
                        </a:xfrm>
                      </wpg:grpSpPr>
                      <wps:wsp>
                        <wps:cNvPr id="67" name="AutoShape 44"/>
                        <wps:cNvSpPr>
                          <a:spLocks noChangeAspect="1" noChangeArrowheads="1" noTextEdit="1"/>
                        </wps:cNvSpPr>
                        <wps:spPr bwMode="auto">
                          <a:xfrm>
                            <a:off x="1418" y="2315"/>
                            <a:ext cx="5742" cy="18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68" name="Picture 45"/>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1418" y="2315"/>
                            <a:ext cx="5742" cy="12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0" name="Rectangle 47"/>
                        <wps:cNvSpPr>
                          <a:spLocks noChangeArrowheads="1"/>
                        </wps:cNvSpPr>
                        <wps:spPr bwMode="auto">
                          <a:xfrm>
                            <a:off x="3694" y="3540"/>
                            <a:ext cx="324" cy="1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0C274A" w14:textId="77777777" w:rsidR="000511BB" w:rsidRDefault="000511BB" w:rsidP="00057280">
                              <w:r>
                                <w:rPr>
                                  <w:rFonts w:ascii="Arial" w:hAnsi="Arial" w:cs="Arial"/>
                                  <w:i/>
                                  <w:iCs/>
                                  <w:color w:val="000000"/>
                                  <w:sz w:val="16"/>
                                  <w:szCs w:val="16"/>
                                  <w:lang w:val="en-US"/>
                                </w:rPr>
                                <w:t>Tête</w:t>
                              </w:r>
                            </w:p>
                          </w:txbxContent>
                        </wps:txbx>
                        <wps:bodyPr rot="0" vert="horz" wrap="none" lIns="0" tIns="0" rIns="0" bIns="0" anchor="t" anchorCtr="0" upright="1">
                          <a:spAutoFit/>
                        </wps:bodyPr>
                      </wps:wsp>
                      <wps:wsp>
                        <wps:cNvPr id="71" name="Rectangle 48"/>
                        <wps:cNvSpPr>
                          <a:spLocks noChangeArrowheads="1"/>
                        </wps:cNvSpPr>
                        <wps:spPr bwMode="auto">
                          <a:xfrm>
                            <a:off x="4071" y="3540"/>
                            <a:ext cx="182" cy="1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4C0ADD" w14:textId="77777777" w:rsidR="000511BB" w:rsidRDefault="000511BB" w:rsidP="00057280">
                              <w:proofErr w:type="gramStart"/>
                              <w:r>
                                <w:rPr>
                                  <w:rFonts w:ascii="Arial" w:hAnsi="Arial" w:cs="Arial"/>
                                  <w:i/>
                                  <w:iCs/>
                                  <w:color w:val="000000"/>
                                  <w:sz w:val="16"/>
                                  <w:szCs w:val="16"/>
                                  <w:lang w:val="en-US"/>
                                </w:rPr>
                                <w:t>de</w:t>
                              </w:r>
                              <w:proofErr w:type="gramEnd"/>
                              <w:r>
                                <w:rPr>
                                  <w:rFonts w:ascii="Arial" w:hAnsi="Arial" w:cs="Arial"/>
                                  <w:i/>
                                  <w:iCs/>
                                  <w:color w:val="000000"/>
                                  <w:sz w:val="16"/>
                                  <w:szCs w:val="16"/>
                                  <w:lang w:val="en-US"/>
                                </w:rPr>
                                <w:t xml:space="preserve"> </w:t>
                              </w:r>
                            </w:p>
                          </w:txbxContent>
                        </wps:txbx>
                        <wps:bodyPr rot="0" vert="horz" wrap="none" lIns="0" tIns="0" rIns="0" bIns="0" anchor="t" anchorCtr="0" upright="1">
                          <a:spAutoFit/>
                        </wps:bodyPr>
                      </wps:wsp>
                      <wps:wsp>
                        <wps:cNvPr id="72" name="Rectangle 49"/>
                        <wps:cNvSpPr>
                          <a:spLocks noChangeArrowheads="1"/>
                        </wps:cNvSpPr>
                        <wps:spPr bwMode="auto">
                          <a:xfrm>
                            <a:off x="4301" y="3540"/>
                            <a:ext cx="196" cy="1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4996FA" w14:textId="77777777" w:rsidR="000511BB" w:rsidRDefault="000511BB" w:rsidP="00057280">
                              <w:proofErr w:type="gramStart"/>
                              <w:r>
                                <w:rPr>
                                  <w:rFonts w:ascii="Arial" w:hAnsi="Arial" w:cs="Arial"/>
                                  <w:i/>
                                  <w:iCs/>
                                  <w:color w:val="000000"/>
                                  <w:sz w:val="16"/>
                                  <w:szCs w:val="16"/>
                                  <w:lang w:val="en-US"/>
                                </w:rPr>
                                <w:t>vis</w:t>
                              </w:r>
                              <w:proofErr w:type="gramEnd"/>
                            </w:p>
                          </w:txbxContent>
                        </wps:txbx>
                        <wps:bodyPr rot="0" vert="horz" wrap="none" lIns="0" tIns="0" rIns="0" bIns="0" anchor="t" anchorCtr="0" upright="1">
                          <a:spAutoFit/>
                        </wps:bodyPr>
                      </wps:wsp>
                      <wps:wsp>
                        <wps:cNvPr id="73" name="Rectangle 50"/>
                        <wps:cNvSpPr>
                          <a:spLocks noChangeArrowheads="1"/>
                        </wps:cNvSpPr>
                        <wps:spPr bwMode="auto">
                          <a:xfrm>
                            <a:off x="5907" y="3540"/>
                            <a:ext cx="223" cy="18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331D4BA" w14:textId="77777777" w:rsidR="000511BB" w:rsidRDefault="000511BB" w:rsidP="00057280">
                              <w:r>
                                <w:rPr>
                                  <w:rFonts w:ascii="Arial" w:hAnsi="Arial" w:cs="Arial"/>
                                  <w:i/>
                                  <w:iCs/>
                                  <w:color w:val="000000"/>
                                  <w:sz w:val="16"/>
                                  <w:szCs w:val="16"/>
                                  <w:lang w:val="en-US"/>
                                </w:rPr>
                                <w:t>Vis</w:t>
                              </w:r>
                            </w:p>
                          </w:txbxContent>
                        </wps:txbx>
                        <wps:bodyPr rot="0" vert="horz" wrap="none" lIns="0" tIns="0" rIns="0" bIns="0" anchor="t" anchorCtr="0" upright="1">
                          <a:spAutoFit/>
                        </wps:bodyPr>
                      </wps:wsp>
                      <wps:wsp>
                        <wps:cNvPr id="74" name="Rectangle 51"/>
                        <wps:cNvSpPr>
                          <a:spLocks noChangeArrowheads="1"/>
                        </wps:cNvSpPr>
                        <wps:spPr bwMode="auto">
                          <a:xfrm>
                            <a:off x="1598" y="3575"/>
                            <a:ext cx="725"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BAD098" w14:textId="77777777" w:rsidR="000511BB" w:rsidRDefault="000511BB" w:rsidP="00057280">
                              <w:r>
                                <w:rPr>
                                  <w:rFonts w:ascii="Arial" w:hAnsi="Arial" w:cs="Arial"/>
                                  <w:i/>
                                  <w:iCs/>
                                  <w:color w:val="000000"/>
                                  <w:sz w:val="16"/>
                                  <w:szCs w:val="16"/>
                                  <w:lang w:val="en-US"/>
                                </w:rPr>
                                <w:t>Entretoise</w:t>
                              </w:r>
                            </w:p>
                            <w:p w14:paraId="5EE115B5" w14:textId="77777777" w:rsidR="000511BB" w:rsidRDefault="000511BB" w:rsidP="00057280"/>
                          </w:txbxContent>
                        </wps:txbx>
                        <wps:bodyPr rot="0" vert="horz" wrap="square" lIns="0" tIns="0" rIns="0" bIns="0" anchor="t" anchorCtr="0" upright="1">
                          <a:noAutofit/>
                        </wps:bodyPr>
                      </wps:wsp>
                      <wps:wsp>
                        <wps:cNvPr id="75" name="Rectangle 52"/>
                        <wps:cNvSpPr>
                          <a:spLocks noChangeArrowheads="1"/>
                        </wps:cNvSpPr>
                        <wps:spPr bwMode="auto">
                          <a:xfrm>
                            <a:off x="3694" y="3540"/>
                            <a:ext cx="324" cy="1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0AAD52" w14:textId="77777777" w:rsidR="000511BB" w:rsidRDefault="000511BB" w:rsidP="00057280">
                              <w:r>
                                <w:rPr>
                                  <w:rFonts w:ascii="Arial" w:hAnsi="Arial" w:cs="Arial"/>
                                  <w:i/>
                                  <w:iCs/>
                                  <w:color w:val="000000"/>
                                  <w:sz w:val="16"/>
                                  <w:szCs w:val="16"/>
                                  <w:lang w:val="en-US"/>
                                </w:rPr>
                                <w:t>Tête</w:t>
                              </w:r>
                            </w:p>
                          </w:txbxContent>
                        </wps:txbx>
                        <wps:bodyPr rot="0" vert="horz" wrap="none" lIns="0" tIns="0" rIns="0" bIns="0" anchor="t" anchorCtr="0" upright="1">
                          <a:spAutoFit/>
                        </wps:bodyPr>
                      </wps:wsp>
                      <wps:wsp>
                        <wps:cNvPr id="76" name="Rectangle 53"/>
                        <wps:cNvSpPr>
                          <a:spLocks noChangeArrowheads="1"/>
                        </wps:cNvSpPr>
                        <wps:spPr bwMode="auto">
                          <a:xfrm>
                            <a:off x="4071" y="3540"/>
                            <a:ext cx="182" cy="1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A82A8F" w14:textId="77777777" w:rsidR="000511BB" w:rsidRDefault="000511BB" w:rsidP="00057280">
                              <w:proofErr w:type="gramStart"/>
                              <w:r>
                                <w:rPr>
                                  <w:rFonts w:ascii="Arial" w:hAnsi="Arial" w:cs="Arial"/>
                                  <w:i/>
                                  <w:iCs/>
                                  <w:color w:val="000000"/>
                                  <w:sz w:val="16"/>
                                  <w:szCs w:val="16"/>
                                  <w:lang w:val="en-US"/>
                                </w:rPr>
                                <w:t>de</w:t>
                              </w:r>
                              <w:proofErr w:type="gramEnd"/>
                              <w:r>
                                <w:rPr>
                                  <w:rFonts w:ascii="Arial" w:hAnsi="Arial" w:cs="Arial"/>
                                  <w:i/>
                                  <w:iCs/>
                                  <w:color w:val="000000"/>
                                  <w:sz w:val="16"/>
                                  <w:szCs w:val="16"/>
                                  <w:lang w:val="en-US"/>
                                </w:rPr>
                                <w:t xml:space="preserve"> </w:t>
                              </w:r>
                            </w:p>
                          </w:txbxContent>
                        </wps:txbx>
                        <wps:bodyPr rot="0" vert="horz" wrap="none" lIns="0" tIns="0" rIns="0" bIns="0" anchor="t" anchorCtr="0" upright="1">
                          <a:spAutoFit/>
                        </wps:bodyPr>
                      </wps:wsp>
                      <wps:wsp>
                        <wps:cNvPr id="77" name="Rectangle 54"/>
                        <wps:cNvSpPr>
                          <a:spLocks noChangeArrowheads="1"/>
                        </wps:cNvSpPr>
                        <wps:spPr bwMode="auto">
                          <a:xfrm>
                            <a:off x="4301" y="3540"/>
                            <a:ext cx="196" cy="1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758EE3" w14:textId="77777777" w:rsidR="000511BB" w:rsidRDefault="000511BB" w:rsidP="00057280">
                              <w:proofErr w:type="gramStart"/>
                              <w:r>
                                <w:rPr>
                                  <w:rFonts w:ascii="Arial" w:hAnsi="Arial" w:cs="Arial"/>
                                  <w:i/>
                                  <w:iCs/>
                                  <w:color w:val="000000"/>
                                  <w:sz w:val="16"/>
                                  <w:szCs w:val="16"/>
                                  <w:lang w:val="en-US"/>
                                </w:rPr>
                                <w:t>vis</w:t>
                              </w:r>
                              <w:proofErr w:type="gramEnd"/>
                            </w:p>
                          </w:txbxContent>
                        </wps:txbx>
                        <wps:bodyPr rot="0" vert="horz" wrap="none" lIns="0" tIns="0" rIns="0" bIns="0" anchor="t" anchorCtr="0" upright="1">
                          <a:spAutoFit/>
                        </wps:bodyPr>
                      </wps:wsp>
                      <wps:wsp>
                        <wps:cNvPr id="78" name="Rectangle 55"/>
                        <wps:cNvSpPr>
                          <a:spLocks noChangeArrowheads="1"/>
                        </wps:cNvSpPr>
                        <wps:spPr bwMode="auto">
                          <a:xfrm>
                            <a:off x="5907" y="3540"/>
                            <a:ext cx="81" cy="1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F75343" w14:textId="53F36A59" w:rsidR="000511BB" w:rsidRDefault="000511BB" w:rsidP="00057280">
                              <w:proofErr w:type="gramStart"/>
                              <w:r>
                                <w:rPr>
                                  <w:rFonts w:ascii="Arial" w:hAnsi="Arial" w:cs="Arial"/>
                                  <w:i/>
                                  <w:iCs/>
                                  <w:color w:val="000000"/>
                                  <w:sz w:val="16"/>
                                  <w:szCs w:val="16"/>
                                  <w:lang w:val="en-US"/>
                                </w:rPr>
                                <w:t>s</w:t>
                              </w:r>
                              <w:proofErr w:type="gramEnd"/>
                            </w:p>
                          </w:txbxContent>
                        </wps:txbx>
                        <wps:bodyPr rot="0" vert="horz" wrap="none" lIns="0" tIns="0" rIns="0" bIns="0" anchor="t" anchorCtr="0" upright="1">
                          <a:spAutoFit/>
                        </wps:bodyPr>
                      </wps:wsp>
                    </wpg:wgp>
                  </a:graphicData>
                </a:graphic>
                <wp14:sizeRelH relativeFrom="page">
                  <wp14:pctWidth>0</wp14:pctWidth>
                </wp14:sizeRelH>
                <wp14:sizeRelV relativeFrom="page">
                  <wp14:pctHeight>0</wp14:pctHeight>
                </wp14:sizeRelV>
              </wp:anchor>
            </w:drawing>
          </mc:Choice>
          <mc:Fallback>
            <w:pict>
              <v:group id="Grouper 66" o:spid="_x0000_s1031" style="position:absolute;left:0;text-align:left;margin-left:0;margin-top:1.35pt;width:287.1pt;height:93.05pt;z-index:251658287" coordorigin="1418,2315" coordsize="5742,1861"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">
                <o:lock v:ext="edit" aspectratio="t"/>
                <v:rect id="AutoShape 44" o:spid="_x0000_s1032" style="position:absolute;left:1418;top:2315;width:5742;height:1861;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Y4xwWxQAA&#10;ANsAAAAPAAAAZHJzL2Rvd25yZXYueG1sRI9Ba8JAFITvBf/D8oReSt3Yg5U0GxFBGoogTaznR/Y1&#10;CWbfxuw2Sf+9Wyh4HGbmGybZTKYVA/WusaxguYhAEJdWN1wpOBX75zUI55E1tpZJwS852KSzhwRj&#10;bUf+pCH3lQgQdjEqqL3vYildWZNBt7AdcfC+bW/QB9lXUvc4Brhp5UsUraTBhsNCjR3taiov+Y9R&#10;MJbH4Vwc3uXx6ZxZvmbXXf71odTjfNq+gfA0+Xv4v51pBatX+PsSfoBMb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NjjHBbFAAAA2wAAAA8AAAAAAAAAAAAAAAAAlwIAAGRycy9k&#10;b3ducmV2LnhtbFBLBQYAAAAABAAEAPUAAACJAwAAAAA=&#10;" filled="f" stroked="f">
                  <o:lock v:ext="edit" aspectratio="t" text="t"/>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5" o:spid="_x0000_s1033" type="#_x0000_t75" style="position:absolute;left:1418;top:2315;width:5742;height:1226;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">
                  <v:imagedata r:id="rId53" o:title=""/>
                </v:shape>
                <v:rect id="Rectangle 47" o:spid="_x0000_s1034" style="position:absolute;left:3694;top:3540;width:324;height:184;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J6fMivwAA&#10;ANsAAAAPAAAAZHJzL2Rvd25yZXYueG1sRE9LasMwEN0XcgcxhexquV6kwbESSiGQhm7i5ACDNf4Q&#10;aWQkxXZvHy0KXT7evzos1oiJfBgcK3jPchDEjdMDdwpu1+PbFkSIyBqNY1LwSwEO+9VLhaV2M19o&#10;qmMnUgiHEhX0MY6llKHpyWLI3EicuNZ5izFB30ntcU7h1sgizzfS4sCpoceRvnpq7vXDKpDX+jhv&#10;a+Nzdy7aH/N9urTklFq/Lp87EJGW+C/+c5+0go+0Pn1JP0DunwA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Inp8yK/AAAA2wAAAA8AAAAAAAAAAAAAAAAAlwIAAGRycy9kb3ducmV2&#10;LnhtbFBLBQYAAAAABAAEAPUAAACDAwAAAAA=&#10;" filled="f" stroked="f">
                  <v:textbox style="mso-fit-shape-to-text:t" inset="0,0,0,0">
                    <w:txbxContent>
                      <w:p w14:paraId="3C0C274A" w14:textId="77777777" w:rsidR="00F011AB" w:rsidRDefault="00F011AB" w:rsidP="00057280">
                        <w:r>
                          <w:rPr>
                            <w:rFonts w:ascii="Arial" w:hAnsi="Arial" w:cs="Arial"/>
                            <w:i/>
                            <w:iCs/>
                            <w:color w:val="000000"/>
                            <w:sz w:val="16"/>
                            <w:szCs w:val="16"/>
                            <w:lang w:val="en-US"/>
                          </w:rPr>
                          <w:t>Tête</w:t>
                        </w:r>
                      </w:p>
                    </w:txbxContent>
                  </v:textbox>
                </v:rect>
                <v:rect id="Rectangle 48" o:spid="_x0000_s1035" style="position:absolute;left:4071;top:3540;width:182;height:184;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mpVa5wAAA&#10;ANsAAAAPAAAAZHJzL2Rvd25yZXYueG1sRI/NigIxEITvC75DaMHbmtHDroxGEUHQxYujD9BMen4w&#10;6QxJdMa3N4Kwx6KqvqJWm8Ea8SAfWscKZtMMBHHpdMu1gutl/70AESKyRuOYFDwpwGY9+lphrl3P&#10;Z3oUsRYJwiFHBU2MXS5lKBuyGKauI05e5bzFmKSvpfbYJ7g1cp5lP9Jiy2mhwY52DZW34m4VyEux&#10;7xeF8Zn7m1cnczycK3JKTcbDdgki0hD/w5/2QSv4ncH7S/oBcv0C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DmpVa5wAAAANsAAAAPAAAAAAAAAAAAAAAAAJcCAABkcnMvZG93bnJl&#10;di54bWxQSwUGAAAAAAQABAD1AAAAhAMAAAAA&#10;" filled="f" stroked="f">
                  <v:textbox style="mso-fit-shape-to-text:t" inset="0,0,0,0">
                    <w:txbxContent>
                      <w:p w14:paraId="394C0ADD" w14:textId="77777777" w:rsidR="00F011AB" w:rsidRDefault="00F011AB" w:rsidP="00057280">
                        <w:proofErr w:type="gramStart"/>
                        <w:r>
                          <w:rPr>
                            <w:rFonts w:ascii="Arial" w:hAnsi="Arial" w:cs="Arial"/>
                            <w:i/>
                            <w:iCs/>
                            <w:color w:val="000000"/>
                            <w:sz w:val="16"/>
                            <w:szCs w:val="16"/>
                            <w:lang w:val="en-US"/>
                          </w:rPr>
                          <w:t>de</w:t>
                        </w:r>
                        <w:proofErr w:type="gramEnd"/>
                        <w:r>
                          <w:rPr>
                            <w:rFonts w:ascii="Arial" w:hAnsi="Arial" w:cs="Arial"/>
                            <w:i/>
                            <w:iCs/>
                            <w:color w:val="000000"/>
                            <w:sz w:val="16"/>
                            <w:szCs w:val="16"/>
                            <w:lang w:val="en-US"/>
                          </w:rPr>
                          <w:t xml:space="preserve"> </w:t>
                        </w:r>
                      </w:p>
                    </w:txbxContent>
                  </v:textbox>
                </v:rect>
                <v:rect id="Rectangle 49" o:spid="_x0000_s1036" style="position:absolute;left:4301;top:3540;width:196;height:184;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Wd8jOwQAA&#10;ANsAAAAPAAAAZHJzL2Rvd25yZXYueG1sRI/NigIxEITvgu8QWtibZpyDK7NGEUFQ2YvjPkAz6fnB&#10;pDMk0Rnf3iws7LGoqq+ozW60RjzJh86xguUiA0FcOd1xo+DndpyvQYSIrNE4JgUvCrDbTicbLLQb&#10;+ErPMjYiQTgUqKCNsS+kDFVLFsPC9cTJq523GJP0jdQehwS3RuZZtpIWO04LLfZ0aKm6lw+rQN7K&#10;47Aujc/cJa+/zfl0rckp9TEb918gIo3xP/zXPmkFnzn8fkk/QG7f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FnfIzsEAAADbAAAADwAAAAAAAAAAAAAAAACXAgAAZHJzL2Rvd25y&#10;ZXYueG1sUEsFBgAAAAAEAAQA9QAAAIUDAAAAAA==&#10;" filled="f" stroked="f">
                  <v:textbox style="mso-fit-shape-to-text:t" inset="0,0,0,0">
                    <w:txbxContent>
                      <w:p w14:paraId="354996FA" w14:textId="77777777" w:rsidR="00F011AB" w:rsidRDefault="00F011AB" w:rsidP="00057280">
                        <w:proofErr w:type="gramStart"/>
                        <w:r>
                          <w:rPr>
                            <w:rFonts w:ascii="Arial" w:hAnsi="Arial" w:cs="Arial"/>
                            <w:i/>
                            <w:iCs/>
                            <w:color w:val="000000"/>
                            <w:sz w:val="16"/>
                            <w:szCs w:val="16"/>
                            <w:lang w:val="en-US"/>
                          </w:rPr>
                          <w:t>vis</w:t>
                        </w:r>
                        <w:proofErr w:type="gramEnd"/>
                      </w:p>
                    </w:txbxContent>
                  </v:textbox>
                </v:rect>
                <v:rect id="Rectangle 50" o:spid="_x0000_s1037" style="position:absolute;left:5907;top:3540;width:223;height:184;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U+nWTwwAA&#10;ANsAAAAPAAAAZHJzL2Rvd25yZXYueG1sRI9Bi8IwFITvwv6H8Bb2ImuqgrtWo4ggKKhoVzw/m2db&#10;bF5Kk9X6740geBxm5htmPG1MKa5Uu8Kygm4nAkGcWl1wpuDwt/j+BeE8ssbSMim4k4Pp5KM1xljb&#10;G+/pmvhMBAi7GBXk3lexlC7NyaDr2Io4eGdbG/RB1pnUNd4C3JSyF0UDabDgsJBjRfOc0kvybxSs&#10;muFmO0/aazzb3m6f0fG0MUelvj6b2QiEp8a/w6/2Uiv46cPzS/gBcvI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U+nWTwwAAANsAAAAPAAAAAAAAAAAAAAAAAJcCAABkcnMvZG93&#10;bnJldi54bWxQSwUGAAAAAAQABAD1AAAAhwMAAAAA&#10;" stroked="f">
                  <v:textbox style="mso-fit-shape-to-text:t" inset="0,0,0,0">
                    <w:txbxContent>
                      <w:p w14:paraId="6331D4BA" w14:textId="77777777" w:rsidR="00F011AB" w:rsidRDefault="00F011AB" w:rsidP="00057280">
                        <w:r>
                          <w:rPr>
                            <w:rFonts w:ascii="Arial" w:hAnsi="Arial" w:cs="Arial"/>
                            <w:i/>
                            <w:iCs/>
                            <w:color w:val="000000"/>
                            <w:sz w:val="16"/>
                            <w:szCs w:val="16"/>
                            <w:lang w:val="en-US"/>
                          </w:rPr>
                          <w:t>Vis</w:t>
                        </w:r>
                      </w:p>
                    </w:txbxContent>
                  </v:textbox>
                </v:rect>
                <v:rect id="Rectangle 51" o:spid="_x0000_s1038" style="position:absolute;left:1598;top:3575;width:725;height:3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QGBGjwwAA&#10;ANsAAAAPAAAAZHJzL2Rvd25yZXYueG1sRI9Li8JAEITvgv9haMGbTlzER3QU2Qd69AXqrcm0STDT&#10;EzKzJu6v3xEEj0VVfUXNl40pxJ0ql1tWMOhHIIgTq3NOFRwPP70JCOeRNRaWScGDHCwX7dYcY21r&#10;3tF971MRIOxiVJB5X8ZSuiQjg65vS+LgXW1l0AdZpVJXWAe4KeRHFI2kwZzDQoYlfWaU3Pa/RsF6&#10;Uq7OG/tXp8X3ZX3anqZfh6lXqttpVjMQnhr/Dr/aG61gPITnl/AD5OIf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QGBGjwwAAANsAAAAPAAAAAAAAAAAAAAAAAJcCAABkcnMvZG93&#10;bnJldi54bWxQSwUGAAAAAAQABAD1AAAAhwMAAAAA&#10;" filled="f" stroked="f">
                  <v:textbox inset="0,0,0,0">
                    <w:txbxContent>
                      <w:p w14:paraId="09BAD098" w14:textId="77777777" w:rsidR="00F011AB" w:rsidRDefault="00F011AB" w:rsidP="00057280">
                        <w:r>
                          <w:rPr>
                            <w:rFonts w:ascii="Arial" w:hAnsi="Arial" w:cs="Arial"/>
                            <w:i/>
                            <w:iCs/>
                            <w:color w:val="000000"/>
                            <w:sz w:val="16"/>
                            <w:szCs w:val="16"/>
                            <w:lang w:val="en-US"/>
                          </w:rPr>
                          <w:t>Entretoise</w:t>
                        </w:r>
                      </w:p>
                      <w:p w14:paraId="5EE115B5" w14:textId="77777777" w:rsidR="00F011AB" w:rsidRDefault="00F011AB" w:rsidP="00057280"/>
                    </w:txbxContent>
                  </v:textbox>
                </v:rect>
                <v:rect id="Rectangle 52" o:spid="_x0000_s1039" style="position:absolute;left:3694;top:3540;width:324;height:184;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ZnlC6wQAA&#10;ANsAAAAPAAAAZHJzL2Rvd25yZXYueG1sRI/NigIxEITvgu8QWvCmGQV3ZTSKCIIue3H0AZpJzw8m&#10;nSGJzvj2m4WFPRZV9RW13Q/WiBf50DpWsJhnIIhLp1uuFdxvp9kaRIjIGo1jUvCmAPvdeLTFXLue&#10;r/QqYi0ShEOOCpoYu1zKUDZkMcxdR5y8ynmLMUlfS+2xT3Br5DLLPqTFltNCgx0dGyofxdMqkLfi&#10;1K8L4zP3tay+zeV8rcgpNZ0Mhw2ISEP8D/+1z1rB5wp+v6QfIHc/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mZ5QusEAAADbAAAADwAAAAAAAAAAAAAAAACXAgAAZHJzL2Rvd25y&#10;ZXYueG1sUEsFBgAAAAAEAAQA9QAAAIUDAAAAAA==&#10;" filled="f" stroked="f">
                  <v:textbox style="mso-fit-shape-to-text:t" inset="0,0,0,0">
                    <w:txbxContent>
                      <w:p w14:paraId="7C0AAD52" w14:textId="77777777" w:rsidR="00F011AB" w:rsidRDefault="00F011AB" w:rsidP="00057280">
                        <w:r>
                          <w:rPr>
                            <w:rFonts w:ascii="Arial" w:hAnsi="Arial" w:cs="Arial"/>
                            <w:i/>
                            <w:iCs/>
                            <w:color w:val="000000"/>
                            <w:sz w:val="16"/>
                            <w:szCs w:val="16"/>
                            <w:lang w:val="en-US"/>
                          </w:rPr>
                          <w:t>Tête</w:t>
                        </w:r>
                      </w:p>
                    </w:txbxContent>
                  </v:textbox>
                </v:rect>
                <v:rect id="Rectangle 53" o:spid="_x0000_s1040" style="position:absolute;left:4071;top:3540;width:182;height:184;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pTM7NwAAA&#10;ANsAAAAPAAAAZHJzL2Rvd25yZXYueG1sRI/NigIxEITvC75DaMHbmtGDK6NRRBBc8eLoAzSTnh9M&#10;OkMSndm3N4Kwx6KqvqLW28Ea8SQfWscKZtMMBHHpdMu1gtv18L0EESKyRuOYFPxRgO1m9LXGXLue&#10;L/QsYi0ShEOOCpoYu1zKUDZkMUxdR5y8ynmLMUlfS+2xT3Br5DzLFtJiy2mhwY72DZX34mEVyGtx&#10;6JeF8Zk7zauz+T1eKnJKTcbDbgUi0hD/w5/2USv4WcD7S/oBcvMC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BpTM7NwAAAANsAAAAPAAAAAAAAAAAAAAAAAJcCAABkcnMvZG93bnJl&#10;di54bWxQSwUGAAAAAAQABAD1AAAAhAMAAAAA&#10;" filled="f" stroked="f">
                  <v:textbox style="mso-fit-shape-to-text:t" inset="0,0,0,0">
                    <w:txbxContent>
                      <w:p w14:paraId="40A82A8F" w14:textId="77777777" w:rsidR="00F011AB" w:rsidRDefault="00F011AB" w:rsidP="00057280">
                        <w:proofErr w:type="gramStart"/>
                        <w:r>
                          <w:rPr>
                            <w:rFonts w:ascii="Arial" w:hAnsi="Arial" w:cs="Arial"/>
                            <w:i/>
                            <w:iCs/>
                            <w:color w:val="000000"/>
                            <w:sz w:val="16"/>
                            <w:szCs w:val="16"/>
                            <w:lang w:val="en-US"/>
                          </w:rPr>
                          <w:t>de</w:t>
                        </w:r>
                        <w:proofErr w:type="gramEnd"/>
                        <w:r>
                          <w:rPr>
                            <w:rFonts w:ascii="Arial" w:hAnsi="Arial" w:cs="Arial"/>
                            <w:i/>
                            <w:iCs/>
                            <w:color w:val="000000"/>
                            <w:sz w:val="16"/>
                            <w:szCs w:val="16"/>
                            <w:lang w:val="en-US"/>
                          </w:rPr>
                          <w:t xml:space="preserve"> </w:t>
                        </w:r>
                      </w:p>
                    </w:txbxContent>
                  </v:textbox>
                </v:rect>
                <v:rect id="Rectangle 54" o:spid="_x0000_s1041" style="position:absolute;left:4301;top:3540;width:196;height:184;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GAGtWwAAA&#10;ANsAAAAPAAAAZHJzL2Rvd25yZXYueG1sRI/NigIxEITvC75DaMHbmtGDymgUEQRXvDj6AM2k5weT&#10;zpBEZ/btjbCwx6KqvqI2u8Ea8SIfWscKZtMMBHHpdMu1gvvt+L0CESKyRuOYFPxSgN129LXBXLue&#10;r/QqYi0ShEOOCpoYu1zKUDZkMUxdR5y8ynmLMUlfS+2xT3Br5DzLFtJiy2mhwY4ODZWP4mkVyFtx&#10;7FeF8Zk7z6uL+TldK3JKTcbDfg0i0hD/w3/tk1awXMLnS/oBcvsG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AGAGtWwAAAANsAAAAPAAAAAAAAAAAAAAAAAJcCAABkcnMvZG93bnJl&#10;di54bWxQSwUGAAAAAAQABAD1AAAAhAMAAAAA&#10;" filled="f" stroked="f">
                  <v:textbox style="mso-fit-shape-to-text:t" inset="0,0,0,0">
                    <w:txbxContent>
                      <w:p w14:paraId="0E758EE3" w14:textId="77777777" w:rsidR="00F011AB" w:rsidRDefault="00F011AB" w:rsidP="00057280">
                        <w:proofErr w:type="gramStart"/>
                        <w:r>
                          <w:rPr>
                            <w:rFonts w:ascii="Arial" w:hAnsi="Arial" w:cs="Arial"/>
                            <w:i/>
                            <w:iCs/>
                            <w:color w:val="000000"/>
                            <w:sz w:val="16"/>
                            <w:szCs w:val="16"/>
                            <w:lang w:val="en-US"/>
                          </w:rPr>
                          <w:t>vis</w:t>
                        </w:r>
                        <w:proofErr w:type="gramEnd"/>
                      </w:p>
                    </w:txbxContent>
                  </v:textbox>
                </v:rect>
                <v:rect id="Rectangle 55" o:spid="_x0000_s1042" style="position:absolute;left:5907;top:3540;width:81;height:184;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3n/8kvwAA&#10;ANsAAAAPAAAAZHJzL2Rvd25yZXYueG1sRE9LasMwEN0XcgcxhexquV6kwbESSiGQhm7i5ACDNf4Q&#10;aWQkxXZvHy0KXT7evzos1oiJfBgcK3jPchDEjdMDdwpu1+PbFkSIyBqNY1LwSwEO+9VLhaV2M19o&#10;qmMnUgiHEhX0MY6llKHpyWLI3EicuNZ5izFB30ntcU7h1sgizzfS4sCpoceRvnpq7vXDKpDX+jhv&#10;a+Nzdy7aH/N9urTklFq/Lp87EJGW+C/+c5+0go80Nn1JP0DunwA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Hef/yS/AAAA2wAAAA8AAAAAAAAAAAAAAAAAlwIAAGRycy9kb3ducmV2&#10;LnhtbFBLBQYAAAAABAAEAPUAAACDAwAAAAA=&#10;" filled="f" stroked="f">
                  <v:textbox style="mso-fit-shape-to-text:t" inset="0,0,0,0">
                    <w:txbxContent>
                      <w:p w14:paraId="4EF75343" w14:textId="53F36A59" w:rsidR="00F011AB" w:rsidRDefault="00F011AB" w:rsidP="00057280">
                        <w:proofErr w:type="gramStart"/>
                        <w:r>
                          <w:rPr>
                            <w:rFonts w:ascii="Arial" w:hAnsi="Arial" w:cs="Arial"/>
                            <w:i/>
                            <w:iCs/>
                            <w:color w:val="000000"/>
                            <w:sz w:val="16"/>
                            <w:szCs w:val="16"/>
                            <w:lang w:val="en-US"/>
                          </w:rPr>
                          <w:t>s</w:t>
                        </w:r>
                        <w:proofErr w:type="gramEnd"/>
                      </w:p>
                    </w:txbxContent>
                  </v:textbox>
                </v:rect>
              </v:group>
            </w:pict>
          </mc:Fallback>
        </mc:AlternateContent>
      </w:r>
      <w:r w:rsidR="006315B3" w:rsidRPr="00A529B7">
        <w:rPr>
          <w:noProof/>
          <w:szCs w:val="20"/>
        </w:rPr>
        <w:drawing>
          <wp:anchor distT="0" distB="0" distL="114300" distR="114300" simplePos="0" relativeHeight="251658275" behindDoc="0" locked="0" layoutInCell="1" allowOverlap="1" wp14:anchorId="263E5D29" wp14:editId="479C59B0">
            <wp:simplePos x="0" y="0"/>
            <wp:positionH relativeFrom="column">
              <wp:posOffset>4000500</wp:posOffset>
            </wp:positionH>
            <wp:positionV relativeFrom="paragraph">
              <wp:posOffset>131445</wp:posOffset>
            </wp:positionV>
            <wp:extent cx="1483360" cy="415290"/>
            <wp:effectExtent l="0" t="0" r="0" b="0"/>
            <wp:wrapNone/>
            <wp:docPr id="64" name="Imag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483360" cy="4152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20FDA67" w14:textId="77777777" w:rsidR="00877039" w:rsidRDefault="00877039" w:rsidP="00057280">
      <w:pPr>
        <w:rPr>
          <w:rFonts w:cs="Arial"/>
          <w:noProof/>
          <w:szCs w:val="20"/>
          <w:lang w:eastAsia="en-US"/>
        </w:rPr>
      </w:pPr>
    </w:p>
    <w:p w14:paraId="253A6F6C" w14:textId="77777777" w:rsidR="00877039" w:rsidRDefault="00877039" w:rsidP="00057280">
      <w:pPr>
        <w:rPr>
          <w:rFonts w:cs="Arial"/>
          <w:noProof/>
          <w:szCs w:val="20"/>
          <w:lang w:eastAsia="en-US"/>
        </w:rPr>
      </w:pPr>
    </w:p>
    <w:p w14:paraId="4DD13915" w14:textId="1C0906AD" w:rsidR="00877039" w:rsidRDefault="00220302" w:rsidP="00057280">
      <w:pPr>
        <w:rPr>
          <w:rFonts w:cs="Arial"/>
          <w:noProof/>
          <w:szCs w:val="20"/>
          <w:lang w:eastAsia="en-US"/>
        </w:rPr>
      </w:pPr>
      <w:r w:rsidRPr="00325B85">
        <w:rPr>
          <w:rFonts w:cs="Arial"/>
          <w:noProof/>
          <w:szCs w:val="20"/>
        </w:rPr>
        <mc:AlternateContent>
          <mc:Choice Requires="wps">
            <w:drawing>
              <wp:anchor distT="0" distB="0" distL="114300" distR="114300" simplePos="0" relativeHeight="251658286" behindDoc="0" locked="0" layoutInCell="1" allowOverlap="1" wp14:anchorId="05583E4E" wp14:editId="2151D871">
                <wp:simplePos x="0" y="0"/>
                <wp:positionH relativeFrom="column">
                  <wp:posOffset>2400300</wp:posOffset>
                </wp:positionH>
                <wp:positionV relativeFrom="paragraph">
                  <wp:posOffset>123190</wp:posOffset>
                </wp:positionV>
                <wp:extent cx="1257300" cy="228600"/>
                <wp:effectExtent l="0" t="0" r="12700" b="0"/>
                <wp:wrapSquare wrapText="bothSides"/>
                <wp:docPr id="998831553" name="Zone de texte 998831553"/>
                <wp:cNvGraphicFramePr/>
                <a:graphic xmlns:a="http://schemas.openxmlformats.org/drawingml/2006/main">
                  <a:graphicData uri="http://schemas.microsoft.com/office/word/2010/wordprocessingShape">
                    <wps:wsp>
                      <wps:cNvSpPr txBox="1"/>
                      <wps:spPr>
                        <a:xfrm>
                          <a:off x="0" y="0"/>
                          <a:ext cx="1257300" cy="228600"/>
                        </a:xfrm>
                        <a:prstGeom prst="rect">
                          <a:avLst/>
                        </a:prstGeom>
                        <a:solidFill>
                          <a:schemeClr val="bg1"/>
                        </a:solid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D396FA6" w14:textId="071D5FEF" w:rsidR="000511BB" w:rsidRPr="00220302" w:rsidRDefault="000511BB" w:rsidP="00325B85">
                            <w:pPr>
                              <w:jc w:val="center"/>
                              <w:rPr>
                                <w:rFonts w:ascii="Arial" w:hAnsi="Arial" w:cs="Arial"/>
                                <w:b/>
                                <w:i/>
                                <w:sz w:val="16"/>
                                <w:szCs w:val="16"/>
                              </w:rPr>
                            </w:pPr>
                            <w:r w:rsidRPr="00220302">
                              <w:rPr>
                                <w:rFonts w:ascii="Arial" w:hAnsi="Arial" w:cs="Arial"/>
                                <w:b/>
                                <w:i/>
                                <w:noProof/>
                                <w:sz w:val="16"/>
                                <w:szCs w:val="16"/>
                                <w:lang w:eastAsia="en-US"/>
                              </w:rPr>
                              <w:t>Corps de vis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998831553" o:spid="_x0000_s1043" type="#_x0000_t202" style="position:absolute;left:0;text-align:left;margin-left:189pt;margin-top:9.7pt;width:99pt;height:18pt;z-index:25165828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" fillcolor="white [3212]" stroked="f">
                <v:textbox>
                  <w:txbxContent>
                    <w:p w14:paraId="6D396FA6" w14:textId="071D5FEF" w:rsidR="00F011AB" w:rsidRPr="00220302" w:rsidRDefault="00F011AB" w:rsidP="00325B85">
                      <w:pPr>
                        <w:jc w:val="center"/>
                        <w:rPr>
                          <w:rFonts w:ascii="Arial" w:hAnsi="Arial" w:cs="Arial"/>
                          <w:b/>
                          <w:i/>
                          <w:sz w:val="16"/>
                          <w:szCs w:val="16"/>
                        </w:rPr>
                      </w:pPr>
                      <w:r w:rsidRPr="00220302">
                        <w:rPr>
                          <w:rFonts w:ascii="Arial" w:hAnsi="Arial" w:cs="Arial"/>
                          <w:b/>
                          <w:i/>
                          <w:noProof/>
                          <w:sz w:val="16"/>
                          <w:szCs w:val="16"/>
                          <w:lang w:eastAsia="en-US"/>
                        </w:rPr>
                        <w:t>Corps de vis</w:t>
                      </w:r>
                    </w:p>
                  </w:txbxContent>
                </v:textbox>
                <w10:wrap type="square"/>
              </v:shape>
            </w:pict>
          </mc:Fallback>
        </mc:AlternateContent>
      </w:r>
      <w:r w:rsidRPr="00325B85">
        <w:rPr>
          <w:rFonts w:cs="Arial"/>
          <w:noProof/>
          <w:szCs w:val="20"/>
        </w:rPr>
        <mc:AlternateContent>
          <mc:Choice Requires="wps">
            <w:drawing>
              <wp:anchor distT="0" distB="0" distL="114300" distR="114300" simplePos="0" relativeHeight="251658285" behindDoc="0" locked="0" layoutInCell="1" allowOverlap="1" wp14:anchorId="356802C7" wp14:editId="487F3FF9">
                <wp:simplePos x="0" y="0"/>
                <wp:positionH relativeFrom="column">
                  <wp:posOffset>457200</wp:posOffset>
                </wp:positionH>
                <wp:positionV relativeFrom="paragraph">
                  <wp:posOffset>123190</wp:posOffset>
                </wp:positionV>
                <wp:extent cx="1028700" cy="457200"/>
                <wp:effectExtent l="0" t="0" r="0" b="0"/>
                <wp:wrapSquare wrapText="bothSides"/>
                <wp:docPr id="998831559" name="Zone de texte 998831559"/>
                <wp:cNvGraphicFramePr/>
                <a:graphic xmlns:a="http://schemas.openxmlformats.org/drawingml/2006/main">
                  <a:graphicData uri="http://schemas.microsoft.com/office/word/2010/wordprocessingShape">
                    <wps:wsp>
                      <wps:cNvSpPr txBox="1"/>
                      <wps:spPr>
                        <a:xfrm>
                          <a:off x="0" y="0"/>
                          <a:ext cx="1028700" cy="457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4C60427" w14:textId="77777777" w:rsidR="000511BB" w:rsidRPr="00220302" w:rsidRDefault="000511BB" w:rsidP="00506BE1">
                            <w:pPr>
                              <w:jc w:val="center"/>
                              <w:rPr>
                                <w:rFonts w:ascii="Arial" w:hAnsi="Arial" w:cs="Arial"/>
                                <w:b/>
                                <w:i/>
                                <w:noProof/>
                                <w:sz w:val="8"/>
                                <w:szCs w:val="8"/>
                                <w:lang w:eastAsia="en-US"/>
                              </w:rPr>
                            </w:pPr>
                          </w:p>
                          <w:p w14:paraId="7EA0403D" w14:textId="73F97B27" w:rsidR="000511BB" w:rsidRPr="00220302" w:rsidRDefault="000511BB" w:rsidP="00506BE1">
                            <w:pPr>
                              <w:jc w:val="center"/>
                              <w:rPr>
                                <w:rFonts w:ascii="Arial" w:hAnsi="Arial" w:cs="Arial"/>
                                <w:b/>
                                <w:i/>
                                <w:sz w:val="16"/>
                                <w:szCs w:val="16"/>
                              </w:rPr>
                            </w:pPr>
                            <w:r w:rsidRPr="00220302">
                              <w:rPr>
                                <w:rFonts w:ascii="Arial" w:hAnsi="Arial" w:cs="Arial"/>
                                <w:b/>
                                <w:i/>
                                <w:noProof/>
                                <w:sz w:val="16"/>
                                <w:szCs w:val="16"/>
                                <w:lang w:eastAsia="en-US"/>
                              </w:rPr>
                              <w:t>Ecrou de verrouillage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998831559" o:spid="_x0000_s1044" type="#_x0000_t202" style="position:absolute;left:0;text-align:left;margin-left:36pt;margin-top:9.7pt;width:81pt;height:36pt;z-index:25165828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" filled="f" stroked="f">
                <v:textbox>
                  <w:txbxContent>
                    <w:p w14:paraId="54C60427" w14:textId="77777777" w:rsidR="00F011AB" w:rsidRPr="00220302" w:rsidRDefault="00F011AB" w:rsidP="00506BE1">
                      <w:pPr>
                        <w:jc w:val="center"/>
                        <w:rPr>
                          <w:rFonts w:ascii="Arial" w:hAnsi="Arial" w:cs="Arial"/>
                          <w:b/>
                          <w:i/>
                          <w:noProof/>
                          <w:sz w:val="8"/>
                          <w:szCs w:val="8"/>
                          <w:lang w:eastAsia="en-US"/>
                        </w:rPr>
                      </w:pPr>
                    </w:p>
                    <w:p w14:paraId="7EA0403D" w14:textId="73F97B27" w:rsidR="00F011AB" w:rsidRPr="00220302" w:rsidRDefault="00F011AB" w:rsidP="00506BE1">
                      <w:pPr>
                        <w:jc w:val="center"/>
                        <w:rPr>
                          <w:rFonts w:ascii="Arial" w:hAnsi="Arial" w:cs="Arial"/>
                          <w:b/>
                          <w:i/>
                          <w:sz w:val="16"/>
                          <w:szCs w:val="16"/>
                        </w:rPr>
                      </w:pPr>
                      <w:r w:rsidRPr="00220302">
                        <w:rPr>
                          <w:rFonts w:ascii="Arial" w:hAnsi="Arial" w:cs="Arial"/>
                          <w:b/>
                          <w:i/>
                          <w:noProof/>
                          <w:sz w:val="16"/>
                          <w:szCs w:val="16"/>
                          <w:lang w:eastAsia="en-US"/>
                        </w:rPr>
                        <w:t>Ecrou de verrouillage</w:t>
                      </w:r>
                    </w:p>
                  </w:txbxContent>
                </v:textbox>
                <w10:wrap type="square"/>
              </v:shape>
            </w:pict>
          </mc:Fallback>
        </mc:AlternateContent>
      </w:r>
      <w:r w:rsidR="00506BE1" w:rsidRPr="00325B85">
        <w:rPr>
          <w:rFonts w:cs="Arial"/>
          <w:noProof/>
          <w:szCs w:val="20"/>
        </w:rPr>
        <mc:AlternateContent>
          <mc:Choice Requires="wps">
            <w:drawing>
              <wp:anchor distT="0" distB="0" distL="114300" distR="114300" simplePos="0" relativeHeight="251658284" behindDoc="0" locked="0" layoutInCell="1" allowOverlap="1" wp14:anchorId="79E733AA" wp14:editId="136B259F">
                <wp:simplePos x="0" y="0"/>
                <wp:positionH relativeFrom="column">
                  <wp:posOffset>4000500</wp:posOffset>
                </wp:positionH>
                <wp:positionV relativeFrom="paragraph">
                  <wp:posOffset>123190</wp:posOffset>
                </wp:positionV>
                <wp:extent cx="1600200" cy="342900"/>
                <wp:effectExtent l="0" t="0" r="0" b="12700"/>
                <wp:wrapSquare wrapText="bothSides"/>
                <wp:docPr id="998831555" name="Zone de texte 998831555"/>
                <wp:cNvGraphicFramePr/>
                <a:graphic xmlns:a="http://schemas.openxmlformats.org/drawingml/2006/main">
                  <a:graphicData uri="http://schemas.microsoft.com/office/word/2010/wordprocessingShape">
                    <wps:wsp>
                      <wps:cNvSpPr txBox="1"/>
                      <wps:spPr>
                        <a:xfrm>
                          <a:off x="0" y="0"/>
                          <a:ext cx="16002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F55ADAC" w14:textId="532D2093" w:rsidR="000511BB" w:rsidRPr="00220302" w:rsidRDefault="000511BB" w:rsidP="00506BE1">
                            <w:pPr>
                              <w:jc w:val="center"/>
                              <w:rPr>
                                <w:rFonts w:ascii="Arial" w:hAnsi="Arial" w:cs="Arial"/>
                                <w:b/>
                                <w:i/>
                                <w:sz w:val="16"/>
                                <w:szCs w:val="16"/>
                              </w:rPr>
                            </w:pPr>
                            <w:r w:rsidRPr="00220302">
                              <w:rPr>
                                <w:rFonts w:ascii="Arial" w:hAnsi="Arial" w:cs="Arial"/>
                                <w:b/>
                                <w:i/>
                                <w:noProof/>
                                <w:sz w:val="16"/>
                                <w:szCs w:val="16"/>
                                <w:lang w:eastAsia="en-US"/>
                              </w:rPr>
                              <w:t>Vis pédiculaire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Zone de texte 998831555" o:spid="_x0000_s1045" type="#_x0000_t202" style="position:absolute;left:0;text-align:left;margin-left:315pt;margin-top:9.7pt;width:126pt;height:27pt;z-index:2516582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" filled="f" stroked="f">
                <v:textbox>
                  <w:txbxContent>
                    <w:p w14:paraId="1F55ADAC" w14:textId="532D2093" w:rsidR="00F011AB" w:rsidRPr="00220302" w:rsidRDefault="00F011AB" w:rsidP="00506BE1">
                      <w:pPr>
                        <w:jc w:val="center"/>
                        <w:rPr>
                          <w:rFonts w:ascii="Arial" w:hAnsi="Arial" w:cs="Arial"/>
                          <w:b/>
                          <w:i/>
                          <w:sz w:val="16"/>
                          <w:szCs w:val="16"/>
                        </w:rPr>
                      </w:pPr>
                      <w:r w:rsidRPr="00220302">
                        <w:rPr>
                          <w:rFonts w:ascii="Arial" w:hAnsi="Arial" w:cs="Arial"/>
                          <w:b/>
                          <w:i/>
                          <w:noProof/>
                          <w:sz w:val="16"/>
                          <w:szCs w:val="16"/>
                          <w:lang w:eastAsia="en-US"/>
                        </w:rPr>
                        <w:t>Vis pédiculaire</w:t>
                      </w:r>
                    </w:p>
                  </w:txbxContent>
                </v:textbox>
                <w10:wrap type="square"/>
              </v:shape>
            </w:pict>
          </mc:Fallback>
        </mc:AlternateContent>
      </w:r>
    </w:p>
    <w:p w14:paraId="6E87B2F8" w14:textId="1E396CA0" w:rsidR="00877039" w:rsidRDefault="00877039" w:rsidP="00057280">
      <w:pPr>
        <w:rPr>
          <w:rFonts w:cs="Arial"/>
          <w:noProof/>
          <w:szCs w:val="20"/>
          <w:lang w:eastAsia="en-US"/>
        </w:rPr>
      </w:pPr>
    </w:p>
    <w:p w14:paraId="66E9B3DA" w14:textId="77777777" w:rsidR="00877039" w:rsidRDefault="00877039" w:rsidP="00057280">
      <w:pPr>
        <w:rPr>
          <w:rFonts w:cs="Arial"/>
          <w:noProof/>
          <w:szCs w:val="20"/>
          <w:lang w:eastAsia="en-US"/>
        </w:rPr>
      </w:pPr>
    </w:p>
    <w:p w14:paraId="2EA5916E" w14:textId="77777777" w:rsidR="00877039" w:rsidRDefault="00877039" w:rsidP="00057280">
      <w:pPr>
        <w:rPr>
          <w:rFonts w:cs="Arial"/>
          <w:noProof/>
          <w:szCs w:val="20"/>
          <w:lang w:eastAsia="en-US"/>
        </w:rPr>
      </w:pPr>
    </w:p>
    <w:p w14:paraId="09B347B5" w14:textId="2929FA17" w:rsidR="00057280" w:rsidRPr="00A529B7" w:rsidRDefault="00057280" w:rsidP="00057280">
      <w:pPr>
        <w:rPr>
          <w:rFonts w:cs="Arial"/>
          <w:noProof/>
          <w:szCs w:val="20"/>
          <w:lang w:eastAsia="en-US"/>
        </w:rPr>
      </w:pPr>
    </w:p>
    <w:p w14:paraId="566E73B0" w14:textId="129D85A0" w:rsidR="00057280" w:rsidRPr="00A529B7" w:rsidRDefault="00877039" w:rsidP="00877039">
      <w:r>
        <w:rPr>
          <w:rFonts w:cs="Arial"/>
          <w:noProof/>
          <w:lang w:eastAsia="en-US"/>
        </w:rPr>
        <w:tab/>
      </w:r>
      <w:r>
        <w:rPr>
          <w:rFonts w:cs="Arial"/>
          <w:noProof/>
          <w:lang w:eastAsia="en-US"/>
        </w:rPr>
        <w:tab/>
      </w:r>
      <w:r>
        <w:rPr>
          <w:rFonts w:cs="Arial"/>
          <w:noProof/>
          <w:lang w:eastAsia="en-US"/>
        </w:rPr>
        <w:tab/>
      </w:r>
    </w:p>
    <w:p w14:paraId="59B18E60" w14:textId="77777777" w:rsidR="00877039" w:rsidRDefault="00877039" w:rsidP="00057280">
      <w:pPr>
        <w:rPr>
          <w:b/>
          <w:bCs/>
          <w:i/>
          <w:iCs/>
          <w:szCs w:val="20"/>
        </w:rPr>
      </w:pPr>
    </w:p>
    <w:p w14:paraId="1A71AA49" w14:textId="77777777" w:rsidR="00220302" w:rsidRDefault="00220302">
      <w:pPr>
        <w:jc w:val="left"/>
        <w:rPr>
          <w:b/>
          <w:bCs/>
          <w:i/>
          <w:iCs/>
          <w:szCs w:val="20"/>
        </w:rPr>
      </w:pPr>
      <w:r>
        <w:rPr>
          <w:b/>
          <w:bCs/>
          <w:i/>
          <w:iCs/>
          <w:szCs w:val="20"/>
        </w:rPr>
        <w:br w:type="page"/>
      </w:r>
    </w:p>
    <w:p w14:paraId="66590904" w14:textId="5BE9265D" w:rsidR="00057280" w:rsidRPr="00A529B7" w:rsidRDefault="00057280" w:rsidP="00057280">
      <w:pPr>
        <w:rPr>
          <w:b/>
          <w:bCs/>
          <w:i/>
          <w:iCs/>
          <w:szCs w:val="20"/>
        </w:rPr>
      </w:pPr>
      <w:r w:rsidRPr="00A529B7">
        <w:rPr>
          <w:b/>
          <w:bCs/>
          <w:i/>
          <w:iCs/>
          <w:szCs w:val="20"/>
        </w:rPr>
        <w:lastRenderedPageBreak/>
        <w:t>Contrôle de la qualité, Marquage CE</w:t>
      </w:r>
    </w:p>
    <w:p w14:paraId="0BCA1CA4" w14:textId="77777777" w:rsidR="00082731" w:rsidRDefault="00082731" w:rsidP="00082731">
      <w:pPr>
        <w:jc w:val="left"/>
        <w:rPr>
          <w:szCs w:val="20"/>
        </w:rPr>
      </w:pPr>
    </w:p>
    <w:p w14:paraId="43A82205" w14:textId="57A9D73F" w:rsidR="00082731" w:rsidRDefault="00A529B7" w:rsidP="00082731">
      <w:pPr>
        <w:jc w:val="left"/>
        <w:rPr>
          <w:szCs w:val="20"/>
        </w:rPr>
      </w:pPr>
      <w:r w:rsidRPr="00A529B7">
        <w:rPr>
          <w:szCs w:val="20"/>
        </w:rPr>
        <w:t xml:space="preserve">Etapes du processus de fabrication de chaque pièce : </w:t>
      </w:r>
    </w:p>
    <w:p w14:paraId="3C597579" w14:textId="77777777" w:rsidR="000B2321" w:rsidRPr="000B2321" w:rsidRDefault="000B2321" w:rsidP="00082731">
      <w:pPr>
        <w:jc w:val="left"/>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301"/>
        <w:gridCol w:w="2301"/>
        <w:gridCol w:w="2302"/>
        <w:gridCol w:w="2302"/>
      </w:tblGrid>
      <w:tr w:rsidR="00A529B7" w:rsidRPr="00A529B7" w14:paraId="1BB452F4" w14:textId="77777777" w:rsidTr="00AD71B5">
        <w:trPr>
          <w:trHeight w:val="1144"/>
        </w:trPr>
        <w:tc>
          <w:tcPr>
            <w:tcW w:w="2301" w:type="dxa"/>
            <w:tcBorders>
              <w:top w:val="single" w:sz="4" w:space="0" w:color="C0C0C0"/>
              <w:left w:val="single" w:sz="4" w:space="0" w:color="C0C0C0"/>
              <w:bottom w:val="single" w:sz="4" w:space="0" w:color="C0C0C0"/>
              <w:right w:val="nil"/>
            </w:tcBorders>
            <w:vAlign w:val="center"/>
          </w:tcPr>
          <w:p w14:paraId="563AB7A1" w14:textId="77777777" w:rsidR="00A529B7" w:rsidRPr="00A529B7" w:rsidRDefault="00A529B7" w:rsidP="00AD71B5">
            <w:pPr>
              <w:jc w:val="center"/>
              <w:rPr>
                <w:szCs w:val="20"/>
              </w:rPr>
            </w:pPr>
          </w:p>
          <w:p w14:paraId="25A389EF" w14:textId="77777777" w:rsidR="00A529B7" w:rsidRPr="00A529B7" w:rsidRDefault="00A529B7" w:rsidP="00AD71B5">
            <w:pPr>
              <w:jc w:val="center"/>
              <w:rPr>
                <w:szCs w:val="20"/>
              </w:rPr>
            </w:pPr>
            <w:r w:rsidRPr="00A529B7">
              <w:rPr>
                <w:szCs w:val="20"/>
              </w:rPr>
              <w:t>Dessin technique de l’entretoise de verrouillage</w:t>
            </w:r>
          </w:p>
          <w:p w14:paraId="0DEF65A0" w14:textId="77777777" w:rsidR="00A529B7" w:rsidRPr="00A529B7" w:rsidRDefault="00A529B7" w:rsidP="00AD71B5">
            <w:pPr>
              <w:rPr>
                <w:szCs w:val="20"/>
              </w:rPr>
            </w:pPr>
            <w:r w:rsidRPr="00A529B7">
              <w:rPr>
                <w:noProof/>
                <w:szCs w:val="20"/>
              </w:rPr>
              <mc:AlternateContent>
                <mc:Choice Requires="wps">
                  <w:drawing>
                    <wp:anchor distT="0" distB="0" distL="114300" distR="114300" simplePos="0" relativeHeight="251658246" behindDoc="0" locked="0" layoutInCell="1" allowOverlap="1" wp14:anchorId="0005616A" wp14:editId="6976C6B1">
                      <wp:simplePos x="0" y="0"/>
                      <wp:positionH relativeFrom="column">
                        <wp:posOffset>683895</wp:posOffset>
                      </wp:positionH>
                      <wp:positionV relativeFrom="paragraph">
                        <wp:posOffset>55880</wp:posOffset>
                      </wp:positionV>
                      <wp:extent cx="1905" cy="228600"/>
                      <wp:effectExtent l="125095" t="93980" r="152400" b="121920"/>
                      <wp:wrapNone/>
                      <wp:docPr id="63" name="Connecteur droit 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05" cy="228600"/>
                              </a:xfrm>
                              <a:prstGeom prst="line">
                                <a:avLst/>
                              </a:prstGeom>
                              <a:noFill/>
                              <a:ln w="9525">
                                <a:solidFill>
                                  <a:srgbClr val="000000"/>
                                </a:solidFill>
                                <a:round/>
                                <a:headEnd/>
                                <a:tailEnd type="triangle" w="med" len="med"/>
                              </a:ln>
                              <a:effectLst>
                                <a:outerShdw blurRad="63500" dist="26940" dir="5400000" algn="ctr" rotWithShape="0">
                                  <a:srgbClr val="000000">
                                    <a:alpha val="35001"/>
                                  </a:srgbClr>
                                </a:outerShdw>
                              </a:effectLst>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line w14:anchorId="62ECD7D4" id="Connecteur droit 63" o:spid="_x0000_s1026" style="position:absolute;z-index:2516582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3.85pt,4.4pt" to="54pt,2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">
                      <v:stroke endarrow="block"/>
                      <v:shadow on="t" color="black" opacity="22938f" offset="0,.74833mm"/>
                    </v:line>
                  </w:pict>
                </mc:Fallback>
              </mc:AlternateContent>
            </w:r>
          </w:p>
        </w:tc>
        <w:tc>
          <w:tcPr>
            <w:tcW w:w="2301" w:type="dxa"/>
            <w:tcBorders>
              <w:top w:val="single" w:sz="4" w:space="0" w:color="C0C0C0"/>
              <w:left w:val="nil"/>
              <w:bottom w:val="single" w:sz="4" w:space="0" w:color="C0C0C0"/>
              <w:right w:val="nil"/>
            </w:tcBorders>
            <w:vAlign w:val="center"/>
          </w:tcPr>
          <w:p w14:paraId="341A6FC3" w14:textId="77777777" w:rsidR="00A529B7" w:rsidRPr="00A529B7" w:rsidRDefault="00A529B7" w:rsidP="00AD71B5">
            <w:pPr>
              <w:jc w:val="center"/>
              <w:rPr>
                <w:szCs w:val="20"/>
              </w:rPr>
            </w:pPr>
          </w:p>
          <w:p w14:paraId="753E4E00" w14:textId="77777777" w:rsidR="00A529B7" w:rsidRPr="00A529B7" w:rsidRDefault="00A529B7" w:rsidP="00AD71B5">
            <w:pPr>
              <w:jc w:val="center"/>
              <w:rPr>
                <w:szCs w:val="20"/>
              </w:rPr>
            </w:pPr>
            <w:r w:rsidRPr="00A529B7">
              <w:rPr>
                <w:noProof/>
                <w:szCs w:val="20"/>
              </w:rPr>
              <mc:AlternateContent>
                <mc:Choice Requires="wps">
                  <w:drawing>
                    <wp:anchor distT="0" distB="0" distL="114300" distR="114300" simplePos="0" relativeHeight="251658272" behindDoc="0" locked="0" layoutInCell="1" allowOverlap="1" wp14:anchorId="0CB1746F" wp14:editId="0ECC7888">
                      <wp:simplePos x="0" y="0"/>
                      <wp:positionH relativeFrom="column">
                        <wp:posOffset>596265</wp:posOffset>
                      </wp:positionH>
                      <wp:positionV relativeFrom="paragraph">
                        <wp:posOffset>425450</wp:posOffset>
                      </wp:positionV>
                      <wp:extent cx="0" cy="342900"/>
                      <wp:effectExtent l="126365" t="95250" r="153035" b="120650"/>
                      <wp:wrapNone/>
                      <wp:docPr id="62" name="Connecteur droit 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0" cy="342900"/>
                              </a:xfrm>
                              <a:prstGeom prst="line">
                                <a:avLst/>
                              </a:prstGeom>
                              <a:noFill/>
                              <a:ln w="9525">
                                <a:solidFill>
                                  <a:srgbClr val="000000"/>
                                </a:solidFill>
                                <a:round/>
                                <a:headEnd/>
                                <a:tailEnd type="triangle" w="med" len="med"/>
                              </a:ln>
                              <a:effectLst>
                                <a:outerShdw blurRad="63500" dist="26940" dir="5400000" algn="ctr" rotWithShape="0">
                                  <a:srgbClr val="000000">
                                    <a:alpha val="35001"/>
                                  </a:srgbClr>
                                </a:outerShdw>
                              </a:effectLst>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line w14:anchorId="3D3FC3B7" id="Connecteur droit 62" o:spid="_x0000_s1026" style="position:absolute;flip:x;z-index:25165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6.95pt,33.5pt" to="46.95pt,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">
                      <v:stroke endarrow="block"/>
                      <v:shadow on="t" color="black" opacity="22938f" offset="0,.74833mm"/>
                    </v:line>
                  </w:pict>
                </mc:Fallback>
              </mc:AlternateContent>
            </w:r>
            <w:r w:rsidRPr="00A529B7">
              <w:rPr>
                <w:szCs w:val="20"/>
              </w:rPr>
              <w:t>Dessin technique de</w:t>
            </w:r>
            <w:r w:rsidRPr="00A529B7">
              <w:rPr>
                <w:szCs w:val="20"/>
                <w:highlight w:val="yellow"/>
              </w:rPr>
              <w:t xml:space="preserve"> </w:t>
            </w:r>
            <w:r w:rsidRPr="00A529B7">
              <w:rPr>
                <w:szCs w:val="20"/>
              </w:rPr>
              <w:t>l’écrou de verrouillage</w:t>
            </w:r>
          </w:p>
        </w:tc>
        <w:tc>
          <w:tcPr>
            <w:tcW w:w="2302" w:type="dxa"/>
            <w:tcBorders>
              <w:top w:val="single" w:sz="4" w:space="0" w:color="C0C0C0"/>
              <w:left w:val="nil"/>
              <w:bottom w:val="single" w:sz="4" w:space="0" w:color="C0C0C0"/>
              <w:right w:val="nil"/>
            </w:tcBorders>
            <w:vAlign w:val="center"/>
          </w:tcPr>
          <w:p w14:paraId="72433EBF" w14:textId="77777777" w:rsidR="00A529B7" w:rsidRPr="00A529B7" w:rsidRDefault="00A529B7" w:rsidP="00AD71B5">
            <w:pPr>
              <w:jc w:val="center"/>
              <w:rPr>
                <w:szCs w:val="20"/>
              </w:rPr>
            </w:pPr>
          </w:p>
          <w:p w14:paraId="18CB2332" w14:textId="77777777" w:rsidR="00A529B7" w:rsidRPr="00A529B7" w:rsidRDefault="00A529B7" w:rsidP="00AD71B5">
            <w:pPr>
              <w:jc w:val="center"/>
              <w:rPr>
                <w:szCs w:val="20"/>
              </w:rPr>
            </w:pPr>
            <w:r w:rsidRPr="00A529B7">
              <w:rPr>
                <w:noProof/>
                <w:szCs w:val="20"/>
              </w:rPr>
              <mc:AlternateContent>
                <mc:Choice Requires="wps">
                  <w:drawing>
                    <wp:anchor distT="0" distB="0" distL="114300" distR="114300" simplePos="0" relativeHeight="251658273" behindDoc="0" locked="0" layoutInCell="1" allowOverlap="1" wp14:anchorId="5538A158" wp14:editId="78927FB0">
                      <wp:simplePos x="0" y="0"/>
                      <wp:positionH relativeFrom="column">
                        <wp:posOffset>618490</wp:posOffset>
                      </wp:positionH>
                      <wp:positionV relativeFrom="paragraph">
                        <wp:posOffset>422275</wp:posOffset>
                      </wp:positionV>
                      <wp:extent cx="0" cy="342900"/>
                      <wp:effectExtent l="123190" t="92075" r="156210" b="123825"/>
                      <wp:wrapNone/>
                      <wp:docPr id="61" name="Connecteur droit 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0" cy="342900"/>
                              </a:xfrm>
                              <a:prstGeom prst="line">
                                <a:avLst/>
                              </a:prstGeom>
                              <a:noFill/>
                              <a:ln w="9525">
                                <a:solidFill>
                                  <a:srgbClr val="000000"/>
                                </a:solidFill>
                                <a:round/>
                                <a:headEnd/>
                                <a:tailEnd type="triangle" w="med" len="med"/>
                              </a:ln>
                              <a:effectLst>
                                <a:outerShdw blurRad="63500" dist="26940" dir="5400000" algn="ctr" rotWithShape="0">
                                  <a:srgbClr val="000000">
                                    <a:alpha val="35001"/>
                                  </a:srgbClr>
                                </a:outerShdw>
                              </a:effectLst>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line w14:anchorId="5A649869" id="Connecteur droit 61" o:spid="_x0000_s1026" style="position:absolute;flip:x;z-index:25165827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8.7pt,33.25pt" to="48.7pt,60.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">
                      <v:stroke endarrow="block"/>
                      <v:shadow on="t" color="black" opacity="22938f" offset="0,.74833mm"/>
                    </v:line>
                  </w:pict>
                </mc:Fallback>
              </mc:AlternateContent>
            </w:r>
            <w:r w:rsidRPr="00A529B7">
              <w:rPr>
                <w:szCs w:val="20"/>
              </w:rPr>
              <w:t>Dessin technique de la tête de vis</w:t>
            </w:r>
          </w:p>
        </w:tc>
        <w:tc>
          <w:tcPr>
            <w:tcW w:w="2302" w:type="dxa"/>
            <w:tcBorders>
              <w:top w:val="single" w:sz="4" w:space="0" w:color="C0C0C0"/>
              <w:left w:val="nil"/>
              <w:bottom w:val="single" w:sz="4" w:space="0" w:color="C0C0C0"/>
              <w:right w:val="single" w:sz="4" w:space="0" w:color="C0C0C0"/>
            </w:tcBorders>
            <w:vAlign w:val="center"/>
          </w:tcPr>
          <w:p w14:paraId="4411E7BE" w14:textId="77777777" w:rsidR="00A529B7" w:rsidRPr="00A529B7" w:rsidRDefault="00A529B7" w:rsidP="00AD71B5">
            <w:pPr>
              <w:jc w:val="center"/>
              <w:rPr>
                <w:szCs w:val="20"/>
              </w:rPr>
            </w:pPr>
          </w:p>
          <w:p w14:paraId="7DF42ECC" w14:textId="77777777" w:rsidR="00A529B7" w:rsidRPr="00A529B7" w:rsidRDefault="00A529B7" w:rsidP="00AD71B5">
            <w:pPr>
              <w:jc w:val="center"/>
              <w:rPr>
                <w:szCs w:val="20"/>
              </w:rPr>
            </w:pPr>
            <w:r w:rsidRPr="00A529B7">
              <w:rPr>
                <w:noProof/>
                <w:szCs w:val="20"/>
              </w:rPr>
              <mc:AlternateContent>
                <mc:Choice Requires="wps">
                  <w:drawing>
                    <wp:anchor distT="0" distB="0" distL="114300" distR="114300" simplePos="0" relativeHeight="251658274" behindDoc="0" locked="0" layoutInCell="1" allowOverlap="1" wp14:anchorId="27397129" wp14:editId="61B6ECDD">
                      <wp:simplePos x="0" y="0"/>
                      <wp:positionH relativeFrom="column">
                        <wp:posOffset>645160</wp:posOffset>
                      </wp:positionH>
                      <wp:positionV relativeFrom="paragraph">
                        <wp:posOffset>422275</wp:posOffset>
                      </wp:positionV>
                      <wp:extent cx="0" cy="342900"/>
                      <wp:effectExtent l="124460" t="92075" r="154940" b="123825"/>
                      <wp:wrapNone/>
                      <wp:docPr id="60" name="Connecteur droit 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0" cy="342900"/>
                              </a:xfrm>
                              <a:prstGeom prst="line">
                                <a:avLst/>
                              </a:prstGeom>
                              <a:noFill/>
                              <a:ln w="9525">
                                <a:solidFill>
                                  <a:srgbClr val="000000"/>
                                </a:solidFill>
                                <a:round/>
                                <a:headEnd/>
                                <a:tailEnd type="triangle" w="med" len="med"/>
                              </a:ln>
                              <a:effectLst>
                                <a:outerShdw blurRad="63500" dist="26940" dir="5400000" algn="ctr" rotWithShape="0">
                                  <a:srgbClr val="000000">
                                    <a:alpha val="35001"/>
                                  </a:srgbClr>
                                </a:outerShdw>
                              </a:effectLst>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line w14:anchorId="174D4E7A" id="Connecteur droit 60" o:spid="_x0000_s1026" style="position:absolute;flip:x;z-index:25165827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0.8pt,33.25pt" to="50.8pt,60.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">
                      <v:stroke endarrow="block"/>
                      <v:shadow on="t" color="black" opacity="22938f" offset="0,.74833mm"/>
                    </v:line>
                  </w:pict>
                </mc:Fallback>
              </mc:AlternateContent>
            </w:r>
            <w:r w:rsidRPr="00A529B7">
              <w:rPr>
                <w:szCs w:val="20"/>
              </w:rPr>
              <w:t>Dessin technique de la vis</w:t>
            </w:r>
          </w:p>
        </w:tc>
      </w:tr>
      <w:tr w:rsidR="00A529B7" w:rsidRPr="00A529B7" w14:paraId="26A9603C" w14:textId="77777777" w:rsidTr="00AD71B5">
        <w:trPr>
          <w:trHeight w:val="598"/>
        </w:trPr>
        <w:tc>
          <w:tcPr>
            <w:tcW w:w="2301" w:type="dxa"/>
            <w:tcBorders>
              <w:top w:val="single" w:sz="4" w:space="0" w:color="C0C0C0"/>
              <w:left w:val="nil"/>
              <w:bottom w:val="nil"/>
              <w:right w:val="nil"/>
            </w:tcBorders>
            <w:vAlign w:val="center"/>
          </w:tcPr>
          <w:p w14:paraId="6FDF2471" w14:textId="77777777" w:rsidR="00A529B7" w:rsidRPr="00A529B7" w:rsidRDefault="00A529B7" w:rsidP="00AD71B5">
            <w:pPr>
              <w:jc w:val="center"/>
              <w:rPr>
                <w:szCs w:val="20"/>
              </w:rPr>
            </w:pPr>
          </w:p>
          <w:p w14:paraId="5E860008" w14:textId="77777777" w:rsidR="00A529B7" w:rsidRPr="00A529B7" w:rsidRDefault="00A529B7" w:rsidP="00AD71B5">
            <w:pPr>
              <w:jc w:val="center"/>
              <w:rPr>
                <w:szCs w:val="20"/>
              </w:rPr>
            </w:pPr>
            <w:r w:rsidRPr="00A529B7">
              <w:rPr>
                <w:szCs w:val="20"/>
              </w:rPr>
              <w:t>Usinage et contrôle</w:t>
            </w:r>
          </w:p>
          <w:p w14:paraId="55BC0BD8" w14:textId="77777777" w:rsidR="00A529B7" w:rsidRPr="00A529B7" w:rsidRDefault="00A529B7" w:rsidP="00AD71B5">
            <w:pPr>
              <w:jc w:val="center"/>
              <w:rPr>
                <w:szCs w:val="20"/>
              </w:rPr>
            </w:pPr>
            <w:r w:rsidRPr="00A529B7">
              <w:rPr>
                <w:noProof/>
                <w:szCs w:val="20"/>
              </w:rPr>
              <mc:AlternateContent>
                <mc:Choice Requires="wps">
                  <w:drawing>
                    <wp:anchor distT="0" distB="0" distL="114300" distR="114300" simplePos="0" relativeHeight="251658249" behindDoc="0" locked="0" layoutInCell="1" allowOverlap="1" wp14:anchorId="41A9B240" wp14:editId="26282488">
                      <wp:simplePos x="0" y="0"/>
                      <wp:positionH relativeFrom="column">
                        <wp:posOffset>685800</wp:posOffset>
                      </wp:positionH>
                      <wp:positionV relativeFrom="paragraph">
                        <wp:posOffset>16510</wp:posOffset>
                      </wp:positionV>
                      <wp:extent cx="1905" cy="228600"/>
                      <wp:effectExtent l="127000" t="92710" r="150495" b="135890"/>
                      <wp:wrapNone/>
                      <wp:docPr id="59" name="Connecteur droit 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05" cy="228600"/>
                              </a:xfrm>
                              <a:prstGeom prst="line">
                                <a:avLst/>
                              </a:prstGeom>
                              <a:noFill/>
                              <a:ln w="9525">
                                <a:solidFill>
                                  <a:srgbClr val="000000"/>
                                </a:solidFill>
                                <a:round/>
                                <a:headEnd/>
                                <a:tailEnd type="triangle" w="med" len="med"/>
                              </a:ln>
                              <a:effectLst>
                                <a:outerShdw blurRad="63500" dist="26940" dir="5400000" algn="ctr" rotWithShape="0">
                                  <a:srgbClr val="000000">
                                    <a:alpha val="35001"/>
                                  </a:srgbClr>
                                </a:outerShdw>
                              </a:effectLst>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line w14:anchorId="48F05D96" id="Connecteur droit 59" o:spid="_x0000_s1026" style="position:absolute;z-index:2516582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4pt,1.3pt" to="54.15pt,1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">
                      <v:stroke endarrow="block"/>
                      <v:shadow on="t" color="black" opacity="22938f" offset="0,.74833mm"/>
                    </v:line>
                  </w:pict>
                </mc:Fallback>
              </mc:AlternateContent>
            </w:r>
          </w:p>
        </w:tc>
        <w:tc>
          <w:tcPr>
            <w:tcW w:w="2301" w:type="dxa"/>
            <w:tcBorders>
              <w:top w:val="single" w:sz="4" w:space="0" w:color="C0C0C0"/>
              <w:left w:val="nil"/>
              <w:bottom w:val="nil"/>
              <w:right w:val="nil"/>
            </w:tcBorders>
            <w:vAlign w:val="center"/>
          </w:tcPr>
          <w:p w14:paraId="2A1F4E9D" w14:textId="77777777" w:rsidR="00A529B7" w:rsidRPr="00A529B7" w:rsidRDefault="00A529B7" w:rsidP="00AD71B5">
            <w:pPr>
              <w:jc w:val="center"/>
              <w:rPr>
                <w:szCs w:val="20"/>
              </w:rPr>
            </w:pPr>
          </w:p>
          <w:p w14:paraId="0E179B27" w14:textId="77777777" w:rsidR="00A529B7" w:rsidRPr="00A529B7" w:rsidRDefault="00A529B7" w:rsidP="00AD71B5">
            <w:pPr>
              <w:jc w:val="center"/>
              <w:rPr>
                <w:noProof/>
                <w:szCs w:val="20"/>
                <w:lang w:eastAsia="ja-JP"/>
              </w:rPr>
            </w:pPr>
            <w:r w:rsidRPr="00A529B7">
              <w:rPr>
                <w:noProof/>
                <w:szCs w:val="20"/>
              </w:rPr>
              <mc:AlternateContent>
                <mc:Choice Requires="wps">
                  <w:drawing>
                    <wp:anchor distT="0" distB="0" distL="114300" distR="114300" simplePos="0" relativeHeight="251658269" behindDoc="0" locked="0" layoutInCell="1" allowOverlap="1" wp14:anchorId="6D0E42BB" wp14:editId="5722EB28">
                      <wp:simplePos x="0" y="0"/>
                      <wp:positionH relativeFrom="column">
                        <wp:posOffset>591820</wp:posOffset>
                      </wp:positionH>
                      <wp:positionV relativeFrom="paragraph">
                        <wp:posOffset>232410</wp:posOffset>
                      </wp:positionV>
                      <wp:extent cx="4445" cy="1147445"/>
                      <wp:effectExtent l="121920" t="92710" r="153035" b="144145"/>
                      <wp:wrapNone/>
                      <wp:docPr id="58" name="Connecteur droit 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445" cy="1147445"/>
                              </a:xfrm>
                              <a:prstGeom prst="line">
                                <a:avLst/>
                              </a:prstGeom>
                              <a:noFill/>
                              <a:ln w="9525">
                                <a:solidFill>
                                  <a:srgbClr val="000000"/>
                                </a:solidFill>
                                <a:round/>
                                <a:headEnd/>
                                <a:tailEnd type="triangle" w="med" len="med"/>
                              </a:ln>
                              <a:effectLst>
                                <a:outerShdw blurRad="63500" dist="26940" dir="5400000" algn="ctr" rotWithShape="0">
                                  <a:srgbClr val="000000">
                                    <a:alpha val="35001"/>
                                  </a:srgbClr>
                                </a:outerShdw>
                              </a:effectLst>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line w14:anchorId="619DD7B0" id="Connecteur droit 58" o:spid="_x0000_s1026" style="position:absolute;z-index:25165826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6.6pt,18.3pt" to="46.95pt,10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">
                      <v:stroke endarrow="block"/>
                      <v:shadow on="t" color="black" opacity="22938f" offset="0,.74833mm"/>
                    </v:line>
                  </w:pict>
                </mc:Fallback>
              </mc:AlternateContent>
            </w:r>
            <w:r w:rsidRPr="00A529B7">
              <w:rPr>
                <w:noProof/>
                <w:szCs w:val="20"/>
                <w:lang w:eastAsia="ja-JP"/>
              </w:rPr>
              <w:t>Usinage et contrôle</w:t>
            </w:r>
          </w:p>
        </w:tc>
        <w:tc>
          <w:tcPr>
            <w:tcW w:w="2302" w:type="dxa"/>
            <w:tcBorders>
              <w:top w:val="single" w:sz="4" w:space="0" w:color="C0C0C0"/>
              <w:left w:val="nil"/>
              <w:bottom w:val="nil"/>
              <w:right w:val="nil"/>
            </w:tcBorders>
            <w:vAlign w:val="center"/>
          </w:tcPr>
          <w:p w14:paraId="3AA7F0E6" w14:textId="77777777" w:rsidR="00A529B7" w:rsidRPr="00A529B7" w:rsidRDefault="00A529B7" w:rsidP="00AD71B5">
            <w:pPr>
              <w:jc w:val="center"/>
              <w:rPr>
                <w:szCs w:val="20"/>
              </w:rPr>
            </w:pPr>
          </w:p>
          <w:p w14:paraId="57D17734" w14:textId="77777777" w:rsidR="00A529B7" w:rsidRPr="00A529B7" w:rsidRDefault="00A529B7" w:rsidP="00AD71B5">
            <w:pPr>
              <w:jc w:val="center"/>
              <w:rPr>
                <w:szCs w:val="20"/>
              </w:rPr>
            </w:pPr>
            <w:r w:rsidRPr="00A529B7">
              <w:rPr>
                <w:szCs w:val="20"/>
              </w:rPr>
              <w:t>Usinage et contrôle</w:t>
            </w:r>
          </w:p>
          <w:p w14:paraId="19D6E2F4" w14:textId="77777777" w:rsidR="00A529B7" w:rsidRPr="00A529B7" w:rsidRDefault="00A529B7" w:rsidP="00AD71B5">
            <w:pPr>
              <w:jc w:val="center"/>
              <w:rPr>
                <w:szCs w:val="20"/>
              </w:rPr>
            </w:pPr>
            <w:r w:rsidRPr="00A529B7">
              <w:rPr>
                <w:noProof/>
                <w:szCs w:val="20"/>
              </w:rPr>
              <mc:AlternateContent>
                <mc:Choice Requires="wps">
                  <w:drawing>
                    <wp:anchor distT="0" distB="0" distL="114300" distR="114300" simplePos="0" relativeHeight="251658271" behindDoc="0" locked="0" layoutInCell="1" allowOverlap="1" wp14:anchorId="71A434AC" wp14:editId="43858DD7">
                      <wp:simplePos x="0" y="0"/>
                      <wp:positionH relativeFrom="column">
                        <wp:posOffset>608330</wp:posOffset>
                      </wp:positionH>
                      <wp:positionV relativeFrom="paragraph">
                        <wp:posOffset>41275</wp:posOffset>
                      </wp:positionV>
                      <wp:extent cx="1905" cy="228600"/>
                      <wp:effectExtent l="125730" t="92075" r="151765" b="136525"/>
                      <wp:wrapNone/>
                      <wp:docPr id="57" name="Connecteur droit 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05" cy="228600"/>
                              </a:xfrm>
                              <a:prstGeom prst="line">
                                <a:avLst/>
                              </a:prstGeom>
                              <a:noFill/>
                              <a:ln w="9525">
                                <a:solidFill>
                                  <a:srgbClr val="000000"/>
                                </a:solidFill>
                                <a:round/>
                                <a:headEnd/>
                                <a:tailEnd type="triangle" w="med" len="med"/>
                              </a:ln>
                              <a:effectLst>
                                <a:outerShdw blurRad="63500" dist="26940" dir="5400000" algn="ctr" rotWithShape="0">
                                  <a:srgbClr val="000000">
                                    <a:alpha val="35001"/>
                                  </a:srgbClr>
                                </a:outerShdw>
                              </a:effectLst>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line w14:anchorId="7ED3E967" id="Connecteur droit 57" o:spid="_x0000_s1026" style="position:absolute;z-index:25165827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9pt,3.25pt" to="48.05pt,2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">
                      <v:stroke endarrow="block"/>
                      <v:shadow on="t" color="black" opacity="22938f" offset="0,.74833mm"/>
                    </v:line>
                  </w:pict>
                </mc:Fallback>
              </mc:AlternateContent>
            </w:r>
          </w:p>
        </w:tc>
        <w:tc>
          <w:tcPr>
            <w:tcW w:w="2302" w:type="dxa"/>
            <w:tcBorders>
              <w:top w:val="single" w:sz="4" w:space="0" w:color="C0C0C0"/>
              <w:left w:val="nil"/>
              <w:bottom w:val="nil"/>
              <w:right w:val="nil"/>
            </w:tcBorders>
            <w:vAlign w:val="center"/>
          </w:tcPr>
          <w:p w14:paraId="63CD750B" w14:textId="77777777" w:rsidR="00A529B7" w:rsidRPr="00A529B7" w:rsidRDefault="00A529B7" w:rsidP="00AD71B5">
            <w:pPr>
              <w:jc w:val="center"/>
              <w:rPr>
                <w:szCs w:val="20"/>
              </w:rPr>
            </w:pPr>
          </w:p>
          <w:p w14:paraId="5C100EFF" w14:textId="77777777" w:rsidR="00A529B7" w:rsidRPr="00A529B7" w:rsidRDefault="00A529B7" w:rsidP="00AD71B5">
            <w:pPr>
              <w:jc w:val="center"/>
              <w:rPr>
                <w:szCs w:val="20"/>
              </w:rPr>
            </w:pPr>
            <w:r w:rsidRPr="00A529B7">
              <w:rPr>
                <w:szCs w:val="20"/>
              </w:rPr>
              <w:t>Usinage et contrôle</w:t>
            </w:r>
          </w:p>
          <w:p w14:paraId="6F1C2AF8" w14:textId="77777777" w:rsidR="00A529B7" w:rsidRPr="00A529B7" w:rsidRDefault="00A529B7" w:rsidP="00AD71B5">
            <w:pPr>
              <w:jc w:val="center"/>
              <w:rPr>
                <w:szCs w:val="20"/>
              </w:rPr>
            </w:pPr>
            <w:r w:rsidRPr="00A529B7">
              <w:rPr>
                <w:noProof/>
                <w:szCs w:val="20"/>
              </w:rPr>
              <mc:AlternateContent>
                <mc:Choice Requires="wps">
                  <w:drawing>
                    <wp:anchor distT="0" distB="0" distL="114300" distR="114300" simplePos="0" relativeHeight="251658270" behindDoc="0" locked="0" layoutInCell="1" allowOverlap="1" wp14:anchorId="759F458C" wp14:editId="7A3C00E5">
                      <wp:simplePos x="0" y="0"/>
                      <wp:positionH relativeFrom="column">
                        <wp:posOffset>645160</wp:posOffset>
                      </wp:positionH>
                      <wp:positionV relativeFrom="paragraph">
                        <wp:posOffset>71755</wp:posOffset>
                      </wp:positionV>
                      <wp:extent cx="4445" cy="1147445"/>
                      <wp:effectExtent l="124460" t="84455" r="150495" b="127000"/>
                      <wp:wrapNone/>
                      <wp:docPr id="56" name="Connecteur droit 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445" cy="1147445"/>
                              </a:xfrm>
                              <a:prstGeom prst="line">
                                <a:avLst/>
                              </a:prstGeom>
                              <a:noFill/>
                              <a:ln w="9525">
                                <a:solidFill>
                                  <a:srgbClr val="000000"/>
                                </a:solidFill>
                                <a:round/>
                                <a:headEnd/>
                                <a:tailEnd type="triangle" w="med" len="med"/>
                              </a:ln>
                              <a:effectLst>
                                <a:outerShdw blurRad="63500" dist="26940" dir="5400000" algn="ctr" rotWithShape="0">
                                  <a:srgbClr val="000000">
                                    <a:alpha val="35001"/>
                                  </a:srgbClr>
                                </a:outerShdw>
                              </a:effectLst>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line w14:anchorId="74CA2D84" id="Connecteur droit 56" o:spid="_x0000_s1026" style="position:absolute;z-index:25165827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0.8pt,5.65pt" to="51.15pt,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">
                      <v:stroke endarrow="block"/>
                      <v:shadow on="t" color="black" opacity="22938f" offset="0,.74833mm"/>
                    </v:line>
                  </w:pict>
                </mc:Fallback>
              </mc:AlternateContent>
            </w:r>
          </w:p>
        </w:tc>
      </w:tr>
      <w:tr w:rsidR="00A529B7" w:rsidRPr="00A529B7" w14:paraId="5016E2FC" w14:textId="77777777" w:rsidTr="00AD71B5">
        <w:tc>
          <w:tcPr>
            <w:tcW w:w="2301" w:type="dxa"/>
            <w:tcBorders>
              <w:top w:val="nil"/>
              <w:left w:val="nil"/>
              <w:bottom w:val="nil"/>
              <w:right w:val="nil"/>
            </w:tcBorders>
            <w:vAlign w:val="center"/>
          </w:tcPr>
          <w:p w14:paraId="4ADDA641" w14:textId="77777777" w:rsidR="00A529B7" w:rsidRPr="00A529B7" w:rsidRDefault="00A529B7" w:rsidP="00AD71B5">
            <w:pPr>
              <w:jc w:val="center"/>
              <w:rPr>
                <w:szCs w:val="20"/>
              </w:rPr>
            </w:pPr>
          </w:p>
          <w:p w14:paraId="343FD7E4" w14:textId="77777777" w:rsidR="00A529B7" w:rsidRPr="00A529B7" w:rsidRDefault="00A529B7" w:rsidP="00AD71B5">
            <w:pPr>
              <w:jc w:val="center"/>
              <w:rPr>
                <w:szCs w:val="20"/>
              </w:rPr>
            </w:pPr>
            <w:r w:rsidRPr="00A529B7">
              <w:rPr>
                <w:szCs w:val="20"/>
              </w:rPr>
              <w:t>Ebavurage</w:t>
            </w:r>
          </w:p>
          <w:p w14:paraId="104A1C39" w14:textId="77777777" w:rsidR="00A529B7" w:rsidRPr="00A529B7" w:rsidRDefault="00A529B7" w:rsidP="00AD71B5">
            <w:pPr>
              <w:jc w:val="center"/>
              <w:rPr>
                <w:szCs w:val="20"/>
              </w:rPr>
            </w:pPr>
            <w:r w:rsidRPr="00A529B7">
              <w:rPr>
                <w:noProof/>
                <w:szCs w:val="20"/>
              </w:rPr>
              <mc:AlternateContent>
                <mc:Choice Requires="wps">
                  <w:drawing>
                    <wp:anchor distT="0" distB="0" distL="114300" distR="114300" simplePos="0" relativeHeight="251658252" behindDoc="0" locked="0" layoutInCell="1" allowOverlap="1" wp14:anchorId="6AFB46E7" wp14:editId="44DBF38B">
                      <wp:simplePos x="0" y="0"/>
                      <wp:positionH relativeFrom="column">
                        <wp:posOffset>685800</wp:posOffset>
                      </wp:positionH>
                      <wp:positionV relativeFrom="paragraph">
                        <wp:posOffset>33655</wp:posOffset>
                      </wp:positionV>
                      <wp:extent cx="0" cy="685800"/>
                      <wp:effectExtent l="127000" t="84455" r="152400" b="144145"/>
                      <wp:wrapNone/>
                      <wp:docPr id="55" name="Connecteur droit 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685800"/>
                              </a:xfrm>
                              <a:prstGeom prst="line">
                                <a:avLst/>
                              </a:prstGeom>
                              <a:noFill/>
                              <a:ln w="9525">
                                <a:solidFill>
                                  <a:srgbClr val="000000"/>
                                </a:solidFill>
                                <a:round/>
                                <a:headEnd/>
                                <a:tailEnd type="triangle" w="med" len="med"/>
                              </a:ln>
                              <a:effectLst>
                                <a:outerShdw blurRad="63500" dist="26940" dir="5400000" algn="ctr" rotWithShape="0">
                                  <a:srgbClr val="000000">
                                    <a:alpha val="35001"/>
                                  </a:srgbClr>
                                </a:outerShdw>
                              </a:effectLst>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line w14:anchorId="7428E0B3" id="Connecteur droit 55" o:spid="_x0000_s1026" style="position:absolute;z-index:2516582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4pt,2.65pt" to="54pt,5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">
                      <v:stroke endarrow="block"/>
                      <v:shadow on="t" color="black" opacity="22938f" offset="0,.74833mm"/>
                    </v:line>
                  </w:pict>
                </mc:Fallback>
              </mc:AlternateContent>
            </w:r>
          </w:p>
        </w:tc>
        <w:tc>
          <w:tcPr>
            <w:tcW w:w="2301" w:type="dxa"/>
            <w:tcBorders>
              <w:top w:val="nil"/>
              <w:left w:val="nil"/>
              <w:bottom w:val="nil"/>
              <w:right w:val="nil"/>
            </w:tcBorders>
            <w:vAlign w:val="center"/>
          </w:tcPr>
          <w:p w14:paraId="06297ABF" w14:textId="77777777" w:rsidR="00A529B7" w:rsidRPr="00A529B7" w:rsidRDefault="00A529B7" w:rsidP="00AD71B5">
            <w:pPr>
              <w:jc w:val="center"/>
              <w:rPr>
                <w:szCs w:val="20"/>
              </w:rPr>
            </w:pPr>
          </w:p>
        </w:tc>
        <w:tc>
          <w:tcPr>
            <w:tcW w:w="2302" w:type="dxa"/>
            <w:tcBorders>
              <w:top w:val="nil"/>
              <w:left w:val="nil"/>
              <w:bottom w:val="nil"/>
              <w:right w:val="nil"/>
            </w:tcBorders>
            <w:vAlign w:val="center"/>
          </w:tcPr>
          <w:p w14:paraId="0056A22B" w14:textId="77777777" w:rsidR="00A529B7" w:rsidRPr="00A529B7" w:rsidRDefault="00A529B7" w:rsidP="00AD71B5">
            <w:pPr>
              <w:jc w:val="center"/>
              <w:rPr>
                <w:szCs w:val="20"/>
              </w:rPr>
            </w:pPr>
          </w:p>
          <w:p w14:paraId="1698089E" w14:textId="77777777" w:rsidR="00A529B7" w:rsidRPr="00A529B7" w:rsidRDefault="00A529B7" w:rsidP="00AD71B5">
            <w:pPr>
              <w:jc w:val="center"/>
              <w:rPr>
                <w:szCs w:val="20"/>
              </w:rPr>
            </w:pPr>
            <w:r w:rsidRPr="00A529B7">
              <w:rPr>
                <w:noProof/>
                <w:szCs w:val="20"/>
                <w:highlight w:val="yellow"/>
              </w:rPr>
              <mc:AlternateContent>
                <mc:Choice Requires="wps">
                  <w:drawing>
                    <wp:anchor distT="0" distB="0" distL="114300" distR="114300" simplePos="0" relativeHeight="251658268" behindDoc="0" locked="0" layoutInCell="1" allowOverlap="1" wp14:anchorId="451AFD6D" wp14:editId="377927F3">
                      <wp:simplePos x="0" y="0"/>
                      <wp:positionH relativeFrom="column">
                        <wp:posOffset>612775</wp:posOffset>
                      </wp:positionH>
                      <wp:positionV relativeFrom="paragraph">
                        <wp:posOffset>180340</wp:posOffset>
                      </wp:positionV>
                      <wp:extent cx="1905" cy="228600"/>
                      <wp:effectExtent l="130175" t="91440" r="147320" b="124460"/>
                      <wp:wrapNone/>
                      <wp:docPr id="54" name="Connecteur droit 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05" cy="228600"/>
                              </a:xfrm>
                              <a:prstGeom prst="line">
                                <a:avLst/>
                              </a:prstGeom>
                              <a:noFill/>
                              <a:ln w="9525">
                                <a:solidFill>
                                  <a:srgbClr val="000000"/>
                                </a:solidFill>
                                <a:round/>
                                <a:headEnd/>
                                <a:tailEnd type="triangle" w="med" len="med"/>
                              </a:ln>
                              <a:effectLst>
                                <a:outerShdw blurRad="63500" dist="26940" dir="5400000" algn="ctr" rotWithShape="0">
                                  <a:srgbClr val="000000">
                                    <a:alpha val="35001"/>
                                  </a:srgbClr>
                                </a:outerShdw>
                              </a:effectLst>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line w14:anchorId="6C29735A" id="Connecteur droit 54" o:spid="_x0000_s1026" style="position:absolute;z-index:2516582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8.25pt,14.2pt" to="48.4pt,3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">
                      <v:stroke endarrow="block"/>
                      <v:shadow on="t" color="black" opacity="22938f" offset="0,.74833mm"/>
                    </v:line>
                  </w:pict>
                </mc:Fallback>
              </mc:AlternateContent>
            </w:r>
            <w:r w:rsidRPr="00A529B7">
              <w:rPr>
                <w:szCs w:val="20"/>
              </w:rPr>
              <w:t>Ebavurage</w:t>
            </w:r>
          </w:p>
        </w:tc>
        <w:tc>
          <w:tcPr>
            <w:tcW w:w="2302" w:type="dxa"/>
            <w:tcBorders>
              <w:top w:val="nil"/>
              <w:left w:val="nil"/>
              <w:bottom w:val="nil"/>
              <w:right w:val="nil"/>
            </w:tcBorders>
            <w:vAlign w:val="center"/>
          </w:tcPr>
          <w:p w14:paraId="618F4354" w14:textId="77777777" w:rsidR="00A529B7" w:rsidRPr="00A529B7" w:rsidRDefault="00A529B7" w:rsidP="00AD71B5">
            <w:pPr>
              <w:jc w:val="center"/>
              <w:rPr>
                <w:szCs w:val="20"/>
              </w:rPr>
            </w:pPr>
          </w:p>
        </w:tc>
      </w:tr>
      <w:tr w:rsidR="00A529B7" w:rsidRPr="00A529B7" w14:paraId="14DF9A9B" w14:textId="77777777" w:rsidTr="00AD71B5">
        <w:tc>
          <w:tcPr>
            <w:tcW w:w="2301" w:type="dxa"/>
            <w:tcBorders>
              <w:top w:val="nil"/>
              <w:left w:val="nil"/>
              <w:bottom w:val="nil"/>
              <w:right w:val="nil"/>
            </w:tcBorders>
            <w:vAlign w:val="center"/>
          </w:tcPr>
          <w:p w14:paraId="190EB810" w14:textId="77777777" w:rsidR="00A529B7" w:rsidRPr="00A529B7" w:rsidRDefault="00A529B7" w:rsidP="00AD71B5">
            <w:pPr>
              <w:jc w:val="center"/>
              <w:rPr>
                <w:szCs w:val="20"/>
              </w:rPr>
            </w:pPr>
          </w:p>
        </w:tc>
        <w:tc>
          <w:tcPr>
            <w:tcW w:w="2301" w:type="dxa"/>
            <w:tcBorders>
              <w:top w:val="nil"/>
              <w:left w:val="nil"/>
              <w:bottom w:val="nil"/>
              <w:right w:val="nil"/>
            </w:tcBorders>
            <w:vAlign w:val="center"/>
          </w:tcPr>
          <w:p w14:paraId="64B80179" w14:textId="77777777" w:rsidR="00A529B7" w:rsidRPr="00A529B7" w:rsidRDefault="00A529B7" w:rsidP="00AD71B5">
            <w:pPr>
              <w:jc w:val="center"/>
              <w:rPr>
                <w:szCs w:val="20"/>
              </w:rPr>
            </w:pPr>
          </w:p>
        </w:tc>
        <w:tc>
          <w:tcPr>
            <w:tcW w:w="2302" w:type="dxa"/>
            <w:tcBorders>
              <w:top w:val="nil"/>
              <w:left w:val="nil"/>
              <w:bottom w:val="nil"/>
              <w:right w:val="nil"/>
            </w:tcBorders>
            <w:vAlign w:val="center"/>
          </w:tcPr>
          <w:p w14:paraId="021D59A0" w14:textId="77777777" w:rsidR="00A529B7" w:rsidRPr="00A529B7" w:rsidRDefault="00A529B7" w:rsidP="00AD71B5">
            <w:pPr>
              <w:jc w:val="center"/>
              <w:rPr>
                <w:szCs w:val="20"/>
              </w:rPr>
            </w:pPr>
          </w:p>
          <w:p w14:paraId="3B03FA5C" w14:textId="77777777" w:rsidR="00A529B7" w:rsidRPr="00A529B7" w:rsidRDefault="00A529B7" w:rsidP="00AD71B5">
            <w:pPr>
              <w:jc w:val="center"/>
              <w:rPr>
                <w:szCs w:val="20"/>
              </w:rPr>
            </w:pPr>
            <w:r w:rsidRPr="00A529B7">
              <w:rPr>
                <w:noProof/>
                <w:szCs w:val="20"/>
                <w:lang w:eastAsia="ja-JP"/>
              </w:rPr>
              <w:t>Nettoyage</w:t>
            </w:r>
          </w:p>
          <w:p w14:paraId="22A86DD9" w14:textId="77777777" w:rsidR="00A529B7" w:rsidRPr="00A529B7" w:rsidRDefault="00A529B7" w:rsidP="00AD71B5">
            <w:pPr>
              <w:jc w:val="center"/>
              <w:rPr>
                <w:szCs w:val="20"/>
              </w:rPr>
            </w:pPr>
            <w:r w:rsidRPr="00A529B7">
              <w:rPr>
                <w:noProof/>
                <w:szCs w:val="20"/>
              </w:rPr>
              <mc:AlternateContent>
                <mc:Choice Requires="wps">
                  <w:drawing>
                    <wp:anchor distT="0" distB="0" distL="114300" distR="114300" simplePos="0" relativeHeight="251658248" behindDoc="0" locked="0" layoutInCell="1" allowOverlap="1" wp14:anchorId="3DFE5797" wp14:editId="61730C2D">
                      <wp:simplePos x="0" y="0"/>
                      <wp:positionH relativeFrom="column">
                        <wp:posOffset>612775</wp:posOffset>
                      </wp:positionH>
                      <wp:positionV relativeFrom="paragraph">
                        <wp:posOffset>50800</wp:posOffset>
                      </wp:positionV>
                      <wp:extent cx="1905" cy="228600"/>
                      <wp:effectExtent l="130175" t="88900" r="147320" b="127000"/>
                      <wp:wrapNone/>
                      <wp:docPr id="53" name="Connecteur droit 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05" cy="228600"/>
                              </a:xfrm>
                              <a:prstGeom prst="line">
                                <a:avLst/>
                              </a:prstGeom>
                              <a:noFill/>
                              <a:ln w="9525">
                                <a:solidFill>
                                  <a:srgbClr val="000000"/>
                                </a:solidFill>
                                <a:round/>
                                <a:headEnd/>
                                <a:tailEnd type="triangle" w="med" len="med"/>
                              </a:ln>
                              <a:effectLst>
                                <a:outerShdw blurRad="63500" dist="26940" dir="5400000" algn="ctr" rotWithShape="0">
                                  <a:srgbClr val="000000">
                                    <a:alpha val="35001"/>
                                  </a:srgbClr>
                                </a:outerShdw>
                              </a:effectLst>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line w14:anchorId="2007B34D" id="Connecteur droit 53" o:spid="_x0000_s1026" style="position:absolute;z-index:251658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8.25pt,4pt" to="48.4pt,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">
                      <v:stroke endarrow="block"/>
                      <v:shadow on="t" color="black" opacity="22938f" offset="0,.74833mm"/>
                    </v:line>
                  </w:pict>
                </mc:Fallback>
              </mc:AlternateContent>
            </w:r>
          </w:p>
        </w:tc>
        <w:tc>
          <w:tcPr>
            <w:tcW w:w="2302" w:type="dxa"/>
            <w:tcBorders>
              <w:top w:val="nil"/>
              <w:left w:val="nil"/>
              <w:bottom w:val="nil"/>
              <w:right w:val="nil"/>
            </w:tcBorders>
            <w:vAlign w:val="center"/>
          </w:tcPr>
          <w:p w14:paraId="328AE0D2" w14:textId="77777777" w:rsidR="00A529B7" w:rsidRPr="00A529B7" w:rsidRDefault="00A529B7" w:rsidP="00AD71B5">
            <w:pPr>
              <w:jc w:val="center"/>
              <w:rPr>
                <w:szCs w:val="20"/>
              </w:rPr>
            </w:pPr>
          </w:p>
        </w:tc>
      </w:tr>
      <w:tr w:rsidR="00A529B7" w:rsidRPr="00A529B7" w14:paraId="5B736F1B" w14:textId="77777777" w:rsidTr="00AD71B5">
        <w:tc>
          <w:tcPr>
            <w:tcW w:w="2301" w:type="dxa"/>
            <w:tcBorders>
              <w:top w:val="nil"/>
              <w:left w:val="nil"/>
              <w:bottom w:val="nil"/>
              <w:right w:val="nil"/>
            </w:tcBorders>
            <w:vAlign w:val="center"/>
          </w:tcPr>
          <w:p w14:paraId="613AD644" w14:textId="77777777" w:rsidR="00A529B7" w:rsidRPr="00A529B7" w:rsidRDefault="00A529B7" w:rsidP="00AD71B5">
            <w:pPr>
              <w:jc w:val="center"/>
              <w:rPr>
                <w:szCs w:val="20"/>
              </w:rPr>
            </w:pPr>
          </w:p>
          <w:p w14:paraId="293AE41E" w14:textId="77777777" w:rsidR="00A529B7" w:rsidRPr="00A529B7" w:rsidRDefault="00A529B7" w:rsidP="00AD71B5">
            <w:pPr>
              <w:jc w:val="center"/>
              <w:rPr>
                <w:szCs w:val="20"/>
              </w:rPr>
            </w:pPr>
            <w:r w:rsidRPr="00A529B7">
              <w:rPr>
                <w:szCs w:val="20"/>
              </w:rPr>
              <w:t>Polissage</w:t>
            </w:r>
          </w:p>
          <w:p w14:paraId="534E1E93" w14:textId="77777777" w:rsidR="00A529B7" w:rsidRPr="00A529B7" w:rsidRDefault="00A529B7" w:rsidP="00AD71B5">
            <w:pPr>
              <w:jc w:val="center"/>
              <w:rPr>
                <w:szCs w:val="20"/>
              </w:rPr>
            </w:pPr>
            <w:r w:rsidRPr="00A529B7">
              <w:rPr>
                <w:noProof/>
                <w:szCs w:val="20"/>
              </w:rPr>
              <mc:AlternateContent>
                <mc:Choice Requires="wps">
                  <w:drawing>
                    <wp:anchor distT="0" distB="0" distL="114300" distR="114300" simplePos="0" relativeHeight="251658259" behindDoc="0" locked="0" layoutInCell="1" allowOverlap="1" wp14:anchorId="15A70FC3" wp14:editId="45147784">
                      <wp:simplePos x="0" y="0"/>
                      <wp:positionH relativeFrom="column">
                        <wp:posOffset>683895</wp:posOffset>
                      </wp:positionH>
                      <wp:positionV relativeFrom="paragraph">
                        <wp:posOffset>67945</wp:posOffset>
                      </wp:positionV>
                      <wp:extent cx="0" cy="1900555"/>
                      <wp:effectExtent l="125095" t="93345" r="154305" b="139700"/>
                      <wp:wrapNone/>
                      <wp:docPr id="52" name="Connecteur droit 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900555"/>
                              </a:xfrm>
                              <a:prstGeom prst="line">
                                <a:avLst/>
                              </a:prstGeom>
                              <a:noFill/>
                              <a:ln w="9525">
                                <a:solidFill>
                                  <a:srgbClr val="000000"/>
                                </a:solidFill>
                                <a:round/>
                                <a:headEnd/>
                                <a:tailEnd type="triangle" w="med" len="med"/>
                              </a:ln>
                              <a:effectLst>
                                <a:outerShdw blurRad="63500" dist="26940" dir="5400000" algn="ctr" rotWithShape="0">
                                  <a:srgbClr val="000000">
                                    <a:alpha val="35001"/>
                                  </a:srgbClr>
                                </a:outerShdw>
                              </a:effectLst>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line w14:anchorId="36453281" id="Connecteur droit 52" o:spid="_x0000_s1026" style="position:absolute;z-index:25165825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3.85pt,5.35pt" to="53.85pt,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">
                      <v:stroke endarrow="block"/>
                      <v:shadow on="t" color="black" opacity="22938f" offset="0,.74833mm"/>
                    </v:line>
                  </w:pict>
                </mc:Fallback>
              </mc:AlternateContent>
            </w:r>
          </w:p>
        </w:tc>
        <w:tc>
          <w:tcPr>
            <w:tcW w:w="2301" w:type="dxa"/>
            <w:tcBorders>
              <w:top w:val="nil"/>
              <w:left w:val="nil"/>
              <w:bottom w:val="nil"/>
              <w:right w:val="nil"/>
            </w:tcBorders>
            <w:vAlign w:val="center"/>
          </w:tcPr>
          <w:p w14:paraId="76F7D8C6" w14:textId="77777777" w:rsidR="00A529B7" w:rsidRPr="00A529B7" w:rsidRDefault="00A529B7" w:rsidP="00AD71B5">
            <w:pPr>
              <w:jc w:val="center"/>
              <w:rPr>
                <w:szCs w:val="20"/>
              </w:rPr>
            </w:pPr>
          </w:p>
          <w:p w14:paraId="1D4408EF" w14:textId="77777777" w:rsidR="00A529B7" w:rsidRPr="00A529B7" w:rsidRDefault="00A529B7" w:rsidP="00AD71B5">
            <w:pPr>
              <w:jc w:val="center"/>
              <w:rPr>
                <w:szCs w:val="20"/>
              </w:rPr>
            </w:pPr>
            <w:r w:rsidRPr="00A529B7">
              <w:rPr>
                <w:noProof/>
                <w:szCs w:val="20"/>
              </w:rPr>
              <mc:AlternateContent>
                <mc:Choice Requires="wps">
                  <w:drawing>
                    <wp:anchor distT="0" distB="0" distL="114300" distR="114300" simplePos="0" relativeHeight="251658267" behindDoc="0" locked="0" layoutInCell="1" allowOverlap="1" wp14:anchorId="3D39EE53" wp14:editId="7278CB27">
                      <wp:simplePos x="0" y="0"/>
                      <wp:positionH relativeFrom="column">
                        <wp:posOffset>594360</wp:posOffset>
                      </wp:positionH>
                      <wp:positionV relativeFrom="paragraph">
                        <wp:posOffset>200025</wp:posOffset>
                      </wp:positionV>
                      <wp:extent cx="1905" cy="228600"/>
                      <wp:effectExtent l="124460" t="85725" r="153035" b="130175"/>
                      <wp:wrapNone/>
                      <wp:docPr id="51" name="Connecteur droit 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05" cy="228600"/>
                              </a:xfrm>
                              <a:prstGeom prst="line">
                                <a:avLst/>
                              </a:prstGeom>
                              <a:noFill/>
                              <a:ln w="9525">
                                <a:solidFill>
                                  <a:srgbClr val="000000"/>
                                </a:solidFill>
                                <a:round/>
                                <a:headEnd/>
                                <a:tailEnd type="triangle" w="med" len="med"/>
                              </a:ln>
                              <a:effectLst>
                                <a:outerShdw blurRad="63500" dist="26940" dir="5400000" algn="ctr" rotWithShape="0">
                                  <a:srgbClr val="000000">
                                    <a:alpha val="35001"/>
                                  </a:srgbClr>
                                </a:outerShdw>
                              </a:effectLst>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line w14:anchorId="4F0EEA23" id="Connecteur droit 51" o:spid="_x0000_s1026" style="position:absolute;z-index:25165826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6.8pt,15.75pt" to="46.95pt,3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">
                      <v:stroke endarrow="block"/>
                      <v:shadow on="t" color="black" opacity="22938f" offset="0,.74833mm"/>
                    </v:line>
                  </w:pict>
                </mc:Fallback>
              </mc:AlternateContent>
            </w:r>
            <w:r w:rsidRPr="00A529B7">
              <w:rPr>
                <w:szCs w:val="20"/>
              </w:rPr>
              <w:t>Polissage</w:t>
            </w:r>
          </w:p>
        </w:tc>
        <w:tc>
          <w:tcPr>
            <w:tcW w:w="2302" w:type="dxa"/>
            <w:tcBorders>
              <w:top w:val="nil"/>
              <w:left w:val="nil"/>
              <w:bottom w:val="nil"/>
              <w:right w:val="nil"/>
            </w:tcBorders>
            <w:vAlign w:val="center"/>
          </w:tcPr>
          <w:p w14:paraId="56178CF8" w14:textId="77777777" w:rsidR="00A529B7" w:rsidRPr="00A529B7" w:rsidRDefault="00A529B7" w:rsidP="00AD71B5">
            <w:pPr>
              <w:jc w:val="center"/>
              <w:rPr>
                <w:szCs w:val="20"/>
              </w:rPr>
            </w:pPr>
          </w:p>
          <w:p w14:paraId="6087DF42" w14:textId="77777777" w:rsidR="00A529B7" w:rsidRPr="00A529B7" w:rsidRDefault="00A529B7" w:rsidP="00AD71B5">
            <w:pPr>
              <w:jc w:val="center"/>
              <w:rPr>
                <w:szCs w:val="20"/>
              </w:rPr>
            </w:pPr>
            <w:r w:rsidRPr="00A529B7">
              <w:rPr>
                <w:szCs w:val="20"/>
              </w:rPr>
              <w:t>Polissage</w:t>
            </w:r>
          </w:p>
          <w:p w14:paraId="578CC6A9" w14:textId="77777777" w:rsidR="00A529B7" w:rsidRPr="00A529B7" w:rsidRDefault="00A529B7" w:rsidP="00AD71B5">
            <w:pPr>
              <w:jc w:val="center"/>
              <w:rPr>
                <w:szCs w:val="20"/>
              </w:rPr>
            </w:pPr>
            <w:r w:rsidRPr="00A529B7">
              <w:rPr>
                <w:noProof/>
                <w:szCs w:val="20"/>
              </w:rPr>
              <mc:AlternateContent>
                <mc:Choice Requires="wps">
                  <w:drawing>
                    <wp:anchor distT="0" distB="0" distL="114300" distR="114300" simplePos="0" relativeHeight="251658265" behindDoc="0" locked="0" layoutInCell="1" allowOverlap="1" wp14:anchorId="1F1691AE" wp14:editId="3FDF7316">
                      <wp:simplePos x="0" y="0"/>
                      <wp:positionH relativeFrom="column">
                        <wp:posOffset>617220</wp:posOffset>
                      </wp:positionH>
                      <wp:positionV relativeFrom="paragraph">
                        <wp:posOffset>39370</wp:posOffset>
                      </wp:positionV>
                      <wp:extent cx="1905" cy="228600"/>
                      <wp:effectExtent l="121920" t="90170" r="155575" b="138430"/>
                      <wp:wrapNone/>
                      <wp:docPr id="50" name="Connecteur droit 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05" cy="228600"/>
                              </a:xfrm>
                              <a:prstGeom prst="line">
                                <a:avLst/>
                              </a:prstGeom>
                              <a:noFill/>
                              <a:ln w="9525">
                                <a:solidFill>
                                  <a:srgbClr val="000000"/>
                                </a:solidFill>
                                <a:round/>
                                <a:headEnd/>
                                <a:tailEnd type="triangle" w="med" len="med"/>
                              </a:ln>
                              <a:effectLst>
                                <a:outerShdw blurRad="63500" dist="26940" dir="5400000" algn="ctr" rotWithShape="0">
                                  <a:srgbClr val="000000">
                                    <a:alpha val="35001"/>
                                  </a:srgbClr>
                                </a:outerShdw>
                              </a:effectLst>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line w14:anchorId="51DA0D0A" id="Connecteur droit 50" o:spid="_x0000_s1026" style="position:absolute;z-index:25165826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8.6pt,3.1pt" to="48.75pt,2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">
                      <v:stroke endarrow="block"/>
                      <v:shadow on="t" color="black" opacity="22938f" offset="0,.74833mm"/>
                    </v:line>
                  </w:pict>
                </mc:Fallback>
              </mc:AlternateContent>
            </w:r>
          </w:p>
        </w:tc>
        <w:tc>
          <w:tcPr>
            <w:tcW w:w="2302" w:type="dxa"/>
            <w:tcBorders>
              <w:top w:val="nil"/>
              <w:left w:val="nil"/>
              <w:bottom w:val="nil"/>
              <w:right w:val="nil"/>
            </w:tcBorders>
            <w:vAlign w:val="center"/>
          </w:tcPr>
          <w:p w14:paraId="4EAE1982" w14:textId="77777777" w:rsidR="00A529B7" w:rsidRPr="00A529B7" w:rsidRDefault="00A529B7" w:rsidP="00AD71B5">
            <w:pPr>
              <w:jc w:val="center"/>
              <w:rPr>
                <w:szCs w:val="20"/>
              </w:rPr>
            </w:pPr>
          </w:p>
          <w:p w14:paraId="08158172" w14:textId="77777777" w:rsidR="00A529B7" w:rsidRPr="00A529B7" w:rsidRDefault="00A529B7" w:rsidP="00AD71B5">
            <w:pPr>
              <w:jc w:val="center"/>
              <w:rPr>
                <w:szCs w:val="20"/>
              </w:rPr>
            </w:pPr>
            <w:r w:rsidRPr="00A529B7">
              <w:rPr>
                <w:szCs w:val="20"/>
              </w:rPr>
              <w:t>Polissage</w:t>
            </w:r>
          </w:p>
          <w:p w14:paraId="3C13B780" w14:textId="77777777" w:rsidR="00A529B7" w:rsidRPr="00A529B7" w:rsidRDefault="00A529B7" w:rsidP="00AD71B5">
            <w:pPr>
              <w:jc w:val="center"/>
              <w:rPr>
                <w:szCs w:val="20"/>
              </w:rPr>
            </w:pPr>
            <w:r w:rsidRPr="00A529B7">
              <w:rPr>
                <w:noProof/>
                <w:szCs w:val="20"/>
              </w:rPr>
              <mc:AlternateContent>
                <mc:Choice Requires="wps">
                  <w:drawing>
                    <wp:anchor distT="0" distB="0" distL="114300" distR="114300" simplePos="0" relativeHeight="251658263" behindDoc="0" locked="0" layoutInCell="1" allowOverlap="1" wp14:anchorId="7A4EF9A4" wp14:editId="42CC02F0">
                      <wp:simplePos x="0" y="0"/>
                      <wp:positionH relativeFrom="column">
                        <wp:posOffset>640080</wp:posOffset>
                      </wp:positionH>
                      <wp:positionV relativeFrom="paragraph">
                        <wp:posOffset>39370</wp:posOffset>
                      </wp:positionV>
                      <wp:extent cx="5080" cy="2066290"/>
                      <wp:effectExtent l="119380" t="90170" r="154940" b="129540"/>
                      <wp:wrapNone/>
                      <wp:docPr id="49" name="Connecteur droit 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80" cy="2066290"/>
                              </a:xfrm>
                              <a:prstGeom prst="line">
                                <a:avLst/>
                              </a:prstGeom>
                              <a:noFill/>
                              <a:ln w="9525">
                                <a:solidFill>
                                  <a:srgbClr val="000000"/>
                                </a:solidFill>
                                <a:round/>
                                <a:headEnd/>
                                <a:tailEnd type="triangle" w="med" len="med"/>
                              </a:ln>
                              <a:effectLst>
                                <a:outerShdw blurRad="63500" dist="26940" dir="5400000" algn="ctr" rotWithShape="0">
                                  <a:srgbClr val="000000">
                                    <a:alpha val="35001"/>
                                  </a:srgbClr>
                                </a:outerShdw>
                              </a:effectLst>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line w14:anchorId="6CB1FFE8" id="Connecteur droit 49" o:spid="_x0000_s1026" style="position:absolute;z-index:25165826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0.4pt,3.1pt" to="50.8pt,16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">
                      <v:stroke endarrow="block"/>
                      <v:shadow on="t" color="black" opacity="22938f" offset="0,.74833mm"/>
                    </v:line>
                  </w:pict>
                </mc:Fallback>
              </mc:AlternateContent>
            </w:r>
          </w:p>
        </w:tc>
      </w:tr>
      <w:tr w:rsidR="00A529B7" w:rsidRPr="00A529B7" w14:paraId="19C1361A" w14:textId="77777777" w:rsidTr="00AD71B5">
        <w:tc>
          <w:tcPr>
            <w:tcW w:w="2301" w:type="dxa"/>
            <w:tcBorders>
              <w:top w:val="nil"/>
              <w:left w:val="nil"/>
              <w:bottom w:val="nil"/>
              <w:right w:val="nil"/>
            </w:tcBorders>
            <w:vAlign w:val="center"/>
          </w:tcPr>
          <w:p w14:paraId="767A5531" w14:textId="77777777" w:rsidR="00A529B7" w:rsidRPr="00A529B7" w:rsidRDefault="00A529B7" w:rsidP="00AD71B5">
            <w:pPr>
              <w:jc w:val="center"/>
              <w:rPr>
                <w:szCs w:val="20"/>
              </w:rPr>
            </w:pPr>
          </w:p>
        </w:tc>
        <w:tc>
          <w:tcPr>
            <w:tcW w:w="2301" w:type="dxa"/>
            <w:tcBorders>
              <w:top w:val="nil"/>
              <w:left w:val="nil"/>
              <w:bottom w:val="nil"/>
              <w:right w:val="nil"/>
            </w:tcBorders>
            <w:vAlign w:val="center"/>
          </w:tcPr>
          <w:p w14:paraId="4E2338B4" w14:textId="77777777" w:rsidR="00A529B7" w:rsidRPr="00A529B7" w:rsidRDefault="00A529B7" w:rsidP="00AD71B5">
            <w:pPr>
              <w:jc w:val="center"/>
              <w:rPr>
                <w:szCs w:val="20"/>
              </w:rPr>
            </w:pPr>
          </w:p>
          <w:p w14:paraId="38432DA1" w14:textId="77777777" w:rsidR="00A529B7" w:rsidRPr="00A529B7" w:rsidRDefault="00A529B7" w:rsidP="00AD71B5">
            <w:pPr>
              <w:jc w:val="center"/>
              <w:rPr>
                <w:szCs w:val="20"/>
              </w:rPr>
            </w:pPr>
            <w:r w:rsidRPr="00A529B7">
              <w:rPr>
                <w:noProof/>
                <w:szCs w:val="20"/>
                <w:lang w:eastAsia="ja-JP"/>
              </w:rPr>
              <w:t>Nettoyage</w:t>
            </w:r>
          </w:p>
          <w:p w14:paraId="043A43F9" w14:textId="77777777" w:rsidR="00A529B7" w:rsidRPr="00A529B7" w:rsidRDefault="00A529B7" w:rsidP="00AD71B5">
            <w:pPr>
              <w:jc w:val="center"/>
              <w:rPr>
                <w:szCs w:val="20"/>
              </w:rPr>
            </w:pPr>
            <w:r w:rsidRPr="00A529B7">
              <w:rPr>
                <w:noProof/>
                <w:szCs w:val="20"/>
              </w:rPr>
              <mc:AlternateContent>
                <mc:Choice Requires="wps">
                  <w:drawing>
                    <wp:anchor distT="0" distB="0" distL="114300" distR="114300" simplePos="0" relativeHeight="251658250" behindDoc="0" locked="0" layoutInCell="1" allowOverlap="1" wp14:anchorId="27997C7E" wp14:editId="4649B64E">
                      <wp:simplePos x="0" y="0"/>
                      <wp:positionH relativeFrom="column">
                        <wp:posOffset>596265</wp:posOffset>
                      </wp:positionH>
                      <wp:positionV relativeFrom="paragraph">
                        <wp:posOffset>85090</wp:posOffset>
                      </wp:positionV>
                      <wp:extent cx="0" cy="914400"/>
                      <wp:effectExtent l="126365" t="85090" r="153035" b="143510"/>
                      <wp:wrapNone/>
                      <wp:docPr id="48" name="Connecteur droit 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914400"/>
                              </a:xfrm>
                              <a:prstGeom prst="line">
                                <a:avLst/>
                              </a:prstGeom>
                              <a:noFill/>
                              <a:ln w="9525">
                                <a:solidFill>
                                  <a:srgbClr val="000000"/>
                                </a:solidFill>
                                <a:round/>
                                <a:headEnd/>
                                <a:tailEnd type="triangle" w="med" len="med"/>
                              </a:ln>
                              <a:effectLst>
                                <a:outerShdw blurRad="63500" dist="26940" dir="5400000" algn="ctr" rotWithShape="0">
                                  <a:srgbClr val="000000">
                                    <a:alpha val="35001"/>
                                  </a:srgbClr>
                                </a:outerShdw>
                              </a:effectLst>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line w14:anchorId="6BA89AC9" id="Connecteur droit 48" o:spid="_x0000_s1026" style="position:absolute;z-index:25165825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6.95pt,6.7pt" to="46.95pt,78.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">
                      <v:stroke endarrow="block"/>
                      <v:shadow on="t" color="black" opacity="22938f" offset="0,.74833mm"/>
                    </v:line>
                  </w:pict>
                </mc:Fallback>
              </mc:AlternateContent>
            </w:r>
          </w:p>
        </w:tc>
        <w:tc>
          <w:tcPr>
            <w:tcW w:w="2302" w:type="dxa"/>
            <w:tcBorders>
              <w:top w:val="nil"/>
              <w:left w:val="nil"/>
              <w:bottom w:val="nil"/>
              <w:right w:val="nil"/>
            </w:tcBorders>
            <w:vAlign w:val="center"/>
          </w:tcPr>
          <w:p w14:paraId="4A4E49B3" w14:textId="77777777" w:rsidR="00A529B7" w:rsidRPr="00A529B7" w:rsidRDefault="00A529B7" w:rsidP="00AD71B5">
            <w:pPr>
              <w:jc w:val="center"/>
              <w:rPr>
                <w:szCs w:val="20"/>
              </w:rPr>
            </w:pPr>
          </w:p>
          <w:p w14:paraId="386E323E" w14:textId="77777777" w:rsidR="00A529B7" w:rsidRPr="00A529B7" w:rsidRDefault="00A529B7" w:rsidP="00AD71B5">
            <w:pPr>
              <w:jc w:val="center"/>
              <w:rPr>
                <w:szCs w:val="20"/>
              </w:rPr>
            </w:pPr>
            <w:r w:rsidRPr="00A529B7">
              <w:rPr>
                <w:noProof/>
                <w:szCs w:val="20"/>
                <w:lang w:eastAsia="ja-JP"/>
              </w:rPr>
              <w:t>Nettoyage</w:t>
            </w:r>
          </w:p>
          <w:p w14:paraId="768A42AC" w14:textId="77777777" w:rsidR="00A529B7" w:rsidRPr="00A529B7" w:rsidRDefault="00A529B7" w:rsidP="00AD71B5">
            <w:pPr>
              <w:jc w:val="center"/>
              <w:rPr>
                <w:szCs w:val="20"/>
              </w:rPr>
            </w:pPr>
            <w:r w:rsidRPr="00A529B7">
              <w:rPr>
                <w:noProof/>
                <w:szCs w:val="20"/>
              </w:rPr>
              <mc:AlternateContent>
                <mc:Choice Requires="wps">
                  <w:drawing>
                    <wp:anchor distT="0" distB="0" distL="114300" distR="114300" simplePos="0" relativeHeight="251658264" behindDoc="0" locked="0" layoutInCell="1" allowOverlap="1" wp14:anchorId="14E3A196" wp14:editId="7BBAA366">
                      <wp:simplePos x="0" y="0"/>
                      <wp:positionH relativeFrom="column">
                        <wp:posOffset>615315</wp:posOffset>
                      </wp:positionH>
                      <wp:positionV relativeFrom="paragraph">
                        <wp:posOffset>22225</wp:posOffset>
                      </wp:positionV>
                      <wp:extent cx="1905" cy="228600"/>
                      <wp:effectExtent l="120015" t="85725" r="157480" b="130175"/>
                      <wp:wrapNone/>
                      <wp:docPr id="47" name="Connecteur droit 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05" cy="228600"/>
                              </a:xfrm>
                              <a:prstGeom prst="line">
                                <a:avLst/>
                              </a:prstGeom>
                              <a:noFill/>
                              <a:ln w="9525">
                                <a:solidFill>
                                  <a:srgbClr val="000000"/>
                                </a:solidFill>
                                <a:round/>
                                <a:headEnd/>
                                <a:tailEnd type="triangle" w="med" len="med"/>
                              </a:ln>
                              <a:effectLst>
                                <a:outerShdw blurRad="63500" dist="26940" dir="5400000" algn="ctr" rotWithShape="0">
                                  <a:srgbClr val="000000">
                                    <a:alpha val="35001"/>
                                  </a:srgbClr>
                                </a:outerShdw>
                              </a:effectLst>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line w14:anchorId="47C6113B" id="Connecteur droit 47" o:spid="_x0000_s1026" style="position:absolute;z-index:251658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8.45pt,1.75pt" to="48.6pt,19.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">
                      <v:stroke endarrow="block"/>
                      <v:shadow on="t" color="black" opacity="22938f" offset="0,.74833mm"/>
                    </v:line>
                  </w:pict>
                </mc:Fallback>
              </mc:AlternateContent>
            </w:r>
          </w:p>
        </w:tc>
        <w:tc>
          <w:tcPr>
            <w:tcW w:w="2302" w:type="dxa"/>
            <w:tcBorders>
              <w:top w:val="nil"/>
              <w:left w:val="nil"/>
              <w:bottom w:val="nil"/>
              <w:right w:val="nil"/>
            </w:tcBorders>
            <w:vAlign w:val="center"/>
          </w:tcPr>
          <w:p w14:paraId="312CABA2" w14:textId="77777777" w:rsidR="00A529B7" w:rsidRPr="00A529B7" w:rsidRDefault="00A529B7" w:rsidP="00AD71B5">
            <w:pPr>
              <w:jc w:val="center"/>
              <w:rPr>
                <w:szCs w:val="20"/>
              </w:rPr>
            </w:pPr>
          </w:p>
        </w:tc>
      </w:tr>
      <w:tr w:rsidR="00A529B7" w:rsidRPr="00A529B7" w14:paraId="3164D988" w14:textId="77777777" w:rsidTr="00AD71B5">
        <w:tc>
          <w:tcPr>
            <w:tcW w:w="2301" w:type="dxa"/>
            <w:tcBorders>
              <w:top w:val="nil"/>
              <w:left w:val="nil"/>
              <w:bottom w:val="nil"/>
              <w:right w:val="nil"/>
            </w:tcBorders>
            <w:vAlign w:val="center"/>
          </w:tcPr>
          <w:p w14:paraId="24454B87" w14:textId="77777777" w:rsidR="00A529B7" w:rsidRPr="00A529B7" w:rsidRDefault="00A529B7" w:rsidP="00AD71B5">
            <w:pPr>
              <w:jc w:val="center"/>
              <w:rPr>
                <w:szCs w:val="20"/>
              </w:rPr>
            </w:pPr>
          </w:p>
        </w:tc>
        <w:tc>
          <w:tcPr>
            <w:tcW w:w="2301" w:type="dxa"/>
            <w:tcBorders>
              <w:top w:val="nil"/>
              <w:left w:val="nil"/>
              <w:bottom w:val="nil"/>
              <w:right w:val="nil"/>
            </w:tcBorders>
            <w:vAlign w:val="center"/>
          </w:tcPr>
          <w:p w14:paraId="116F49D8" w14:textId="77777777" w:rsidR="00A529B7" w:rsidRPr="00A529B7" w:rsidRDefault="00A529B7" w:rsidP="00AD71B5">
            <w:pPr>
              <w:jc w:val="center"/>
              <w:rPr>
                <w:szCs w:val="20"/>
              </w:rPr>
            </w:pPr>
          </w:p>
        </w:tc>
        <w:tc>
          <w:tcPr>
            <w:tcW w:w="2302" w:type="dxa"/>
            <w:tcBorders>
              <w:top w:val="nil"/>
              <w:left w:val="nil"/>
              <w:bottom w:val="nil"/>
              <w:right w:val="nil"/>
            </w:tcBorders>
            <w:vAlign w:val="center"/>
          </w:tcPr>
          <w:p w14:paraId="7570A81A" w14:textId="77777777" w:rsidR="00A529B7" w:rsidRPr="00A529B7" w:rsidRDefault="00A529B7" w:rsidP="00AD71B5">
            <w:pPr>
              <w:jc w:val="center"/>
              <w:rPr>
                <w:szCs w:val="20"/>
              </w:rPr>
            </w:pPr>
          </w:p>
          <w:p w14:paraId="7DEDD5F8" w14:textId="77777777" w:rsidR="00A529B7" w:rsidRPr="00A529B7" w:rsidRDefault="00A529B7" w:rsidP="00AD71B5">
            <w:pPr>
              <w:jc w:val="center"/>
              <w:rPr>
                <w:szCs w:val="20"/>
              </w:rPr>
            </w:pPr>
            <w:r w:rsidRPr="00A529B7">
              <w:rPr>
                <w:szCs w:val="20"/>
              </w:rPr>
              <w:t>Contrôle</w:t>
            </w:r>
          </w:p>
          <w:p w14:paraId="283673EC" w14:textId="77777777" w:rsidR="00A529B7" w:rsidRPr="00A529B7" w:rsidRDefault="00A529B7" w:rsidP="00AD71B5">
            <w:pPr>
              <w:jc w:val="center"/>
              <w:rPr>
                <w:szCs w:val="20"/>
              </w:rPr>
            </w:pPr>
            <w:r w:rsidRPr="00A529B7">
              <w:rPr>
                <w:noProof/>
                <w:szCs w:val="20"/>
              </w:rPr>
              <mc:AlternateContent>
                <mc:Choice Requires="wps">
                  <w:drawing>
                    <wp:anchor distT="0" distB="0" distL="114300" distR="114300" simplePos="0" relativeHeight="251658247" behindDoc="0" locked="0" layoutInCell="1" allowOverlap="1" wp14:anchorId="421B6AD4" wp14:editId="30DE1AB6">
                      <wp:simplePos x="0" y="0"/>
                      <wp:positionH relativeFrom="column">
                        <wp:posOffset>612775</wp:posOffset>
                      </wp:positionH>
                      <wp:positionV relativeFrom="paragraph">
                        <wp:posOffset>102235</wp:posOffset>
                      </wp:positionV>
                      <wp:extent cx="1905" cy="228600"/>
                      <wp:effectExtent l="130175" t="89535" r="147320" b="126365"/>
                      <wp:wrapNone/>
                      <wp:docPr id="46" name="Connecteur droit 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05" cy="228600"/>
                              </a:xfrm>
                              <a:prstGeom prst="line">
                                <a:avLst/>
                              </a:prstGeom>
                              <a:noFill/>
                              <a:ln w="9525">
                                <a:solidFill>
                                  <a:srgbClr val="000000"/>
                                </a:solidFill>
                                <a:round/>
                                <a:headEnd/>
                                <a:tailEnd type="triangle" w="med" len="med"/>
                              </a:ln>
                              <a:effectLst>
                                <a:outerShdw blurRad="63500" dist="26940" dir="5400000" algn="ctr" rotWithShape="0">
                                  <a:srgbClr val="000000">
                                    <a:alpha val="35001"/>
                                  </a:srgbClr>
                                </a:outerShdw>
                              </a:effectLst>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line w14:anchorId="79E13EB3" id="Connecteur droit 46" o:spid="_x0000_s1026" style="position:absolute;z-index:2516582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8.25pt,8.05pt" to="48.4pt,2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">
                      <v:stroke endarrow="block"/>
                      <v:shadow on="t" color="black" opacity="22938f" offset="0,.74833mm"/>
                    </v:line>
                  </w:pict>
                </mc:Fallback>
              </mc:AlternateContent>
            </w:r>
          </w:p>
        </w:tc>
        <w:tc>
          <w:tcPr>
            <w:tcW w:w="2302" w:type="dxa"/>
            <w:tcBorders>
              <w:top w:val="nil"/>
              <w:left w:val="nil"/>
              <w:bottom w:val="nil"/>
              <w:right w:val="nil"/>
            </w:tcBorders>
            <w:vAlign w:val="center"/>
          </w:tcPr>
          <w:p w14:paraId="4C09DCB5" w14:textId="77777777" w:rsidR="00A529B7" w:rsidRPr="00A529B7" w:rsidRDefault="00A529B7" w:rsidP="00AD71B5">
            <w:pPr>
              <w:jc w:val="center"/>
              <w:rPr>
                <w:szCs w:val="20"/>
              </w:rPr>
            </w:pPr>
          </w:p>
        </w:tc>
      </w:tr>
      <w:tr w:rsidR="00A529B7" w:rsidRPr="00A529B7" w14:paraId="79352A40" w14:textId="77777777" w:rsidTr="00AD71B5">
        <w:tc>
          <w:tcPr>
            <w:tcW w:w="2301" w:type="dxa"/>
            <w:tcBorders>
              <w:top w:val="nil"/>
              <w:left w:val="nil"/>
              <w:bottom w:val="nil"/>
              <w:right w:val="nil"/>
            </w:tcBorders>
            <w:vAlign w:val="center"/>
          </w:tcPr>
          <w:p w14:paraId="04F9FEB7" w14:textId="77777777" w:rsidR="00A529B7" w:rsidRPr="00A529B7" w:rsidRDefault="00A529B7" w:rsidP="00AD71B5">
            <w:pPr>
              <w:jc w:val="center"/>
              <w:rPr>
                <w:szCs w:val="20"/>
              </w:rPr>
            </w:pPr>
          </w:p>
        </w:tc>
        <w:tc>
          <w:tcPr>
            <w:tcW w:w="2301" w:type="dxa"/>
            <w:tcBorders>
              <w:top w:val="nil"/>
              <w:left w:val="nil"/>
              <w:bottom w:val="nil"/>
              <w:right w:val="nil"/>
            </w:tcBorders>
            <w:vAlign w:val="center"/>
          </w:tcPr>
          <w:p w14:paraId="05AD70D3" w14:textId="77777777" w:rsidR="00A529B7" w:rsidRPr="00A529B7" w:rsidRDefault="00A529B7" w:rsidP="00AD71B5">
            <w:pPr>
              <w:jc w:val="center"/>
              <w:rPr>
                <w:szCs w:val="20"/>
              </w:rPr>
            </w:pPr>
          </w:p>
        </w:tc>
        <w:tc>
          <w:tcPr>
            <w:tcW w:w="2302" w:type="dxa"/>
            <w:tcBorders>
              <w:top w:val="nil"/>
              <w:left w:val="nil"/>
              <w:bottom w:val="nil"/>
              <w:right w:val="nil"/>
            </w:tcBorders>
            <w:vAlign w:val="center"/>
          </w:tcPr>
          <w:p w14:paraId="69CE06EC" w14:textId="77777777" w:rsidR="00A529B7" w:rsidRPr="00A529B7" w:rsidRDefault="00A529B7" w:rsidP="00AD71B5">
            <w:pPr>
              <w:jc w:val="center"/>
              <w:rPr>
                <w:szCs w:val="20"/>
              </w:rPr>
            </w:pPr>
          </w:p>
          <w:p w14:paraId="1FEC7563" w14:textId="77777777" w:rsidR="00A529B7" w:rsidRPr="00A529B7" w:rsidRDefault="00A529B7" w:rsidP="00AD71B5">
            <w:pPr>
              <w:jc w:val="center"/>
              <w:rPr>
                <w:szCs w:val="20"/>
              </w:rPr>
            </w:pPr>
            <w:r w:rsidRPr="00A529B7">
              <w:rPr>
                <w:szCs w:val="20"/>
              </w:rPr>
              <w:t>Anodisation</w:t>
            </w:r>
          </w:p>
          <w:p w14:paraId="4D600EC9" w14:textId="77777777" w:rsidR="00A529B7" w:rsidRPr="00A529B7" w:rsidRDefault="00A529B7" w:rsidP="00AD71B5">
            <w:pPr>
              <w:jc w:val="center"/>
              <w:rPr>
                <w:szCs w:val="20"/>
              </w:rPr>
            </w:pPr>
          </w:p>
        </w:tc>
        <w:tc>
          <w:tcPr>
            <w:tcW w:w="2302" w:type="dxa"/>
            <w:tcBorders>
              <w:top w:val="nil"/>
              <w:left w:val="nil"/>
              <w:bottom w:val="nil"/>
              <w:right w:val="nil"/>
            </w:tcBorders>
            <w:vAlign w:val="center"/>
          </w:tcPr>
          <w:p w14:paraId="79241B38" w14:textId="77777777" w:rsidR="00A529B7" w:rsidRPr="00A529B7" w:rsidRDefault="00A529B7" w:rsidP="00AD71B5">
            <w:pPr>
              <w:jc w:val="center"/>
              <w:rPr>
                <w:szCs w:val="20"/>
              </w:rPr>
            </w:pPr>
          </w:p>
        </w:tc>
      </w:tr>
      <w:tr w:rsidR="00A529B7" w:rsidRPr="00A529B7" w14:paraId="04AD27CF" w14:textId="77777777" w:rsidTr="00AD71B5">
        <w:tc>
          <w:tcPr>
            <w:tcW w:w="2301" w:type="dxa"/>
            <w:tcBorders>
              <w:top w:val="nil"/>
              <w:left w:val="nil"/>
              <w:bottom w:val="nil"/>
              <w:right w:val="nil"/>
            </w:tcBorders>
            <w:vAlign w:val="center"/>
          </w:tcPr>
          <w:p w14:paraId="07A2E3A5" w14:textId="77777777" w:rsidR="00A529B7" w:rsidRPr="00A529B7" w:rsidRDefault="00A529B7" w:rsidP="00AD71B5">
            <w:pPr>
              <w:jc w:val="center"/>
              <w:rPr>
                <w:szCs w:val="20"/>
              </w:rPr>
            </w:pPr>
          </w:p>
        </w:tc>
        <w:tc>
          <w:tcPr>
            <w:tcW w:w="2301" w:type="dxa"/>
            <w:tcBorders>
              <w:top w:val="nil"/>
              <w:left w:val="nil"/>
              <w:bottom w:val="nil"/>
              <w:right w:val="nil"/>
            </w:tcBorders>
            <w:vAlign w:val="center"/>
          </w:tcPr>
          <w:p w14:paraId="0F03F74D" w14:textId="77777777" w:rsidR="00A529B7" w:rsidRPr="00A529B7" w:rsidRDefault="00A529B7" w:rsidP="00AD71B5">
            <w:pPr>
              <w:jc w:val="center"/>
              <w:rPr>
                <w:szCs w:val="20"/>
              </w:rPr>
            </w:pPr>
          </w:p>
          <w:p w14:paraId="26330DF4" w14:textId="77777777" w:rsidR="00A529B7" w:rsidRPr="00A529B7" w:rsidRDefault="00A529B7" w:rsidP="00AD71B5">
            <w:pPr>
              <w:jc w:val="center"/>
              <w:rPr>
                <w:szCs w:val="20"/>
              </w:rPr>
            </w:pPr>
            <w:r w:rsidRPr="00A529B7">
              <w:rPr>
                <w:noProof/>
                <w:szCs w:val="20"/>
              </w:rPr>
              <mc:AlternateContent>
                <mc:Choice Requires="wps">
                  <w:drawing>
                    <wp:anchor distT="0" distB="0" distL="114300" distR="114300" simplePos="0" relativeHeight="251658255" behindDoc="0" locked="0" layoutInCell="1" allowOverlap="1" wp14:anchorId="53B38DD6" wp14:editId="2A551CCA">
                      <wp:simplePos x="0" y="0"/>
                      <wp:positionH relativeFrom="column">
                        <wp:posOffset>596265</wp:posOffset>
                      </wp:positionH>
                      <wp:positionV relativeFrom="paragraph">
                        <wp:posOffset>144145</wp:posOffset>
                      </wp:positionV>
                      <wp:extent cx="1905" cy="228600"/>
                      <wp:effectExtent l="126365" t="93345" r="151130" b="135255"/>
                      <wp:wrapNone/>
                      <wp:docPr id="45" name="Connecteur droit 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05" cy="228600"/>
                              </a:xfrm>
                              <a:prstGeom prst="line">
                                <a:avLst/>
                              </a:prstGeom>
                              <a:noFill/>
                              <a:ln w="9525">
                                <a:solidFill>
                                  <a:srgbClr val="000000"/>
                                </a:solidFill>
                                <a:round/>
                                <a:headEnd/>
                                <a:tailEnd type="triangle" w="med" len="med"/>
                              </a:ln>
                              <a:effectLst>
                                <a:outerShdw blurRad="63500" dist="26940" dir="5400000" algn="ctr" rotWithShape="0">
                                  <a:srgbClr val="000000">
                                    <a:alpha val="35001"/>
                                  </a:srgbClr>
                                </a:outerShdw>
                              </a:effectLst>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line w14:anchorId="6E98E210" id="Connecteur droit 45" o:spid="_x0000_s1026" style="position:absolute;z-index:25165825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6.95pt,11.35pt" to="47.1pt,2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">
                      <v:stroke endarrow="block"/>
                      <v:shadow on="t" color="black" opacity="22938f" offset="0,.74833mm"/>
                    </v:line>
                  </w:pict>
                </mc:Fallback>
              </mc:AlternateContent>
            </w:r>
            <w:r w:rsidRPr="00A529B7">
              <w:rPr>
                <w:szCs w:val="20"/>
              </w:rPr>
              <w:t>Marquage Laser</w:t>
            </w:r>
          </w:p>
          <w:p w14:paraId="0FAB2056" w14:textId="77777777" w:rsidR="00A529B7" w:rsidRPr="00A529B7" w:rsidRDefault="00A529B7" w:rsidP="00AD71B5">
            <w:pPr>
              <w:jc w:val="center"/>
              <w:rPr>
                <w:szCs w:val="20"/>
              </w:rPr>
            </w:pPr>
          </w:p>
        </w:tc>
        <w:tc>
          <w:tcPr>
            <w:tcW w:w="2302" w:type="dxa"/>
            <w:tcBorders>
              <w:top w:val="nil"/>
              <w:left w:val="nil"/>
              <w:bottom w:val="nil"/>
              <w:right w:val="nil"/>
            </w:tcBorders>
            <w:vAlign w:val="center"/>
          </w:tcPr>
          <w:p w14:paraId="33043CCA" w14:textId="77777777" w:rsidR="00A529B7" w:rsidRPr="00A529B7" w:rsidRDefault="00A529B7" w:rsidP="00AD71B5">
            <w:pPr>
              <w:jc w:val="center"/>
              <w:rPr>
                <w:szCs w:val="20"/>
              </w:rPr>
            </w:pPr>
          </w:p>
          <w:p w14:paraId="449CD80A" w14:textId="77777777" w:rsidR="00A529B7" w:rsidRPr="00A529B7" w:rsidRDefault="00A529B7" w:rsidP="00AD71B5">
            <w:pPr>
              <w:jc w:val="center"/>
              <w:rPr>
                <w:szCs w:val="20"/>
              </w:rPr>
            </w:pPr>
            <w:r w:rsidRPr="00A529B7">
              <w:rPr>
                <w:szCs w:val="20"/>
              </w:rPr>
              <w:t>Marquage Laser</w:t>
            </w:r>
          </w:p>
          <w:p w14:paraId="5018DC7C" w14:textId="77777777" w:rsidR="00A529B7" w:rsidRPr="00A529B7" w:rsidRDefault="00A529B7" w:rsidP="00AD71B5">
            <w:pPr>
              <w:jc w:val="center"/>
              <w:rPr>
                <w:szCs w:val="20"/>
              </w:rPr>
            </w:pPr>
            <w:r w:rsidRPr="00A529B7">
              <w:rPr>
                <w:noProof/>
                <w:szCs w:val="20"/>
              </w:rPr>
              <mc:AlternateContent>
                <mc:Choice Requires="wps">
                  <w:drawing>
                    <wp:anchor distT="0" distB="0" distL="114300" distR="114300" simplePos="0" relativeHeight="251658266" behindDoc="0" locked="0" layoutInCell="1" allowOverlap="1" wp14:anchorId="1E3E4741" wp14:editId="5640423B">
                      <wp:simplePos x="0" y="0"/>
                      <wp:positionH relativeFrom="column">
                        <wp:posOffset>615315</wp:posOffset>
                      </wp:positionH>
                      <wp:positionV relativeFrom="paragraph">
                        <wp:posOffset>16510</wp:posOffset>
                      </wp:positionV>
                      <wp:extent cx="1905" cy="228600"/>
                      <wp:effectExtent l="120015" t="92710" r="157480" b="135890"/>
                      <wp:wrapNone/>
                      <wp:docPr id="44" name="Connecteur droit 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05" cy="228600"/>
                              </a:xfrm>
                              <a:prstGeom prst="line">
                                <a:avLst/>
                              </a:prstGeom>
                              <a:noFill/>
                              <a:ln w="9525">
                                <a:solidFill>
                                  <a:srgbClr val="000000"/>
                                </a:solidFill>
                                <a:round/>
                                <a:headEnd/>
                                <a:tailEnd type="triangle" w="med" len="med"/>
                              </a:ln>
                              <a:effectLst>
                                <a:outerShdw blurRad="63500" dist="26940" dir="5400000" algn="ctr" rotWithShape="0">
                                  <a:srgbClr val="000000">
                                    <a:alpha val="35001"/>
                                  </a:srgbClr>
                                </a:outerShdw>
                              </a:effectLst>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line w14:anchorId="4B5CC45C" id="Connecteur droit 44" o:spid="_x0000_s1026" style="position:absolute;z-index:25165826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8.45pt,1.3pt" to="48.6pt,1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">
                      <v:stroke endarrow="block"/>
                      <v:shadow on="t" color="black" opacity="22938f" offset="0,.74833mm"/>
                    </v:line>
                  </w:pict>
                </mc:Fallback>
              </mc:AlternateContent>
            </w:r>
          </w:p>
        </w:tc>
        <w:tc>
          <w:tcPr>
            <w:tcW w:w="2302" w:type="dxa"/>
            <w:tcBorders>
              <w:top w:val="nil"/>
              <w:left w:val="nil"/>
              <w:bottom w:val="nil"/>
              <w:right w:val="nil"/>
            </w:tcBorders>
            <w:vAlign w:val="center"/>
          </w:tcPr>
          <w:p w14:paraId="64CF6D9E" w14:textId="77777777" w:rsidR="00A529B7" w:rsidRPr="00A529B7" w:rsidRDefault="00A529B7" w:rsidP="00AD71B5">
            <w:pPr>
              <w:jc w:val="center"/>
              <w:rPr>
                <w:szCs w:val="20"/>
              </w:rPr>
            </w:pPr>
          </w:p>
        </w:tc>
      </w:tr>
      <w:tr w:rsidR="00A529B7" w:rsidRPr="00A529B7" w14:paraId="6164C0DB" w14:textId="77777777" w:rsidTr="00AD71B5">
        <w:tc>
          <w:tcPr>
            <w:tcW w:w="2301" w:type="dxa"/>
            <w:tcBorders>
              <w:top w:val="nil"/>
              <w:left w:val="nil"/>
              <w:bottom w:val="nil"/>
              <w:right w:val="nil"/>
            </w:tcBorders>
            <w:vAlign w:val="center"/>
          </w:tcPr>
          <w:p w14:paraId="01DCE8C6" w14:textId="77777777" w:rsidR="00A529B7" w:rsidRPr="00A529B7" w:rsidRDefault="00A529B7" w:rsidP="00AD71B5">
            <w:pPr>
              <w:jc w:val="center"/>
              <w:rPr>
                <w:szCs w:val="20"/>
              </w:rPr>
            </w:pPr>
          </w:p>
          <w:p w14:paraId="12DAACBA" w14:textId="77777777" w:rsidR="00A529B7" w:rsidRPr="00A529B7" w:rsidRDefault="00A529B7" w:rsidP="00AD71B5">
            <w:pPr>
              <w:jc w:val="center"/>
              <w:rPr>
                <w:szCs w:val="20"/>
              </w:rPr>
            </w:pPr>
            <w:r w:rsidRPr="00A529B7">
              <w:rPr>
                <w:noProof/>
                <w:szCs w:val="20"/>
                <w:lang w:eastAsia="ja-JP"/>
              </w:rPr>
              <w:t>Nettoyage</w:t>
            </w:r>
          </w:p>
          <w:p w14:paraId="6A212945" w14:textId="77777777" w:rsidR="00A529B7" w:rsidRPr="00A529B7" w:rsidRDefault="00A529B7" w:rsidP="00AD71B5">
            <w:pPr>
              <w:jc w:val="center"/>
              <w:rPr>
                <w:szCs w:val="20"/>
              </w:rPr>
            </w:pPr>
            <w:r w:rsidRPr="00A529B7">
              <w:rPr>
                <w:noProof/>
                <w:szCs w:val="20"/>
              </w:rPr>
              <mc:AlternateContent>
                <mc:Choice Requires="wps">
                  <w:drawing>
                    <wp:anchor distT="0" distB="0" distL="114300" distR="114300" simplePos="0" relativeHeight="251658253" behindDoc="0" locked="0" layoutInCell="1" allowOverlap="1" wp14:anchorId="7A39C56B" wp14:editId="1557A0F8">
                      <wp:simplePos x="0" y="0"/>
                      <wp:positionH relativeFrom="column">
                        <wp:posOffset>684530</wp:posOffset>
                      </wp:positionH>
                      <wp:positionV relativeFrom="paragraph">
                        <wp:posOffset>77470</wp:posOffset>
                      </wp:positionV>
                      <wp:extent cx="1905" cy="228600"/>
                      <wp:effectExtent l="125730" t="90170" r="151765" b="125730"/>
                      <wp:wrapNone/>
                      <wp:docPr id="43" name="Connecteur droit 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05" cy="228600"/>
                              </a:xfrm>
                              <a:prstGeom prst="line">
                                <a:avLst/>
                              </a:prstGeom>
                              <a:noFill/>
                              <a:ln w="9525">
                                <a:solidFill>
                                  <a:srgbClr val="000000"/>
                                </a:solidFill>
                                <a:round/>
                                <a:headEnd/>
                                <a:tailEnd type="triangle" w="med" len="med"/>
                              </a:ln>
                              <a:effectLst>
                                <a:outerShdw blurRad="63500" dist="26940" dir="5400000" algn="ctr" rotWithShape="0">
                                  <a:srgbClr val="000000">
                                    <a:alpha val="35001"/>
                                  </a:srgbClr>
                                </a:outerShdw>
                              </a:effectLst>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line w14:anchorId="2066DE82" id="Connecteur droit 43" o:spid="_x0000_s1026" style="position:absolute;z-index:25165825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3.9pt,6.1pt" to="54.05pt,2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">
                      <v:stroke endarrow="block"/>
                      <v:shadow on="t" color="black" opacity="22938f" offset="0,.74833mm"/>
                    </v:line>
                  </w:pict>
                </mc:Fallback>
              </mc:AlternateContent>
            </w:r>
          </w:p>
        </w:tc>
        <w:tc>
          <w:tcPr>
            <w:tcW w:w="2301" w:type="dxa"/>
            <w:tcBorders>
              <w:top w:val="nil"/>
              <w:left w:val="nil"/>
              <w:bottom w:val="nil"/>
              <w:right w:val="nil"/>
            </w:tcBorders>
            <w:vAlign w:val="center"/>
          </w:tcPr>
          <w:p w14:paraId="15393AC6" w14:textId="77777777" w:rsidR="00A529B7" w:rsidRPr="00A529B7" w:rsidRDefault="00A529B7" w:rsidP="00AD71B5">
            <w:pPr>
              <w:jc w:val="center"/>
              <w:rPr>
                <w:szCs w:val="20"/>
              </w:rPr>
            </w:pPr>
          </w:p>
          <w:p w14:paraId="4F907753" w14:textId="77777777" w:rsidR="00A529B7" w:rsidRPr="00A529B7" w:rsidRDefault="00A529B7" w:rsidP="00AD71B5">
            <w:pPr>
              <w:jc w:val="center"/>
              <w:rPr>
                <w:szCs w:val="20"/>
              </w:rPr>
            </w:pPr>
            <w:r w:rsidRPr="00A529B7">
              <w:rPr>
                <w:noProof/>
                <w:szCs w:val="20"/>
                <w:lang w:eastAsia="ja-JP"/>
              </w:rPr>
              <w:t>Nettoyage</w:t>
            </w:r>
          </w:p>
          <w:p w14:paraId="743E8A3C" w14:textId="77777777" w:rsidR="00A529B7" w:rsidRPr="00A529B7" w:rsidRDefault="00A529B7" w:rsidP="00AD71B5">
            <w:pPr>
              <w:jc w:val="center"/>
              <w:rPr>
                <w:szCs w:val="20"/>
              </w:rPr>
            </w:pPr>
            <w:r w:rsidRPr="00A529B7">
              <w:rPr>
                <w:noProof/>
                <w:szCs w:val="20"/>
              </w:rPr>
              <mc:AlternateContent>
                <mc:Choice Requires="wps">
                  <w:drawing>
                    <wp:anchor distT="0" distB="0" distL="114300" distR="114300" simplePos="0" relativeHeight="251658260" behindDoc="0" locked="0" layoutInCell="1" allowOverlap="1" wp14:anchorId="5DC710C0" wp14:editId="38DA7A9B">
                      <wp:simplePos x="0" y="0"/>
                      <wp:positionH relativeFrom="column">
                        <wp:posOffset>596265</wp:posOffset>
                      </wp:positionH>
                      <wp:positionV relativeFrom="paragraph">
                        <wp:posOffset>77470</wp:posOffset>
                      </wp:positionV>
                      <wp:extent cx="1905" cy="228600"/>
                      <wp:effectExtent l="126365" t="90170" r="151130" b="125730"/>
                      <wp:wrapNone/>
                      <wp:docPr id="42" name="Connecteur droit 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05" cy="228600"/>
                              </a:xfrm>
                              <a:prstGeom prst="line">
                                <a:avLst/>
                              </a:prstGeom>
                              <a:noFill/>
                              <a:ln w="9525">
                                <a:solidFill>
                                  <a:srgbClr val="000000"/>
                                </a:solidFill>
                                <a:round/>
                                <a:headEnd/>
                                <a:tailEnd type="triangle" w="med" len="med"/>
                              </a:ln>
                              <a:effectLst>
                                <a:outerShdw blurRad="63500" dist="26940" dir="5400000" algn="ctr" rotWithShape="0">
                                  <a:srgbClr val="000000">
                                    <a:alpha val="35001"/>
                                  </a:srgbClr>
                                </a:outerShdw>
                              </a:effectLst>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line w14:anchorId="07AEC9A9" id="Connecteur droit 42" o:spid="_x0000_s1026" style="position:absolute;z-index:2516582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6.95pt,6.1pt" to="47.1pt,2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">
                      <v:stroke endarrow="block"/>
                      <v:shadow on="t" color="black" opacity="22938f" offset="0,.74833mm"/>
                    </v:line>
                  </w:pict>
                </mc:Fallback>
              </mc:AlternateContent>
            </w:r>
          </w:p>
        </w:tc>
        <w:tc>
          <w:tcPr>
            <w:tcW w:w="2302" w:type="dxa"/>
            <w:tcBorders>
              <w:top w:val="nil"/>
              <w:left w:val="nil"/>
              <w:bottom w:val="nil"/>
              <w:right w:val="nil"/>
            </w:tcBorders>
            <w:vAlign w:val="center"/>
          </w:tcPr>
          <w:p w14:paraId="1E4A0CE5" w14:textId="77777777" w:rsidR="00A529B7" w:rsidRPr="00A529B7" w:rsidRDefault="00A529B7" w:rsidP="00AD71B5">
            <w:pPr>
              <w:jc w:val="center"/>
              <w:rPr>
                <w:szCs w:val="20"/>
              </w:rPr>
            </w:pPr>
          </w:p>
          <w:p w14:paraId="19DD72A7" w14:textId="77777777" w:rsidR="00A529B7" w:rsidRPr="00A529B7" w:rsidRDefault="00A529B7" w:rsidP="00AD71B5">
            <w:pPr>
              <w:jc w:val="center"/>
              <w:rPr>
                <w:szCs w:val="20"/>
              </w:rPr>
            </w:pPr>
            <w:r w:rsidRPr="00A529B7">
              <w:rPr>
                <w:noProof/>
                <w:szCs w:val="20"/>
                <w:lang w:eastAsia="ja-JP"/>
              </w:rPr>
              <w:t>Nettoyage</w:t>
            </w:r>
          </w:p>
          <w:p w14:paraId="5F8432C1" w14:textId="77777777" w:rsidR="00A529B7" w:rsidRPr="00A529B7" w:rsidRDefault="00A529B7" w:rsidP="00AD71B5">
            <w:pPr>
              <w:jc w:val="center"/>
              <w:rPr>
                <w:szCs w:val="20"/>
              </w:rPr>
            </w:pPr>
            <w:r w:rsidRPr="00A529B7">
              <w:rPr>
                <w:noProof/>
                <w:szCs w:val="20"/>
              </w:rPr>
              <mc:AlternateContent>
                <mc:Choice Requires="wps">
                  <w:drawing>
                    <wp:anchor distT="0" distB="0" distL="114300" distR="114300" simplePos="0" relativeHeight="251658261" behindDoc="0" locked="0" layoutInCell="1" allowOverlap="1" wp14:anchorId="309E5285" wp14:editId="44D0735C">
                      <wp:simplePos x="0" y="0"/>
                      <wp:positionH relativeFrom="column">
                        <wp:posOffset>613410</wp:posOffset>
                      </wp:positionH>
                      <wp:positionV relativeFrom="paragraph">
                        <wp:posOffset>94615</wp:posOffset>
                      </wp:positionV>
                      <wp:extent cx="1905" cy="228600"/>
                      <wp:effectExtent l="130810" t="94615" r="146685" b="133985"/>
                      <wp:wrapNone/>
                      <wp:docPr id="41" name="Connecteur droit 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05" cy="228600"/>
                              </a:xfrm>
                              <a:prstGeom prst="line">
                                <a:avLst/>
                              </a:prstGeom>
                              <a:noFill/>
                              <a:ln w="9525">
                                <a:solidFill>
                                  <a:srgbClr val="000000"/>
                                </a:solidFill>
                                <a:round/>
                                <a:headEnd/>
                                <a:tailEnd type="triangle" w="med" len="med"/>
                              </a:ln>
                              <a:effectLst>
                                <a:outerShdw blurRad="63500" dist="26940" dir="5400000" algn="ctr" rotWithShape="0">
                                  <a:srgbClr val="000000">
                                    <a:alpha val="35001"/>
                                  </a:srgbClr>
                                </a:outerShdw>
                              </a:effectLst>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line w14:anchorId="10AC1768" id="Connecteur droit 41" o:spid="_x0000_s1026" style="position:absolute;z-index:25165826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8.3pt,7.45pt" to="48.45pt,2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">
                      <v:stroke endarrow="block"/>
                      <v:shadow on="t" color="black" opacity="22938f" offset="0,.74833mm"/>
                    </v:line>
                  </w:pict>
                </mc:Fallback>
              </mc:AlternateContent>
            </w:r>
          </w:p>
        </w:tc>
        <w:tc>
          <w:tcPr>
            <w:tcW w:w="2302" w:type="dxa"/>
            <w:tcBorders>
              <w:top w:val="nil"/>
              <w:left w:val="nil"/>
              <w:bottom w:val="nil"/>
              <w:right w:val="nil"/>
            </w:tcBorders>
            <w:vAlign w:val="center"/>
          </w:tcPr>
          <w:p w14:paraId="6D9BF7E4" w14:textId="77777777" w:rsidR="00A529B7" w:rsidRPr="00A529B7" w:rsidRDefault="00A529B7" w:rsidP="00AD71B5">
            <w:pPr>
              <w:jc w:val="center"/>
              <w:rPr>
                <w:szCs w:val="20"/>
              </w:rPr>
            </w:pPr>
          </w:p>
          <w:p w14:paraId="1381E79B" w14:textId="77777777" w:rsidR="00A529B7" w:rsidRPr="00A529B7" w:rsidRDefault="00A529B7" w:rsidP="00AD71B5">
            <w:pPr>
              <w:jc w:val="center"/>
              <w:rPr>
                <w:szCs w:val="20"/>
              </w:rPr>
            </w:pPr>
            <w:r w:rsidRPr="00A529B7">
              <w:rPr>
                <w:noProof/>
                <w:szCs w:val="20"/>
                <w:lang w:eastAsia="ja-JP"/>
              </w:rPr>
              <w:t>Nettoyage</w:t>
            </w:r>
          </w:p>
          <w:p w14:paraId="799EEFDC" w14:textId="77777777" w:rsidR="00A529B7" w:rsidRPr="00A529B7" w:rsidRDefault="00A529B7" w:rsidP="00AD71B5">
            <w:pPr>
              <w:jc w:val="center"/>
              <w:rPr>
                <w:szCs w:val="20"/>
              </w:rPr>
            </w:pPr>
            <w:r w:rsidRPr="00A529B7">
              <w:rPr>
                <w:noProof/>
                <w:szCs w:val="20"/>
              </w:rPr>
              <mc:AlternateContent>
                <mc:Choice Requires="wps">
                  <w:drawing>
                    <wp:anchor distT="0" distB="0" distL="114300" distR="114300" simplePos="0" relativeHeight="251658262" behindDoc="0" locked="0" layoutInCell="1" allowOverlap="1" wp14:anchorId="0BE66F5C" wp14:editId="224AD538">
                      <wp:simplePos x="0" y="0"/>
                      <wp:positionH relativeFrom="column">
                        <wp:posOffset>636270</wp:posOffset>
                      </wp:positionH>
                      <wp:positionV relativeFrom="paragraph">
                        <wp:posOffset>86995</wp:posOffset>
                      </wp:positionV>
                      <wp:extent cx="1905" cy="228600"/>
                      <wp:effectExtent l="128270" t="86995" r="149225" b="141605"/>
                      <wp:wrapNone/>
                      <wp:docPr id="40" name="Connecteur droit 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05" cy="228600"/>
                              </a:xfrm>
                              <a:prstGeom prst="line">
                                <a:avLst/>
                              </a:prstGeom>
                              <a:noFill/>
                              <a:ln w="9525">
                                <a:solidFill>
                                  <a:srgbClr val="000000"/>
                                </a:solidFill>
                                <a:round/>
                                <a:headEnd/>
                                <a:tailEnd type="triangle" w="med" len="med"/>
                              </a:ln>
                              <a:effectLst>
                                <a:outerShdw blurRad="63500" dist="26940" dir="5400000" algn="ctr" rotWithShape="0">
                                  <a:srgbClr val="000000">
                                    <a:alpha val="35001"/>
                                  </a:srgbClr>
                                </a:outerShdw>
                              </a:effectLst>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line w14:anchorId="491E332D" id="Connecteur droit 40" o:spid="_x0000_s1026" style="position:absolute;z-index:25165826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0.1pt,6.85pt" to="50.25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">
                      <v:stroke endarrow="block"/>
                      <v:shadow on="t" color="black" opacity="22938f" offset="0,.74833mm"/>
                    </v:line>
                  </w:pict>
                </mc:Fallback>
              </mc:AlternateContent>
            </w:r>
          </w:p>
        </w:tc>
      </w:tr>
      <w:tr w:rsidR="00A529B7" w:rsidRPr="00A529B7" w14:paraId="39F0648D" w14:textId="77777777" w:rsidTr="00AD71B5">
        <w:trPr>
          <w:trHeight w:val="560"/>
        </w:trPr>
        <w:tc>
          <w:tcPr>
            <w:tcW w:w="2301" w:type="dxa"/>
            <w:tcBorders>
              <w:top w:val="nil"/>
              <w:left w:val="nil"/>
              <w:bottom w:val="nil"/>
              <w:right w:val="nil"/>
            </w:tcBorders>
            <w:vAlign w:val="center"/>
          </w:tcPr>
          <w:p w14:paraId="71478E29" w14:textId="77777777" w:rsidR="00A529B7" w:rsidRPr="00A529B7" w:rsidRDefault="00A529B7" w:rsidP="00AD71B5">
            <w:pPr>
              <w:jc w:val="center"/>
              <w:rPr>
                <w:szCs w:val="20"/>
              </w:rPr>
            </w:pPr>
          </w:p>
          <w:p w14:paraId="6125BDB8" w14:textId="77777777" w:rsidR="00A529B7" w:rsidRPr="00A529B7" w:rsidRDefault="00A529B7" w:rsidP="00AD71B5">
            <w:pPr>
              <w:jc w:val="center"/>
              <w:rPr>
                <w:szCs w:val="20"/>
              </w:rPr>
            </w:pPr>
            <w:r w:rsidRPr="00A529B7">
              <w:rPr>
                <w:szCs w:val="20"/>
              </w:rPr>
              <w:t>Contrôle</w:t>
            </w:r>
          </w:p>
          <w:p w14:paraId="7FEC1B60" w14:textId="77777777" w:rsidR="00A529B7" w:rsidRPr="00A529B7" w:rsidRDefault="00A529B7" w:rsidP="00AD71B5">
            <w:pPr>
              <w:jc w:val="center"/>
              <w:rPr>
                <w:szCs w:val="20"/>
              </w:rPr>
            </w:pPr>
          </w:p>
        </w:tc>
        <w:tc>
          <w:tcPr>
            <w:tcW w:w="2301" w:type="dxa"/>
            <w:tcBorders>
              <w:top w:val="nil"/>
              <w:left w:val="nil"/>
              <w:bottom w:val="nil"/>
              <w:right w:val="nil"/>
            </w:tcBorders>
            <w:vAlign w:val="center"/>
          </w:tcPr>
          <w:p w14:paraId="1FE3226B" w14:textId="77777777" w:rsidR="00A529B7" w:rsidRPr="00A529B7" w:rsidRDefault="00A529B7" w:rsidP="00AD71B5">
            <w:pPr>
              <w:jc w:val="center"/>
              <w:rPr>
                <w:szCs w:val="20"/>
              </w:rPr>
            </w:pPr>
          </w:p>
          <w:p w14:paraId="67AC361D" w14:textId="77777777" w:rsidR="00A529B7" w:rsidRPr="00A529B7" w:rsidRDefault="00A529B7" w:rsidP="00AD71B5">
            <w:pPr>
              <w:jc w:val="center"/>
              <w:rPr>
                <w:szCs w:val="20"/>
              </w:rPr>
            </w:pPr>
            <w:r w:rsidRPr="00A529B7">
              <w:rPr>
                <w:szCs w:val="20"/>
              </w:rPr>
              <w:t>Contrôle</w:t>
            </w:r>
          </w:p>
          <w:p w14:paraId="54A4EF2B" w14:textId="77777777" w:rsidR="00A529B7" w:rsidRPr="00A529B7" w:rsidRDefault="00A529B7" w:rsidP="00AD71B5">
            <w:pPr>
              <w:jc w:val="center"/>
              <w:rPr>
                <w:szCs w:val="20"/>
              </w:rPr>
            </w:pPr>
          </w:p>
        </w:tc>
        <w:tc>
          <w:tcPr>
            <w:tcW w:w="2302" w:type="dxa"/>
            <w:tcBorders>
              <w:top w:val="nil"/>
              <w:left w:val="nil"/>
              <w:bottom w:val="nil"/>
              <w:right w:val="nil"/>
            </w:tcBorders>
            <w:vAlign w:val="center"/>
          </w:tcPr>
          <w:p w14:paraId="56782F65" w14:textId="77777777" w:rsidR="00A529B7" w:rsidRPr="00A529B7" w:rsidRDefault="00A529B7" w:rsidP="00AD71B5">
            <w:pPr>
              <w:jc w:val="center"/>
              <w:rPr>
                <w:szCs w:val="20"/>
              </w:rPr>
            </w:pPr>
          </w:p>
          <w:p w14:paraId="5BBF094F" w14:textId="77777777" w:rsidR="00A529B7" w:rsidRPr="00A529B7" w:rsidRDefault="00A529B7" w:rsidP="00AD71B5">
            <w:pPr>
              <w:jc w:val="center"/>
              <w:rPr>
                <w:szCs w:val="20"/>
              </w:rPr>
            </w:pPr>
            <w:r w:rsidRPr="00A529B7">
              <w:rPr>
                <w:szCs w:val="20"/>
              </w:rPr>
              <w:t>Contrôle</w:t>
            </w:r>
          </w:p>
          <w:p w14:paraId="4AD510D0" w14:textId="77777777" w:rsidR="00A529B7" w:rsidRPr="00A529B7" w:rsidRDefault="00A529B7" w:rsidP="00AD71B5">
            <w:pPr>
              <w:jc w:val="center"/>
              <w:rPr>
                <w:szCs w:val="20"/>
              </w:rPr>
            </w:pPr>
          </w:p>
        </w:tc>
        <w:tc>
          <w:tcPr>
            <w:tcW w:w="2302" w:type="dxa"/>
            <w:tcBorders>
              <w:top w:val="nil"/>
              <w:left w:val="nil"/>
              <w:bottom w:val="nil"/>
              <w:right w:val="nil"/>
            </w:tcBorders>
            <w:vAlign w:val="center"/>
          </w:tcPr>
          <w:p w14:paraId="6AF2D1BA" w14:textId="77777777" w:rsidR="00A529B7" w:rsidRPr="00A529B7" w:rsidRDefault="00A529B7" w:rsidP="00AD71B5">
            <w:pPr>
              <w:jc w:val="center"/>
              <w:rPr>
                <w:szCs w:val="20"/>
              </w:rPr>
            </w:pPr>
          </w:p>
          <w:p w14:paraId="0064C86E" w14:textId="77777777" w:rsidR="00A529B7" w:rsidRPr="00A529B7" w:rsidRDefault="00A529B7" w:rsidP="00AD71B5">
            <w:pPr>
              <w:jc w:val="center"/>
              <w:rPr>
                <w:szCs w:val="20"/>
              </w:rPr>
            </w:pPr>
            <w:r w:rsidRPr="00A529B7">
              <w:rPr>
                <w:szCs w:val="20"/>
              </w:rPr>
              <w:t>Contrôle</w:t>
            </w:r>
          </w:p>
          <w:p w14:paraId="3569E12E" w14:textId="77777777" w:rsidR="00A529B7" w:rsidRPr="00A529B7" w:rsidRDefault="00A529B7" w:rsidP="00AD71B5">
            <w:pPr>
              <w:jc w:val="center"/>
              <w:rPr>
                <w:szCs w:val="20"/>
              </w:rPr>
            </w:pPr>
          </w:p>
        </w:tc>
      </w:tr>
      <w:tr w:rsidR="00A529B7" w:rsidRPr="00A529B7" w14:paraId="25D8C876" w14:textId="77777777" w:rsidTr="00AD71B5">
        <w:tc>
          <w:tcPr>
            <w:tcW w:w="9206" w:type="dxa"/>
            <w:gridSpan w:val="4"/>
            <w:tcBorders>
              <w:top w:val="nil"/>
              <w:left w:val="nil"/>
              <w:bottom w:val="nil"/>
              <w:right w:val="nil"/>
            </w:tcBorders>
          </w:tcPr>
          <w:p w14:paraId="564E37FC" w14:textId="77777777" w:rsidR="00A529B7" w:rsidRPr="00A529B7" w:rsidRDefault="00A529B7" w:rsidP="00AD71B5">
            <w:pPr>
              <w:jc w:val="center"/>
              <w:rPr>
                <w:szCs w:val="20"/>
              </w:rPr>
            </w:pPr>
            <w:r w:rsidRPr="00A529B7">
              <w:rPr>
                <w:noProof/>
                <w:szCs w:val="20"/>
              </w:rPr>
              <mc:AlternateContent>
                <mc:Choice Requires="wps">
                  <w:drawing>
                    <wp:anchor distT="0" distB="0" distL="114300" distR="114300" simplePos="0" relativeHeight="251658257" behindDoc="0" locked="0" layoutInCell="1" allowOverlap="1" wp14:anchorId="2BE2930C" wp14:editId="2E2FF4B3">
                      <wp:simplePos x="0" y="0"/>
                      <wp:positionH relativeFrom="column">
                        <wp:posOffset>5029200</wp:posOffset>
                      </wp:positionH>
                      <wp:positionV relativeFrom="paragraph">
                        <wp:posOffset>-125095</wp:posOffset>
                      </wp:positionV>
                      <wp:extent cx="1905" cy="228600"/>
                      <wp:effectExtent l="127000" t="90805" r="150495" b="125095"/>
                      <wp:wrapNone/>
                      <wp:docPr id="39" name="Connecteur droit 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05" cy="228600"/>
                              </a:xfrm>
                              <a:prstGeom prst="line">
                                <a:avLst/>
                              </a:prstGeom>
                              <a:noFill/>
                              <a:ln w="9525">
                                <a:solidFill>
                                  <a:srgbClr val="000000"/>
                                </a:solidFill>
                                <a:round/>
                                <a:headEnd/>
                                <a:tailEnd type="triangle" w="med" len="med"/>
                              </a:ln>
                              <a:effectLst>
                                <a:outerShdw blurRad="63500" dist="26940" dir="5400000" algn="ctr" rotWithShape="0">
                                  <a:srgbClr val="000000">
                                    <a:alpha val="35001"/>
                                  </a:srgbClr>
                                </a:outerShdw>
                              </a:effectLst>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line w14:anchorId="526653D0" id="Connecteur droit 39" o:spid="_x0000_s1026" style="position:absolute;z-index:25165825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96pt,-9.85pt" to="396.15pt,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">
                      <v:stroke endarrow="block"/>
                      <v:shadow on="t" color="black" opacity="22938f" offset="0,.74833mm"/>
                    </v:line>
                  </w:pict>
                </mc:Fallback>
              </mc:AlternateContent>
            </w:r>
            <w:r w:rsidRPr="00A529B7">
              <w:rPr>
                <w:noProof/>
                <w:szCs w:val="20"/>
              </w:rPr>
              <mc:AlternateContent>
                <mc:Choice Requires="wps">
                  <w:drawing>
                    <wp:anchor distT="0" distB="0" distL="114300" distR="114300" simplePos="0" relativeHeight="251658258" behindDoc="0" locked="0" layoutInCell="1" allowOverlap="1" wp14:anchorId="00CB397E" wp14:editId="0F694EAC">
                      <wp:simplePos x="0" y="0"/>
                      <wp:positionH relativeFrom="column">
                        <wp:posOffset>3535045</wp:posOffset>
                      </wp:positionH>
                      <wp:positionV relativeFrom="paragraph">
                        <wp:posOffset>-125095</wp:posOffset>
                      </wp:positionV>
                      <wp:extent cx="1905" cy="228600"/>
                      <wp:effectExtent l="131445" t="90805" r="146050" b="125095"/>
                      <wp:wrapNone/>
                      <wp:docPr id="38" name="Connecteur droit 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05" cy="228600"/>
                              </a:xfrm>
                              <a:prstGeom prst="line">
                                <a:avLst/>
                              </a:prstGeom>
                              <a:noFill/>
                              <a:ln w="9525">
                                <a:solidFill>
                                  <a:srgbClr val="000000"/>
                                </a:solidFill>
                                <a:round/>
                                <a:headEnd/>
                                <a:tailEnd type="triangle" w="med" len="med"/>
                              </a:ln>
                              <a:effectLst>
                                <a:outerShdw blurRad="63500" dist="26940" dir="5400000" algn="ctr" rotWithShape="0">
                                  <a:srgbClr val="000000">
                                    <a:alpha val="35001"/>
                                  </a:srgbClr>
                                </a:outerShdw>
                              </a:effectLst>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line w14:anchorId="6BC19AE9" id="Connecteur droit 38" o:spid="_x0000_s1026" style="position:absolute;z-index:25165825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8.35pt,-9.85pt" to="278.5pt,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">
                      <v:stroke endarrow="block"/>
                      <v:shadow on="t" color="black" opacity="22938f" offset="0,.74833mm"/>
                    </v:line>
                  </w:pict>
                </mc:Fallback>
              </mc:AlternateContent>
            </w:r>
            <w:r w:rsidRPr="00A529B7">
              <w:rPr>
                <w:noProof/>
                <w:szCs w:val="20"/>
              </w:rPr>
              <mc:AlternateContent>
                <mc:Choice Requires="wps">
                  <w:drawing>
                    <wp:anchor distT="0" distB="0" distL="114300" distR="114300" simplePos="0" relativeHeight="251658256" behindDoc="0" locked="0" layoutInCell="1" allowOverlap="1" wp14:anchorId="55FBE34B" wp14:editId="3B4B8C2D">
                      <wp:simplePos x="0" y="0"/>
                      <wp:positionH relativeFrom="column">
                        <wp:posOffset>2057400</wp:posOffset>
                      </wp:positionH>
                      <wp:positionV relativeFrom="paragraph">
                        <wp:posOffset>-125095</wp:posOffset>
                      </wp:positionV>
                      <wp:extent cx="1905" cy="228600"/>
                      <wp:effectExtent l="127000" t="90805" r="150495" b="125095"/>
                      <wp:wrapNone/>
                      <wp:docPr id="37" name="Connecteur droit 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05" cy="228600"/>
                              </a:xfrm>
                              <a:prstGeom prst="line">
                                <a:avLst/>
                              </a:prstGeom>
                              <a:noFill/>
                              <a:ln w="9525">
                                <a:solidFill>
                                  <a:srgbClr val="000000"/>
                                </a:solidFill>
                                <a:round/>
                                <a:headEnd/>
                                <a:tailEnd type="triangle" w="med" len="med"/>
                              </a:ln>
                              <a:effectLst>
                                <a:outerShdw blurRad="63500" dist="26940" dir="5400000" algn="ctr" rotWithShape="0">
                                  <a:srgbClr val="000000">
                                    <a:alpha val="35001"/>
                                  </a:srgbClr>
                                </a:outerShdw>
                              </a:effectLst>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line w14:anchorId="593E9D5C" id="Connecteur droit 37" o:spid="_x0000_s1026" style="position:absolute;z-index:25165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2pt,-9.85pt" to="162.15pt,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">
                      <v:stroke endarrow="block"/>
                      <v:shadow on="t" color="black" opacity="22938f" offset="0,.74833mm"/>
                    </v:line>
                  </w:pict>
                </mc:Fallback>
              </mc:AlternateContent>
            </w:r>
            <w:r w:rsidRPr="00A529B7">
              <w:rPr>
                <w:noProof/>
                <w:szCs w:val="20"/>
              </w:rPr>
              <mc:AlternateContent>
                <mc:Choice Requires="wps">
                  <w:drawing>
                    <wp:anchor distT="0" distB="0" distL="114300" distR="114300" simplePos="0" relativeHeight="251658254" behindDoc="0" locked="0" layoutInCell="1" allowOverlap="1" wp14:anchorId="5C4D66EC" wp14:editId="20725E01">
                      <wp:simplePos x="0" y="0"/>
                      <wp:positionH relativeFrom="column">
                        <wp:posOffset>685800</wp:posOffset>
                      </wp:positionH>
                      <wp:positionV relativeFrom="paragraph">
                        <wp:posOffset>-125095</wp:posOffset>
                      </wp:positionV>
                      <wp:extent cx="1905" cy="228600"/>
                      <wp:effectExtent l="127000" t="90805" r="150495" b="125095"/>
                      <wp:wrapNone/>
                      <wp:docPr id="36" name="Connecteur droit 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05" cy="228600"/>
                              </a:xfrm>
                              <a:prstGeom prst="line">
                                <a:avLst/>
                              </a:prstGeom>
                              <a:noFill/>
                              <a:ln w="9525">
                                <a:solidFill>
                                  <a:srgbClr val="000000"/>
                                </a:solidFill>
                                <a:round/>
                                <a:headEnd/>
                                <a:tailEnd type="triangle" w="med" len="med"/>
                              </a:ln>
                              <a:effectLst>
                                <a:outerShdw blurRad="63500" dist="26940" dir="5400000" algn="ctr" rotWithShape="0">
                                  <a:srgbClr val="000000">
                                    <a:alpha val="35001"/>
                                  </a:srgbClr>
                                </a:outerShdw>
                              </a:effectLst>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line w14:anchorId="2C3CF162" id="Connecteur droit 36" o:spid="_x0000_s1026" style="position:absolute;z-index:25165825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4pt,-9.85pt" to="54.15pt,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">
                      <v:stroke endarrow="block"/>
                      <v:shadow on="t" color="black" opacity="22938f" offset="0,.74833mm"/>
                    </v:line>
                  </w:pict>
                </mc:Fallback>
              </mc:AlternateContent>
            </w:r>
          </w:p>
          <w:p w14:paraId="11C69252" w14:textId="77777777" w:rsidR="00A529B7" w:rsidRPr="00A529B7" w:rsidRDefault="00A529B7" w:rsidP="00AD71B5">
            <w:pPr>
              <w:pBdr>
                <w:top w:val="single" w:sz="4" w:space="1" w:color="auto"/>
                <w:left w:val="single" w:sz="4" w:space="4" w:color="auto"/>
                <w:bottom w:val="single" w:sz="4" w:space="1" w:color="auto"/>
                <w:right w:val="single" w:sz="4" w:space="4" w:color="auto"/>
              </w:pBdr>
              <w:jc w:val="center"/>
              <w:rPr>
                <w:szCs w:val="20"/>
              </w:rPr>
            </w:pPr>
            <w:r w:rsidRPr="00A529B7">
              <w:rPr>
                <w:noProof/>
                <w:szCs w:val="20"/>
              </w:rPr>
              <mc:AlternateContent>
                <mc:Choice Requires="wps">
                  <w:drawing>
                    <wp:anchor distT="0" distB="0" distL="114300" distR="114300" simplePos="0" relativeHeight="251658251" behindDoc="0" locked="0" layoutInCell="1" allowOverlap="1" wp14:anchorId="5E8CFFEA" wp14:editId="62428CA5">
                      <wp:simplePos x="0" y="0"/>
                      <wp:positionH relativeFrom="column">
                        <wp:posOffset>2788285</wp:posOffset>
                      </wp:positionH>
                      <wp:positionV relativeFrom="paragraph">
                        <wp:posOffset>180340</wp:posOffset>
                      </wp:positionV>
                      <wp:extent cx="1905" cy="228600"/>
                      <wp:effectExtent l="121285" t="91440" r="156210" b="124460"/>
                      <wp:wrapNone/>
                      <wp:docPr id="35" name="Connecteur droit 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05" cy="228600"/>
                              </a:xfrm>
                              <a:prstGeom prst="line">
                                <a:avLst/>
                              </a:prstGeom>
                              <a:noFill/>
                              <a:ln w="9525">
                                <a:solidFill>
                                  <a:srgbClr val="000000"/>
                                </a:solidFill>
                                <a:round/>
                                <a:headEnd/>
                                <a:tailEnd type="triangle" w="med" len="med"/>
                              </a:ln>
                              <a:effectLst>
                                <a:outerShdw blurRad="63500" dist="26940" dir="5400000" algn="ctr" rotWithShape="0">
                                  <a:srgbClr val="000000">
                                    <a:alpha val="35001"/>
                                  </a:srgbClr>
                                </a:outerShdw>
                              </a:effectLst>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line w14:anchorId="5C393D45" id="Connecteur droit 35" o:spid="_x0000_s1026" style="position:absolute;z-index:25165825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9.55pt,14.2pt" to="219.7pt,3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">
                      <v:stroke endarrow="block"/>
                      <v:shadow on="t" color="black" opacity="22938f" offset="0,.74833mm"/>
                    </v:line>
                  </w:pict>
                </mc:Fallback>
              </mc:AlternateContent>
            </w:r>
            <w:r w:rsidRPr="00A529B7">
              <w:rPr>
                <w:szCs w:val="20"/>
              </w:rPr>
              <w:t>Assemblage</w:t>
            </w:r>
          </w:p>
          <w:p w14:paraId="09E80A1E" w14:textId="77777777" w:rsidR="00A529B7" w:rsidRPr="00A529B7" w:rsidRDefault="00A529B7" w:rsidP="00AD71B5">
            <w:pPr>
              <w:jc w:val="center"/>
              <w:rPr>
                <w:szCs w:val="20"/>
              </w:rPr>
            </w:pPr>
          </w:p>
        </w:tc>
      </w:tr>
      <w:tr w:rsidR="00A529B7" w:rsidRPr="00A529B7" w14:paraId="780E913B" w14:textId="77777777" w:rsidTr="00AD71B5">
        <w:tc>
          <w:tcPr>
            <w:tcW w:w="9206" w:type="dxa"/>
            <w:gridSpan w:val="4"/>
            <w:tcBorders>
              <w:top w:val="nil"/>
              <w:left w:val="nil"/>
              <w:bottom w:val="nil"/>
              <w:right w:val="nil"/>
            </w:tcBorders>
          </w:tcPr>
          <w:p w14:paraId="088F2D1D" w14:textId="77777777" w:rsidR="00A529B7" w:rsidRPr="00A529B7" w:rsidRDefault="00A529B7" w:rsidP="00AD71B5">
            <w:pPr>
              <w:jc w:val="center"/>
              <w:rPr>
                <w:szCs w:val="20"/>
              </w:rPr>
            </w:pPr>
          </w:p>
          <w:p w14:paraId="77C267A1" w14:textId="77777777" w:rsidR="00A529B7" w:rsidRPr="00A529B7" w:rsidRDefault="00A529B7" w:rsidP="00AD71B5">
            <w:pPr>
              <w:pBdr>
                <w:top w:val="single" w:sz="4" w:space="1" w:color="auto"/>
                <w:left w:val="single" w:sz="4" w:space="4" w:color="auto"/>
                <w:bottom w:val="single" w:sz="4" w:space="1" w:color="auto"/>
                <w:right w:val="single" w:sz="4" w:space="4" w:color="auto"/>
              </w:pBdr>
              <w:jc w:val="center"/>
              <w:rPr>
                <w:szCs w:val="20"/>
              </w:rPr>
            </w:pPr>
            <w:r w:rsidRPr="00A529B7">
              <w:rPr>
                <w:szCs w:val="20"/>
              </w:rPr>
              <w:t>Contrôle Final</w:t>
            </w:r>
          </w:p>
        </w:tc>
      </w:tr>
    </w:tbl>
    <w:p w14:paraId="61E68D7A" w14:textId="77777777" w:rsidR="00A529B7" w:rsidRPr="00A529B7" w:rsidRDefault="00A529B7" w:rsidP="00A529B7">
      <w:pPr>
        <w:rPr>
          <w:szCs w:val="20"/>
        </w:rPr>
      </w:pPr>
    </w:p>
    <w:p w14:paraId="64CE63B3" w14:textId="77777777" w:rsidR="00A529B7" w:rsidRDefault="00A529B7" w:rsidP="00A529B7">
      <w:pPr>
        <w:rPr>
          <w:szCs w:val="20"/>
        </w:rPr>
      </w:pPr>
    </w:p>
    <w:p w14:paraId="41F8330D" w14:textId="5F54AA18" w:rsidR="00327122" w:rsidRPr="00105403" w:rsidRDefault="00327122" w:rsidP="00C622C2">
      <w:pPr>
        <w:pStyle w:val="Paragraphedeliste"/>
        <w:numPr>
          <w:ilvl w:val="0"/>
          <w:numId w:val="26"/>
        </w:numPr>
        <w:rPr>
          <w:b/>
          <w:bCs/>
          <w:iCs/>
          <w:szCs w:val="20"/>
        </w:rPr>
      </w:pPr>
      <w:r>
        <w:rPr>
          <w:b/>
          <w:bCs/>
          <w:iCs/>
          <w:szCs w:val="20"/>
        </w:rPr>
        <w:t>Recours à la sous-traitance</w:t>
      </w:r>
      <w:r w:rsidR="00AB504A">
        <w:rPr>
          <w:b/>
          <w:bCs/>
          <w:iCs/>
          <w:szCs w:val="20"/>
        </w:rPr>
        <w:t xml:space="preserve"> </w:t>
      </w:r>
      <w:r w:rsidRPr="00105403">
        <w:rPr>
          <w:b/>
          <w:bCs/>
          <w:iCs/>
          <w:szCs w:val="20"/>
        </w:rPr>
        <w:t>:</w:t>
      </w:r>
    </w:p>
    <w:p w14:paraId="69CB4818" w14:textId="77777777" w:rsidR="00327122" w:rsidRPr="00A529B7" w:rsidRDefault="00327122" w:rsidP="00327122">
      <w:pPr>
        <w:rPr>
          <w:b/>
          <w:bCs/>
          <w:i/>
          <w:iCs/>
          <w:szCs w:val="20"/>
        </w:rPr>
      </w:pPr>
    </w:p>
    <w:p w14:paraId="3699C0C6" w14:textId="098CD276" w:rsidR="00327122" w:rsidRDefault="54FDD3F0" w:rsidP="00327122">
      <w:r>
        <w:t xml:space="preserve">Spineway externalise ses activités de fabrication de ses produits et instruments et a recours à un réseau de plus de </w:t>
      </w:r>
      <w:r w:rsidR="00F00ED2">
        <w:t>dix</w:t>
      </w:r>
      <w:r w:rsidR="00F00ED2" w:rsidRPr="00283D1D">
        <w:t xml:space="preserve"> </w:t>
      </w:r>
      <w:r w:rsidRPr="00283D1D">
        <w:t>sous-traitants français de premier</w:t>
      </w:r>
      <w:r w:rsidRPr="00325B85">
        <w:t xml:space="preserve"> plan, tous sélectionnés pour leur expérience longue dans le secteur d’activité</w:t>
      </w:r>
      <w:r>
        <w:t xml:space="preserve"> de Spineway, leur savoir-faire, la technicité de leur matériel de fabrication, leur expérience dans la fabrication d’implants rachidiens, la fiabilité de leurs productions, leur conformité aux règlementations</w:t>
      </w:r>
      <w:r w:rsidR="00DF043A">
        <w:t xml:space="preserve"> et </w:t>
      </w:r>
      <w:r>
        <w:t xml:space="preserve">leurs agréments auprès de la FDA américaine. </w:t>
      </w:r>
    </w:p>
    <w:p w14:paraId="30D71B6D" w14:textId="77777777" w:rsidR="00F00ED2" w:rsidRDefault="00F00ED2" w:rsidP="00327122"/>
    <w:p w14:paraId="43852FAA" w14:textId="3FE2C6B6" w:rsidR="00327122" w:rsidRDefault="54FDD3F0" w:rsidP="00327122">
      <w:r>
        <w:t xml:space="preserve">Cette fabrication sous-traitée s’effectue sur la base de cahiers des charges très précis, reprenant notamment l’emploi des matériaux, les dimensions des différentes pièces et les tolérances précises. </w:t>
      </w:r>
    </w:p>
    <w:p w14:paraId="4744045B" w14:textId="77777777" w:rsidR="00F00ED2" w:rsidRDefault="00F00ED2" w:rsidP="00327122"/>
    <w:p w14:paraId="11D1BFCF" w14:textId="582566C8" w:rsidR="00327122" w:rsidRDefault="54FDD3F0" w:rsidP="00327122">
      <w:r>
        <w:lastRenderedPageBreak/>
        <w:t xml:space="preserve">Pour chaque produit, la Société a sélectionné au moins deux sous-traitants capables de réaliser les prestations attendues. Spineway estime que l’externalisation de ses activités de fabrication permet de réduire ses investissements, de maîtriser ses coûts et de concurrencer des fabricants capables d’investir dans des parcs machines ultra performants et de produire des volumes plus importants d’implants rachidiens (la vaste majorité des concurrents de Spineway est organisée ainsi). </w:t>
      </w:r>
    </w:p>
    <w:p w14:paraId="247B4AEA" w14:textId="43CC3773" w:rsidR="00BA5D13" w:rsidRPr="0039685C" w:rsidRDefault="00BA5D13" w:rsidP="00BA5D13">
      <w:r w:rsidRPr="00616C5E">
        <w:t>Par ailleurs, la Société fait signer à tous ses sous-traitants</w:t>
      </w:r>
      <w:r w:rsidRPr="0039685C">
        <w:t xml:space="preserve"> des accords de confidentialité afin de protéger ses</w:t>
      </w:r>
      <w:r>
        <w:t xml:space="preserve"> </w:t>
      </w:r>
      <w:r w:rsidRPr="0039685C">
        <w:t>connaissances.</w:t>
      </w:r>
    </w:p>
    <w:p w14:paraId="36B814A2" w14:textId="7ECA13D7" w:rsidR="00327122" w:rsidRPr="002011B6" w:rsidRDefault="009B5FD9" w:rsidP="00327122">
      <w:pPr>
        <w:rPr>
          <w:szCs w:val="20"/>
        </w:rPr>
      </w:pPr>
      <w:r>
        <w:t xml:space="preserve">La fabrication des produits de Spineway est particulièrement exigeante et complexe en raison notamment de la réglementation stricte applicable. </w:t>
      </w:r>
      <w:r w:rsidR="00BA5D13" w:rsidRPr="0039685C">
        <w:t>Le succès commercial de la Société repose en partie sur sa capacité à obtenir de ses partenaires des produits fabriqués dans</w:t>
      </w:r>
      <w:r w:rsidR="00BA5D13">
        <w:t xml:space="preserve"> </w:t>
      </w:r>
      <w:r w:rsidR="00BA5D13" w:rsidRPr="0039685C">
        <w:t>le respect des dispositions réglementaires, les quantités et délais demandés et ce à un coût optimal.</w:t>
      </w:r>
      <w:r w:rsidR="00BA5D13">
        <w:t xml:space="preserve"> </w:t>
      </w:r>
    </w:p>
    <w:p w14:paraId="4EFC59AD" w14:textId="77777777" w:rsidR="00327122" w:rsidRPr="00A529B7" w:rsidRDefault="00327122" w:rsidP="00327122">
      <w:pPr>
        <w:rPr>
          <w:szCs w:val="20"/>
        </w:rPr>
      </w:pPr>
      <w:r w:rsidRPr="00A529B7">
        <w:rPr>
          <w:noProof/>
          <w:szCs w:val="20"/>
        </w:rPr>
        <mc:AlternateContent>
          <mc:Choice Requires="wps">
            <w:drawing>
              <wp:anchor distT="0" distB="0" distL="114300" distR="114300" simplePos="0" relativeHeight="251658276" behindDoc="0" locked="0" layoutInCell="1" allowOverlap="1" wp14:anchorId="60007078" wp14:editId="679D7EB8">
                <wp:simplePos x="0" y="0"/>
                <wp:positionH relativeFrom="column">
                  <wp:posOffset>800100</wp:posOffset>
                </wp:positionH>
                <wp:positionV relativeFrom="paragraph">
                  <wp:posOffset>13335</wp:posOffset>
                </wp:positionV>
                <wp:extent cx="5143500" cy="1001395"/>
                <wp:effectExtent l="0" t="0" r="12700" b="0"/>
                <wp:wrapNone/>
                <wp:docPr id="80" name="Rectangle 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43500" cy="10013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642232" w14:textId="77777777" w:rsidR="000511BB" w:rsidRPr="00057280" w:rsidRDefault="000511BB" w:rsidP="00327122">
                            <w:pPr>
                              <w:rPr>
                                <w:szCs w:val="20"/>
                              </w:rPr>
                            </w:pPr>
                            <w:r w:rsidRPr="00057280">
                              <w:rPr>
                                <w:szCs w:val="20"/>
                              </w:rPr>
                              <w:t>Tous les implants en métal sont fabriqués en alliage de titane, et tous les implants en polymer sont fabriqués en PEEK™ par Invibio</w:t>
                            </w:r>
                            <w:r>
                              <w:rPr>
                                <w:szCs w:val="20"/>
                              </w:rPr>
                              <w:t xml:space="preserve">, </w:t>
                            </w:r>
                            <w:r w:rsidRPr="00F27A8E">
                              <w:rPr>
                                <w:szCs w:val="20"/>
                              </w:rPr>
                              <w:t>dont la biocompatibilité est prouvée par des tests effectués selon la réglementation en vigueur</w:t>
                            </w:r>
                            <w:r w:rsidRPr="00057280">
                              <w:rPr>
                                <w:szCs w:val="20"/>
                              </w:rPr>
                              <w:t xml:space="preserve">. </w:t>
                            </w:r>
                          </w:p>
                          <w:p w14:paraId="4A80959B" w14:textId="77777777" w:rsidR="000511BB" w:rsidRPr="00057280" w:rsidRDefault="000511BB" w:rsidP="00327122">
                            <w:pPr>
                              <w:rPr>
                                <w:szCs w:val="20"/>
                              </w:rPr>
                            </w:pPr>
                            <w:r w:rsidRPr="00057280">
                              <w:rPr>
                                <w:szCs w:val="20"/>
                              </w:rPr>
                              <w:t>Tous les produits sont conçus et fabriqués en France. Spineway s’attache à constituer une relation d’échanges techniques et de confiance avec ses sous-traitants, en les intégrant en amont, dans la faisabilité et le prototypage des produits.</w:t>
                            </w:r>
                          </w:p>
                        </w:txbxContent>
                      </wps:txbx>
                      <wps:bodyPr rot="0" vert="horz" wrap="square" lIns="54000" tIns="45720" rIns="5400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80" o:spid="_x0000_s1046" style="position:absolute;left:0;text-align:left;margin-left:63pt;margin-top:1.05pt;width:405pt;height:78.85pt;z-index:2516582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" filled="f" stroked="f">
                <v:textbox inset="1.5mm,,1.5mm">
                  <w:txbxContent>
                    <w:p w14:paraId="06642232" w14:textId="77777777" w:rsidR="00F011AB" w:rsidRPr="00057280" w:rsidRDefault="00F011AB" w:rsidP="00327122">
                      <w:pPr>
                        <w:rPr>
                          <w:szCs w:val="20"/>
                        </w:rPr>
                      </w:pPr>
                      <w:r w:rsidRPr="00057280">
                        <w:rPr>
                          <w:szCs w:val="20"/>
                        </w:rPr>
                        <w:t>Tous les implants en métal sont fabriqués en alliage de titane, et tous les implants en polymer sont fabriqués en PEEK™ par Invibio</w:t>
                      </w:r>
                      <w:r>
                        <w:rPr>
                          <w:szCs w:val="20"/>
                        </w:rPr>
                        <w:t xml:space="preserve">, </w:t>
                      </w:r>
                      <w:r w:rsidRPr="00F27A8E">
                        <w:rPr>
                          <w:szCs w:val="20"/>
                        </w:rPr>
                        <w:t>dont la biocompatibilité est prouvée par des tests effectués selon la réglementation en vigueur</w:t>
                      </w:r>
                      <w:r w:rsidRPr="00057280">
                        <w:rPr>
                          <w:szCs w:val="20"/>
                        </w:rPr>
                        <w:t xml:space="preserve">. </w:t>
                      </w:r>
                    </w:p>
                    <w:p w14:paraId="4A80959B" w14:textId="77777777" w:rsidR="00F011AB" w:rsidRPr="00057280" w:rsidRDefault="00F011AB" w:rsidP="00327122">
                      <w:pPr>
                        <w:rPr>
                          <w:szCs w:val="20"/>
                        </w:rPr>
                      </w:pPr>
                      <w:r w:rsidRPr="00057280">
                        <w:rPr>
                          <w:szCs w:val="20"/>
                        </w:rPr>
                        <w:t>Tous les produits sont conçus et fabriqués en France. Spineway s’attache à constituer une relation d’échanges techniques et de confiance avec ses sous-traitants, en les intégrant en amont, dans la faisabilité et le prototypage des produits.</w:t>
                      </w:r>
                    </w:p>
                  </w:txbxContent>
                </v:textbox>
              </v:rect>
            </w:pict>
          </mc:Fallback>
        </mc:AlternateContent>
      </w:r>
    </w:p>
    <w:p w14:paraId="42091EFC" w14:textId="77777777" w:rsidR="00327122" w:rsidRPr="00A529B7" w:rsidRDefault="00327122" w:rsidP="00327122">
      <w:pPr>
        <w:rPr>
          <w:szCs w:val="20"/>
        </w:rPr>
      </w:pPr>
      <w:r>
        <w:rPr>
          <w:noProof/>
        </w:rPr>
        <w:drawing>
          <wp:inline distT="0" distB="0" distL="0" distR="0" wp14:anchorId="4C360227" wp14:editId="77E849CE">
            <wp:extent cx="655147" cy="800947"/>
            <wp:effectExtent l="0" t="0" r="5715" b="12065"/>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0"/>
                    <pic:cNvPicPr/>
                  </pic:nvPicPr>
                  <pic:blipFill>
                    <a:blip r:embed="rId55">
                      <a:extLst>
                        <a:ext uri="{28A0092B-C50C-407E-A947-70E740481C1C}">
                          <a14:useLocalDpi xmlns:a14="http://schemas.microsoft.com/office/drawing/2010/main" val="0"/>
                        </a:ext>
                      </a:extLst>
                    </a:blip>
                    <a:stretch>
                      <a:fillRect/>
                    </a:stretch>
                  </pic:blipFill>
                  <pic:spPr>
                    <a:xfrm>
                      <a:off x="0" y="0"/>
                      <a:ext cx="655147" cy="800947"/>
                    </a:xfrm>
                    <a:prstGeom prst="rect">
                      <a:avLst/>
                    </a:prstGeom>
                  </pic:spPr>
                </pic:pic>
              </a:graphicData>
            </a:graphic>
          </wp:inline>
        </w:drawing>
      </w:r>
    </w:p>
    <w:p w14:paraId="72F67AEB" w14:textId="77777777" w:rsidR="00327122" w:rsidRDefault="00327122" w:rsidP="00327122">
      <w:pPr>
        <w:rPr>
          <w:szCs w:val="20"/>
        </w:rPr>
      </w:pPr>
    </w:p>
    <w:p w14:paraId="74D66D3F" w14:textId="401BF7B5" w:rsidR="00327122" w:rsidRPr="00105403" w:rsidRDefault="4DE1D9E4" w:rsidP="4DE1D9E4">
      <w:pPr>
        <w:pStyle w:val="Paragraphedeliste"/>
        <w:numPr>
          <w:ilvl w:val="0"/>
          <w:numId w:val="26"/>
        </w:numPr>
        <w:rPr>
          <w:b/>
          <w:bCs/>
        </w:rPr>
      </w:pPr>
      <w:r w:rsidRPr="4DE1D9E4">
        <w:rPr>
          <w:b/>
          <w:bCs/>
        </w:rPr>
        <w:t>Approvisionnement :</w:t>
      </w:r>
    </w:p>
    <w:p w14:paraId="612A0F08" w14:textId="77777777" w:rsidR="00327122" w:rsidRDefault="00327122" w:rsidP="00327122"/>
    <w:p w14:paraId="258F9D92" w14:textId="29DB9C1C" w:rsidR="00327122" w:rsidRPr="00877039" w:rsidRDefault="00327122" w:rsidP="00327122">
      <w:r w:rsidRPr="00877039">
        <w:t>La fabrication des produits de la Société requiert un approvisionnement continu en matières premières, notamment en titane, alliages de titane, aciers inoxydables et PEEK</w:t>
      </w:r>
      <w:r w:rsidRPr="00877039">
        <w:rPr>
          <w:rStyle w:val="Marquenotebasdepage"/>
        </w:rPr>
        <w:footnoteReference w:id="7"/>
      </w:r>
      <w:r w:rsidRPr="00877039">
        <w:t xml:space="preserve">. La Société s’appuie sur plusieurs fournisseurs et, dans un cas spécifique, sur un fournisseur unique, Invibio Ltd (18% des achats 2020). </w:t>
      </w:r>
    </w:p>
    <w:p w14:paraId="119CA097" w14:textId="77777777" w:rsidR="00327122" w:rsidRPr="00877039" w:rsidRDefault="00327122" w:rsidP="00327122"/>
    <w:p w14:paraId="40C97D53" w14:textId="2DE4FDDE" w:rsidR="00327122" w:rsidRPr="00877039" w:rsidRDefault="00327122" w:rsidP="00327122">
      <w:r w:rsidRPr="00877039">
        <w:t xml:space="preserve">La Société a conclu un contrat de fourniture avec la société Invibio Ltd en vertu duquel cette dernière fournit à Spineway du PEEK que la Société utilise dans la fabrication d’un grand nombre de ses cages. Si Invibio Ltd venait à cesser d’approvisionner Spineway en PEEK, la Société pourrait trouver une source d’approvisionnement alternative dans un délai raisonnable et à des conditions commerciales satisfaisantes puisque plusieurs intervenants sont arrivés récemment sur le marché. </w:t>
      </w:r>
    </w:p>
    <w:p w14:paraId="0CD9A309" w14:textId="77777777" w:rsidR="00327122" w:rsidRPr="00877039" w:rsidRDefault="00327122" w:rsidP="00327122"/>
    <w:p w14:paraId="1450477F" w14:textId="1490A591" w:rsidR="00327122" w:rsidRPr="00877039" w:rsidRDefault="54FDD3F0" w:rsidP="00327122">
      <w:r w:rsidRPr="00877039">
        <w:t>Au 31 décembre 2020, le principal fournisseur de production représente 26% des achats</w:t>
      </w:r>
      <w:r w:rsidR="008839B5">
        <w:t xml:space="preserve"> et les</w:t>
      </w:r>
      <w:r w:rsidRPr="00877039">
        <w:t xml:space="preserve"> 3 principaux fournisseurs représentent 62% des achats</w:t>
      </w:r>
      <w:r w:rsidR="008839B5">
        <w:t>.</w:t>
      </w:r>
    </w:p>
    <w:p w14:paraId="66D38197" w14:textId="3EE2726C" w:rsidR="00327122" w:rsidRPr="00877039" w:rsidRDefault="54FDD3F0" w:rsidP="00327122">
      <w:r w:rsidRPr="00877039">
        <w:t>Spineway estime ne pas être</w:t>
      </w:r>
      <w:r w:rsidR="00DF043A">
        <w:t>,</w:t>
      </w:r>
      <w:r w:rsidRPr="00877039">
        <w:t xml:space="preserve"> malgré tout</w:t>
      </w:r>
      <w:r w:rsidR="00DF043A">
        <w:t>,</w:t>
      </w:r>
      <w:r w:rsidRPr="00877039">
        <w:t xml:space="preserve"> en situation de dépendance d’un seul sous-traitant quel que soit le métier concerné par la fabrication de plus de 50% de ses produits.</w:t>
      </w:r>
    </w:p>
    <w:p w14:paraId="5B1F6F5F" w14:textId="77777777" w:rsidR="00327122" w:rsidRDefault="00327122" w:rsidP="00327122">
      <w:pPr>
        <w:rPr>
          <w:szCs w:val="20"/>
        </w:rPr>
      </w:pPr>
    </w:p>
    <w:p w14:paraId="553C5BEC" w14:textId="0C2C7808" w:rsidR="00327122" w:rsidRDefault="00BA5D13" w:rsidP="00327122">
      <w:r>
        <w:t>Par ailleurs</w:t>
      </w:r>
      <w:r w:rsidR="00327122" w:rsidRPr="00F15F34">
        <w:t xml:space="preserve">, le prix et la disponibilité des matières premières nécessaires à la fabrication des produits Spineway sont sujets à des variations dues aux coûts de transport, </w:t>
      </w:r>
      <w:r w:rsidR="00327122">
        <w:t xml:space="preserve">aux </w:t>
      </w:r>
      <w:r w:rsidR="00327122" w:rsidRPr="00F15F34">
        <w:t xml:space="preserve">réglementations, </w:t>
      </w:r>
      <w:r w:rsidR="00327122">
        <w:t xml:space="preserve">aux </w:t>
      </w:r>
      <w:r w:rsidR="00327122" w:rsidRPr="00F15F34">
        <w:t xml:space="preserve">contrôles de prix, </w:t>
      </w:r>
      <w:r w:rsidR="00327122">
        <w:t xml:space="preserve">aux </w:t>
      </w:r>
      <w:r w:rsidR="00327122" w:rsidRPr="00F15F34">
        <w:t xml:space="preserve">changements de conjoncture économique et </w:t>
      </w:r>
      <w:r w:rsidR="00327122">
        <w:t xml:space="preserve">aux </w:t>
      </w:r>
      <w:r w:rsidR="00327122" w:rsidRPr="00F15F34">
        <w:t xml:space="preserve">autres circonstances imprévues. </w:t>
      </w:r>
      <w:r w:rsidR="00327122">
        <w:t xml:space="preserve">Dans le passé, en raison des difficultés d’approvisionnement sur le marché, </w:t>
      </w:r>
      <w:r w:rsidR="00327122" w:rsidRPr="00F15F34">
        <w:t>Spineway a parfois subi des retards de livraison de la part des fournisseurs</w:t>
      </w:r>
      <w:r w:rsidR="00327122">
        <w:t xml:space="preserve"> qui l’ont contrainte </w:t>
      </w:r>
      <w:r w:rsidR="00327122" w:rsidRPr="00F15F34">
        <w:t xml:space="preserve">à modifier les échéances de livraison de ses clients. </w:t>
      </w:r>
    </w:p>
    <w:p w14:paraId="2630EADA" w14:textId="77777777" w:rsidR="00BA5D13" w:rsidRDefault="00BA5D13" w:rsidP="00327122"/>
    <w:p w14:paraId="2B6DEF9B" w14:textId="0D0C7FB0" w:rsidR="00327122" w:rsidRDefault="00BA5D13" w:rsidP="00C622C2">
      <w:pPr>
        <w:pStyle w:val="Paragraphedeliste"/>
        <w:numPr>
          <w:ilvl w:val="0"/>
          <w:numId w:val="12"/>
        </w:numPr>
        <w:rPr>
          <w:b/>
        </w:rPr>
      </w:pPr>
      <w:r>
        <w:rPr>
          <w:b/>
        </w:rPr>
        <w:t>M</w:t>
      </w:r>
      <w:r w:rsidR="00327122">
        <w:rPr>
          <w:b/>
        </w:rPr>
        <w:t>atières premières</w:t>
      </w:r>
      <w:r>
        <w:rPr>
          <w:b/>
        </w:rPr>
        <w:t> :</w:t>
      </w:r>
    </w:p>
    <w:p w14:paraId="338DE0DB" w14:textId="77777777" w:rsidR="00327122" w:rsidRPr="00B507E3" w:rsidRDefault="00327122" w:rsidP="00327122">
      <w:pPr>
        <w:pStyle w:val="Paragraphedeliste"/>
        <w:rPr>
          <w:b/>
        </w:rPr>
      </w:pPr>
    </w:p>
    <w:p w14:paraId="4EEBFE7C" w14:textId="523FE0BF" w:rsidR="00BA5D13" w:rsidRDefault="54FDD3F0" w:rsidP="00BA5D13">
      <w:r>
        <w:t>La part du coût des matières premières pour les produits Spineway est relativement faible, à l’exception des produits à base de PEEK. Pour les produits cages intervertébrales, les variations du coût des matières premières pourraient augmenter les dépenses de la Société.</w:t>
      </w:r>
    </w:p>
    <w:p w14:paraId="7C6F4DD9" w14:textId="49112BF7" w:rsidR="00327122" w:rsidRDefault="00BA5D13" w:rsidP="00327122">
      <w:r>
        <w:t>Néanmoins</w:t>
      </w:r>
      <w:r w:rsidR="00327122">
        <w:t xml:space="preserve">, Spineway constate une augmentation du nombre de fournisseurs mondiaux de polymère PEEK ou équivalent. La Société peut s’attendre à une stagnation ou une diminution du prix d’approvisionnement, en raison d’une mise en concurrence. </w:t>
      </w:r>
    </w:p>
    <w:p w14:paraId="7ECC0F8C" w14:textId="77777777" w:rsidR="00327122" w:rsidRDefault="00327122" w:rsidP="00327122"/>
    <w:p w14:paraId="6E8E143B" w14:textId="47407F1D" w:rsidR="00A529B7" w:rsidRPr="00105403" w:rsidRDefault="4DE1D9E4" w:rsidP="4DE1D9E4">
      <w:pPr>
        <w:pStyle w:val="Paragraphedeliste"/>
        <w:numPr>
          <w:ilvl w:val="0"/>
          <w:numId w:val="24"/>
        </w:numPr>
        <w:rPr>
          <w:b/>
          <w:bCs/>
        </w:rPr>
      </w:pPr>
      <w:r w:rsidRPr="4DE1D9E4">
        <w:rPr>
          <w:b/>
          <w:bCs/>
        </w:rPr>
        <w:t>Contrôle de la qualité :</w:t>
      </w:r>
    </w:p>
    <w:p w14:paraId="4AFA5472" w14:textId="77777777" w:rsidR="00A529B7" w:rsidRDefault="00A529B7" w:rsidP="00A529B7">
      <w:pPr>
        <w:rPr>
          <w:szCs w:val="20"/>
        </w:rPr>
      </w:pPr>
    </w:p>
    <w:p w14:paraId="49A94515" w14:textId="7A72B70E" w:rsidR="54FDD3F0" w:rsidRDefault="54FDD3F0" w:rsidP="54FDD3F0">
      <w:pPr>
        <w:rPr>
          <w:rFonts w:ascii="Calibri" w:eastAsia="Calibri" w:hAnsi="Calibri" w:cs="Calibri"/>
          <w:szCs w:val="20"/>
        </w:rPr>
      </w:pPr>
      <w:r w:rsidRPr="54FDD3F0">
        <w:rPr>
          <w:rFonts w:ascii="Calibri" w:eastAsia="Calibri" w:hAnsi="Calibri" w:cs="Calibri"/>
          <w:szCs w:val="20"/>
        </w:rPr>
        <w:t xml:space="preserve"> Les service</w:t>
      </w:r>
      <w:r w:rsidR="00BF55D1">
        <w:rPr>
          <w:rFonts w:ascii="Calibri" w:eastAsia="Calibri" w:hAnsi="Calibri" w:cs="Calibri"/>
          <w:szCs w:val="20"/>
        </w:rPr>
        <w:t>s</w:t>
      </w:r>
      <w:r w:rsidRPr="54FDD3F0">
        <w:rPr>
          <w:rFonts w:ascii="Calibri" w:eastAsia="Calibri" w:hAnsi="Calibri" w:cs="Calibri"/>
          <w:szCs w:val="20"/>
        </w:rPr>
        <w:t xml:space="preserve"> méthode/industrialisation et qualité de Spineway valident les produits et procédés de fabrication des dispositifs fabriqués à partir de matériaux normés et dont la traçabilité est démontrée, pour une bio </w:t>
      </w:r>
      <w:r w:rsidRPr="54FDD3F0">
        <w:rPr>
          <w:rFonts w:ascii="Calibri" w:eastAsia="Calibri" w:hAnsi="Calibri" w:cs="Calibri"/>
          <w:szCs w:val="20"/>
        </w:rPr>
        <w:lastRenderedPageBreak/>
        <w:t xml:space="preserve">compatibilité et une tenue dans le temps assurées. L’inspection finale de tous les produits est réalisée avant entrée en stock par des techniciens qualifiés faisant partie du service contrôle de la </w:t>
      </w:r>
      <w:r w:rsidR="00DF043A">
        <w:rPr>
          <w:rFonts w:ascii="Calibri" w:eastAsia="Calibri" w:hAnsi="Calibri" w:cs="Calibri"/>
          <w:szCs w:val="20"/>
        </w:rPr>
        <w:t>S</w:t>
      </w:r>
      <w:r w:rsidR="00DF043A" w:rsidRPr="54FDD3F0">
        <w:rPr>
          <w:rFonts w:ascii="Calibri" w:eastAsia="Calibri" w:hAnsi="Calibri" w:cs="Calibri"/>
          <w:szCs w:val="20"/>
        </w:rPr>
        <w:t>ociété</w:t>
      </w:r>
      <w:r w:rsidRPr="54FDD3F0">
        <w:rPr>
          <w:rFonts w:ascii="Calibri" w:eastAsia="Calibri" w:hAnsi="Calibri" w:cs="Calibri"/>
          <w:szCs w:val="20"/>
        </w:rPr>
        <w:t>. Les moyens de contrôle de Spineway sont inspectés et mis à jour selon les normes en vigueur.</w:t>
      </w:r>
    </w:p>
    <w:p w14:paraId="4F653DE4" w14:textId="70321B77" w:rsidR="00A529B7" w:rsidRDefault="00A529B7" w:rsidP="188C713A"/>
    <w:p w14:paraId="2313F23A" w14:textId="1D6F6ED8" w:rsidR="00F27A8E" w:rsidRPr="00105403" w:rsidRDefault="4DE1D9E4" w:rsidP="4DE1D9E4">
      <w:pPr>
        <w:pStyle w:val="Paragraphedeliste"/>
        <w:numPr>
          <w:ilvl w:val="0"/>
          <w:numId w:val="24"/>
        </w:numPr>
        <w:rPr>
          <w:b/>
          <w:bCs/>
        </w:rPr>
      </w:pPr>
      <w:r w:rsidRPr="4DE1D9E4">
        <w:rPr>
          <w:b/>
          <w:bCs/>
        </w:rPr>
        <w:t>Marquage CE :</w:t>
      </w:r>
    </w:p>
    <w:p w14:paraId="48C0AF5A" w14:textId="77777777" w:rsidR="00F27A8E" w:rsidRPr="0012290E" w:rsidRDefault="00F27A8E" w:rsidP="00A529B7">
      <w:pPr>
        <w:rPr>
          <w:szCs w:val="20"/>
        </w:rPr>
      </w:pPr>
    </w:p>
    <w:p w14:paraId="7A043C5A" w14:textId="0A17FC69" w:rsidR="00A529B7" w:rsidRPr="00A529B7" w:rsidRDefault="4DE1D9E4" w:rsidP="54FDD3F0">
      <w:r>
        <w:t xml:space="preserve">En tant que fabricant responsable, Spineway et ses sous-traitants sont soumis à la réglementation du système qualité de l’Union Européenne. Les produits de la Société bénéficient du marquage CE, et elle-même est certifiée selon les standards de l’Organisation Internationale de Normalisation (ISO). Les installations de la Société et celles de ses sous-traitants peuvent faire l’objet de contrôles inopinés et inspections de conformité par les autorités règlementaires (France via l’Agence Nationale de </w:t>
      </w:r>
      <w:r w:rsidR="00B2272B">
        <w:t xml:space="preserve">Sécurité </w:t>
      </w:r>
      <w:r>
        <w:t xml:space="preserve">du </w:t>
      </w:r>
      <w:r w:rsidR="00B2272B">
        <w:t>M</w:t>
      </w:r>
      <w:r>
        <w:t>édicament et des produits pharmaceutiques - ANSM, Etats-Unis - FDA, Brésil - ANVISA, etc.).</w:t>
      </w:r>
    </w:p>
    <w:p w14:paraId="0F8C3173" w14:textId="3DFD8A4C" w:rsidR="00A529B7" w:rsidRPr="00A529B7" w:rsidRDefault="4DE1D9E4" w:rsidP="54FDD3F0">
      <w:r>
        <w:t>Spineway a mis en place des processus d’évaluation constante en termes de qualité, attestés par ses certifications ISO 13485/2016 (DNV, T</w:t>
      </w:r>
      <w:r w:rsidR="00B2272B">
        <w:t>Ü</w:t>
      </w:r>
      <w:r>
        <w:t xml:space="preserve">V Rheinland). La </w:t>
      </w:r>
      <w:r w:rsidR="0016077D">
        <w:t>S</w:t>
      </w:r>
      <w:r>
        <w:t>ociété</w:t>
      </w:r>
      <w:r w:rsidR="0016077D">
        <w:t xml:space="preserve">, </w:t>
      </w:r>
      <w:r>
        <w:t xml:space="preserve">suite au changement </w:t>
      </w:r>
      <w:r w:rsidR="00DF043A">
        <w:t>d’organisme notifié</w:t>
      </w:r>
      <w:r w:rsidR="0016077D">
        <w:t>,</w:t>
      </w:r>
      <w:r>
        <w:t xml:space="preserve"> a pu ainsi mettre en place des process de transfert de ses marquages au T</w:t>
      </w:r>
      <w:r w:rsidR="00B2272B">
        <w:t>Ü</w:t>
      </w:r>
      <w:r>
        <w:t xml:space="preserve">V Rheinland et une extension de l’ensemble de </w:t>
      </w:r>
      <w:r w:rsidR="00534B42">
        <w:t>s</w:t>
      </w:r>
      <w:r>
        <w:t xml:space="preserve">es gammes sous référentiel CE MDD jusqu’en mai 2024. </w:t>
      </w:r>
    </w:p>
    <w:p w14:paraId="275532E2" w14:textId="79E0FA46" w:rsidR="54FDD3F0" w:rsidRDefault="54FDD3F0" w:rsidP="54FDD3F0"/>
    <w:p w14:paraId="38D91D36" w14:textId="77777777" w:rsidR="002011B6" w:rsidRDefault="00A529B7" w:rsidP="00A529B7">
      <w:pPr>
        <w:rPr>
          <w:szCs w:val="20"/>
        </w:rPr>
      </w:pPr>
      <w:r w:rsidRPr="00A529B7">
        <w:rPr>
          <w:szCs w:val="20"/>
        </w:rPr>
        <w:t>En raison des contraintes règlementaires strictes encadrant la fabrication de ses produits et afin d’assurer une qualité irréprochable, Spineway</w:t>
      </w:r>
      <w:r w:rsidR="002011B6">
        <w:rPr>
          <w:szCs w:val="20"/>
        </w:rPr>
        <w:t> n’</w:t>
      </w:r>
      <w:r w:rsidRPr="00A529B7">
        <w:rPr>
          <w:szCs w:val="20"/>
        </w:rPr>
        <w:t xml:space="preserve">externalise sa fabrication </w:t>
      </w:r>
      <w:r w:rsidR="002011B6">
        <w:rPr>
          <w:szCs w:val="20"/>
        </w:rPr>
        <w:t>qu’</w:t>
      </w:r>
      <w:r w:rsidRPr="00A529B7">
        <w:rPr>
          <w:szCs w:val="20"/>
        </w:rPr>
        <w:t xml:space="preserve">auprès de sociétés qui répondent aux référentiels ISO et aux standards de qualité interne. </w:t>
      </w:r>
    </w:p>
    <w:p w14:paraId="7EB6ACC7" w14:textId="645E3433" w:rsidR="00BA5D13" w:rsidRDefault="00A529B7" w:rsidP="002011B6">
      <w:pPr>
        <w:rPr>
          <w:szCs w:val="20"/>
        </w:rPr>
      </w:pPr>
      <w:r w:rsidRPr="00A529B7">
        <w:rPr>
          <w:szCs w:val="20"/>
        </w:rPr>
        <w:t xml:space="preserve">Spineway supervise activement les performances de ses fournisseurs au travers </w:t>
      </w:r>
      <w:r w:rsidR="002011B6">
        <w:rPr>
          <w:szCs w:val="20"/>
        </w:rPr>
        <w:t>un</w:t>
      </w:r>
      <w:r w:rsidRPr="00A529B7">
        <w:rPr>
          <w:szCs w:val="20"/>
        </w:rPr>
        <w:t xml:space="preserve"> programme d’audits, destiné à </w:t>
      </w:r>
      <w:r w:rsidR="002011B6">
        <w:rPr>
          <w:szCs w:val="20"/>
        </w:rPr>
        <w:t>s’</w:t>
      </w:r>
      <w:r w:rsidRPr="00A529B7">
        <w:rPr>
          <w:szCs w:val="20"/>
        </w:rPr>
        <w:t xml:space="preserve">assurer que les produits répondent, au minimum, à l’ensemble des exigences requises par les normes en vigueur et </w:t>
      </w:r>
      <w:r w:rsidR="002011B6">
        <w:rPr>
          <w:szCs w:val="20"/>
        </w:rPr>
        <w:t>au</w:t>
      </w:r>
      <w:r w:rsidRPr="00A529B7">
        <w:rPr>
          <w:szCs w:val="20"/>
        </w:rPr>
        <w:t xml:space="preserve"> cahier des charges de Spineway. </w:t>
      </w:r>
    </w:p>
    <w:p w14:paraId="183C204A" w14:textId="77777777" w:rsidR="00327122" w:rsidRDefault="00327122" w:rsidP="00327122"/>
    <w:p w14:paraId="2C189E82" w14:textId="23CDFD0C" w:rsidR="00D1681B" w:rsidRPr="00AD71B5" w:rsidRDefault="00022584" w:rsidP="00D1681B">
      <w:pPr>
        <w:pStyle w:val="Titre4"/>
      </w:pPr>
      <w:bookmarkStart w:id="125" w:name="_Ref373051054"/>
      <w:r>
        <w:t>5</w:t>
      </w:r>
      <w:r w:rsidR="00D1681B">
        <w:t>.</w:t>
      </w:r>
      <w:r w:rsidR="00D1755C">
        <w:t>1</w:t>
      </w:r>
      <w:r w:rsidR="00D1681B">
        <w:t xml:space="preserve">.3.3. L’homologation </w:t>
      </w:r>
      <w:r w:rsidR="00D1681B" w:rsidRPr="00AD71B5">
        <w:t>des produits</w:t>
      </w:r>
      <w:bookmarkEnd w:id="125"/>
      <w:r w:rsidR="00D1681B" w:rsidRPr="00AD71B5">
        <w:t xml:space="preserve"> </w:t>
      </w:r>
    </w:p>
    <w:p w14:paraId="14B2D817" w14:textId="77777777" w:rsidR="00D1681B" w:rsidRDefault="00D1681B" w:rsidP="00F5737F"/>
    <w:p w14:paraId="336C6605" w14:textId="1C42208F" w:rsidR="00277EFE" w:rsidRPr="00A53DAC" w:rsidRDefault="54FDD3F0" w:rsidP="00277EFE">
      <w:r>
        <w:t>Dans la quasi-totalité des pays, il est nécessaire que les produits soient enregistrés auprès des autorités douanières et de santé pour être mis à disposition des marchés puisqu’il s’agit de dispositifs médicaux. On parle d’homologation.</w:t>
      </w:r>
    </w:p>
    <w:p w14:paraId="6092A2DC" w14:textId="77777777" w:rsidR="00277EFE" w:rsidRPr="00A53DAC" w:rsidRDefault="00277EFE" w:rsidP="00277EFE">
      <w:pPr>
        <w:rPr>
          <w:szCs w:val="20"/>
        </w:rPr>
      </w:pPr>
    </w:p>
    <w:p w14:paraId="747EB1FA" w14:textId="77777777" w:rsidR="00277EFE" w:rsidRPr="00A53DAC" w:rsidRDefault="00277EFE" w:rsidP="00277EFE">
      <w:pPr>
        <w:rPr>
          <w:szCs w:val="20"/>
        </w:rPr>
      </w:pPr>
      <w:r w:rsidRPr="00A53DAC">
        <w:rPr>
          <w:szCs w:val="20"/>
        </w:rPr>
        <w:t xml:space="preserve">Spineway dispose en propre de ses droits d’homologation. </w:t>
      </w:r>
    </w:p>
    <w:p w14:paraId="3B7EBEC7" w14:textId="2FE7C506" w:rsidR="00277EFE" w:rsidRPr="00A53DAC" w:rsidRDefault="4DE1D9E4" w:rsidP="00277EFE">
      <w:r>
        <w:t xml:space="preserve">Une exception est toutefois à signaler aux Etats Unis avec un partenaire identifié : un partenaire américain avait lui-même déposé des droits d’homologation pour Spineway mais les relations commerciales ne </w:t>
      </w:r>
      <w:r w:rsidR="00C65D38">
        <w:t>se</w:t>
      </w:r>
      <w:r>
        <w:t xml:space="preserve"> sont pas développées comme initialement prévu. Spineway a donc racheté ces droits d’homologations déposés par ce partenaire afin d’éviter d’avoir à déposer un nouveau dossier d’homologation. Ces acquisitions d’immobilisations correspondent à un cas bien particulier et ne participent pas à la stratégie de la Société.</w:t>
      </w:r>
    </w:p>
    <w:p w14:paraId="0869B4FC" w14:textId="77777777" w:rsidR="00277EFE" w:rsidRPr="00A53DAC" w:rsidRDefault="00277EFE" w:rsidP="00277EFE">
      <w:pPr>
        <w:rPr>
          <w:szCs w:val="20"/>
        </w:rPr>
      </w:pPr>
    </w:p>
    <w:p w14:paraId="201349B0" w14:textId="230FA08E" w:rsidR="00C84759" w:rsidRPr="00A53DAC" w:rsidRDefault="4DE1D9E4" w:rsidP="00277EFE">
      <w:r>
        <w:t xml:space="preserve">La Société travaille constamment à la mise à jour des homologations de ses produits, et au dépôt de dossiers pour ses nouveaux produits. Les durées et procédures d’obtention des homologations sont très différentes selon les territoires. Ainsi, Spineway a obtenu, en octobre 2019, l’homologation de sa gamme de chirurgie mini-invasive mont-blanc MIS par les autorités sanitaires japonaises et a ainsi pu signer, début 2020, un accord commercial de distribution exclusif au Japon et le renouvellement de ses gammes </w:t>
      </w:r>
      <w:r w:rsidR="00584FCB">
        <w:t>M</w:t>
      </w:r>
      <w:r>
        <w:t xml:space="preserve">ont </w:t>
      </w:r>
      <w:r w:rsidR="00DF043A">
        <w:t>Blanc</w:t>
      </w:r>
      <w:r>
        <w:t xml:space="preserve">, </w:t>
      </w:r>
      <w:r w:rsidR="00584FCB">
        <w:t>T</w:t>
      </w:r>
      <w:r>
        <w:t xml:space="preserve">win </w:t>
      </w:r>
      <w:r w:rsidR="00DF043A">
        <w:t>Peaks</w:t>
      </w:r>
      <w:r>
        <w:t xml:space="preserve">, </w:t>
      </w:r>
      <w:r w:rsidR="009038D4">
        <w:t>K</w:t>
      </w:r>
      <w:r>
        <w:t>ili</w:t>
      </w:r>
      <w:r w:rsidR="009038D4">
        <w:t xml:space="preserve"> et</w:t>
      </w:r>
      <w:r>
        <w:t xml:space="preserve"> </w:t>
      </w:r>
      <w:r w:rsidR="009038D4">
        <w:t>A</w:t>
      </w:r>
      <w:r>
        <w:t xml:space="preserve">yers </w:t>
      </w:r>
      <w:r w:rsidR="00DF043A">
        <w:t xml:space="preserve">Rock </w:t>
      </w:r>
      <w:r>
        <w:t>en Chine en 2019-2020.</w:t>
      </w:r>
    </w:p>
    <w:p w14:paraId="10888D85" w14:textId="67D585E5" w:rsidR="00D1681B" w:rsidRDefault="00D1681B" w:rsidP="00F5737F"/>
    <w:p w14:paraId="6FFCA641" w14:textId="0B5B1FBA" w:rsidR="00F5737F" w:rsidRDefault="00F5737F" w:rsidP="00283D1D">
      <w:pPr>
        <w:jc w:val="left"/>
        <w:rPr>
          <w:szCs w:val="20"/>
        </w:rPr>
      </w:pPr>
      <w:r>
        <w:rPr>
          <w:szCs w:val="20"/>
        </w:rPr>
        <w:t>Cf. Paragraphe « </w:t>
      </w:r>
      <w:r>
        <w:rPr>
          <w:szCs w:val="20"/>
        </w:rPr>
        <w:fldChar w:fldCharType="begin"/>
      </w:r>
      <w:r>
        <w:rPr>
          <w:szCs w:val="20"/>
        </w:rPr>
        <w:instrText xml:space="preserve"> REF _Ref372966192 \h </w:instrText>
      </w:r>
      <w:r>
        <w:rPr>
          <w:szCs w:val="20"/>
        </w:rPr>
      </w:r>
      <w:r>
        <w:rPr>
          <w:szCs w:val="20"/>
        </w:rPr>
        <w:fldChar w:fldCharType="separate"/>
      </w:r>
      <w:r w:rsidR="003A0AD1">
        <w:t xml:space="preserve">5.4. La stratégie de développement de Spineway </w:t>
      </w:r>
      <w:r>
        <w:rPr>
          <w:szCs w:val="20"/>
        </w:rPr>
        <w:fldChar w:fldCharType="end"/>
      </w:r>
      <w:r>
        <w:rPr>
          <w:szCs w:val="20"/>
        </w:rPr>
        <w:t xml:space="preserve"> » concernant les particularités éventuelles des homologations par pays. </w:t>
      </w:r>
    </w:p>
    <w:p w14:paraId="3AD17144" w14:textId="77777777" w:rsidR="00F5737F" w:rsidRDefault="00F5737F" w:rsidP="00327122"/>
    <w:p w14:paraId="1FEFDEBC" w14:textId="650B0ABE" w:rsidR="00105403" w:rsidRPr="00AD71B5" w:rsidRDefault="00022584" w:rsidP="00105403">
      <w:pPr>
        <w:pStyle w:val="Titre4"/>
      </w:pPr>
      <w:bookmarkStart w:id="126" w:name="_Ref372883319"/>
      <w:r>
        <w:t>5</w:t>
      </w:r>
      <w:r w:rsidR="00105403">
        <w:t>.</w:t>
      </w:r>
      <w:r w:rsidR="00D1755C">
        <w:t>1</w:t>
      </w:r>
      <w:r w:rsidR="00105403">
        <w:t>.</w:t>
      </w:r>
      <w:r w:rsidR="00021C5D">
        <w:t>3</w:t>
      </w:r>
      <w:r w:rsidR="00105403">
        <w:t>.</w:t>
      </w:r>
      <w:r w:rsidR="00D1681B">
        <w:t>4</w:t>
      </w:r>
      <w:r w:rsidR="00105403">
        <w:t xml:space="preserve">. </w:t>
      </w:r>
      <w:r w:rsidR="00105403" w:rsidRPr="00AD71B5">
        <w:t xml:space="preserve">La </w:t>
      </w:r>
      <w:r w:rsidR="00105403">
        <w:t>distribution</w:t>
      </w:r>
      <w:r w:rsidR="00105403" w:rsidRPr="00AD71B5">
        <w:t xml:space="preserve"> des produits</w:t>
      </w:r>
      <w:bookmarkEnd w:id="126"/>
      <w:r w:rsidR="00105403" w:rsidRPr="00AD71B5">
        <w:t xml:space="preserve"> </w:t>
      </w:r>
    </w:p>
    <w:p w14:paraId="79440233" w14:textId="77777777" w:rsidR="00467BA6" w:rsidRPr="00A529B7" w:rsidRDefault="00467BA6" w:rsidP="00467BA6">
      <w:pPr>
        <w:jc w:val="left"/>
        <w:rPr>
          <w:b/>
          <w:szCs w:val="20"/>
        </w:rPr>
      </w:pPr>
    </w:p>
    <w:p w14:paraId="0388999D" w14:textId="298F209C" w:rsidR="00EB546B" w:rsidRPr="00BB795C" w:rsidRDefault="00EB546B" w:rsidP="00EB546B">
      <w:pPr>
        <w:tabs>
          <w:tab w:val="right" w:leader="dot" w:pos="8505"/>
        </w:tabs>
      </w:pPr>
      <w:r>
        <w:t xml:space="preserve">La Société est présente dans le monde entier avec une part prépondérante de son chiffre d’affaires constaté hors France (88% du chiffre d’affaires consolidé au 31 décembre 2020 contre 87% au 31 décembre 2019) et notamment en zone Amérique </w:t>
      </w:r>
      <w:r w:rsidR="00DF043A">
        <w:t xml:space="preserve">latine </w:t>
      </w:r>
      <w:r>
        <w:t xml:space="preserve">(44% de son chiffre d’affaires consolidé au 31 décembre 2020). Le poids de la zone Asie s’est accru </w:t>
      </w:r>
      <w:r w:rsidR="003E204E">
        <w:t>en</w:t>
      </w:r>
      <w:r>
        <w:t xml:space="preserve"> 2020 pour atteindre 25% du chiffre d’affaires consolidé contre 13% en 2019. Le chiffre d’affaires réalisé en Europe (France incluse) ne représente au total que 21% du chiffre d’affaires consolidé du Groupe au 31 décembre 2020 (stable par rapport au 31 décembre 2019).</w:t>
      </w:r>
    </w:p>
    <w:p w14:paraId="4FFB7C39" w14:textId="77777777" w:rsidR="00EB546B" w:rsidRDefault="00EB546B" w:rsidP="00A529B7"/>
    <w:p w14:paraId="3702AF5C" w14:textId="3BEC4EC9" w:rsidR="00AD25AB" w:rsidRPr="00603C11" w:rsidRDefault="00EB546B" w:rsidP="00A529B7">
      <w:pPr>
        <w:rPr>
          <w:szCs w:val="20"/>
        </w:rPr>
      </w:pPr>
      <w:r w:rsidRPr="00EB546B">
        <w:lastRenderedPageBreak/>
        <w:t>Ses produits sont aujourd’hui distribués dans 30 pays sur 5 continents, grâce à un réseau de plus de 60 distributeurs locaux. </w:t>
      </w:r>
    </w:p>
    <w:p w14:paraId="7DD988E5" w14:textId="77777777" w:rsidR="00EB546B" w:rsidRDefault="00EB546B" w:rsidP="00EB546B">
      <w:pPr>
        <w:tabs>
          <w:tab w:val="right" w:leader="dot" w:pos="8505"/>
        </w:tabs>
      </w:pPr>
    </w:p>
    <w:p w14:paraId="78EC7F54" w14:textId="768DF802" w:rsidR="00EB546B" w:rsidRPr="00EB546B" w:rsidRDefault="00EB546B" w:rsidP="00EB546B">
      <w:pPr>
        <w:tabs>
          <w:tab w:val="right" w:leader="dot" w:pos="8505"/>
        </w:tabs>
      </w:pPr>
      <w:r>
        <w:t xml:space="preserve">A l’étranger, Spineway distribue ses produits exclusivement via des distributeurs indépendants (vente indirecte). En France, la vente de produits </w:t>
      </w:r>
      <w:r w:rsidRPr="00603C11">
        <w:rPr>
          <w:szCs w:val="20"/>
        </w:rPr>
        <w:t xml:space="preserve">(12% de son chiffre d’affaires au 31 décembre 2020) </w:t>
      </w:r>
      <w:r>
        <w:t>est en revanche principalement réalisée en direct auprès des établissements de soins (vente directe)</w:t>
      </w:r>
      <w:r w:rsidR="003E204E">
        <w:t xml:space="preserve"> </w:t>
      </w:r>
      <w:r>
        <w:t>mais peut également être réalisée par l’intermédiaire de distributeurs dans le cadre de partenariats privilégiés.</w:t>
      </w:r>
    </w:p>
    <w:p w14:paraId="1815DEC9" w14:textId="77777777" w:rsidR="00EB546B" w:rsidRPr="00603C11" w:rsidRDefault="00EB546B" w:rsidP="00AD25AB">
      <w:pPr>
        <w:rPr>
          <w:szCs w:val="20"/>
        </w:rPr>
      </w:pPr>
    </w:p>
    <w:p w14:paraId="6D20A57A" w14:textId="20077D2F" w:rsidR="007939EC" w:rsidRPr="00603C11" w:rsidRDefault="007939EC" w:rsidP="00AD25AB">
      <w:pPr>
        <w:rPr>
          <w:szCs w:val="20"/>
        </w:rPr>
      </w:pPr>
      <w:r w:rsidRPr="00603C11">
        <w:rPr>
          <w:szCs w:val="20"/>
        </w:rPr>
        <w:t>L’équipe commerciale interne de Spineway est donc réduite.</w:t>
      </w:r>
    </w:p>
    <w:p w14:paraId="1511C9A6" w14:textId="77777777" w:rsidR="00AD25AB" w:rsidRPr="00A529B7" w:rsidRDefault="00AD25AB" w:rsidP="00AD25AB">
      <w:pPr>
        <w:rPr>
          <w:b/>
          <w:bCs/>
          <w:i/>
          <w:iCs/>
          <w:szCs w:val="20"/>
        </w:rPr>
      </w:pPr>
    </w:p>
    <w:p w14:paraId="587281C2" w14:textId="3CB9FB39" w:rsidR="4DE1D9E4" w:rsidRPr="00283D1D" w:rsidRDefault="54FDD3F0" w:rsidP="00283D1D">
      <w:pPr>
        <w:pStyle w:val="Paragraphedeliste"/>
        <w:numPr>
          <w:ilvl w:val="0"/>
          <w:numId w:val="23"/>
        </w:numPr>
      </w:pPr>
      <w:r w:rsidRPr="00283D1D">
        <w:rPr>
          <w:b/>
          <w:bCs/>
          <w:i/>
          <w:iCs/>
        </w:rPr>
        <w:t xml:space="preserve">Carte des implantations de Spineway dans le monde </w:t>
      </w:r>
    </w:p>
    <w:p w14:paraId="7C600636" w14:textId="60F3C364" w:rsidR="4DE1D9E4" w:rsidRDefault="4DE1D9E4" w:rsidP="4DE1D9E4"/>
    <w:p w14:paraId="383C6BA7" w14:textId="588E6A42" w:rsidR="4DE1D9E4" w:rsidRDefault="4DE1D9E4" w:rsidP="188C713A">
      <w:r>
        <w:rPr>
          <w:noProof/>
        </w:rPr>
        <w:drawing>
          <wp:inline distT="0" distB="0" distL="0" distR="0" wp14:anchorId="02861C71" wp14:editId="63C338FD">
            <wp:extent cx="5570018" cy="3945429"/>
            <wp:effectExtent l="0" t="0" r="0" b="0"/>
            <wp:docPr id="765437436" name="Image 765437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extLst>
                        <a:ext uri="{28A0092B-C50C-407E-A947-70E740481C1C}">
                          <a14:useLocalDpi xmlns:a14="http://schemas.microsoft.com/office/drawing/2010/main" val="0"/>
                        </a:ext>
                      </a:extLst>
                    </a:blip>
                    <a:stretch>
                      <a:fillRect/>
                    </a:stretch>
                  </pic:blipFill>
                  <pic:spPr>
                    <a:xfrm>
                      <a:off x="0" y="0"/>
                      <a:ext cx="5570018" cy="3945429"/>
                    </a:xfrm>
                    <a:prstGeom prst="rect">
                      <a:avLst/>
                    </a:prstGeom>
                  </pic:spPr>
                </pic:pic>
              </a:graphicData>
            </a:graphic>
          </wp:inline>
        </w:drawing>
      </w:r>
    </w:p>
    <w:p w14:paraId="5D257006" w14:textId="1140A7BB" w:rsidR="00F27A8E" w:rsidRDefault="00F27A8E" w:rsidP="00F27A8E">
      <w:pPr>
        <w:rPr>
          <w:szCs w:val="20"/>
          <w:shd w:val="clear" w:color="auto" w:fill="FFFFFF"/>
        </w:rPr>
      </w:pPr>
      <w:r w:rsidRPr="00A529B7">
        <w:rPr>
          <w:szCs w:val="20"/>
        </w:rPr>
        <w:t>Liste des principaux pays distributeurs :</w:t>
      </w:r>
      <w:r>
        <w:rPr>
          <w:szCs w:val="20"/>
          <w:shd w:val="clear" w:color="auto" w:fill="FFFFFF"/>
        </w:rPr>
        <w:t xml:space="preserve"> </w:t>
      </w:r>
      <w:r w:rsidRPr="00A529B7">
        <w:rPr>
          <w:szCs w:val="20"/>
          <w:shd w:val="clear" w:color="auto" w:fill="FFFFFF"/>
        </w:rPr>
        <w:t xml:space="preserve">France, </w:t>
      </w:r>
      <w:r>
        <w:rPr>
          <w:szCs w:val="20"/>
          <w:shd w:val="clear" w:color="auto" w:fill="FFFFFF"/>
        </w:rPr>
        <w:t>Italie, Espagne</w:t>
      </w:r>
      <w:r w:rsidRPr="00A529B7">
        <w:rPr>
          <w:szCs w:val="20"/>
          <w:shd w:val="clear" w:color="auto" w:fill="FFFFFF"/>
        </w:rPr>
        <w:t>, Allemagne, Etats-Unis, Brésil, Argentine, Mexique, Colombie</w:t>
      </w:r>
      <w:r>
        <w:rPr>
          <w:szCs w:val="20"/>
          <w:shd w:val="clear" w:color="auto" w:fill="FFFFFF"/>
        </w:rPr>
        <w:t xml:space="preserve">, </w:t>
      </w:r>
      <w:r w:rsidRPr="00A529B7">
        <w:rPr>
          <w:szCs w:val="20"/>
          <w:shd w:val="clear" w:color="auto" w:fill="FFFFFF"/>
        </w:rPr>
        <w:t>Australie, Chine</w:t>
      </w:r>
      <w:r>
        <w:rPr>
          <w:szCs w:val="20"/>
          <w:shd w:val="clear" w:color="auto" w:fill="FFFFFF"/>
        </w:rPr>
        <w:t>, Inde</w:t>
      </w:r>
      <w:r w:rsidRPr="00A529B7">
        <w:rPr>
          <w:szCs w:val="20"/>
          <w:shd w:val="clear" w:color="auto" w:fill="FFFFFF"/>
        </w:rPr>
        <w:t>.</w:t>
      </w:r>
    </w:p>
    <w:p w14:paraId="66EEEAD2" w14:textId="77777777" w:rsidR="00635279" w:rsidRDefault="00635279" w:rsidP="00F27A8E">
      <w:pPr>
        <w:rPr>
          <w:szCs w:val="20"/>
          <w:shd w:val="clear" w:color="auto" w:fill="FFFFFF"/>
        </w:rPr>
      </w:pPr>
    </w:p>
    <w:p w14:paraId="15784946" w14:textId="2A207BC7" w:rsidR="188C713A" w:rsidRDefault="188C713A" w:rsidP="188C713A"/>
    <w:p w14:paraId="6D78FB05" w14:textId="75522712" w:rsidR="00635279" w:rsidRPr="00635279" w:rsidRDefault="00635279" w:rsidP="00C622C2">
      <w:pPr>
        <w:pStyle w:val="Paragraphedeliste"/>
        <w:numPr>
          <w:ilvl w:val="0"/>
          <w:numId w:val="23"/>
        </w:numPr>
        <w:rPr>
          <w:b/>
          <w:bCs/>
          <w:i/>
          <w:iCs/>
        </w:rPr>
      </w:pPr>
      <w:r w:rsidRPr="00635279">
        <w:rPr>
          <w:b/>
          <w:bCs/>
          <w:i/>
          <w:iCs/>
        </w:rPr>
        <w:t>Répartition géographique du chiffre d’affaires</w:t>
      </w:r>
    </w:p>
    <w:p w14:paraId="2FC017F1" w14:textId="77777777" w:rsidR="00AD25AB" w:rsidRPr="00A529B7" w:rsidRDefault="00AD25AB" w:rsidP="00AD25AB">
      <w:pPr>
        <w:rPr>
          <w:i/>
          <w:szCs w:val="20"/>
        </w:rPr>
      </w:pPr>
    </w:p>
    <w:p w14:paraId="06685488" w14:textId="7EF319AA" w:rsidR="00E20427" w:rsidRDefault="0082006D" w:rsidP="00AD25AB">
      <w:pPr>
        <w:rPr>
          <w:i/>
          <w:szCs w:val="20"/>
        </w:rPr>
      </w:pPr>
      <w:r>
        <w:rPr>
          <w:noProof/>
        </w:rPr>
        <w:lastRenderedPageBreak/>
        <w:drawing>
          <wp:inline distT="0" distB="0" distL="0" distR="0" wp14:anchorId="4F2C830C" wp14:editId="146CCD1E">
            <wp:extent cx="4559300" cy="2778760"/>
            <wp:effectExtent l="0" t="0" r="12700" b="15240"/>
            <wp:docPr id="1" name="Graphique 1"/>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14:paraId="6B7F9908" w14:textId="77777777" w:rsidR="00E20427" w:rsidRDefault="00E20427" w:rsidP="00AD25AB">
      <w:pPr>
        <w:rPr>
          <w:i/>
          <w:szCs w:val="20"/>
        </w:rPr>
      </w:pPr>
    </w:p>
    <w:p w14:paraId="77634C2B" w14:textId="77777777" w:rsidR="00AD25AB" w:rsidRPr="00A529B7" w:rsidRDefault="00AD25AB" w:rsidP="00AD25AB">
      <w:pPr>
        <w:rPr>
          <w:i/>
          <w:szCs w:val="20"/>
        </w:rPr>
      </w:pPr>
      <w:r w:rsidRPr="00A529B7">
        <w:rPr>
          <w:i/>
          <w:szCs w:val="20"/>
        </w:rPr>
        <w:t>Source : Spineway</w:t>
      </w:r>
    </w:p>
    <w:p w14:paraId="782CF311" w14:textId="77777777" w:rsidR="003D39CC" w:rsidRDefault="003D39CC" w:rsidP="00467BA6">
      <w:pPr>
        <w:jc w:val="left"/>
        <w:rPr>
          <w:b/>
          <w:szCs w:val="20"/>
        </w:rPr>
      </w:pPr>
    </w:p>
    <w:p w14:paraId="107037B5" w14:textId="55AED247" w:rsidR="54FDD3F0" w:rsidRDefault="54FDD3F0" w:rsidP="00EB546B">
      <w:pPr>
        <w:shd w:val="clear" w:color="auto" w:fill="FFFFFF" w:themeFill="background1"/>
        <w:spacing w:before="100" w:beforeAutospacing="1" w:after="100" w:afterAutospacing="1"/>
      </w:pPr>
      <w:r>
        <w:t xml:space="preserve">Les ventes en Amérique </w:t>
      </w:r>
      <w:r w:rsidR="00DF043A">
        <w:t>latine</w:t>
      </w:r>
      <w:r>
        <w:t xml:space="preserve">, zone particulièrement touchée par la crise sanitaire, restent pénalisées par les restrictions liées à l’épidémie </w:t>
      </w:r>
      <w:r w:rsidR="00016D04">
        <w:t xml:space="preserve">Covid-19 </w:t>
      </w:r>
      <w:r>
        <w:t xml:space="preserve">et par la contreperformance de certaines zones (Colombie, Mexique et le Pérou dont la montée en puissance </w:t>
      </w:r>
      <w:r w:rsidR="00DF043A">
        <w:t xml:space="preserve">initialement </w:t>
      </w:r>
      <w:r>
        <w:t xml:space="preserve">prévue sur l'année </w:t>
      </w:r>
      <w:r w:rsidR="00DF043A">
        <w:t xml:space="preserve">2020 </w:t>
      </w:r>
      <w:r>
        <w:t xml:space="preserve">est décalée à 2021). Néanmoins, le principal client de la zone (Brésil) </w:t>
      </w:r>
      <w:r w:rsidRPr="007D6147">
        <w:t xml:space="preserve">réussi à conserver son niveau d’activité et affiche une remarquable stabilité (avec un </w:t>
      </w:r>
      <w:r>
        <w:t xml:space="preserve">retrait limité de 1% par rapport à 2019 grâces à une diversification des ventes. De plus, l’activité </w:t>
      </w:r>
      <w:r w:rsidRPr="007D6147">
        <w:t xml:space="preserve">de l’ensemble de la zone s'améliore </w:t>
      </w:r>
      <w:r>
        <w:t xml:space="preserve">sur le 4ème trimestre s'améliore par rapport aux deux trimestres précédents et affiche un repli mesuré de 23% par rapport à 2019. Ainsi, le chiffre d'affaires annuel en Amérique </w:t>
      </w:r>
      <w:r w:rsidR="00DF043A">
        <w:t xml:space="preserve">latine </w:t>
      </w:r>
      <w:r>
        <w:t>s'établit à 1</w:t>
      </w:r>
      <w:r w:rsidR="00AE07B9">
        <w:t>.491 K</w:t>
      </w:r>
      <w:r>
        <w:t>€ à fin 2020 (- 42%) et représente 4</w:t>
      </w:r>
      <w:r w:rsidR="00EB546B">
        <w:t>4% du chiffre d’affaires total.</w:t>
      </w:r>
    </w:p>
    <w:p w14:paraId="4F0F7B66" w14:textId="21AF3C37" w:rsidR="00CA3B5A" w:rsidRPr="00CA3B5A" w:rsidRDefault="00CA3B5A" w:rsidP="00CA3B5A">
      <w:pPr>
        <w:shd w:val="clear" w:color="auto" w:fill="FFFFFF"/>
        <w:spacing w:before="100" w:beforeAutospacing="1" w:after="100" w:afterAutospacing="1"/>
      </w:pPr>
      <w:r w:rsidRPr="00CA3B5A">
        <w:t xml:space="preserve">L'Asie bénéficie pour sa part, d'une très forte progression de son activité en décembre 2020 (+ 167% par rapport à 2019) liée </w:t>
      </w:r>
      <w:r w:rsidR="00FB3136">
        <w:t>au déploiement</w:t>
      </w:r>
      <w:r w:rsidRPr="00CA3B5A">
        <w:t xml:space="preserve"> du contrat avec le Japon initié sur le 3ème trimestre 2020</w:t>
      </w:r>
      <w:r w:rsidR="00FB3136">
        <w:t xml:space="preserve">, </w:t>
      </w:r>
      <w:r w:rsidRPr="00CA3B5A">
        <w:t>en pleine crise Covid</w:t>
      </w:r>
      <w:r w:rsidR="00FA4108">
        <w:t>-19</w:t>
      </w:r>
      <w:r w:rsidR="00FB3136">
        <w:t>, et d’une</w:t>
      </w:r>
      <w:r w:rsidR="00FB3136" w:rsidRPr="007D6147">
        <w:t xml:space="preserve"> bonne performance de la Thaïlande, client historique sur un territoire peu touché par le virus. Cette progression permet à la zone Asie</w:t>
      </w:r>
      <w:r w:rsidRPr="00CA3B5A">
        <w:t xml:space="preserve"> de totaliser un chiffre d'affaires de 841 </w:t>
      </w:r>
      <w:r w:rsidR="00FA4108">
        <w:t>K</w:t>
      </w:r>
      <w:r w:rsidRPr="00CA3B5A">
        <w:t xml:space="preserve">€ sur l'année 2020 (+ 19%) et de voir </w:t>
      </w:r>
      <w:r w:rsidR="00FA4108">
        <w:t>sa proportion dans le</w:t>
      </w:r>
      <w:r w:rsidRPr="00CA3B5A">
        <w:t xml:space="preserve"> </w:t>
      </w:r>
      <w:r w:rsidR="00FA4108">
        <w:t>chiffre d’affaires consolidé</w:t>
      </w:r>
      <w:r w:rsidRPr="00CA3B5A">
        <w:t xml:space="preserve"> remonter à 25% (contre 14% </w:t>
      </w:r>
      <w:r w:rsidR="00FA4108">
        <w:t>en 2019</w:t>
      </w:r>
      <w:r w:rsidRPr="00CA3B5A">
        <w:t xml:space="preserve">). </w:t>
      </w:r>
    </w:p>
    <w:p w14:paraId="217BB457" w14:textId="469F3DE0" w:rsidR="00FB3136" w:rsidRPr="007D6147" w:rsidRDefault="00FB3136" w:rsidP="00FB3136">
      <w:r w:rsidRPr="007D6147">
        <w:t>La zone Moyen-Orient/Afrique connaît des performances contrastées en fonction des pays et marque une décroissance contenue de 31</w:t>
      </w:r>
      <w:r w:rsidR="00AE07B9" w:rsidRPr="007D6147">
        <w:t xml:space="preserve"> </w:t>
      </w:r>
      <w:r w:rsidRPr="007D6147">
        <w:t xml:space="preserve">% sur l'année 2020 pour s'inscrire à près de 300 </w:t>
      </w:r>
      <w:r w:rsidR="00C132C2" w:rsidRPr="007D6147">
        <w:t>K</w:t>
      </w:r>
      <w:r w:rsidRPr="007D6147">
        <w:t>€</w:t>
      </w:r>
      <w:r w:rsidR="00C132C2" w:rsidRPr="007D6147">
        <w:t xml:space="preserve">, </w:t>
      </w:r>
      <w:r w:rsidR="00C132C2">
        <w:t xml:space="preserve">soit </w:t>
      </w:r>
      <w:r w:rsidR="00AE07B9">
        <w:t xml:space="preserve">9 </w:t>
      </w:r>
      <w:r w:rsidR="00C132C2">
        <w:t xml:space="preserve">% du chiffre d’affaires consolidé au 31 décembre 2020. </w:t>
      </w:r>
    </w:p>
    <w:p w14:paraId="25F32C8B" w14:textId="77777777" w:rsidR="000913A4" w:rsidRDefault="000913A4" w:rsidP="00CA3B5A"/>
    <w:p w14:paraId="24B4A81F" w14:textId="66159A22" w:rsidR="00CA3B5A" w:rsidRDefault="00CA3B5A" w:rsidP="00CA3B5A">
      <w:r w:rsidRPr="00CA3B5A">
        <w:t xml:space="preserve">L'activité en Europe </w:t>
      </w:r>
      <w:r w:rsidR="00FA4108">
        <w:t xml:space="preserve">reste </w:t>
      </w:r>
      <w:r w:rsidRPr="00CA3B5A">
        <w:t xml:space="preserve">limitée et totalise près de 700 </w:t>
      </w:r>
      <w:r w:rsidR="00FA4108">
        <w:t>K</w:t>
      </w:r>
      <w:r w:rsidRPr="00CA3B5A">
        <w:t xml:space="preserve">€ </w:t>
      </w:r>
      <w:r w:rsidR="00FA4108">
        <w:t xml:space="preserve">soit </w:t>
      </w:r>
      <w:r w:rsidR="00AE07B9">
        <w:t>20</w:t>
      </w:r>
      <w:r w:rsidR="00FA4108">
        <w:t xml:space="preserve">% du chiffre d’affaires consolidé au 31 décembre 2020 </w:t>
      </w:r>
      <w:r w:rsidRPr="00CA3B5A">
        <w:t xml:space="preserve">(- 39% par rapport à 2019). La reprise constatée en France au 3ème trimestre a été freinée par la conjoncture et ne s'est pas confirmée sur la fin d'année. De même, en Lituanie et en Italie où les ventes ont également marqué un ralentissement lié à l'arrêt des chirurgies courantes dans les pays. </w:t>
      </w:r>
    </w:p>
    <w:p w14:paraId="12D545BE" w14:textId="77777777" w:rsidR="00CA3B5A" w:rsidRDefault="00CA3B5A" w:rsidP="00CA3B5A"/>
    <w:p w14:paraId="083C85EC" w14:textId="73E48AE4" w:rsidR="54FDD3F0" w:rsidRDefault="54FDD3F0" w:rsidP="54FDD3F0">
      <w:r>
        <w:t xml:space="preserve">L’activité de Spineway USA Inc. a été pénalisée par la liquidation, en 2018, de son principal distributeur.  Le Groupe a initié des démarches actives de prospection mais aussi de promotion auprès des distributeurs et des chirurgiens américains afin de renouer avec la croissance sur ce territoire à fort potentiel. Les Etats-Unis représentent, au 31 décembre 2020, 1% du chiffre d’affaires consolidé du Groupe, l’épidémie </w:t>
      </w:r>
      <w:r w:rsidR="008301A7">
        <w:t xml:space="preserve">Covid-19 </w:t>
      </w:r>
      <w:r>
        <w:t>au</w:t>
      </w:r>
      <w:r w:rsidR="00635279">
        <w:t>x</w:t>
      </w:r>
      <w:r>
        <w:t xml:space="preserve"> </w:t>
      </w:r>
      <w:r w:rsidR="00DF043A">
        <w:t xml:space="preserve">Etats-Unis </w:t>
      </w:r>
      <w:r>
        <w:t xml:space="preserve">ayant fortement </w:t>
      </w:r>
      <w:r w:rsidR="00635279">
        <w:t>affecté</w:t>
      </w:r>
      <w:r>
        <w:t xml:space="preserve"> les possibilités de commercialisation de ses produits à court terme.</w:t>
      </w:r>
    </w:p>
    <w:p w14:paraId="22039F06" w14:textId="45470B14" w:rsidR="00CA3B5A" w:rsidRPr="00C132C2" w:rsidRDefault="00CA3B5A" w:rsidP="00CA3B5A">
      <w:pPr>
        <w:shd w:val="clear" w:color="auto" w:fill="FFFFFF"/>
        <w:spacing w:before="100" w:beforeAutospacing="1" w:after="100" w:afterAutospacing="1"/>
        <w:rPr>
          <w:rFonts w:ascii="Segoe UI" w:hAnsi="Segoe UI" w:cs="Segoe UI"/>
          <w:szCs w:val="20"/>
        </w:rPr>
      </w:pPr>
      <w:r w:rsidRPr="00CA3B5A">
        <w:t xml:space="preserve">La reprise progressive de l'activité confirmée trimestre après trimestre, l'accélération des ventes en Asie et les nouvelles perspectives en Amérique </w:t>
      </w:r>
      <w:r w:rsidR="00DF043A">
        <w:t>l</w:t>
      </w:r>
      <w:r w:rsidR="00DF043A" w:rsidRPr="00CA3B5A">
        <w:t xml:space="preserve">atine </w:t>
      </w:r>
      <w:r w:rsidRPr="00CA3B5A">
        <w:t xml:space="preserve">liées au décalage de certains marchés, devraient permettre au Groupe de retrouver graduellement une activité plus normative. Fort </w:t>
      </w:r>
      <w:r w:rsidR="00FA4108">
        <w:t>d’une</w:t>
      </w:r>
      <w:r w:rsidRPr="00CA3B5A">
        <w:t xml:space="preserve"> fin d'année dynamique, </w:t>
      </w:r>
      <w:r w:rsidR="00C132C2" w:rsidRPr="007D6147">
        <w:t xml:space="preserve">Spineway va poursuivre ses efforts commerciaux sur ses zones historiques en restant attentif à toutes opportunités de développements sur de nouveaux territoires stratégiques et de croissance externe créatrice de valeur. </w:t>
      </w:r>
      <w:r w:rsidRPr="00CA3B5A">
        <w:t xml:space="preserve">La </w:t>
      </w:r>
      <w:r w:rsidR="00DF043A">
        <w:t>S</w:t>
      </w:r>
      <w:r w:rsidR="00DF043A" w:rsidRPr="00CA3B5A">
        <w:t xml:space="preserve">ociété </w:t>
      </w:r>
      <w:r w:rsidRPr="00CA3B5A">
        <w:t xml:space="preserve">affiche sur le mois de décembre 2020 un net redressement de ses ventes (+ 30% par rapport à décembre 2019) </w:t>
      </w:r>
      <w:r w:rsidRPr="00CA3B5A">
        <w:lastRenderedPageBreak/>
        <w:t>qui lui permet d'enregistrer au 4ème trimestre un chiffre d'affaires de 1</w:t>
      </w:r>
      <w:r w:rsidR="008301A7">
        <w:t>.</w:t>
      </w:r>
      <w:r w:rsidRPr="00CA3B5A">
        <w:t xml:space="preserve">068 </w:t>
      </w:r>
      <w:r w:rsidR="008301A7">
        <w:t>K</w:t>
      </w:r>
      <w:r w:rsidRPr="00CA3B5A">
        <w:t>€, en progression de 21% par rapport au 3ème trimestre 2020. Cette bonne dynamique porte le chiffre d'affaires annuel du Groupe à 3</w:t>
      </w:r>
      <w:r w:rsidR="008301A7">
        <w:t>.</w:t>
      </w:r>
      <w:r w:rsidRPr="00CA3B5A">
        <w:t xml:space="preserve">380 </w:t>
      </w:r>
      <w:r w:rsidR="008301A7">
        <w:t>K</w:t>
      </w:r>
      <w:r w:rsidRPr="00CA3B5A">
        <w:t xml:space="preserve">€ et réduit l'écart par rapport à 2019 (- 33%) dans une année très perturbée par la crise du </w:t>
      </w:r>
      <w:r w:rsidR="00FA4108">
        <w:t>Covid-19</w:t>
      </w:r>
      <w:r w:rsidRPr="00CA3B5A">
        <w:t xml:space="preserve">. </w:t>
      </w:r>
    </w:p>
    <w:p w14:paraId="750D5823" w14:textId="77777777" w:rsidR="003D39CC" w:rsidRPr="00A529B7" w:rsidRDefault="003D39CC" w:rsidP="00467BA6">
      <w:pPr>
        <w:jc w:val="left"/>
        <w:rPr>
          <w:b/>
          <w:szCs w:val="20"/>
        </w:rPr>
      </w:pPr>
    </w:p>
    <w:p w14:paraId="4F3E675D" w14:textId="77777777" w:rsidR="00A529B7" w:rsidRPr="00105403" w:rsidRDefault="00A529B7" w:rsidP="00C622C2">
      <w:pPr>
        <w:pStyle w:val="Paragraphedeliste"/>
        <w:numPr>
          <w:ilvl w:val="0"/>
          <w:numId w:val="22"/>
        </w:numPr>
        <w:rPr>
          <w:b/>
          <w:bCs/>
          <w:iCs/>
          <w:szCs w:val="20"/>
        </w:rPr>
      </w:pPr>
      <w:r w:rsidRPr="00105403">
        <w:rPr>
          <w:b/>
          <w:bCs/>
          <w:iCs/>
          <w:szCs w:val="20"/>
        </w:rPr>
        <w:t>Réseau de distributeurs indépendants</w:t>
      </w:r>
    </w:p>
    <w:p w14:paraId="28103347" w14:textId="77777777" w:rsidR="00A529B7" w:rsidRPr="00A529B7" w:rsidRDefault="00A529B7" w:rsidP="00A529B7">
      <w:pPr>
        <w:rPr>
          <w:szCs w:val="20"/>
        </w:rPr>
      </w:pPr>
    </w:p>
    <w:p w14:paraId="11AF2D20" w14:textId="56AC8537" w:rsidR="00F7632A" w:rsidRDefault="00F7632A" w:rsidP="00F7632A">
      <w:r>
        <w:t xml:space="preserve">Spineway a choisi de mettre en place un réseau de vente indirecte par le biais d’accords de distribution conclus avec des distributeurs locaux principalement implantés à l’étranger. </w:t>
      </w:r>
    </w:p>
    <w:p w14:paraId="0862F062" w14:textId="77777777" w:rsidR="00F7632A" w:rsidRDefault="00F7632A" w:rsidP="00A529B7"/>
    <w:p w14:paraId="108BF221" w14:textId="5180D6D5" w:rsidR="00A529B7" w:rsidRPr="00635279" w:rsidRDefault="54FDD3F0" w:rsidP="00A529B7">
      <w:r w:rsidRPr="00635279">
        <w:t xml:space="preserve">Spineway distribue </w:t>
      </w:r>
      <w:r w:rsidR="00F7632A">
        <w:t xml:space="preserve">ainsi </w:t>
      </w:r>
      <w:r w:rsidRPr="00635279">
        <w:t xml:space="preserve">ses produits dans 30 pays, via une équipe commerciale dédiée (5 personnes dont 2 responsables de zone, 2 assistantes customer service), les ventes étant réparties entre l’Europe, l’Amérique Latine et centrale, l’Amérique du nord, l’Asie du sud-est et </w:t>
      </w:r>
      <w:r w:rsidR="00DF043A">
        <w:t>l’</w:t>
      </w:r>
      <w:r w:rsidRPr="00635279">
        <w:t>Océanie. Le réseau international de Spineway comprend des distributeurs indépendants dans chaque pays ou zone géographique, à l’exception de la France où l’activité commerciale est assurée en direct auprès des centres de soins.</w:t>
      </w:r>
    </w:p>
    <w:p w14:paraId="63D48C77" w14:textId="77777777" w:rsidR="00A529B7" w:rsidRPr="00635279" w:rsidRDefault="00A529B7" w:rsidP="00A529B7">
      <w:pPr>
        <w:rPr>
          <w:szCs w:val="20"/>
        </w:rPr>
      </w:pPr>
    </w:p>
    <w:p w14:paraId="4CBC9453" w14:textId="12E4372F" w:rsidR="00DB46B4" w:rsidRPr="00635279" w:rsidRDefault="00A529B7" w:rsidP="00A529B7">
      <w:pPr>
        <w:rPr>
          <w:szCs w:val="20"/>
        </w:rPr>
      </w:pPr>
      <w:r w:rsidRPr="00635279">
        <w:rPr>
          <w:szCs w:val="20"/>
        </w:rPr>
        <w:t xml:space="preserve">La </w:t>
      </w:r>
      <w:r w:rsidR="00712B8F" w:rsidRPr="00635279">
        <w:rPr>
          <w:szCs w:val="20"/>
        </w:rPr>
        <w:t>majorité</w:t>
      </w:r>
      <w:r w:rsidRPr="00635279">
        <w:rPr>
          <w:szCs w:val="20"/>
        </w:rPr>
        <w:t xml:space="preserve"> des contrats de distribution de Spineway </w:t>
      </w:r>
      <w:r w:rsidR="00F27A8E" w:rsidRPr="00635279">
        <w:rPr>
          <w:szCs w:val="20"/>
        </w:rPr>
        <w:t>est doublement exclusive</w:t>
      </w:r>
      <w:r w:rsidR="00DB46B4" w:rsidRPr="00635279">
        <w:rPr>
          <w:szCs w:val="20"/>
        </w:rPr>
        <w:t> :</w:t>
      </w:r>
    </w:p>
    <w:p w14:paraId="215A0B44" w14:textId="56BE77AE" w:rsidR="00DB46B4" w:rsidRPr="00635279" w:rsidRDefault="00DF043A" w:rsidP="00C622C2">
      <w:pPr>
        <w:pStyle w:val="Paragraphedeliste"/>
        <w:numPr>
          <w:ilvl w:val="0"/>
          <w:numId w:val="20"/>
        </w:numPr>
        <w:ind w:left="284" w:hanging="284"/>
        <w:rPr>
          <w:szCs w:val="20"/>
        </w:rPr>
      </w:pPr>
      <w:r>
        <w:rPr>
          <w:szCs w:val="20"/>
        </w:rPr>
        <w:t>l</w:t>
      </w:r>
      <w:r w:rsidR="00A529B7" w:rsidRPr="00635279">
        <w:rPr>
          <w:szCs w:val="20"/>
        </w:rPr>
        <w:t xml:space="preserve">es distributeurs </w:t>
      </w:r>
      <w:r w:rsidR="00DB46B4" w:rsidRPr="00635279">
        <w:rPr>
          <w:szCs w:val="20"/>
        </w:rPr>
        <w:t>ne sont</w:t>
      </w:r>
      <w:r w:rsidR="00A529B7" w:rsidRPr="00635279">
        <w:rPr>
          <w:szCs w:val="20"/>
        </w:rPr>
        <w:t xml:space="preserve"> pas autorisés à commercialiser des implants chirurgicaux entrant en conc</w:t>
      </w:r>
      <w:r w:rsidR="00DB46B4" w:rsidRPr="00635279">
        <w:rPr>
          <w:szCs w:val="20"/>
        </w:rPr>
        <w:t>urrence avec ceux de la Société ;</w:t>
      </w:r>
    </w:p>
    <w:p w14:paraId="05381C8D" w14:textId="2202CD82" w:rsidR="00F27A8E" w:rsidRPr="002B6609" w:rsidRDefault="00DB46B4" w:rsidP="00C622C2">
      <w:pPr>
        <w:pStyle w:val="Paragraphedeliste"/>
        <w:numPr>
          <w:ilvl w:val="0"/>
          <w:numId w:val="20"/>
        </w:numPr>
        <w:ind w:left="284" w:hanging="284"/>
        <w:jc w:val="left"/>
        <w:rPr>
          <w:b/>
          <w:szCs w:val="20"/>
        </w:rPr>
      </w:pPr>
      <w:r w:rsidRPr="00635279">
        <w:rPr>
          <w:szCs w:val="20"/>
        </w:rPr>
        <w:t xml:space="preserve">Spineway s’engage à ne pas vendre ses produits à d’autres distributeurs </w:t>
      </w:r>
      <w:r w:rsidR="00F27A8E" w:rsidRPr="00635279">
        <w:rPr>
          <w:szCs w:val="20"/>
        </w:rPr>
        <w:t>sur le même territoire</w:t>
      </w:r>
      <w:r w:rsidR="0031630F" w:rsidRPr="00635279">
        <w:rPr>
          <w:szCs w:val="20"/>
        </w:rPr>
        <w:t>.</w:t>
      </w:r>
    </w:p>
    <w:p w14:paraId="6092CA18" w14:textId="77777777" w:rsidR="008F4833" w:rsidRPr="00635279" w:rsidRDefault="008F4833" w:rsidP="007D6147">
      <w:pPr>
        <w:pStyle w:val="Paragraphedeliste"/>
        <w:ind w:left="284"/>
        <w:jc w:val="left"/>
        <w:rPr>
          <w:b/>
          <w:szCs w:val="20"/>
        </w:rPr>
      </w:pPr>
    </w:p>
    <w:p w14:paraId="6118AC81" w14:textId="101A78CE" w:rsidR="00A529B7" w:rsidRPr="00635279" w:rsidRDefault="00F27A8E" w:rsidP="00F27A8E">
      <w:pPr>
        <w:rPr>
          <w:b/>
          <w:szCs w:val="20"/>
        </w:rPr>
      </w:pPr>
      <w:r w:rsidRPr="00635279">
        <w:rPr>
          <w:szCs w:val="20"/>
        </w:rPr>
        <w:t xml:space="preserve">Néanmoins, sur de vastes territoires comme ceux des Etats-Unis ou </w:t>
      </w:r>
      <w:r w:rsidR="0031630F" w:rsidRPr="00635279">
        <w:rPr>
          <w:szCs w:val="20"/>
        </w:rPr>
        <w:t xml:space="preserve">de </w:t>
      </w:r>
      <w:r w:rsidRPr="00635279">
        <w:rPr>
          <w:szCs w:val="20"/>
        </w:rPr>
        <w:t xml:space="preserve">l’Inde, Spineway négocie plusieurs accords d’exclusivité concernant des régions définies, afin de mailler ces territoires.  </w:t>
      </w:r>
    </w:p>
    <w:p w14:paraId="27B7C300" w14:textId="77777777" w:rsidR="0012290E" w:rsidRPr="00635279" w:rsidRDefault="0012290E" w:rsidP="00A529B7">
      <w:pPr>
        <w:rPr>
          <w:szCs w:val="20"/>
        </w:rPr>
      </w:pPr>
    </w:p>
    <w:p w14:paraId="5EABD170" w14:textId="40B638AE" w:rsidR="00A529B7" w:rsidRDefault="4DE1D9E4" w:rsidP="00A529B7">
      <w:r>
        <w:t xml:space="preserve">Ainsi, pour la distribution de ses produits Spineway s’appuie sur un réseau de distributeurs sélectionnés pour leur capacité à distribuer les produits de la Société aux établissements de soins locaux. Le département marketing a pour mission de servir de support à l’ensemble des distributeurs en assurant d’une part une forte notoriété et visibilité aux produits de la Société auprès de la communauté scientifique, </w:t>
      </w:r>
      <w:r w:rsidR="00DF043A">
        <w:t xml:space="preserve">en </w:t>
      </w:r>
      <w:r>
        <w:t>fournissant toute une documentation sur les produits et modes opératoires correspondants, ainsi que des supports de formation pour les instrumentistes hospitaliers.</w:t>
      </w:r>
    </w:p>
    <w:p w14:paraId="52669E78" w14:textId="6CAE3037" w:rsidR="007939EC" w:rsidRDefault="007939EC" w:rsidP="00A529B7">
      <w:pPr>
        <w:rPr>
          <w:szCs w:val="20"/>
        </w:rPr>
      </w:pPr>
      <w:r>
        <w:rPr>
          <w:szCs w:val="20"/>
        </w:rPr>
        <w:t>Les délais de paiement de Spineway par ses distributeurs sont assez longs puisque ceux-ci doivent préalablement être payés par les établissements de soins.</w:t>
      </w:r>
    </w:p>
    <w:p w14:paraId="7C7DECC8" w14:textId="77777777" w:rsidR="00066D29" w:rsidRDefault="00066D29" w:rsidP="00A529B7">
      <w:pPr>
        <w:rPr>
          <w:color w:val="FF0000"/>
          <w:szCs w:val="20"/>
        </w:rPr>
      </w:pPr>
    </w:p>
    <w:p w14:paraId="143CA985" w14:textId="7F7E111A" w:rsidR="00066D29" w:rsidRPr="00105403" w:rsidRDefault="00066D29" w:rsidP="00C622C2">
      <w:pPr>
        <w:pStyle w:val="Paragraphedeliste"/>
        <w:numPr>
          <w:ilvl w:val="0"/>
          <w:numId w:val="22"/>
        </w:numPr>
        <w:rPr>
          <w:b/>
          <w:bCs/>
          <w:iCs/>
          <w:szCs w:val="20"/>
        </w:rPr>
      </w:pPr>
      <w:r>
        <w:rPr>
          <w:b/>
          <w:bCs/>
          <w:iCs/>
          <w:szCs w:val="20"/>
        </w:rPr>
        <w:t>La</w:t>
      </w:r>
      <w:r w:rsidRPr="00105403">
        <w:rPr>
          <w:b/>
          <w:bCs/>
          <w:iCs/>
          <w:szCs w:val="20"/>
        </w:rPr>
        <w:t xml:space="preserve"> </w:t>
      </w:r>
      <w:r>
        <w:rPr>
          <w:b/>
          <w:bCs/>
          <w:iCs/>
          <w:szCs w:val="20"/>
        </w:rPr>
        <w:t>vente directe</w:t>
      </w:r>
    </w:p>
    <w:p w14:paraId="5A5A39C2" w14:textId="77777777" w:rsidR="007939EC" w:rsidRDefault="007939EC" w:rsidP="00066D29">
      <w:pPr>
        <w:rPr>
          <w:color w:val="000000"/>
          <w:szCs w:val="18"/>
        </w:rPr>
      </w:pPr>
    </w:p>
    <w:p w14:paraId="5CB72DFF" w14:textId="5A9CA751" w:rsidR="00F27A8E" w:rsidRPr="005E0E4A" w:rsidRDefault="00F27A8E" w:rsidP="00F27A8E">
      <w:pPr>
        <w:rPr>
          <w:szCs w:val="20"/>
        </w:rPr>
      </w:pPr>
      <w:r>
        <w:rPr>
          <w:szCs w:val="20"/>
        </w:rPr>
        <w:t xml:space="preserve">En France, </w:t>
      </w:r>
      <w:r w:rsidRPr="005E0E4A">
        <w:rPr>
          <w:szCs w:val="20"/>
        </w:rPr>
        <w:t xml:space="preserve">l’activité commerciale est </w:t>
      </w:r>
      <w:r w:rsidR="007C78EA">
        <w:rPr>
          <w:szCs w:val="20"/>
        </w:rPr>
        <w:t xml:space="preserve">principalement </w:t>
      </w:r>
      <w:r w:rsidRPr="005E0E4A">
        <w:rPr>
          <w:szCs w:val="20"/>
        </w:rPr>
        <w:t>assurée en direct auprès des centres de soins.</w:t>
      </w:r>
    </w:p>
    <w:p w14:paraId="23E536FB" w14:textId="525DCE55" w:rsidR="00066D29" w:rsidRPr="00635279" w:rsidRDefault="00066D29" w:rsidP="00066D29">
      <w:pPr>
        <w:rPr>
          <w:szCs w:val="18"/>
        </w:rPr>
      </w:pPr>
      <w:r>
        <w:rPr>
          <w:color w:val="000000"/>
          <w:szCs w:val="18"/>
        </w:rPr>
        <w:t>La</w:t>
      </w:r>
      <w:r>
        <w:t xml:space="preserve"> vente de produits en direct en France nécessite parfois l’intervent</w:t>
      </w:r>
      <w:r w:rsidR="00F27A8E">
        <w:t xml:space="preserve">ion d’intermédiaires à savoir des </w:t>
      </w:r>
      <w:r>
        <w:t xml:space="preserve">agents </w:t>
      </w:r>
      <w:r w:rsidRPr="00635279">
        <w:t xml:space="preserve">commerciaux mandatés par la Société pour agir et négocier la vente de ses produits en son nom et pour son compte. </w:t>
      </w:r>
    </w:p>
    <w:p w14:paraId="3F9670E3" w14:textId="6EA45041" w:rsidR="003D39CC" w:rsidRPr="00635279" w:rsidRDefault="4DE1D9E4" w:rsidP="54FDD3F0">
      <w:r>
        <w:t>Le principal client en vente directe représentait 8% du chiffre d’affaires consolidé du Groupe au 31 décembre 2020 et 7% au 31 décembre 2019</w:t>
      </w:r>
      <w:r w:rsidR="00DF043A">
        <w:t xml:space="preserve"> et </w:t>
      </w:r>
      <w:r>
        <w:t>demeure le même établissement de soin depuis de nombreuses années.</w:t>
      </w:r>
    </w:p>
    <w:p w14:paraId="71EA5CB2" w14:textId="2EA132EB" w:rsidR="00BA2848" w:rsidRPr="00635279" w:rsidRDefault="54FDD3F0" w:rsidP="54FDD3F0">
      <w:r w:rsidRPr="00635279">
        <w:t xml:space="preserve">En 2020, les 10 premiers clients représentaient </w:t>
      </w:r>
      <w:r w:rsidRPr="00C1404E">
        <w:t xml:space="preserve">alors </w:t>
      </w:r>
      <w:r w:rsidR="00C1404E" w:rsidRPr="00C1404E">
        <w:t>1</w:t>
      </w:r>
      <w:r w:rsidR="00C1404E" w:rsidRPr="005B42F0">
        <w:t>4</w:t>
      </w:r>
      <w:r w:rsidRPr="00C1404E">
        <w:t>% du chiffre d’affaires consolidé du Groupe soit l’intégralité du chiffre d’affaires réalisé en France en vente directe. Au 31 décembre 2019, les 10 premiers clients représentaient 13% du chiffre d’affaires de Spineway.</w:t>
      </w:r>
    </w:p>
    <w:p w14:paraId="097596D9" w14:textId="62B8EF02" w:rsidR="003D39CC" w:rsidRPr="00A529B7" w:rsidRDefault="003D39CC" w:rsidP="00A529B7">
      <w:pPr>
        <w:rPr>
          <w:szCs w:val="20"/>
        </w:rPr>
      </w:pPr>
    </w:p>
    <w:p w14:paraId="7F12D0DD" w14:textId="3CF7DA78" w:rsidR="00105403" w:rsidRPr="00AD71B5" w:rsidRDefault="00022584" w:rsidP="00105403">
      <w:pPr>
        <w:pStyle w:val="Titre4"/>
      </w:pPr>
      <w:r>
        <w:t>5</w:t>
      </w:r>
      <w:r w:rsidR="00105403">
        <w:t>.</w:t>
      </w:r>
      <w:r w:rsidR="00D1755C">
        <w:t>1</w:t>
      </w:r>
      <w:r w:rsidR="00105403">
        <w:t>.</w:t>
      </w:r>
      <w:r w:rsidR="007E6309">
        <w:t>3</w:t>
      </w:r>
      <w:r w:rsidR="00105403">
        <w:t>.4. Le marketing et l</w:t>
      </w:r>
      <w:r w:rsidR="00117A1A">
        <w:t>’in</w:t>
      </w:r>
      <w:r w:rsidR="00105403">
        <w:t>formation des chirurgiens</w:t>
      </w:r>
    </w:p>
    <w:p w14:paraId="414D2B26" w14:textId="77777777" w:rsidR="00A529B7" w:rsidRDefault="00A529B7" w:rsidP="00A529B7">
      <w:pPr>
        <w:rPr>
          <w:b/>
          <w:bCs/>
          <w:i/>
          <w:iCs/>
          <w:szCs w:val="20"/>
        </w:rPr>
      </w:pPr>
    </w:p>
    <w:p w14:paraId="008EA629" w14:textId="171D6F37" w:rsidR="00A529B7" w:rsidRPr="00105403" w:rsidRDefault="00A529B7" w:rsidP="00C622C2">
      <w:pPr>
        <w:pStyle w:val="Paragraphedeliste"/>
        <w:numPr>
          <w:ilvl w:val="0"/>
          <w:numId w:val="13"/>
        </w:numPr>
        <w:rPr>
          <w:b/>
          <w:bCs/>
          <w:iCs/>
          <w:szCs w:val="20"/>
        </w:rPr>
      </w:pPr>
      <w:r w:rsidRPr="00105403">
        <w:rPr>
          <w:b/>
          <w:bCs/>
          <w:iCs/>
          <w:szCs w:val="20"/>
        </w:rPr>
        <w:t>Missions du département marketing</w:t>
      </w:r>
    </w:p>
    <w:p w14:paraId="7B8918A8" w14:textId="77777777" w:rsidR="00A529B7" w:rsidRPr="00A529B7" w:rsidRDefault="00A529B7" w:rsidP="00A529B7">
      <w:pPr>
        <w:rPr>
          <w:szCs w:val="20"/>
        </w:rPr>
      </w:pPr>
    </w:p>
    <w:p w14:paraId="60C528A0" w14:textId="4D02E2E5" w:rsidR="00DF043A" w:rsidRPr="00635279" w:rsidRDefault="00DF043A" w:rsidP="00DF043A">
      <w:r>
        <w:t xml:space="preserve"> </w:t>
      </w:r>
      <w:r w:rsidRPr="00635279">
        <w:t>La Société possède un département marketing composé de 4 collaborateurs. Ce département est à l’origine de la création des produits</w:t>
      </w:r>
      <w:r>
        <w:t xml:space="preserve"> en interne</w:t>
      </w:r>
      <w:r w:rsidRPr="00635279">
        <w:t>, du développement de la promotion de la Société, de ses produits, notamment à travers :</w:t>
      </w:r>
    </w:p>
    <w:p w14:paraId="06B4652F" w14:textId="77777777" w:rsidR="00DF043A" w:rsidRPr="00635279" w:rsidRDefault="00DF043A" w:rsidP="00DF043A">
      <w:pPr>
        <w:numPr>
          <w:ilvl w:val="0"/>
          <w:numId w:val="15"/>
        </w:numPr>
        <w:tabs>
          <w:tab w:val="clear" w:pos="1440"/>
          <w:tab w:val="num" w:pos="360"/>
        </w:tabs>
        <w:ind w:left="360"/>
        <w:rPr>
          <w:szCs w:val="20"/>
        </w:rPr>
      </w:pPr>
      <w:r>
        <w:rPr>
          <w:szCs w:val="20"/>
        </w:rPr>
        <w:t>l</w:t>
      </w:r>
      <w:r w:rsidRPr="00635279">
        <w:rPr>
          <w:szCs w:val="20"/>
        </w:rPr>
        <w:t>es analyses de marché, études de cas, de tendances, à l’origine des développements de nouvelles gammes,</w:t>
      </w:r>
    </w:p>
    <w:p w14:paraId="519A747F" w14:textId="77777777" w:rsidR="00DF043A" w:rsidRPr="00635279" w:rsidRDefault="00DF043A" w:rsidP="00DF043A">
      <w:pPr>
        <w:numPr>
          <w:ilvl w:val="0"/>
          <w:numId w:val="15"/>
        </w:numPr>
        <w:tabs>
          <w:tab w:val="clear" w:pos="1440"/>
          <w:tab w:val="num" w:pos="360"/>
        </w:tabs>
        <w:ind w:left="360"/>
        <w:rPr>
          <w:szCs w:val="20"/>
        </w:rPr>
      </w:pPr>
      <w:r>
        <w:rPr>
          <w:szCs w:val="20"/>
        </w:rPr>
        <w:t>l</w:t>
      </w:r>
      <w:r w:rsidRPr="00635279">
        <w:rPr>
          <w:szCs w:val="20"/>
        </w:rPr>
        <w:t>’élaboration des outils de communication générale de la Société, notamment le site Internet de la Société, des supports institutionnels ;</w:t>
      </w:r>
    </w:p>
    <w:p w14:paraId="2D73FD5C" w14:textId="77777777" w:rsidR="00DF043A" w:rsidRPr="00635279" w:rsidRDefault="00DF043A" w:rsidP="00DF043A">
      <w:pPr>
        <w:numPr>
          <w:ilvl w:val="0"/>
          <w:numId w:val="15"/>
        </w:numPr>
        <w:tabs>
          <w:tab w:val="clear" w:pos="1440"/>
          <w:tab w:val="num" w:pos="360"/>
        </w:tabs>
        <w:ind w:left="360"/>
      </w:pPr>
      <w:r>
        <w:t>l</w:t>
      </w:r>
      <w:r w:rsidRPr="00635279">
        <w:t>a création de la documentation relative aux produits à destination des chirurgiens et des distributeurs : description des différentes étapes des modes opératoires, du déroulement de la pose, etc. ;</w:t>
      </w:r>
    </w:p>
    <w:p w14:paraId="54DEC220" w14:textId="57DD1345" w:rsidR="00F27A8E" w:rsidRPr="00DF043A" w:rsidRDefault="00DF043A" w:rsidP="00DF043A">
      <w:pPr>
        <w:numPr>
          <w:ilvl w:val="0"/>
          <w:numId w:val="15"/>
        </w:numPr>
        <w:tabs>
          <w:tab w:val="clear" w:pos="1440"/>
          <w:tab w:val="num" w:pos="360"/>
        </w:tabs>
        <w:ind w:left="360"/>
        <w:rPr>
          <w:szCs w:val="20"/>
        </w:rPr>
      </w:pPr>
      <w:r>
        <w:rPr>
          <w:szCs w:val="20"/>
        </w:rPr>
        <w:lastRenderedPageBreak/>
        <w:t xml:space="preserve">la création et la réalisation </w:t>
      </w:r>
      <w:r w:rsidRPr="00A529B7">
        <w:rPr>
          <w:szCs w:val="20"/>
        </w:rPr>
        <w:t>de supports</w:t>
      </w:r>
      <w:r>
        <w:rPr>
          <w:szCs w:val="20"/>
        </w:rPr>
        <w:t xml:space="preserve"> imprimés</w:t>
      </w:r>
      <w:r w:rsidRPr="00A529B7">
        <w:rPr>
          <w:szCs w:val="20"/>
        </w:rPr>
        <w:t>, images digitales</w:t>
      </w:r>
      <w:r>
        <w:rPr>
          <w:szCs w:val="20"/>
        </w:rPr>
        <w:t xml:space="preserve"> 3D et vidéo</w:t>
      </w:r>
      <w:r w:rsidRPr="00A529B7">
        <w:rPr>
          <w:szCs w:val="20"/>
        </w:rPr>
        <w:t>, campagne</w:t>
      </w:r>
      <w:r>
        <w:rPr>
          <w:szCs w:val="20"/>
        </w:rPr>
        <w:t>s</w:t>
      </w:r>
      <w:r w:rsidRPr="00A529B7">
        <w:rPr>
          <w:szCs w:val="20"/>
        </w:rPr>
        <w:t xml:space="preserve"> d’information</w:t>
      </w:r>
      <w:r>
        <w:rPr>
          <w:szCs w:val="20"/>
        </w:rPr>
        <w:t>, animation sur les réseaux sociaux</w:t>
      </w:r>
      <w:r w:rsidRPr="00A529B7">
        <w:rPr>
          <w:szCs w:val="20"/>
        </w:rPr>
        <w:t>, élaboration de stands, correspondant à la liste des services proposés décrits précédemment.</w:t>
      </w:r>
    </w:p>
    <w:p w14:paraId="652EFA81" w14:textId="77777777" w:rsidR="00A529B7" w:rsidRPr="00A529B7" w:rsidRDefault="00A529B7" w:rsidP="00A529B7">
      <w:pPr>
        <w:rPr>
          <w:szCs w:val="20"/>
        </w:rPr>
      </w:pPr>
    </w:p>
    <w:p w14:paraId="564D0173" w14:textId="4131A7C0" w:rsidR="00A529B7" w:rsidRPr="00105403" w:rsidRDefault="00B72EE8" w:rsidP="00C622C2">
      <w:pPr>
        <w:pStyle w:val="Paragraphedeliste"/>
        <w:numPr>
          <w:ilvl w:val="0"/>
          <w:numId w:val="27"/>
        </w:numPr>
        <w:rPr>
          <w:b/>
          <w:bCs/>
          <w:iCs/>
          <w:szCs w:val="20"/>
        </w:rPr>
      </w:pPr>
      <w:r>
        <w:rPr>
          <w:b/>
          <w:bCs/>
          <w:iCs/>
          <w:szCs w:val="20"/>
        </w:rPr>
        <w:t>Inf</w:t>
      </w:r>
      <w:r w:rsidRPr="00105403">
        <w:rPr>
          <w:b/>
          <w:bCs/>
          <w:iCs/>
          <w:szCs w:val="20"/>
        </w:rPr>
        <w:t>ormation</w:t>
      </w:r>
      <w:r>
        <w:rPr>
          <w:b/>
          <w:bCs/>
          <w:iCs/>
          <w:szCs w:val="20"/>
        </w:rPr>
        <w:t xml:space="preserve"> </w:t>
      </w:r>
      <w:r w:rsidR="00105403">
        <w:rPr>
          <w:b/>
          <w:bCs/>
          <w:iCs/>
          <w:szCs w:val="20"/>
        </w:rPr>
        <w:t>des chirurgiens</w:t>
      </w:r>
    </w:p>
    <w:p w14:paraId="633D89C4" w14:textId="77777777" w:rsidR="00A529B7" w:rsidRPr="00B670B8" w:rsidRDefault="00A529B7" w:rsidP="00A529B7">
      <w:pPr>
        <w:rPr>
          <w:szCs w:val="20"/>
        </w:rPr>
      </w:pPr>
    </w:p>
    <w:p w14:paraId="51BC2F95" w14:textId="77777777" w:rsidR="00B72EE8" w:rsidRPr="00B670B8" w:rsidRDefault="00B72EE8" w:rsidP="00B72EE8">
      <w:pPr>
        <w:rPr>
          <w:szCs w:val="20"/>
        </w:rPr>
      </w:pPr>
      <w:r w:rsidRPr="00B670B8">
        <w:rPr>
          <w:szCs w:val="20"/>
        </w:rPr>
        <w:t>L’information des chirurgiens à l’utilisation des dispositifs, obligation légale du processus de marquage CE, constitue un élément indispensable au succès des efforts de la Société.</w:t>
      </w:r>
    </w:p>
    <w:p w14:paraId="5C8E9B0F" w14:textId="77777777" w:rsidR="00B72EE8" w:rsidRPr="00B670B8" w:rsidRDefault="00B72EE8" w:rsidP="00B72EE8">
      <w:pPr>
        <w:rPr>
          <w:szCs w:val="20"/>
        </w:rPr>
      </w:pPr>
      <w:r w:rsidRPr="00B670B8">
        <w:rPr>
          <w:szCs w:val="20"/>
        </w:rPr>
        <w:t xml:space="preserve">En effet, les chirurgiens du rachis doivent pouvoir disposer des instructions nécessaires à l’utilisation des produits. </w:t>
      </w:r>
    </w:p>
    <w:p w14:paraId="3B7A3E59" w14:textId="0A56349E" w:rsidR="00B72EE8" w:rsidRPr="00B670B8" w:rsidRDefault="00B72EE8" w:rsidP="00B72EE8">
      <w:pPr>
        <w:rPr>
          <w:szCs w:val="20"/>
        </w:rPr>
      </w:pPr>
      <w:r w:rsidRPr="00B670B8">
        <w:rPr>
          <w:szCs w:val="20"/>
        </w:rPr>
        <w:t>Ces informations écrites concernent l’utilisation des dispositifs, leurs indications, leurs contre-indications</w:t>
      </w:r>
      <w:r w:rsidR="00DF043A">
        <w:rPr>
          <w:szCs w:val="20"/>
        </w:rPr>
        <w:t xml:space="preserve">, </w:t>
      </w:r>
      <w:r w:rsidRPr="00B670B8">
        <w:rPr>
          <w:szCs w:val="20"/>
        </w:rPr>
        <w:t>sont présentées sous forme de notice d’utilisation, étiquettes, identification sur les produits (gravage).</w:t>
      </w:r>
    </w:p>
    <w:p w14:paraId="5BB6A04A" w14:textId="77777777" w:rsidR="00B72EE8" w:rsidRPr="00B670B8" w:rsidRDefault="00B72EE8" w:rsidP="00B72EE8">
      <w:pPr>
        <w:rPr>
          <w:szCs w:val="20"/>
        </w:rPr>
      </w:pPr>
      <w:r w:rsidRPr="00B670B8">
        <w:rPr>
          <w:szCs w:val="20"/>
        </w:rPr>
        <w:t>La Société s’engage à remplir cette obligation d’information dans le cadre du marquage CE, et précise que tous les dispositifs commercialisés disposent au préalable du marquage CE.</w:t>
      </w:r>
    </w:p>
    <w:p w14:paraId="08302D6C" w14:textId="77777777" w:rsidR="00B72EE8" w:rsidRPr="00B670B8" w:rsidRDefault="00B72EE8" w:rsidP="00B72EE8">
      <w:pPr>
        <w:rPr>
          <w:szCs w:val="20"/>
        </w:rPr>
      </w:pPr>
      <w:r w:rsidRPr="00B670B8">
        <w:rPr>
          <w:szCs w:val="20"/>
        </w:rPr>
        <w:t>La Société est responsable de la délivrance d’informations, attestée par le marquage CE des produits qu’elle met à disposition des établissements de soins (étiquette, identification sur les produits - gravage -, fiche d’instructions « IFU »).</w:t>
      </w:r>
    </w:p>
    <w:p w14:paraId="3B4B4959" w14:textId="77777777" w:rsidR="00B72EE8" w:rsidRPr="00B670B8" w:rsidRDefault="00B72EE8" w:rsidP="00B72EE8">
      <w:pPr>
        <w:rPr>
          <w:szCs w:val="20"/>
        </w:rPr>
      </w:pPr>
    </w:p>
    <w:p w14:paraId="5D0F43D1" w14:textId="28FD36BC" w:rsidR="00542E41" w:rsidRPr="00B670B8" w:rsidRDefault="00542E41" w:rsidP="00542E41">
      <w:pPr>
        <w:rPr>
          <w:szCs w:val="20"/>
        </w:rPr>
      </w:pPr>
      <w:r w:rsidRPr="00B670B8">
        <w:rPr>
          <w:szCs w:val="20"/>
        </w:rPr>
        <w:t xml:space="preserve">Spineway, bien consciente de la nécessité de diffuser une information complète concernant ses produits, organise plusieurs types </w:t>
      </w:r>
      <w:r w:rsidR="00B72EE8" w:rsidRPr="00B670B8">
        <w:rPr>
          <w:szCs w:val="20"/>
        </w:rPr>
        <w:t>d’in</w:t>
      </w:r>
      <w:r w:rsidRPr="00B670B8">
        <w:rPr>
          <w:szCs w:val="20"/>
        </w:rPr>
        <w:t>formations nécessaires auprès des chirurgiens, et également auprès du personnel du bloc opératoire, afin d’assurer des actes chirurgicaux fluides, à risque minimisé, au bénéfice de l'utilisateur (le chirurgien) et du patient.</w:t>
      </w:r>
    </w:p>
    <w:p w14:paraId="46493536" w14:textId="77777777" w:rsidR="00B72EE8" w:rsidRPr="00B670B8" w:rsidRDefault="00B72EE8" w:rsidP="00A95F06">
      <w:pPr>
        <w:rPr>
          <w:szCs w:val="20"/>
        </w:rPr>
      </w:pPr>
    </w:p>
    <w:p w14:paraId="2A58BC3F" w14:textId="778AFB67" w:rsidR="00A95F06" w:rsidRPr="00B670B8" w:rsidRDefault="00A95F06" w:rsidP="00A95F06">
      <w:pPr>
        <w:rPr>
          <w:szCs w:val="20"/>
        </w:rPr>
      </w:pPr>
      <w:r w:rsidRPr="00B670B8">
        <w:rPr>
          <w:szCs w:val="20"/>
        </w:rPr>
        <w:t xml:space="preserve">A l’appui de son activité marketing, Spineway a mis en place un programme </w:t>
      </w:r>
      <w:r w:rsidR="00B72EE8" w:rsidRPr="00B670B8">
        <w:rPr>
          <w:szCs w:val="20"/>
        </w:rPr>
        <w:t>d’in</w:t>
      </w:r>
      <w:r w:rsidRPr="00B670B8">
        <w:rPr>
          <w:szCs w:val="20"/>
        </w:rPr>
        <w:t xml:space="preserve">formations spécifiques pour des chirurgiens et pour les distributeurs, leur permettant ainsi de développer leur connaissance de la technologie et des instruments de la Société. La Société organise périodiquement des ateliers </w:t>
      </w:r>
      <w:r w:rsidR="00B72EE8" w:rsidRPr="0082638B">
        <w:rPr>
          <w:szCs w:val="20"/>
        </w:rPr>
        <w:t>d</w:t>
      </w:r>
      <w:r w:rsidR="00B72EE8" w:rsidRPr="00B670B8">
        <w:rPr>
          <w:szCs w:val="20"/>
        </w:rPr>
        <w:t>’in</w:t>
      </w:r>
      <w:r w:rsidRPr="00B670B8">
        <w:rPr>
          <w:szCs w:val="20"/>
        </w:rPr>
        <w:t>formation de chirurgie, conduits par des chirurgiens qualifiés, sous contrat avec l’entreprise, dans différents hôpitaux à travers le monde.</w:t>
      </w:r>
    </w:p>
    <w:p w14:paraId="3AA507CC" w14:textId="77777777" w:rsidR="00132DE0" w:rsidRDefault="00132DE0" w:rsidP="00A529B7">
      <w:pPr>
        <w:rPr>
          <w:szCs w:val="20"/>
        </w:rPr>
      </w:pPr>
    </w:p>
    <w:p w14:paraId="463DDB5E" w14:textId="4DEDE633" w:rsidR="00A529B7" w:rsidRPr="00B670B8" w:rsidRDefault="00A529B7" w:rsidP="00A529B7">
      <w:pPr>
        <w:rPr>
          <w:szCs w:val="20"/>
        </w:rPr>
      </w:pPr>
      <w:r w:rsidRPr="00B670B8">
        <w:rPr>
          <w:szCs w:val="20"/>
        </w:rPr>
        <w:t>Pour ce faire, Spineway a conçu :</w:t>
      </w:r>
    </w:p>
    <w:p w14:paraId="4E158967" w14:textId="1AD60F64" w:rsidR="00A529B7" w:rsidRPr="0082638B" w:rsidRDefault="00A529B7" w:rsidP="00C622C2">
      <w:pPr>
        <w:numPr>
          <w:ilvl w:val="0"/>
          <w:numId w:val="21"/>
        </w:numPr>
        <w:tabs>
          <w:tab w:val="clear" w:pos="1440"/>
          <w:tab w:val="num" w:pos="360"/>
        </w:tabs>
        <w:ind w:left="360"/>
        <w:rPr>
          <w:szCs w:val="20"/>
        </w:rPr>
      </w:pPr>
      <w:r w:rsidRPr="0082638B">
        <w:rPr>
          <w:szCs w:val="20"/>
        </w:rPr>
        <w:t>Des supports imprimés, images 3D, images de synthèse, tableaux, fiches, diapositives</w:t>
      </w:r>
      <w:r w:rsidR="00252109">
        <w:rPr>
          <w:szCs w:val="20"/>
        </w:rPr>
        <w:t> ;</w:t>
      </w:r>
    </w:p>
    <w:p w14:paraId="2B450F9B" w14:textId="29DBA2D1" w:rsidR="00A529B7" w:rsidRPr="001F23CC" w:rsidRDefault="00A529B7" w:rsidP="00C622C2">
      <w:pPr>
        <w:numPr>
          <w:ilvl w:val="0"/>
          <w:numId w:val="21"/>
        </w:numPr>
        <w:tabs>
          <w:tab w:val="clear" w:pos="1440"/>
          <w:tab w:val="num" w:pos="360"/>
        </w:tabs>
        <w:ind w:left="360"/>
        <w:rPr>
          <w:szCs w:val="20"/>
        </w:rPr>
      </w:pPr>
      <w:r w:rsidRPr="00872F8A">
        <w:rPr>
          <w:szCs w:val="20"/>
        </w:rPr>
        <w:t xml:space="preserve">Des conférences </w:t>
      </w:r>
      <w:r w:rsidRPr="001F23CC">
        <w:rPr>
          <w:szCs w:val="20"/>
        </w:rPr>
        <w:t>visant :</w:t>
      </w:r>
    </w:p>
    <w:p w14:paraId="13748953" w14:textId="282D4E77" w:rsidR="00A529B7" w:rsidRPr="0082638B" w:rsidRDefault="00DF043A" w:rsidP="00C622C2">
      <w:pPr>
        <w:numPr>
          <w:ilvl w:val="1"/>
          <w:numId w:val="21"/>
        </w:numPr>
        <w:rPr>
          <w:szCs w:val="20"/>
        </w:rPr>
      </w:pPr>
      <w:r>
        <w:rPr>
          <w:szCs w:val="20"/>
        </w:rPr>
        <w:t>l</w:t>
      </w:r>
      <w:r w:rsidRPr="00B670B8">
        <w:rPr>
          <w:szCs w:val="20"/>
        </w:rPr>
        <w:t xml:space="preserve">es </w:t>
      </w:r>
      <w:r w:rsidR="00A529B7" w:rsidRPr="00B670B8">
        <w:rPr>
          <w:szCs w:val="20"/>
        </w:rPr>
        <w:t xml:space="preserve">chirurgiens </w:t>
      </w:r>
      <w:r w:rsidR="00132DE0">
        <w:rPr>
          <w:szCs w:val="20"/>
        </w:rPr>
        <w:t>(</w:t>
      </w:r>
      <w:r w:rsidR="00B72EE8" w:rsidRPr="00B670B8">
        <w:rPr>
          <w:szCs w:val="20"/>
        </w:rPr>
        <w:t>in</w:t>
      </w:r>
      <w:r w:rsidR="00A529B7" w:rsidRPr="00B670B8">
        <w:rPr>
          <w:szCs w:val="20"/>
        </w:rPr>
        <w:t>formation</w:t>
      </w:r>
      <w:r w:rsidR="00A95F06" w:rsidRPr="00B670B8">
        <w:rPr>
          <w:szCs w:val="20"/>
        </w:rPr>
        <w:t>s</w:t>
      </w:r>
      <w:r w:rsidR="00A529B7" w:rsidRPr="00B670B8">
        <w:rPr>
          <w:szCs w:val="20"/>
        </w:rPr>
        <w:t xml:space="preserve"> sur les</w:t>
      </w:r>
      <w:r w:rsidR="00A529B7" w:rsidRPr="0082638B">
        <w:rPr>
          <w:szCs w:val="20"/>
        </w:rPr>
        <w:t xml:space="preserve"> spécificités des produits Spineway</w:t>
      </w:r>
      <w:r w:rsidR="00132DE0">
        <w:rPr>
          <w:szCs w:val="20"/>
        </w:rPr>
        <w:t>)</w:t>
      </w:r>
      <w:r w:rsidR="00A529B7" w:rsidRPr="0082638B">
        <w:rPr>
          <w:szCs w:val="20"/>
        </w:rPr>
        <w:t> ;</w:t>
      </w:r>
    </w:p>
    <w:p w14:paraId="78C4EAB9" w14:textId="6D28067E" w:rsidR="00A529B7" w:rsidRPr="001F23CC" w:rsidRDefault="00DF043A" w:rsidP="00C622C2">
      <w:pPr>
        <w:numPr>
          <w:ilvl w:val="1"/>
          <w:numId w:val="21"/>
        </w:numPr>
        <w:rPr>
          <w:szCs w:val="20"/>
        </w:rPr>
      </w:pPr>
      <w:r>
        <w:rPr>
          <w:szCs w:val="20"/>
        </w:rPr>
        <w:t>l</w:t>
      </w:r>
      <w:r w:rsidRPr="00872F8A">
        <w:rPr>
          <w:szCs w:val="20"/>
        </w:rPr>
        <w:t xml:space="preserve">es </w:t>
      </w:r>
      <w:r w:rsidR="00A529B7" w:rsidRPr="00872F8A">
        <w:rPr>
          <w:szCs w:val="20"/>
        </w:rPr>
        <w:t>personnels de bloc et des différents services manipul</w:t>
      </w:r>
      <w:r w:rsidR="00A95F06" w:rsidRPr="00917805">
        <w:rPr>
          <w:szCs w:val="20"/>
        </w:rPr>
        <w:t>a</w:t>
      </w:r>
      <w:r w:rsidR="00A529B7" w:rsidRPr="001F23CC">
        <w:rPr>
          <w:szCs w:val="20"/>
        </w:rPr>
        <w:t xml:space="preserve">nt les implants et les instruments (pharmacie centrale, management du bloc opératoire) mais également </w:t>
      </w:r>
      <w:r w:rsidR="00CA1BD4">
        <w:rPr>
          <w:szCs w:val="20"/>
        </w:rPr>
        <w:t xml:space="preserve">le </w:t>
      </w:r>
      <w:r w:rsidR="00A529B7" w:rsidRPr="001F23CC">
        <w:rPr>
          <w:szCs w:val="20"/>
        </w:rPr>
        <w:t>personnel de bloc des services de stérilisation ;</w:t>
      </w:r>
    </w:p>
    <w:p w14:paraId="356DB68A" w14:textId="338DF2C1" w:rsidR="00A529B7" w:rsidRPr="00B670B8" w:rsidRDefault="00DF043A" w:rsidP="00C622C2">
      <w:pPr>
        <w:numPr>
          <w:ilvl w:val="1"/>
          <w:numId w:val="21"/>
        </w:numPr>
        <w:rPr>
          <w:szCs w:val="20"/>
        </w:rPr>
      </w:pPr>
      <w:r>
        <w:rPr>
          <w:szCs w:val="20"/>
        </w:rPr>
        <w:t>l</w:t>
      </w:r>
      <w:r w:rsidRPr="00B670B8">
        <w:rPr>
          <w:szCs w:val="20"/>
        </w:rPr>
        <w:t xml:space="preserve">es </w:t>
      </w:r>
      <w:r w:rsidR="00A529B7" w:rsidRPr="00B670B8">
        <w:rPr>
          <w:szCs w:val="20"/>
        </w:rPr>
        <w:t>personnels des équipes des distributeurs (commerciaux, chefs de produits, assistants opératoires) ;</w:t>
      </w:r>
    </w:p>
    <w:p w14:paraId="5F9B7E37" w14:textId="77777777" w:rsidR="003C4108" w:rsidRDefault="003C4108" w:rsidP="003C4108">
      <w:pPr>
        <w:ind w:left="360"/>
        <w:rPr>
          <w:szCs w:val="20"/>
        </w:rPr>
      </w:pPr>
    </w:p>
    <w:p w14:paraId="4D00A55F" w14:textId="37549BD5" w:rsidR="00A529B7" w:rsidRPr="00B670B8" w:rsidRDefault="00A529B7" w:rsidP="00DC6E98">
      <w:pPr>
        <w:ind w:left="360"/>
        <w:rPr>
          <w:szCs w:val="20"/>
        </w:rPr>
      </w:pPr>
      <w:r w:rsidRPr="00B670B8">
        <w:rPr>
          <w:szCs w:val="20"/>
        </w:rPr>
        <w:t xml:space="preserve">Afin </w:t>
      </w:r>
      <w:r w:rsidR="00B72EE8" w:rsidRPr="00B670B8">
        <w:rPr>
          <w:szCs w:val="20"/>
        </w:rPr>
        <w:t>d’</w:t>
      </w:r>
      <w:r w:rsidRPr="00B670B8">
        <w:rPr>
          <w:szCs w:val="20"/>
        </w:rPr>
        <w:t>informer chaque maillon d'une chaîne d'excellence visant à la réalisation d'opérations couronnées de succès</w:t>
      </w:r>
      <w:r w:rsidR="00053E2A">
        <w:rPr>
          <w:szCs w:val="20"/>
        </w:rPr>
        <w:t>, Spineway a également mis en place</w:t>
      </w:r>
      <w:r w:rsidRPr="00B670B8">
        <w:rPr>
          <w:szCs w:val="20"/>
        </w:rPr>
        <w:t xml:space="preserve"> :</w:t>
      </w:r>
    </w:p>
    <w:p w14:paraId="2CD5142A" w14:textId="7813BC14" w:rsidR="00A529B7" w:rsidRPr="00B670B8" w:rsidRDefault="00DC6E98" w:rsidP="00C622C2">
      <w:pPr>
        <w:numPr>
          <w:ilvl w:val="1"/>
          <w:numId w:val="21"/>
        </w:numPr>
        <w:rPr>
          <w:szCs w:val="20"/>
        </w:rPr>
      </w:pPr>
      <w:r>
        <w:rPr>
          <w:szCs w:val="20"/>
        </w:rPr>
        <w:t>u</w:t>
      </w:r>
      <w:r w:rsidR="00053E2A">
        <w:rPr>
          <w:szCs w:val="20"/>
        </w:rPr>
        <w:t>ne</w:t>
      </w:r>
      <w:r>
        <w:rPr>
          <w:szCs w:val="20"/>
        </w:rPr>
        <w:t xml:space="preserve"> a</w:t>
      </w:r>
      <w:r w:rsidR="00A529B7" w:rsidRPr="00B670B8">
        <w:rPr>
          <w:szCs w:val="20"/>
        </w:rPr>
        <w:t>ide aux distributeurs pour l'élaboration de leur communication et promotion (design de stands) ;</w:t>
      </w:r>
    </w:p>
    <w:p w14:paraId="0B2218A9" w14:textId="5E77E902" w:rsidR="00A95F06" w:rsidRPr="0082638B" w:rsidRDefault="00053E2A" w:rsidP="00C622C2">
      <w:pPr>
        <w:numPr>
          <w:ilvl w:val="1"/>
          <w:numId w:val="21"/>
        </w:numPr>
        <w:rPr>
          <w:szCs w:val="20"/>
        </w:rPr>
      </w:pPr>
      <w:r>
        <w:rPr>
          <w:szCs w:val="20"/>
        </w:rPr>
        <w:t>une a</w:t>
      </w:r>
      <w:r w:rsidR="00A95F06" w:rsidRPr="0082638B">
        <w:rPr>
          <w:szCs w:val="20"/>
        </w:rPr>
        <w:t>ssistance aux chirurgiens pour la rédaction de leurs publications scientifiques, dans le respect des normes applicables en matière de confidentialité des données personnelles ;</w:t>
      </w:r>
    </w:p>
    <w:p w14:paraId="36B37FD8" w14:textId="3932CCFD" w:rsidR="00A529B7" w:rsidRPr="00917805" w:rsidRDefault="00053E2A" w:rsidP="00C622C2">
      <w:pPr>
        <w:numPr>
          <w:ilvl w:val="1"/>
          <w:numId w:val="21"/>
        </w:numPr>
        <w:rPr>
          <w:szCs w:val="20"/>
        </w:rPr>
      </w:pPr>
      <w:r>
        <w:rPr>
          <w:szCs w:val="20"/>
        </w:rPr>
        <w:t>une a</w:t>
      </w:r>
      <w:r w:rsidR="00A529B7" w:rsidRPr="00872F8A">
        <w:rPr>
          <w:szCs w:val="20"/>
        </w:rPr>
        <w:t>ide aux diff</w:t>
      </w:r>
      <w:r w:rsidR="00A529B7" w:rsidRPr="00917805">
        <w:rPr>
          <w:szCs w:val="20"/>
        </w:rPr>
        <w:t>érents personnels intervenant dans la chaîne de soins.</w:t>
      </w:r>
    </w:p>
    <w:p w14:paraId="65E46145" w14:textId="77777777" w:rsidR="00A529B7" w:rsidRPr="001F23CC" w:rsidRDefault="00A529B7" w:rsidP="00A529B7">
      <w:pPr>
        <w:rPr>
          <w:szCs w:val="20"/>
        </w:rPr>
      </w:pPr>
    </w:p>
    <w:p w14:paraId="07D8C1BC" w14:textId="77777777" w:rsidR="003D39CC" w:rsidRPr="00A529B7" w:rsidRDefault="003D39CC" w:rsidP="00A529B7">
      <w:pPr>
        <w:rPr>
          <w:szCs w:val="20"/>
        </w:rPr>
      </w:pPr>
    </w:p>
    <w:p w14:paraId="63383A72" w14:textId="77777777" w:rsidR="00A529B7" w:rsidRPr="00105403" w:rsidRDefault="00A529B7" w:rsidP="00C622C2">
      <w:pPr>
        <w:pStyle w:val="Paragraphedeliste"/>
        <w:numPr>
          <w:ilvl w:val="0"/>
          <w:numId w:val="28"/>
        </w:numPr>
        <w:rPr>
          <w:b/>
          <w:bCs/>
          <w:iCs/>
          <w:szCs w:val="20"/>
        </w:rPr>
      </w:pPr>
      <w:r w:rsidRPr="00105403">
        <w:rPr>
          <w:b/>
          <w:bCs/>
          <w:iCs/>
          <w:szCs w:val="20"/>
        </w:rPr>
        <w:t>Evénements et conférences scientifiques</w:t>
      </w:r>
    </w:p>
    <w:p w14:paraId="7F270FA3" w14:textId="77777777" w:rsidR="00A529B7" w:rsidRPr="00A529B7" w:rsidRDefault="00A529B7" w:rsidP="00A529B7">
      <w:pPr>
        <w:rPr>
          <w:szCs w:val="20"/>
        </w:rPr>
      </w:pPr>
    </w:p>
    <w:tbl>
      <w:tblPr>
        <w:tblW w:w="9095" w:type="dxa"/>
        <w:tblLayout w:type="fixed"/>
        <w:tblLook w:val="01E0" w:firstRow="1" w:lastRow="1" w:firstColumn="1" w:lastColumn="1" w:noHBand="0" w:noVBand="0"/>
      </w:tblPr>
      <w:tblGrid>
        <w:gridCol w:w="4248"/>
        <w:gridCol w:w="2423"/>
        <w:gridCol w:w="2424"/>
      </w:tblGrid>
      <w:tr w:rsidR="00A529B7" w:rsidRPr="00A529B7" w14:paraId="0FCC4A47" w14:textId="77777777" w:rsidTr="188C713A">
        <w:tc>
          <w:tcPr>
            <w:tcW w:w="4248" w:type="dxa"/>
            <w:vMerge w:val="restart"/>
            <w:shd w:val="clear" w:color="auto" w:fill="auto"/>
          </w:tcPr>
          <w:p w14:paraId="188FD375" w14:textId="77777777" w:rsidR="00A529B7" w:rsidRDefault="00A529B7" w:rsidP="00AD71B5">
            <w:pPr>
              <w:rPr>
                <w:szCs w:val="20"/>
              </w:rPr>
            </w:pPr>
            <w:r w:rsidRPr="00A529B7">
              <w:rPr>
                <w:szCs w:val="20"/>
              </w:rPr>
              <w:t>La Société participe à plusieurs congrès et salons internationaux chaque année, notamment :</w:t>
            </w:r>
          </w:p>
          <w:p w14:paraId="699D2854" w14:textId="77777777" w:rsidR="00EB20EE" w:rsidRDefault="00EB20EE" w:rsidP="00AD71B5">
            <w:pPr>
              <w:rPr>
                <w:szCs w:val="20"/>
              </w:rPr>
            </w:pPr>
          </w:p>
          <w:p w14:paraId="59C5822C" w14:textId="77777777" w:rsidR="00EB20EE" w:rsidRPr="00A529B7" w:rsidRDefault="00EB20EE" w:rsidP="00AD71B5">
            <w:pPr>
              <w:rPr>
                <w:szCs w:val="20"/>
              </w:rPr>
            </w:pPr>
          </w:p>
          <w:p w14:paraId="60AFF111" w14:textId="7245D8B1" w:rsidR="00A529B7" w:rsidRPr="003A2BE1" w:rsidRDefault="4DE1D9E4" w:rsidP="4DE1D9E4">
            <w:pPr>
              <w:rPr>
                <w:lang w:val="en-GB"/>
              </w:rPr>
            </w:pPr>
            <w:r w:rsidRPr="4DE1D9E4">
              <w:rPr>
                <w:lang w:val="en-GB"/>
              </w:rPr>
              <w:t>Eurospine</w:t>
            </w:r>
          </w:p>
          <w:p w14:paraId="28C95D5D" w14:textId="77777777" w:rsidR="00674465" w:rsidRPr="003A2BE1" w:rsidRDefault="00674465" w:rsidP="00674465">
            <w:pPr>
              <w:rPr>
                <w:szCs w:val="20"/>
                <w:lang w:val="en-GB"/>
              </w:rPr>
            </w:pPr>
          </w:p>
          <w:p w14:paraId="58BFF08A" w14:textId="7C96E6BF" w:rsidR="00A529B7" w:rsidRPr="003A2BE1" w:rsidRDefault="4DE1D9E4" w:rsidP="00283D1D">
            <w:pPr>
              <w:spacing w:line="259" w:lineRule="auto"/>
              <w:rPr>
                <w:lang w:val="en-GB"/>
              </w:rPr>
            </w:pPr>
            <w:r w:rsidRPr="4DE1D9E4">
              <w:rPr>
                <w:lang w:val="en-GB"/>
              </w:rPr>
              <w:t>Global Spine Congress</w:t>
            </w:r>
          </w:p>
          <w:p w14:paraId="500F728E" w14:textId="77777777" w:rsidR="00674465" w:rsidRPr="003A2BE1" w:rsidRDefault="00674465" w:rsidP="00674465">
            <w:pPr>
              <w:rPr>
                <w:szCs w:val="20"/>
                <w:lang w:val="en-GB"/>
              </w:rPr>
            </w:pPr>
          </w:p>
          <w:p w14:paraId="567BD664" w14:textId="77777777" w:rsidR="00A529B7" w:rsidRDefault="00A529B7" w:rsidP="00674465">
            <w:pPr>
              <w:rPr>
                <w:szCs w:val="20"/>
                <w:lang w:val="en-GB"/>
              </w:rPr>
            </w:pPr>
            <w:r w:rsidRPr="00A529B7">
              <w:rPr>
                <w:szCs w:val="20"/>
                <w:lang w:val="en-GB"/>
              </w:rPr>
              <w:t>American Academy Orthopaedica Association (AAOS)</w:t>
            </w:r>
          </w:p>
          <w:p w14:paraId="7BAA8D25" w14:textId="77777777" w:rsidR="00674465" w:rsidRPr="00A529B7" w:rsidRDefault="00674465" w:rsidP="00674465">
            <w:pPr>
              <w:rPr>
                <w:szCs w:val="20"/>
                <w:lang w:val="en-GB"/>
              </w:rPr>
            </w:pPr>
          </w:p>
          <w:p w14:paraId="67DCA89F" w14:textId="77777777" w:rsidR="00A529B7" w:rsidRDefault="00A529B7" w:rsidP="00674465">
            <w:pPr>
              <w:rPr>
                <w:szCs w:val="20"/>
                <w:lang w:val="en-GB"/>
              </w:rPr>
            </w:pPr>
            <w:r w:rsidRPr="00A529B7">
              <w:rPr>
                <w:szCs w:val="20"/>
                <w:lang w:val="en-GB"/>
              </w:rPr>
              <w:t>Latin Congres of Neurosurgery (CLAN)</w:t>
            </w:r>
          </w:p>
          <w:p w14:paraId="58F5C34B" w14:textId="77777777" w:rsidR="00674465" w:rsidRPr="00A529B7" w:rsidRDefault="00674465" w:rsidP="00674465">
            <w:pPr>
              <w:rPr>
                <w:szCs w:val="20"/>
                <w:lang w:val="en-GB"/>
              </w:rPr>
            </w:pPr>
          </w:p>
          <w:p w14:paraId="173DC3FD" w14:textId="441F35AE" w:rsidR="00A529B7" w:rsidRDefault="00A529B7" w:rsidP="4DE1D9E4">
            <w:pPr>
              <w:rPr>
                <w:lang w:val="es-ES"/>
              </w:rPr>
            </w:pPr>
          </w:p>
          <w:p w14:paraId="521EA476" w14:textId="4B1A423D" w:rsidR="4DE1D9E4" w:rsidRDefault="4DE1D9E4" w:rsidP="4DE1D9E4">
            <w:pPr>
              <w:rPr>
                <w:lang w:val="es-ES"/>
              </w:rPr>
            </w:pPr>
            <w:r w:rsidRPr="4DE1D9E4">
              <w:rPr>
                <w:lang w:val="es-ES"/>
              </w:rPr>
              <w:t>Association of Spine Surgeons of India conference (ASSICON)</w:t>
            </w:r>
          </w:p>
          <w:p w14:paraId="10D5C308" w14:textId="22A44788" w:rsidR="4DE1D9E4" w:rsidRDefault="4DE1D9E4" w:rsidP="4DE1D9E4">
            <w:pPr>
              <w:rPr>
                <w:lang w:val="es-ES"/>
              </w:rPr>
            </w:pPr>
          </w:p>
          <w:p w14:paraId="67520204" w14:textId="7C5B3DA2" w:rsidR="00674465" w:rsidRPr="00A529B7" w:rsidRDefault="4DE1D9E4" w:rsidP="00674465">
            <w:pPr>
              <w:rPr>
                <w:szCs w:val="20"/>
                <w:lang w:val="es-ES"/>
              </w:rPr>
            </w:pPr>
            <w:r w:rsidRPr="4DE1D9E4">
              <w:rPr>
                <w:lang w:val="es-ES"/>
              </w:rPr>
              <w:t>North American Spine Society (NASS)</w:t>
            </w:r>
          </w:p>
          <w:p w14:paraId="37948DCA" w14:textId="77777777" w:rsidR="00A529B7" w:rsidRDefault="00A529B7" w:rsidP="00674465">
            <w:pPr>
              <w:rPr>
                <w:szCs w:val="20"/>
                <w:lang w:val="it-IT"/>
              </w:rPr>
            </w:pPr>
            <w:r w:rsidRPr="00A529B7">
              <w:rPr>
                <w:szCs w:val="20"/>
                <w:lang w:val="it-IT"/>
              </w:rPr>
              <w:t>Chinese Orthopaedic Association (COA)</w:t>
            </w:r>
          </w:p>
          <w:p w14:paraId="50243143" w14:textId="77777777" w:rsidR="00674465" w:rsidRPr="00A529B7" w:rsidRDefault="00674465" w:rsidP="00674465">
            <w:pPr>
              <w:rPr>
                <w:szCs w:val="20"/>
                <w:lang w:val="it-IT"/>
              </w:rPr>
            </w:pPr>
          </w:p>
          <w:p w14:paraId="6F074881" w14:textId="53585F7E" w:rsidR="00A529B7" w:rsidRPr="00A529B7" w:rsidRDefault="4DE1D9E4" w:rsidP="4DE1D9E4">
            <w:pPr>
              <w:rPr>
                <w:lang w:val="it-IT"/>
              </w:rPr>
            </w:pPr>
            <w:r w:rsidRPr="4DE1D9E4">
              <w:rPr>
                <w:lang w:val="it-IT"/>
              </w:rPr>
              <w:t>Arab Health Congress</w:t>
            </w:r>
          </w:p>
          <w:p w14:paraId="3A19ED9D" w14:textId="456CB814" w:rsidR="00A529B7" w:rsidRPr="00A529B7" w:rsidRDefault="00A529B7" w:rsidP="4DE1D9E4">
            <w:pPr>
              <w:rPr>
                <w:lang w:val="it-IT"/>
              </w:rPr>
            </w:pPr>
          </w:p>
          <w:p w14:paraId="02B9387A" w14:textId="43A7322E" w:rsidR="00A529B7" w:rsidRPr="00A529B7" w:rsidRDefault="4DE1D9E4" w:rsidP="4DE1D9E4">
            <w:pPr>
              <w:rPr>
                <w:lang w:val="it-IT"/>
              </w:rPr>
            </w:pPr>
            <w:r w:rsidRPr="4DE1D9E4">
              <w:rPr>
                <w:lang w:val="it-IT"/>
              </w:rPr>
              <w:t>Congrès de neurochirurgie ou locau (Téhéran , Thaïlande,….)</w:t>
            </w:r>
          </w:p>
          <w:p w14:paraId="7F469D47" w14:textId="527FB3A5" w:rsidR="00A529B7" w:rsidRPr="00A529B7" w:rsidRDefault="00A529B7" w:rsidP="4DE1D9E4">
            <w:pPr>
              <w:rPr>
                <w:lang w:val="it-IT"/>
              </w:rPr>
            </w:pPr>
          </w:p>
          <w:p w14:paraId="59103FCB" w14:textId="0BF2A2C5" w:rsidR="00A529B7" w:rsidRPr="00A529B7" w:rsidRDefault="4DE1D9E4" w:rsidP="4DE1D9E4">
            <w:pPr>
              <w:rPr>
                <w:lang w:val="it-IT"/>
              </w:rPr>
            </w:pPr>
            <w:r w:rsidRPr="4DE1D9E4">
              <w:rPr>
                <w:lang w:val="it-IT"/>
              </w:rPr>
              <w:t>Salons professionnels notamment en France (SFCR,…)</w:t>
            </w:r>
          </w:p>
        </w:tc>
        <w:tc>
          <w:tcPr>
            <w:tcW w:w="2423" w:type="dxa"/>
            <w:shd w:val="clear" w:color="auto" w:fill="auto"/>
            <w:vAlign w:val="center"/>
          </w:tcPr>
          <w:p w14:paraId="44B56FA8" w14:textId="35C8973B" w:rsidR="00A529B7" w:rsidRPr="00A529B7" w:rsidRDefault="188C713A" w:rsidP="188C713A">
            <w:pPr>
              <w:spacing w:line="259" w:lineRule="auto"/>
              <w:jc w:val="center"/>
              <w:rPr>
                <w:rFonts w:ascii="Calibri" w:eastAsia="Calibri" w:hAnsi="Calibri" w:cs="Calibri"/>
              </w:rPr>
            </w:pPr>
            <w:r w:rsidRPr="188C713A">
              <w:rPr>
                <w:i/>
                <w:iCs/>
                <w:u w:val="single"/>
              </w:rPr>
              <w:lastRenderedPageBreak/>
              <w:t xml:space="preserve">Eurospine  </w:t>
            </w:r>
          </w:p>
          <w:p w14:paraId="5F6C3E8A" w14:textId="69A7E134" w:rsidR="00A529B7" w:rsidRPr="00A529B7" w:rsidRDefault="188C713A" w:rsidP="188C713A">
            <w:pPr>
              <w:spacing w:line="259" w:lineRule="auto"/>
              <w:jc w:val="center"/>
              <w:rPr>
                <w:rFonts w:ascii="Calibri" w:eastAsia="Calibri" w:hAnsi="Calibri" w:cs="Calibri"/>
              </w:rPr>
            </w:pPr>
            <w:r w:rsidRPr="188C713A">
              <w:rPr>
                <w:i/>
                <w:iCs/>
                <w:u w:val="single"/>
              </w:rPr>
              <w:t>(Barcelone 2018)</w:t>
            </w:r>
          </w:p>
          <w:p w14:paraId="438211B4" w14:textId="0DD2207C" w:rsidR="188C713A" w:rsidRDefault="188C713A" w:rsidP="188C713A">
            <w:pPr>
              <w:spacing w:line="259" w:lineRule="auto"/>
              <w:jc w:val="center"/>
              <w:rPr>
                <w:i/>
                <w:iCs/>
                <w:u w:val="single"/>
              </w:rPr>
            </w:pPr>
          </w:p>
          <w:p w14:paraId="56A80E45" w14:textId="3EAD33C5" w:rsidR="00A529B7" w:rsidRPr="00A529B7" w:rsidRDefault="00A529B7" w:rsidP="4DE1D9E4">
            <w:pPr>
              <w:jc w:val="center"/>
            </w:pPr>
            <w:r>
              <w:rPr>
                <w:noProof/>
              </w:rPr>
              <w:lastRenderedPageBreak/>
              <w:drawing>
                <wp:inline distT="0" distB="0" distL="0" distR="0" wp14:anchorId="23F78571" wp14:editId="38C654A0">
                  <wp:extent cx="1400175" cy="1047750"/>
                  <wp:effectExtent l="0" t="0" r="0" b="0"/>
                  <wp:docPr id="998831564" name="Image 998831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extLst>
                              <a:ext uri="{28A0092B-C50C-407E-A947-70E740481C1C}">
                                <a14:useLocalDpi xmlns:a14="http://schemas.microsoft.com/office/drawing/2010/main" val="0"/>
                              </a:ext>
                            </a:extLst>
                          </a:blip>
                          <a:stretch>
                            <a:fillRect/>
                          </a:stretch>
                        </pic:blipFill>
                        <pic:spPr>
                          <a:xfrm>
                            <a:off x="0" y="0"/>
                            <a:ext cx="1400175" cy="1047750"/>
                          </a:xfrm>
                          <a:prstGeom prst="rect">
                            <a:avLst/>
                          </a:prstGeom>
                        </pic:spPr>
                      </pic:pic>
                    </a:graphicData>
                  </a:graphic>
                </wp:inline>
              </w:drawing>
            </w:r>
          </w:p>
        </w:tc>
        <w:tc>
          <w:tcPr>
            <w:tcW w:w="2424" w:type="dxa"/>
            <w:shd w:val="clear" w:color="auto" w:fill="auto"/>
            <w:vAlign w:val="center"/>
          </w:tcPr>
          <w:p w14:paraId="44076E57" w14:textId="3AA2E1F3" w:rsidR="00A529B7" w:rsidRPr="00A529B7" w:rsidRDefault="188C713A" w:rsidP="188C713A">
            <w:pPr>
              <w:spacing w:line="259" w:lineRule="auto"/>
              <w:jc w:val="center"/>
              <w:rPr>
                <w:rFonts w:ascii="Calibri" w:eastAsia="Calibri" w:hAnsi="Calibri" w:cs="Calibri"/>
              </w:rPr>
            </w:pPr>
            <w:r w:rsidRPr="188C713A">
              <w:rPr>
                <w:i/>
                <w:iCs/>
                <w:u w:val="single"/>
              </w:rPr>
              <w:lastRenderedPageBreak/>
              <w:t xml:space="preserve">Arab Health </w:t>
            </w:r>
          </w:p>
          <w:p w14:paraId="435E2817" w14:textId="0E4320BF" w:rsidR="00A529B7" w:rsidRPr="00A529B7" w:rsidRDefault="188C713A" w:rsidP="188C713A">
            <w:pPr>
              <w:spacing w:line="259" w:lineRule="auto"/>
              <w:jc w:val="center"/>
              <w:rPr>
                <w:rFonts w:ascii="Calibri" w:eastAsia="Calibri" w:hAnsi="Calibri" w:cs="Calibri"/>
              </w:rPr>
            </w:pPr>
            <w:r w:rsidRPr="188C713A">
              <w:rPr>
                <w:i/>
                <w:iCs/>
                <w:u w:val="single"/>
              </w:rPr>
              <w:t>(2020)</w:t>
            </w:r>
          </w:p>
          <w:p w14:paraId="1C67F2C1" w14:textId="166F8A25" w:rsidR="00A529B7" w:rsidRPr="00A529B7" w:rsidRDefault="00A529B7" w:rsidP="188C713A">
            <w:pPr>
              <w:spacing w:line="259" w:lineRule="auto"/>
              <w:jc w:val="center"/>
              <w:rPr>
                <w:i/>
                <w:iCs/>
                <w:u w:val="single"/>
              </w:rPr>
            </w:pPr>
          </w:p>
          <w:p w14:paraId="74F901F0" w14:textId="24A969F7" w:rsidR="00A529B7" w:rsidRPr="00A529B7" w:rsidRDefault="00A529B7" w:rsidP="188C713A">
            <w:pPr>
              <w:jc w:val="center"/>
            </w:pPr>
            <w:r>
              <w:rPr>
                <w:noProof/>
              </w:rPr>
              <w:lastRenderedPageBreak/>
              <w:drawing>
                <wp:inline distT="0" distB="0" distL="0" distR="0" wp14:anchorId="4E52BD43" wp14:editId="55C2D414">
                  <wp:extent cx="1400175" cy="1047750"/>
                  <wp:effectExtent l="0" t="0" r="0" b="0"/>
                  <wp:docPr id="1650271656" name="Image 1650271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extLst>
                              <a:ext uri="{28A0092B-C50C-407E-A947-70E740481C1C}">
                                <a14:useLocalDpi xmlns:a14="http://schemas.microsoft.com/office/drawing/2010/main" val="0"/>
                              </a:ext>
                            </a:extLst>
                          </a:blip>
                          <a:stretch>
                            <a:fillRect/>
                          </a:stretch>
                        </pic:blipFill>
                        <pic:spPr>
                          <a:xfrm>
                            <a:off x="0" y="0"/>
                            <a:ext cx="1400175" cy="1047750"/>
                          </a:xfrm>
                          <a:prstGeom prst="rect">
                            <a:avLst/>
                          </a:prstGeom>
                        </pic:spPr>
                      </pic:pic>
                    </a:graphicData>
                  </a:graphic>
                </wp:inline>
              </w:drawing>
            </w:r>
          </w:p>
        </w:tc>
      </w:tr>
      <w:tr w:rsidR="00A529B7" w:rsidRPr="00A529B7" w14:paraId="4595DC37" w14:textId="77777777" w:rsidTr="188C713A">
        <w:tc>
          <w:tcPr>
            <w:tcW w:w="4248" w:type="dxa"/>
            <w:vMerge/>
          </w:tcPr>
          <w:p w14:paraId="2B4A4376" w14:textId="77777777" w:rsidR="00A529B7" w:rsidRPr="00A529B7" w:rsidRDefault="00A529B7" w:rsidP="00AD71B5">
            <w:pPr>
              <w:rPr>
                <w:szCs w:val="20"/>
              </w:rPr>
            </w:pPr>
          </w:p>
        </w:tc>
        <w:tc>
          <w:tcPr>
            <w:tcW w:w="2423" w:type="dxa"/>
            <w:shd w:val="clear" w:color="auto" w:fill="auto"/>
            <w:vAlign w:val="center"/>
          </w:tcPr>
          <w:p w14:paraId="5B0ACC26" w14:textId="3854C84C" w:rsidR="00A529B7" w:rsidRPr="00A529B7" w:rsidRDefault="00A529B7" w:rsidP="4DE1D9E4">
            <w:pPr>
              <w:jc w:val="center"/>
            </w:pPr>
            <w:r>
              <w:rPr>
                <w:noProof/>
              </w:rPr>
              <w:drawing>
                <wp:inline distT="0" distB="0" distL="0" distR="0" wp14:anchorId="55366802" wp14:editId="0C4815A2">
                  <wp:extent cx="1400175" cy="1047750"/>
                  <wp:effectExtent l="0" t="0" r="0" b="0"/>
                  <wp:docPr id="1453274855" name="Image 1453274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453274855"/>
                          <pic:cNvPicPr/>
                        </pic:nvPicPr>
                        <pic:blipFill>
                          <a:blip r:embed="rId60">
                            <a:extLst>
                              <a:ext uri="{28A0092B-C50C-407E-A947-70E740481C1C}">
                                <a14:useLocalDpi xmlns:a14="http://schemas.microsoft.com/office/drawing/2010/main" val="0"/>
                              </a:ext>
                            </a:extLst>
                          </a:blip>
                          <a:stretch>
                            <a:fillRect/>
                          </a:stretch>
                        </pic:blipFill>
                        <pic:spPr>
                          <a:xfrm>
                            <a:off x="0" y="0"/>
                            <a:ext cx="1400175" cy="1047750"/>
                          </a:xfrm>
                          <a:prstGeom prst="rect">
                            <a:avLst/>
                          </a:prstGeom>
                        </pic:spPr>
                      </pic:pic>
                    </a:graphicData>
                  </a:graphic>
                </wp:inline>
              </w:drawing>
            </w:r>
          </w:p>
          <w:p w14:paraId="32F8B6FC" w14:textId="56548E62" w:rsidR="00A529B7" w:rsidRPr="00A529B7" w:rsidRDefault="188C713A" w:rsidP="188C713A">
            <w:pPr>
              <w:jc w:val="center"/>
              <w:rPr>
                <w:i/>
                <w:iCs/>
                <w:u w:val="single"/>
              </w:rPr>
            </w:pPr>
            <w:r w:rsidRPr="188C713A">
              <w:rPr>
                <w:i/>
                <w:iCs/>
                <w:u w:val="single"/>
              </w:rPr>
              <w:t xml:space="preserve">Thailand Congress </w:t>
            </w:r>
          </w:p>
          <w:p w14:paraId="1D8A3D37" w14:textId="69AEDF10" w:rsidR="00A529B7" w:rsidRPr="00A529B7" w:rsidRDefault="188C713A" w:rsidP="188C713A">
            <w:pPr>
              <w:jc w:val="center"/>
              <w:rPr>
                <w:i/>
                <w:iCs/>
                <w:u w:val="single"/>
              </w:rPr>
            </w:pPr>
            <w:r w:rsidRPr="188C713A">
              <w:rPr>
                <w:i/>
                <w:iCs/>
                <w:u w:val="single"/>
              </w:rPr>
              <w:t>(2020)</w:t>
            </w:r>
          </w:p>
          <w:p w14:paraId="5B5B3128" w14:textId="0E79684D" w:rsidR="00A529B7" w:rsidRPr="00A529B7" w:rsidRDefault="00A529B7" w:rsidP="4DE1D9E4">
            <w:pPr>
              <w:jc w:val="center"/>
              <w:rPr>
                <w:i/>
                <w:iCs/>
                <w:u w:val="single"/>
              </w:rPr>
            </w:pPr>
          </w:p>
        </w:tc>
        <w:tc>
          <w:tcPr>
            <w:tcW w:w="2424" w:type="dxa"/>
            <w:shd w:val="clear" w:color="auto" w:fill="auto"/>
            <w:vAlign w:val="center"/>
          </w:tcPr>
          <w:p w14:paraId="5479C4FD" w14:textId="351008E9" w:rsidR="00A529B7" w:rsidRPr="00A529B7" w:rsidRDefault="00A529B7" w:rsidP="4DE1D9E4">
            <w:pPr>
              <w:jc w:val="center"/>
            </w:pPr>
            <w:r>
              <w:rPr>
                <w:noProof/>
              </w:rPr>
              <w:drawing>
                <wp:inline distT="0" distB="0" distL="0" distR="0" wp14:anchorId="1B99526C" wp14:editId="0E636519">
                  <wp:extent cx="1400175" cy="1047750"/>
                  <wp:effectExtent l="0" t="0" r="0" b="0"/>
                  <wp:docPr id="2094550283" name="Image 2094550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extLst>
                              <a:ext uri="{28A0092B-C50C-407E-A947-70E740481C1C}">
                                <a14:useLocalDpi xmlns:a14="http://schemas.microsoft.com/office/drawing/2010/main" val="0"/>
                              </a:ext>
                            </a:extLst>
                          </a:blip>
                          <a:stretch>
                            <a:fillRect/>
                          </a:stretch>
                        </pic:blipFill>
                        <pic:spPr>
                          <a:xfrm>
                            <a:off x="0" y="0"/>
                            <a:ext cx="1400175" cy="1047750"/>
                          </a:xfrm>
                          <a:prstGeom prst="rect">
                            <a:avLst/>
                          </a:prstGeom>
                        </pic:spPr>
                      </pic:pic>
                    </a:graphicData>
                  </a:graphic>
                </wp:inline>
              </w:drawing>
            </w:r>
          </w:p>
          <w:p w14:paraId="46018036" w14:textId="3B203993" w:rsidR="00A529B7" w:rsidRPr="00A529B7" w:rsidRDefault="188C713A" w:rsidP="188C713A">
            <w:pPr>
              <w:spacing w:line="259" w:lineRule="auto"/>
              <w:jc w:val="center"/>
              <w:rPr>
                <w:i/>
                <w:iCs/>
                <w:u w:val="single"/>
              </w:rPr>
            </w:pPr>
            <w:r w:rsidRPr="188C713A">
              <w:rPr>
                <w:i/>
                <w:iCs/>
                <w:u w:val="single"/>
              </w:rPr>
              <w:t xml:space="preserve">SFCR 2020 </w:t>
            </w:r>
          </w:p>
          <w:p w14:paraId="36D8E406" w14:textId="2B000C61" w:rsidR="00A529B7" w:rsidRPr="00A529B7" w:rsidRDefault="188C713A" w:rsidP="188C713A">
            <w:pPr>
              <w:spacing w:line="259" w:lineRule="auto"/>
              <w:jc w:val="center"/>
              <w:rPr>
                <w:i/>
                <w:iCs/>
                <w:u w:val="single"/>
              </w:rPr>
            </w:pPr>
            <w:r w:rsidRPr="188C713A">
              <w:rPr>
                <w:i/>
                <w:iCs/>
                <w:u w:val="single"/>
              </w:rPr>
              <w:t>(Fran</w:t>
            </w:r>
            <w:r w:rsidR="008301A7">
              <w:rPr>
                <w:i/>
                <w:iCs/>
                <w:u w:val="single"/>
              </w:rPr>
              <w:t>c</w:t>
            </w:r>
            <w:r w:rsidRPr="188C713A">
              <w:rPr>
                <w:i/>
                <w:iCs/>
                <w:u w:val="single"/>
              </w:rPr>
              <w:t>e)</w:t>
            </w:r>
          </w:p>
          <w:p w14:paraId="39B09020" w14:textId="24A18C9B" w:rsidR="00A529B7" w:rsidRPr="00A529B7" w:rsidRDefault="00A529B7" w:rsidP="00AD71B5">
            <w:pPr>
              <w:jc w:val="center"/>
            </w:pPr>
          </w:p>
        </w:tc>
      </w:tr>
    </w:tbl>
    <w:p w14:paraId="4A463BAE" w14:textId="77777777" w:rsidR="00A529B7" w:rsidRPr="00A529B7" w:rsidRDefault="00A529B7" w:rsidP="00A529B7">
      <w:pPr>
        <w:rPr>
          <w:szCs w:val="20"/>
        </w:rPr>
      </w:pPr>
    </w:p>
    <w:tbl>
      <w:tblPr>
        <w:tblW w:w="8505" w:type="dxa"/>
        <w:tblInd w:w="-34" w:type="dxa"/>
        <w:tblLayout w:type="fixed"/>
        <w:tblLook w:val="01E0" w:firstRow="1" w:lastRow="1" w:firstColumn="1" w:lastColumn="1" w:noHBand="0" w:noVBand="0"/>
      </w:tblPr>
      <w:tblGrid>
        <w:gridCol w:w="8505"/>
      </w:tblGrid>
      <w:tr w:rsidR="00674465" w:rsidRPr="00A529B7" w14:paraId="72A2B1B1" w14:textId="77777777" w:rsidTr="00DB5FDD">
        <w:trPr>
          <w:trHeight w:val="232"/>
        </w:trPr>
        <w:tc>
          <w:tcPr>
            <w:tcW w:w="8505" w:type="dxa"/>
            <w:shd w:val="clear" w:color="auto" w:fill="auto"/>
          </w:tcPr>
          <w:p w14:paraId="4C777BFC" w14:textId="77777777" w:rsidR="00674465" w:rsidRPr="00A529B7" w:rsidRDefault="00674465" w:rsidP="00674465">
            <w:pPr>
              <w:rPr>
                <w:szCs w:val="20"/>
              </w:rPr>
            </w:pPr>
            <w:r w:rsidRPr="00A529B7">
              <w:rPr>
                <w:szCs w:val="20"/>
              </w:rPr>
              <w:t xml:space="preserve">La Société organise des formations avec des chirurgiens de renom sur la base d’ateliers de travail (appelés </w:t>
            </w:r>
            <w:r w:rsidRPr="00A529B7">
              <w:rPr>
                <w:i/>
                <w:iCs/>
                <w:szCs w:val="20"/>
              </w:rPr>
              <w:t>Hands-on workshops</w:t>
            </w:r>
            <w:r w:rsidRPr="00A529B7">
              <w:rPr>
                <w:szCs w:val="20"/>
              </w:rPr>
              <w:t xml:space="preserve"> dans la profession).</w:t>
            </w:r>
          </w:p>
          <w:p w14:paraId="1EDC55D4" w14:textId="2437D506" w:rsidR="00674465" w:rsidRPr="00A529B7" w:rsidRDefault="00674465" w:rsidP="00674465">
            <w:pPr>
              <w:rPr>
                <w:szCs w:val="20"/>
              </w:rPr>
            </w:pPr>
            <w:r w:rsidRPr="00A529B7">
              <w:rPr>
                <w:szCs w:val="20"/>
              </w:rPr>
              <w:t xml:space="preserve">La </w:t>
            </w:r>
            <w:r w:rsidR="00C66913">
              <w:rPr>
                <w:szCs w:val="20"/>
              </w:rPr>
              <w:t>S</w:t>
            </w:r>
            <w:r w:rsidRPr="00A529B7">
              <w:rPr>
                <w:szCs w:val="20"/>
              </w:rPr>
              <w:t>ociété organise également des symposiums et tables rondes regroupant des chirurgiens autour de problématiques spécifiques :</w:t>
            </w:r>
          </w:p>
          <w:p w14:paraId="05D57358" w14:textId="67A6AE01" w:rsidR="00674465" w:rsidRPr="00A529B7" w:rsidRDefault="00DF043A" w:rsidP="00C622C2">
            <w:pPr>
              <w:numPr>
                <w:ilvl w:val="0"/>
                <w:numId w:val="21"/>
              </w:numPr>
              <w:tabs>
                <w:tab w:val="clear" w:pos="1440"/>
                <w:tab w:val="num" w:pos="360"/>
              </w:tabs>
              <w:ind w:left="1664" w:hanging="1664"/>
              <w:rPr>
                <w:szCs w:val="20"/>
              </w:rPr>
            </w:pPr>
            <w:r>
              <w:rPr>
                <w:szCs w:val="20"/>
              </w:rPr>
              <w:t>t</w:t>
            </w:r>
            <w:r w:rsidRPr="00A529B7">
              <w:rPr>
                <w:szCs w:val="20"/>
              </w:rPr>
              <w:t xml:space="preserve">raitement </w:t>
            </w:r>
            <w:r w:rsidR="00674465" w:rsidRPr="00A529B7">
              <w:rPr>
                <w:szCs w:val="20"/>
              </w:rPr>
              <w:t>de la scoliose idiopathique</w:t>
            </w:r>
            <w:r>
              <w:rPr>
                <w:szCs w:val="20"/>
              </w:rPr>
              <w:t> ;</w:t>
            </w:r>
          </w:p>
          <w:p w14:paraId="68B6BBD3" w14:textId="006E38AE" w:rsidR="00674465" w:rsidRPr="00A529B7" w:rsidRDefault="00DF043A" w:rsidP="00C622C2">
            <w:pPr>
              <w:numPr>
                <w:ilvl w:val="0"/>
                <w:numId w:val="21"/>
              </w:numPr>
              <w:tabs>
                <w:tab w:val="clear" w:pos="1440"/>
                <w:tab w:val="num" w:pos="360"/>
              </w:tabs>
              <w:ind w:left="1664" w:hanging="1664"/>
              <w:rPr>
                <w:szCs w:val="20"/>
              </w:rPr>
            </w:pPr>
            <w:r>
              <w:rPr>
                <w:szCs w:val="20"/>
              </w:rPr>
              <w:t>a</w:t>
            </w:r>
            <w:r w:rsidRPr="00A529B7">
              <w:rPr>
                <w:szCs w:val="20"/>
              </w:rPr>
              <w:t xml:space="preserve">bord </w:t>
            </w:r>
            <w:r w:rsidR="00674465" w:rsidRPr="00A529B7">
              <w:rPr>
                <w:szCs w:val="20"/>
              </w:rPr>
              <w:t>antérieur de la colonne lombaire</w:t>
            </w:r>
            <w:r>
              <w:rPr>
                <w:szCs w:val="20"/>
              </w:rPr>
              <w:t> ;</w:t>
            </w:r>
          </w:p>
          <w:p w14:paraId="45508B15" w14:textId="1F81164C" w:rsidR="00674465" w:rsidRDefault="00DF043A" w:rsidP="00C622C2">
            <w:pPr>
              <w:numPr>
                <w:ilvl w:val="0"/>
                <w:numId w:val="21"/>
              </w:numPr>
              <w:tabs>
                <w:tab w:val="clear" w:pos="1440"/>
                <w:tab w:val="num" w:pos="360"/>
              </w:tabs>
              <w:ind w:left="1664" w:hanging="1664"/>
              <w:rPr>
                <w:szCs w:val="20"/>
              </w:rPr>
            </w:pPr>
            <w:r>
              <w:rPr>
                <w:szCs w:val="20"/>
              </w:rPr>
              <w:t>c</w:t>
            </w:r>
            <w:r w:rsidRPr="00A529B7">
              <w:rPr>
                <w:szCs w:val="20"/>
              </w:rPr>
              <w:t xml:space="preserve">hirurgie </w:t>
            </w:r>
            <w:r w:rsidR="00674465" w:rsidRPr="00A529B7">
              <w:rPr>
                <w:szCs w:val="20"/>
              </w:rPr>
              <w:t>rachidienne du jeune enfant</w:t>
            </w:r>
            <w:r>
              <w:rPr>
                <w:szCs w:val="20"/>
              </w:rPr>
              <w:t>.</w:t>
            </w:r>
          </w:p>
          <w:p w14:paraId="4A9045CD" w14:textId="7F8FEBC3" w:rsidR="00674465" w:rsidRDefault="00674465" w:rsidP="00674465">
            <w:pPr>
              <w:ind w:left="1664"/>
              <w:rPr>
                <w:szCs w:val="20"/>
              </w:rPr>
            </w:pPr>
          </w:p>
          <w:p w14:paraId="5A09D135" w14:textId="77777777" w:rsidR="00EB03FF" w:rsidRDefault="00EB03FF" w:rsidP="00674465">
            <w:pPr>
              <w:ind w:left="1664"/>
              <w:rPr>
                <w:szCs w:val="20"/>
              </w:rPr>
            </w:pPr>
          </w:p>
          <w:p w14:paraId="45ABB7A5" w14:textId="6530EB98" w:rsidR="00EB03FF" w:rsidRDefault="004477F3" w:rsidP="188C713A">
            <w:pPr>
              <w:ind w:left="1134"/>
            </w:pPr>
            <w:r>
              <w:rPr>
                <w:noProof/>
              </w:rPr>
              <w:drawing>
                <wp:inline distT="0" distB="0" distL="0" distR="0" wp14:anchorId="39FFC2D4" wp14:editId="20419DA8">
                  <wp:extent cx="1498600" cy="1123950"/>
                  <wp:effectExtent l="0" t="0" r="0" b="0"/>
                  <wp:docPr id="1848582914" name="Image 1848582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extLst>
                              <a:ext uri="{28A0092B-C50C-407E-A947-70E740481C1C}">
                                <a14:useLocalDpi xmlns:a14="http://schemas.microsoft.com/office/drawing/2010/main" val="0"/>
                              </a:ext>
                            </a:extLst>
                          </a:blip>
                          <a:stretch>
                            <a:fillRect/>
                          </a:stretch>
                        </pic:blipFill>
                        <pic:spPr>
                          <a:xfrm>
                            <a:off x="0" y="0"/>
                            <a:ext cx="1498600" cy="1123950"/>
                          </a:xfrm>
                          <a:prstGeom prst="rect">
                            <a:avLst/>
                          </a:prstGeom>
                        </pic:spPr>
                      </pic:pic>
                    </a:graphicData>
                  </a:graphic>
                </wp:inline>
              </w:drawing>
            </w:r>
            <w:r>
              <w:rPr>
                <w:noProof/>
              </w:rPr>
              <w:drawing>
                <wp:inline distT="0" distB="0" distL="0" distR="0" wp14:anchorId="6BAFE50B" wp14:editId="368E9193">
                  <wp:extent cx="1501132" cy="1123950"/>
                  <wp:effectExtent l="0" t="0" r="0" b="0"/>
                  <wp:docPr id="892276861" name="Image 892276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extLst>
                              <a:ext uri="{28A0092B-C50C-407E-A947-70E740481C1C}">
                                <a14:useLocalDpi xmlns:a14="http://schemas.microsoft.com/office/drawing/2010/main" val="0"/>
                              </a:ext>
                            </a:extLst>
                          </a:blip>
                          <a:stretch>
                            <a:fillRect/>
                          </a:stretch>
                        </pic:blipFill>
                        <pic:spPr>
                          <a:xfrm>
                            <a:off x="0" y="0"/>
                            <a:ext cx="1501132" cy="1123950"/>
                          </a:xfrm>
                          <a:prstGeom prst="rect">
                            <a:avLst/>
                          </a:prstGeom>
                        </pic:spPr>
                      </pic:pic>
                    </a:graphicData>
                  </a:graphic>
                </wp:inline>
              </w:drawing>
            </w:r>
            <w:r>
              <w:rPr>
                <w:noProof/>
              </w:rPr>
              <w:drawing>
                <wp:inline distT="0" distB="0" distL="0" distR="0" wp14:anchorId="6D7844E8" wp14:editId="3FACAEC1">
                  <wp:extent cx="1491346" cy="1116623"/>
                  <wp:effectExtent l="0" t="0" r="0" b="0"/>
                  <wp:docPr id="1214375492" name="Image 1214375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extLst>
                              <a:ext uri="{28A0092B-C50C-407E-A947-70E740481C1C}">
                                <a14:useLocalDpi xmlns:a14="http://schemas.microsoft.com/office/drawing/2010/main" val="0"/>
                              </a:ext>
                            </a:extLst>
                          </a:blip>
                          <a:stretch>
                            <a:fillRect/>
                          </a:stretch>
                        </pic:blipFill>
                        <pic:spPr>
                          <a:xfrm>
                            <a:off x="0" y="0"/>
                            <a:ext cx="1491346" cy="1116623"/>
                          </a:xfrm>
                          <a:prstGeom prst="rect">
                            <a:avLst/>
                          </a:prstGeom>
                        </pic:spPr>
                      </pic:pic>
                    </a:graphicData>
                  </a:graphic>
                </wp:inline>
              </w:drawing>
            </w:r>
          </w:p>
          <w:p w14:paraId="6029B4BE" w14:textId="7C5F4CCE" w:rsidR="00674465" w:rsidRPr="00674465" w:rsidRDefault="188C713A" w:rsidP="00220302">
            <w:pPr>
              <w:pBdr>
                <w:top w:val="single" w:sz="4" w:space="1" w:color="auto"/>
                <w:bottom w:val="single" w:sz="4" w:space="1" w:color="auto"/>
                <w:right w:val="single" w:sz="4" w:space="4" w:color="auto"/>
              </w:pBdr>
              <w:ind w:left="1026"/>
            </w:pPr>
            <w:r>
              <w:t xml:space="preserve">Exemples de formations animées par les Docteurs </w:t>
            </w:r>
            <w:r w:rsidR="00B2272B">
              <w:t>Edgar-</w:t>
            </w:r>
            <w:r>
              <w:t xml:space="preserve">Rosa et Geneste sur le traitement d’une pathologie rachis dégénérative corrigée par technologie et implants </w:t>
            </w:r>
            <w:r w:rsidR="00DF043A">
              <w:t xml:space="preserve">Mont Blanc </w:t>
            </w:r>
            <w:r>
              <w:t>MIS en présence de chirurgiens du monde entier notamment chiliens, indiens, égyptiens, brésiliens...</w:t>
            </w:r>
          </w:p>
          <w:p w14:paraId="56F140C3" w14:textId="6F127A83" w:rsidR="00674465" w:rsidRPr="00674465" w:rsidRDefault="188C713A" w:rsidP="00220302">
            <w:pPr>
              <w:pBdr>
                <w:top w:val="single" w:sz="4" w:space="1" w:color="auto"/>
                <w:bottom w:val="single" w:sz="4" w:space="1" w:color="auto"/>
                <w:right w:val="single" w:sz="4" w:space="4" w:color="auto"/>
              </w:pBdr>
              <w:ind w:left="1026"/>
            </w:pPr>
            <w:r>
              <w:t>D’autres formations ont été animées par les Docteurs Richet (</w:t>
            </w:r>
            <w:r w:rsidR="00B12444">
              <w:t>T</w:t>
            </w:r>
            <w:r>
              <w:t xml:space="preserve">win </w:t>
            </w:r>
            <w:r w:rsidR="00DF043A">
              <w:t xml:space="preserve">Peaks </w:t>
            </w:r>
            <w:r>
              <w:t>PLIF), Norotte (</w:t>
            </w:r>
            <w:r w:rsidR="00B12444">
              <w:t>K</w:t>
            </w:r>
            <w:r>
              <w:t>ili) en présence de chirurgiens tunisiens, indiens…</w:t>
            </w:r>
          </w:p>
          <w:p w14:paraId="60B74A1A" w14:textId="3C839084" w:rsidR="00674465" w:rsidRPr="00674465" w:rsidRDefault="188C713A" w:rsidP="00220302">
            <w:pPr>
              <w:pBdr>
                <w:top w:val="single" w:sz="4" w:space="1" w:color="auto"/>
                <w:bottom w:val="single" w:sz="4" w:space="1" w:color="auto"/>
                <w:right w:val="single" w:sz="4" w:space="4" w:color="auto"/>
              </w:pBdr>
              <w:ind w:left="1026"/>
            </w:pPr>
            <w:r>
              <w:t xml:space="preserve">Récemment des formations en distanciel ont été réalisées pour de nouveaux prospects, </w:t>
            </w:r>
            <w:r w:rsidRPr="00505D63">
              <w:t>couronné</w:t>
            </w:r>
            <w:r w:rsidR="00653548" w:rsidRPr="00505D63">
              <w:t>e</w:t>
            </w:r>
            <w:r w:rsidRPr="00505D63">
              <w:t>s</w:t>
            </w:r>
            <w:r>
              <w:t xml:space="preserve"> de succès via de nouveaux contrats de distribution.</w:t>
            </w:r>
          </w:p>
        </w:tc>
      </w:tr>
    </w:tbl>
    <w:p w14:paraId="5872D25C" w14:textId="393E10C0" w:rsidR="00674465" w:rsidRDefault="00674465" w:rsidP="008140D0"/>
    <w:p w14:paraId="036C596E" w14:textId="23F64CB2" w:rsidR="00A529B7" w:rsidRDefault="00EB20EE" w:rsidP="008140D0">
      <w:pPr>
        <w:rPr>
          <w:szCs w:val="20"/>
        </w:rPr>
      </w:pPr>
      <w:r>
        <w:rPr>
          <w:szCs w:val="20"/>
        </w:rPr>
        <w:t>C</w:t>
      </w:r>
      <w:r w:rsidR="00A529B7" w:rsidRPr="00A529B7">
        <w:rPr>
          <w:szCs w:val="20"/>
        </w:rPr>
        <w:t>es évènements permettent la diffusion de nouvelles techniques opératoires auprès de leaders d’opinions sélectionnés. Ils facilitent la vente des produits dans la mesure où ils permettent à la Société de développer une image de marque forte auprès des centres hospitaliers.</w:t>
      </w:r>
    </w:p>
    <w:p w14:paraId="091FB965" w14:textId="77777777" w:rsidR="00D1755C" w:rsidRDefault="00D1755C" w:rsidP="008140D0">
      <w:pPr>
        <w:rPr>
          <w:szCs w:val="20"/>
        </w:rPr>
      </w:pPr>
    </w:p>
    <w:p w14:paraId="4026F8A4" w14:textId="0AEE8BDA" w:rsidR="00D1755C" w:rsidRDefault="00D1755C" w:rsidP="00D1755C">
      <w:pPr>
        <w:pStyle w:val="Titre2"/>
      </w:pPr>
      <w:bookmarkStart w:id="127" w:name="_Toc475033187"/>
      <w:r>
        <w:lastRenderedPageBreak/>
        <w:t>5.2</w:t>
      </w:r>
      <w:r w:rsidRPr="00A601E8">
        <w:t xml:space="preserve">. </w:t>
      </w:r>
      <w:r>
        <w:t>Principaux marchés et environnement concurrentiel</w:t>
      </w:r>
      <w:bookmarkEnd w:id="127"/>
      <w:r>
        <w:t xml:space="preserve"> </w:t>
      </w:r>
    </w:p>
    <w:p w14:paraId="321D753C" w14:textId="7BDC7C85" w:rsidR="00D1755C" w:rsidRDefault="00D1755C" w:rsidP="00D1755C">
      <w:pPr>
        <w:pStyle w:val="Titre3"/>
      </w:pPr>
      <w:bookmarkStart w:id="128" w:name="_Toc475033188"/>
      <w:r>
        <w:t>5.2.</w:t>
      </w:r>
      <w:r w:rsidRPr="00A601E8">
        <w:t xml:space="preserve">1. </w:t>
      </w:r>
      <w:r>
        <w:t>Le marché des implants du rachis</w:t>
      </w:r>
      <w:bookmarkEnd w:id="128"/>
    </w:p>
    <w:p w14:paraId="2F27477B" w14:textId="77777777" w:rsidR="00D1755C" w:rsidRDefault="00D1755C" w:rsidP="00D1755C"/>
    <w:p w14:paraId="10EDF481" w14:textId="32F2E136" w:rsidR="00D1755C" w:rsidRPr="003C0FC4" w:rsidRDefault="00D1755C" w:rsidP="00D1755C">
      <w:r w:rsidRPr="003C0FC4">
        <w:t>Le marché mondial des implants du rachis s’élève à environ 8,8 Mds$ en 2019 (environ 1 million d’opérations instrumentées par an), principalement dominé par les Etats-Unis qui représentent, selon Spineway, un peu plus de 80% du marché soit environ 7 Mds$. Ce marché est estimé pouvoir atteindre 17,2 Mds$ en 2021.</w:t>
      </w:r>
    </w:p>
    <w:p w14:paraId="13C9C2E5" w14:textId="77777777" w:rsidR="00D1755C" w:rsidRDefault="00D1755C" w:rsidP="00D1755C">
      <w:pPr>
        <w:rPr>
          <w:lang w:val="en-GB"/>
        </w:rPr>
      </w:pPr>
    </w:p>
    <w:p w14:paraId="3E46905A" w14:textId="77777777" w:rsidR="00D1755C" w:rsidRPr="00611C16" w:rsidRDefault="00D1755C" w:rsidP="00D1755C">
      <w:pPr>
        <w:pStyle w:val="Paragraphedeliste"/>
        <w:numPr>
          <w:ilvl w:val="0"/>
          <w:numId w:val="35"/>
        </w:numPr>
        <w:rPr>
          <w:b/>
        </w:rPr>
      </w:pPr>
      <w:r w:rsidRPr="00611C16">
        <w:rPr>
          <w:b/>
        </w:rPr>
        <w:t>Le marché par produit :</w:t>
      </w:r>
    </w:p>
    <w:p w14:paraId="341C9946" w14:textId="77777777" w:rsidR="00D1755C" w:rsidRDefault="00D1755C" w:rsidP="00D1755C"/>
    <w:p w14:paraId="4830DE55" w14:textId="77777777" w:rsidR="00D1755C" w:rsidRDefault="00D1755C" w:rsidP="00D1755C">
      <w:r>
        <w:t xml:space="preserve">Le marché des implants destinés à la colonne vertébrale recouvre celui des implants conventionnels (incluant lui-même les implants de fusion et dispositifs de non-fusion) et les </w:t>
      </w:r>
      <w:r w:rsidRPr="009D17FC">
        <w:t>approches chirurgicales mini-invasives (MIS)</w:t>
      </w:r>
      <w:r>
        <w:t xml:space="preserve">. </w:t>
      </w:r>
    </w:p>
    <w:p w14:paraId="15CE3CCC" w14:textId="77777777" w:rsidR="00D1755C" w:rsidRDefault="00D1755C" w:rsidP="00D1755C">
      <w:r>
        <w:t xml:space="preserve">Sur le marché des implants de fusion, Spineway est une des seules entreprises de taille moyenne à avoir dès ses débuts élaboré une gamme quasi-complète d’implants du rachis pour répondre à toutes les pathologies de la colonne vertébrale. </w:t>
      </w:r>
    </w:p>
    <w:p w14:paraId="23FF1063" w14:textId="77777777" w:rsidR="00D1755C" w:rsidRDefault="00D1755C" w:rsidP="00D1755C">
      <w:r>
        <w:t>Spineway développe également une gamme MIS (Mont-blanc MIS, plateforme modulaire d’instrumentation MIS), porteuse dans l’activité du Groupe.</w:t>
      </w:r>
    </w:p>
    <w:p w14:paraId="0B247B3D" w14:textId="77777777" w:rsidR="00D1755C" w:rsidRDefault="00D1755C" w:rsidP="00D1755C"/>
    <w:p w14:paraId="11987B66" w14:textId="77777777" w:rsidR="00D1755C" w:rsidRDefault="00D1755C" w:rsidP="00D1755C">
      <w:r w:rsidRPr="00C14005">
        <w:rPr>
          <w:b/>
          <w:bCs/>
        </w:rPr>
        <w:t>Les implants de fusion</w:t>
      </w:r>
      <w:r>
        <w:t xml:space="preserve"> sont constitués d’une part de plaques et de tiges fixées dans les vertèbres par des vis et crochets pédiculaires et, d’autre part, de cages intervertébrales. Ces implants favorisent la fusion, ou croissance osseuse entre deux vertèbres, afin de traiter les pathologies dégénératives (hernies discales), traumatiques, tumorales ou déformatives (scoliose) de la colonne.</w:t>
      </w:r>
    </w:p>
    <w:p w14:paraId="21C2C04A" w14:textId="77777777" w:rsidR="00D1755C" w:rsidRDefault="00D1755C" w:rsidP="00D1755C"/>
    <w:p w14:paraId="47578E41" w14:textId="77777777" w:rsidR="00D1755C" w:rsidRDefault="00D1755C" w:rsidP="00D1755C">
      <w:r w:rsidRPr="188C713A">
        <w:rPr>
          <w:b/>
          <w:bCs/>
        </w:rPr>
        <w:t>Les dispositifs de non-fusion</w:t>
      </w:r>
      <w:r>
        <w:t xml:space="preserve"> comportent des implants de stabilisation dynamique et des disques artificiels (ou prothèses discales). Leur objectif est de soigner les pathologies de la colonne vertébrale sans générer de fusion osseuse, de permettre des mouvements d’une amplitude limitée entre les vertèbres et de réduire la dégénérescence des disques adjacents.</w:t>
      </w:r>
    </w:p>
    <w:p w14:paraId="04F9365F" w14:textId="77777777" w:rsidR="00D1755C" w:rsidRDefault="00D1755C" w:rsidP="00D1755C"/>
    <w:p w14:paraId="67A79D6C" w14:textId="77777777" w:rsidR="00D1755C" w:rsidRDefault="00D1755C" w:rsidP="00D1755C"/>
    <w:p w14:paraId="244F19F1" w14:textId="77777777" w:rsidR="00D1755C" w:rsidRDefault="00D1755C" w:rsidP="00D1755C">
      <w:pPr>
        <w:rPr>
          <w:b/>
          <w:bCs/>
        </w:rPr>
      </w:pPr>
      <w:r>
        <w:rPr>
          <w:noProof/>
        </w:rPr>
        <mc:AlternateContent>
          <mc:Choice Requires="wps">
            <w:drawing>
              <wp:anchor distT="0" distB="0" distL="114300" distR="114300" simplePos="0" relativeHeight="251660337" behindDoc="0" locked="0" layoutInCell="1" allowOverlap="1" wp14:anchorId="4569F09E" wp14:editId="0C40AA47">
                <wp:simplePos x="0" y="0"/>
                <wp:positionH relativeFrom="column">
                  <wp:posOffset>2857500</wp:posOffset>
                </wp:positionH>
                <wp:positionV relativeFrom="paragraph">
                  <wp:posOffset>66675</wp:posOffset>
                </wp:positionV>
                <wp:extent cx="3086100" cy="1714500"/>
                <wp:effectExtent l="0" t="0" r="0" b="12700"/>
                <wp:wrapSquare wrapText="bothSides"/>
                <wp:docPr id="15" name="Zone de texte 15"/>
                <wp:cNvGraphicFramePr/>
                <a:graphic xmlns:a="http://schemas.openxmlformats.org/drawingml/2006/main">
                  <a:graphicData uri="http://schemas.microsoft.com/office/word/2010/wordprocessingShape">
                    <wps:wsp>
                      <wps:cNvSpPr txBox="1"/>
                      <wps:spPr>
                        <a:xfrm>
                          <a:off x="0" y="0"/>
                          <a:ext cx="3086100" cy="17145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02C9C6B" w14:textId="77777777" w:rsidR="000511BB" w:rsidRDefault="000511BB" w:rsidP="00D1755C">
                            <w:r>
                              <w:t xml:space="preserve">A côté de ces dispositifs conventionnels (proposés dans le cadre de </w:t>
                            </w:r>
                            <w:r w:rsidRPr="009D17FC">
                              <w:t>procédures rachidiennes traditionnelles «</w:t>
                            </w:r>
                            <w:r>
                              <w:t xml:space="preserve"> </w:t>
                            </w:r>
                            <w:r w:rsidRPr="009D17FC">
                              <w:t>ouvertes</w:t>
                            </w:r>
                            <w:r>
                              <w:t xml:space="preserve"> </w:t>
                            </w:r>
                            <w:r w:rsidRPr="009D17FC">
                              <w:t xml:space="preserve">»), </w:t>
                            </w:r>
                            <w:r w:rsidRPr="009D17FC">
                              <w:rPr>
                                <w:b/>
                              </w:rPr>
                              <w:t>les approches chirurgicales mini-invasives (MIS)</w:t>
                            </w:r>
                            <w:r w:rsidRPr="009D17FC">
                              <w:t xml:space="preserve"> utilisent des incisions beaucoup plus petites et plus courtes, ainsi que des outils chirurgicaux innovants. Ces procédures MIS sont généralement plus sures, plus rapides et permettent un temps de récupération beaucoup plus court - en réduisant le niveau de traumatisme des muscles, des tendons et des autres tissus mous de la région.</w:t>
                            </w:r>
                          </w:p>
                          <w:p w14:paraId="3A7982B9" w14:textId="77777777" w:rsidR="000511BB" w:rsidRDefault="000511BB" w:rsidP="00D1755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5" o:spid="_x0000_s1047" type="#_x0000_t202" style="position:absolute;left:0;text-align:left;margin-left:225pt;margin-top:5.25pt;width:243pt;height:135pt;z-index:25166033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" filled="f" stroked="f">
                <v:textbox>
                  <w:txbxContent>
                    <w:p w14:paraId="302C9C6B" w14:textId="77777777" w:rsidR="00F011AB" w:rsidRDefault="00F011AB" w:rsidP="00D1755C">
                      <w:r>
                        <w:t xml:space="preserve">A côté de ces dispositifs conventionnels (proposés dans le cadre de </w:t>
                      </w:r>
                      <w:r w:rsidRPr="009D17FC">
                        <w:t>procédures rachidiennes traditionnelles «</w:t>
                      </w:r>
                      <w:r>
                        <w:t xml:space="preserve"> </w:t>
                      </w:r>
                      <w:r w:rsidRPr="009D17FC">
                        <w:t>ouvertes</w:t>
                      </w:r>
                      <w:r>
                        <w:t xml:space="preserve"> </w:t>
                      </w:r>
                      <w:r w:rsidRPr="009D17FC">
                        <w:t xml:space="preserve">»), </w:t>
                      </w:r>
                      <w:r w:rsidRPr="009D17FC">
                        <w:rPr>
                          <w:b/>
                        </w:rPr>
                        <w:t>les approches chirurgicales mini-invasives (MIS)</w:t>
                      </w:r>
                      <w:r w:rsidRPr="009D17FC">
                        <w:t xml:space="preserve"> utilisent des incisions beaucoup plus petites et plus courtes, ainsi que des outils chirurgicaux innovants. Ces procédures MIS sont généralement plus sures, plus rapides et permettent un temps de récupération beaucoup plus court - en réduisant le niveau de traumatisme des muscles, des tendons et des autres tissus mous de la région.</w:t>
                      </w:r>
                    </w:p>
                    <w:p w14:paraId="3A7982B9" w14:textId="77777777" w:rsidR="00F011AB" w:rsidRDefault="00F011AB" w:rsidP="00D1755C"/>
                  </w:txbxContent>
                </v:textbox>
                <w10:wrap type="square"/>
              </v:shape>
            </w:pict>
          </mc:Fallback>
        </mc:AlternateContent>
      </w:r>
      <w:r>
        <w:rPr>
          <w:rFonts w:ascii="Helvetica" w:hAnsi="Helvetica" w:cs="Helvetica"/>
          <w:noProof/>
          <w:sz w:val="24"/>
        </w:rPr>
        <mc:AlternateContent>
          <mc:Choice Requires="wps">
            <w:drawing>
              <wp:anchor distT="0" distB="0" distL="114300" distR="114300" simplePos="0" relativeHeight="251663409" behindDoc="0" locked="0" layoutInCell="1" allowOverlap="1" wp14:anchorId="27D12735" wp14:editId="1DD9E5B0">
                <wp:simplePos x="0" y="0"/>
                <wp:positionH relativeFrom="column">
                  <wp:posOffset>2171700</wp:posOffset>
                </wp:positionH>
                <wp:positionV relativeFrom="paragraph">
                  <wp:posOffset>140335</wp:posOffset>
                </wp:positionV>
                <wp:extent cx="571500" cy="457200"/>
                <wp:effectExtent l="0" t="0" r="12700" b="0"/>
                <wp:wrapSquare wrapText="bothSides"/>
                <wp:docPr id="28" name="Zone de texte 28"/>
                <wp:cNvGraphicFramePr/>
                <a:graphic xmlns:a="http://schemas.openxmlformats.org/drawingml/2006/main">
                  <a:graphicData uri="http://schemas.microsoft.com/office/word/2010/wordprocessingShape">
                    <wps:wsp>
                      <wps:cNvSpPr txBox="1"/>
                      <wps:spPr>
                        <a:xfrm>
                          <a:off x="0" y="0"/>
                          <a:ext cx="571500" cy="457200"/>
                        </a:xfrm>
                        <a:prstGeom prst="rect">
                          <a:avLst/>
                        </a:prstGeom>
                        <a:solidFill>
                          <a:schemeClr val="bg1"/>
                        </a:solid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298C27B" w14:textId="77777777" w:rsidR="000511BB" w:rsidRPr="00D3740A" w:rsidRDefault="000511BB" w:rsidP="00D1755C">
                            <w:pPr>
                              <w:jc w:val="center"/>
                              <w:rPr>
                                <w:sz w:val="16"/>
                                <w:szCs w:val="16"/>
                              </w:rPr>
                            </w:pPr>
                            <w:r>
                              <w:rPr>
                                <w:sz w:val="16"/>
                                <w:szCs w:val="16"/>
                              </w:rPr>
                              <w:t>MIS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28" o:spid="_x0000_s1048" type="#_x0000_t202" style="position:absolute;left:0;text-align:left;margin-left:171pt;margin-top:11.05pt;width:45pt;height:36pt;z-index:25166340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" fillcolor="white [3212]" stroked="f">
                <v:textbox>
                  <w:txbxContent>
                    <w:p w14:paraId="6298C27B" w14:textId="77777777" w:rsidR="00F011AB" w:rsidRPr="00D3740A" w:rsidRDefault="00F011AB" w:rsidP="00D1755C">
                      <w:pPr>
                        <w:jc w:val="center"/>
                        <w:rPr>
                          <w:sz w:val="16"/>
                          <w:szCs w:val="16"/>
                        </w:rPr>
                      </w:pPr>
                      <w:r>
                        <w:rPr>
                          <w:sz w:val="16"/>
                          <w:szCs w:val="16"/>
                        </w:rPr>
                        <w:t>MIS</w:t>
                      </w:r>
                    </w:p>
                  </w:txbxContent>
                </v:textbox>
                <w10:wrap type="square"/>
              </v:shape>
            </w:pict>
          </mc:Fallback>
        </mc:AlternateContent>
      </w:r>
      <w:r>
        <w:rPr>
          <w:rFonts w:ascii="Helvetica" w:hAnsi="Helvetica" w:cs="Helvetica"/>
          <w:noProof/>
          <w:sz w:val="24"/>
        </w:rPr>
        <mc:AlternateContent>
          <mc:Choice Requires="wps">
            <w:drawing>
              <wp:anchor distT="0" distB="0" distL="114300" distR="114300" simplePos="0" relativeHeight="251662385" behindDoc="0" locked="0" layoutInCell="1" allowOverlap="1" wp14:anchorId="4B4D44B6" wp14:editId="6E51E7A9">
                <wp:simplePos x="0" y="0"/>
                <wp:positionH relativeFrom="column">
                  <wp:posOffset>-228600</wp:posOffset>
                </wp:positionH>
                <wp:positionV relativeFrom="paragraph">
                  <wp:posOffset>26035</wp:posOffset>
                </wp:positionV>
                <wp:extent cx="914400" cy="571500"/>
                <wp:effectExtent l="0" t="0" r="0" b="12700"/>
                <wp:wrapSquare wrapText="bothSides"/>
                <wp:docPr id="27" name="Zone de texte 27"/>
                <wp:cNvGraphicFramePr/>
                <a:graphic xmlns:a="http://schemas.openxmlformats.org/drawingml/2006/main">
                  <a:graphicData uri="http://schemas.microsoft.com/office/word/2010/wordprocessingShape">
                    <wps:wsp>
                      <wps:cNvSpPr txBox="1"/>
                      <wps:spPr>
                        <a:xfrm>
                          <a:off x="0" y="0"/>
                          <a:ext cx="914400" cy="571500"/>
                        </a:xfrm>
                        <a:prstGeom prst="rect">
                          <a:avLst/>
                        </a:prstGeom>
                        <a:solidFill>
                          <a:schemeClr val="bg1"/>
                        </a:solid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969C945" w14:textId="77777777" w:rsidR="000511BB" w:rsidRPr="00D3740A" w:rsidRDefault="000511BB" w:rsidP="00D1755C">
                            <w:pPr>
                              <w:jc w:val="center"/>
                              <w:rPr>
                                <w:sz w:val="16"/>
                                <w:szCs w:val="16"/>
                              </w:rPr>
                            </w:pPr>
                            <w:r w:rsidRPr="00D3740A">
                              <w:rPr>
                                <w:sz w:val="16"/>
                                <w:szCs w:val="16"/>
                              </w:rPr>
                              <w:t>Procédu</w:t>
                            </w:r>
                            <w:r>
                              <w:rPr>
                                <w:sz w:val="16"/>
                                <w:szCs w:val="16"/>
                              </w:rPr>
                              <w:t>r</w:t>
                            </w:r>
                            <w:r w:rsidRPr="00D3740A">
                              <w:rPr>
                                <w:sz w:val="16"/>
                                <w:szCs w:val="16"/>
                              </w:rPr>
                              <w:t>e</w:t>
                            </w:r>
                            <w:r>
                              <w:rPr>
                                <w:sz w:val="16"/>
                                <w:szCs w:val="16"/>
                              </w:rPr>
                              <w:t xml:space="preserve"> co</w:t>
                            </w:r>
                            <w:r w:rsidRPr="00D3740A">
                              <w:rPr>
                                <w:sz w:val="16"/>
                                <w:szCs w:val="16"/>
                              </w:rPr>
                              <w:t>nventionnelle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27" o:spid="_x0000_s1049" type="#_x0000_t202" style="position:absolute;left:0;text-align:left;margin-left:-17.95pt;margin-top:2.05pt;width:1in;height:45pt;z-index:25166238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" fillcolor="white [3212]" stroked="f">
                <v:textbox>
                  <w:txbxContent>
                    <w:p w14:paraId="1969C945" w14:textId="77777777" w:rsidR="00F011AB" w:rsidRPr="00D3740A" w:rsidRDefault="00F011AB" w:rsidP="00D1755C">
                      <w:pPr>
                        <w:jc w:val="center"/>
                        <w:rPr>
                          <w:sz w:val="16"/>
                          <w:szCs w:val="16"/>
                        </w:rPr>
                      </w:pPr>
                      <w:r w:rsidRPr="00D3740A">
                        <w:rPr>
                          <w:sz w:val="16"/>
                          <w:szCs w:val="16"/>
                        </w:rPr>
                        <w:t>Procédu</w:t>
                      </w:r>
                      <w:r>
                        <w:rPr>
                          <w:sz w:val="16"/>
                          <w:szCs w:val="16"/>
                        </w:rPr>
                        <w:t>r</w:t>
                      </w:r>
                      <w:r w:rsidRPr="00D3740A">
                        <w:rPr>
                          <w:sz w:val="16"/>
                          <w:szCs w:val="16"/>
                        </w:rPr>
                        <w:t>e</w:t>
                      </w:r>
                      <w:r>
                        <w:rPr>
                          <w:sz w:val="16"/>
                          <w:szCs w:val="16"/>
                        </w:rPr>
                        <w:t xml:space="preserve"> co</w:t>
                      </w:r>
                      <w:r w:rsidRPr="00D3740A">
                        <w:rPr>
                          <w:sz w:val="16"/>
                          <w:szCs w:val="16"/>
                        </w:rPr>
                        <w:t>nventionnelle</w:t>
                      </w:r>
                    </w:p>
                  </w:txbxContent>
                </v:textbox>
                <w10:wrap type="square"/>
              </v:shape>
            </w:pict>
          </mc:Fallback>
        </mc:AlternateContent>
      </w:r>
      <w:r>
        <w:rPr>
          <w:rFonts w:ascii="Helvetica" w:hAnsi="Helvetica" w:cs="Helvetica"/>
          <w:noProof/>
          <w:sz w:val="24"/>
        </w:rPr>
        <w:drawing>
          <wp:anchor distT="0" distB="0" distL="114300" distR="114300" simplePos="0" relativeHeight="251665457" behindDoc="1" locked="0" layoutInCell="1" allowOverlap="1" wp14:anchorId="57312DA9" wp14:editId="14B1A28F">
            <wp:simplePos x="0" y="0"/>
            <wp:positionH relativeFrom="column">
              <wp:posOffset>-571500</wp:posOffset>
            </wp:positionH>
            <wp:positionV relativeFrom="paragraph">
              <wp:posOffset>26035</wp:posOffset>
            </wp:positionV>
            <wp:extent cx="2517140" cy="1511935"/>
            <wp:effectExtent l="0" t="0" r="0" b="12065"/>
            <wp:wrapNone/>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517140" cy="151193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09A30700" w14:textId="77777777" w:rsidR="00D1755C" w:rsidRDefault="00D1755C" w:rsidP="00D1755C">
      <w:pPr>
        <w:rPr>
          <w:b/>
          <w:bCs/>
        </w:rPr>
      </w:pPr>
    </w:p>
    <w:p w14:paraId="4E503350" w14:textId="77777777" w:rsidR="00D1755C" w:rsidRDefault="00D1755C" w:rsidP="00D1755C">
      <w:pPr>
        <w:rPr>
          <w:b/>
          <w:bCs/>
        </w:rPr>
      </w:pPr>
    </w:p>
    <w:p w14:paraId="75CD5342" w14:textId="77777777" w:rsidR="00D1755C" w:rsidRDefault="00D1755C" w:rsidP="00D1755C">
      <w:pPr>
        <w:rPr>
          <w:b/>
          <w:bCs/>
        </w:rPr>
      </w:pPr>
    </w:p>
    <w:p w14:paraId="61000AF4" w14:textId="77777777" w:rsidR="00D1755C" w:rsidRDefault="00D1755C" w:rsidP="00D1755C">
      <w:pPr>
        <w:rPr>
          <w:b/>
          <w:bCs/>
        </w:rPr>
      </w:pPr>
    </w:p>
    <w:p w14:paraId="59B115C5" w14:textId="77777777" w:rsidR="00D1755C" w:rsidRDefault="00D1755C" w:rsidP="00D1755C">
      <w:pPr>
        <w:rPr>
          <w:b/>
          <w:bCs/>
        </w:rPr>
      </w:pPr>
    </w:p>
    <w:p w14:paraId="799D0C51" w14:textId="77777777" w:rsidR="00D1755C" w:rsidRDefault="00D1755C" w:rsidP="00D1755C">
      <w:pPr>
        <w:rPr>
          <w:b/>
          <w:bCs/>
        </w:rPr>
      </w:pPr>
    </w:p>
    <w:p w14:paraId="18EE72E5" w14:textId="77777777" w:rsidR="00D1755C" w:rsidRDefault="00D1755C" w:rsidP="00D1755C">
      <w:pPr>
        <w:rPr>
          <w:b/>
          <w:bCs/>
        </w:rPr>
      </w:pPr>
    </w:p>
    <w:p w14:paraId="0EBA6B39" w14:textId="77777777" w:rsidR="00D1755C" w:rsidRDefault="00D1755C" w:rsidP="00D1755C">
      <w:pPr>
        <w:rPr>
          <w:b/>
          <w:bCs/>
        </w:rPr>
      </w:pPr>
    </w:p>
    <w:p w14:paraId="20B02DBF" w14:textId="77777777" w:rsidR="00D1755C" w:rsidRDefault="00D1755C" w:rsidP="00D1755C">
      <w:pPr>
        <w:rPr>
          <w:b/>
          <w:bCs/>
        </w:rPr>
      </w:pPr>
    </w:p>
    <w:p w14:paraId="21D7A92B" w14:textId="77777777" w:rsidR="00D1755C" w:rsidRDefault="00D1755C" w:rsidP="00D1755C"/>
    <w:p w14:paraId="6981939C" w14:textId="77777777" w:rsidR="00D1755C" w:rsidRDefault="00D1755C" w:rsidP="00D1755C">
      <w:pPr>
        <w:rPr>
          <w:b/>
          <w:bCs/>
          <w:i/>
          <w:iCs/>
          <w:u w:val="single"/>
        </w:rPr>
      </w:pPr>
    </w:p>
    <w:p w14:paraId="2B08C255" w14:textId="77777777" w:rsidR="00D1755C" w:rsidRPr="00996170" w:rsidRDefault="00D1755C" w:rsidP="00D1755C">
      <w:pPr>
        <w:rPr>
          <w:b/>
          <w:i/>
          <w:u w:val="single"/>
        </w:rPr>
      </w:pPr>
      <w:r w:rsidRPr="00996170">
        <w:rPr>
          <w:b/>
          <w:i/>
          <w:u w:val="single"/>
        </w:rPr>
        <w:t>Le marché de la fusion rachidienne (Source : Globaldata) :</w:t>
      </w:r>
    </w:p>
    <w:p w14:paraId="0A13F79F" w14:textId="77777777" w:rsidR="00D1755C" w:rsidRDefault="00D1755C" w:rsidP="00D1755C"/>
    <w:p w14:paraId="3B0F3FD7" w14:textId="3BD4213F" w:rsidR="00D1755C" w:rsidRDefault="00D1755C" w:rsidP="00D1755C">
      <w:r>
        <w:t>Le seul marché de la fusion rachidienne est évalué en valeur à 7</w:t>
      </w:r>
      <w:r w:rsidR="00141DBF">
        <w:t xml:space="preserve">,1 </w:t>
      </w:r>
      <w:r w:rsidR="00141DBF" w:rsidRPr="003C0FC4">
        <w:t xml:space="preserve">Mds$ </w:t>
      </w:r>
      <w:r>
        <w:t>et en volume à 2.642.000 unités en 2019 et est estimé pouvoir atteindre 10</w:t>
      </w:r>
      <w:r w:rsidR="00141DBF">
        <w:t xml:space="preserve"> </w:t>
      </w:r>
      <w:r w:rsidR="00141DBF" w:rsidRPr="003C0FC4">
        <w:t xml:space="preserve">Mds$ </w:t>
      </w:r>
      <w:r>
        <w:t>et près de 4.500.000 unités en 2028.</w:t>
      </w:r>
    </w:p>
    <w:p w14:paraId="5310F3F8" w14:textId="77777777" w:rsidR="00D1755C" w:rsidRDefault="00D1755C" w:rsidP="00D1755C"/>
    <w:p w14:paraId="4C6C5B44" w14:textId="77777777" w:rsidR="00D1755C" w:rsidRDefault="00D1755C" w:rsidP="00D1755C">
      <w:pPr>
        <w:ind w:left="3402"/>
      </w:pPr>
      <w:r>
        <w:rPr>
          <w:noProof/>
        </w:rPr>
        <w:lastRenderedPageBreak/>
        <mc:AlternateContent>
          <mc:Choice Requires="wps">
            <w:drawing>
              <wp:anchor distT="0" distB="0" distL="114300" distR="114300" simplePos="0" relativeHeight="251661361" behindDoc="0" locked="0" layoutInCell="1" allowOverlap="1" wp14:anchorId="7DB60C95" wp14:editId="4C0D98A7">
                <wp:simplePos x="0" y="0"/>
                <wp:positionH relativeFrom="column">
                  <wp:posOffset>0</wp:posOffset>
                </wp:positionH>
                <wp:positionV relativeFrom="paragraph">
                  <wp:posOffset>597535</wp:posOffset>
                </wp:positionV>
                <wp:extent cx="2057400" cy="1371600"/>
                <wp:effectExtent l="0" t="0" r="0" b="0"/>
                <wp:wrapSquare wrapText="bothSides"/>
                <wp:docPr id="26" name="Zone de texte 26"/>
                <wp:cNvGraphicFramePr/>
                <a:graphic xmlns:a="http://schemas.openxmlformats.org/drawingml/2006/main">
                  <a:graphicData uri="http://schemas.microsoft.com/office/word/2010/wordprocessingShape">
                    <wps:wsp>
                      <wps:cNvSpPr txBox="1"/>
                      <wps:spPr>
                        <a:xfrm>
                          <a:off x="0" y="0"/>
                          <a:ext cx="2057400" cy="1371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A5B14B7" w14:textId="77777777" w:rsidR="000511BB" w:rsidRDefault="000511BB" w:rsidP="00D1755C">
                            <w:r>
                              <w:t>En 2019, la répartition géographique de ce marché démontre une forte prédominance de l’Amérique du Nord qui englobe, en valeur, 63% du marché, étant précisé que l’Europe est 3</w:t>
                            </w:r>
                            <w:r w:rsidRPr="00194C23">
                              <w:rPr>
                                <w:vertAlign w:val="superscript"/>
                              </w:rPr>
                              <w:t>ème</w:t>
                            </w:r>
                            <w:r>
                              <w:t xml:space="preserve"> sur ce marché (15%) qui compte l’Asie/Pacifique pour 18%.</w:t>
                            </w:r>
                          </w:p>
                          <w:p w14:paraId="6336703E" w14:textId="77777777" w:rsidR="000511BB" w:rsidRDefault="000511BB" w:rsidP="00D1755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26" o:spid="_x0000_s1050" type="#_x0000_t202" style="position:absolute;left:0;text-align:left;margin-left:0;margin-top:47.05pt;width:162pt;height:108pt;z-index:25166136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" filled="f" stroked="f">
                <v:textbox>
                  <w:txbxContent>
                    <w:p w14:paraId="0A5B14B7" w14:textId="77777777" w:rsidR="00F011AB" w:rsidRDefault="00F011AB" w:rsidP="00D1755C">
                      <w:r>
                        <w:t>En 2019, la répartition géographique de ce marché démontre une forte prédominance de l’Amérique du Nord qui englobe, en valeur, 63% du marché, étant précisé que l’Europe est 3</w:t>
                      </w:r>
                      <w:r w:rsidRPr="00194C23">
                        <w:rPr>
                          <w:vertAlign w:val="superscript"/>
                        </w:rPr>
                        <w:t>ème</w:t>
                      </w:r>
                      <w:r>
                        <w:t xml:space="preserve"> sur ce marché (15%) qui compte l’Asie/Pacifique pour 18%.</w:t>
                      </w:r>
                    </w:p>
                    <w:p w14:paraId="6336703E" w14:textId="77777777" w:rsidR="00F011AB" w:rsidRDefault="00F011AB" w:rsidP="00D1755C"/>
                  </w:txbxContent>
                </v:textbox>
                <w10:wrap type="square"/>
              </v:shape>
            </w:pict>
          </mc:Fallback>
        </mc:AlternateContent>
      </w:r>
      <w:r>
        <w:rPr>
          <w:noProof/>
        </w:rPr>
        <w:drawing>
          <wp:inline distT="0" distB="0" distL="0" distR="0" wp14:anchorId="40A6277E" wp14:editId="4145EB09">
            <wp:extent cx="3774863" cy="2325926"/>
            <wp:effectExtent l="0" t="0" r="10160" b="11430"/>
            <wp:docPr id="25"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775200" cy="2326134"/>
                    </a:xfrm>
                    <a:prstGeom prst="rect">
                      <a:avLst/>
                    </a:prstGeom>
                    <a:noFill/>
                    <a:ln>
                      <a:noFill/>
                    </a:ln>
                  </pic:spPr>
                </pic:pic>
              </a:graphicData>
            </a:graphic>
          </wp:inline>
        </w:drawing>
      </w:r>
    </w:p>
    <w:tbl>
      <w:tblPr>
        <w:tblW w:w="18437" w:type="dxa"/>
        <w:tblInd w:w="65" w:type="dxa"/>
        <w:tblLayout w:type="fixed"/>
        <w:tblCellMar>
          <w:left w:w="70" w:type="dxa"/>
          <w:right w:w="70" w:type="dxa"/>
        </w:tblCellMar>
        <w:tblLook w:val="04A0" w:firstRow="1" w:lastRow="0" w:firstColumn="1" w:lastColumn="0" w:noHBand="0" w:noVBand="1"/>
      </w:tblPr>
      <w:tblGrid>
        <w:gridCol w:w="9361"/>
        <w:gridCol w:w="1280"/>
        <w:gridCol w:w="1280"/>
        <w:gridCol w:w="3956"/>
        <w:gridCol w:w="1280"/>
        <w:gridCol w:w="1280"/>
      </w:tblGrid>
      <w:tr w:rsidR="00D1755C" w:rsidRPr="00A30FB0" w14:paraId="19A15CD7" w14:textId="77777777" w:rsidTr="00D1755C">
        <w:trPr>
          <w:gridAfter w:val="3"/>
          <w:wAfter w:w="6516" w:type="dxa"/>
          <w:trHeight w:val="255"/>
        </w:trPr>
        <w:tc>
          <w:tcPr>
            <w:tcW w:w="9361" w:type="dxa"/>
            <w:tcBorders>
              <w:top w:val="nil"/>
              <w:left w:val="nil"/>
              <w:bottom w:val="nil"/>
              <w:right w:val="nil"/>
            </w:tcBorders>
            <w:shd w:val="clear" w:color="auto" w:fill="auto"/>
            <w:noWrap/>
            <w:vAlign w:val="bottom"/>
            <w:hideMark/>
          </w:tcPr>
          <w:p w14:paraId="73F6284D" w14:textId="77777777" w:rsidR="00D1755C" w:rsidRDefault="00D1755C" w:rsidP="00D1755C">
            <w:r>
              <w:t>U</w:t>
            </w:r>
            <w:r w:rsidRPr="00A30FB0">
              <w:t>tilisée pour traiter une grande variété de conditions qui affectent la colonne vertébrale</w:t>
            </w:r>
            <w:r>
              <w:t xml:space="preserve">, la </w:t>
            </w:r>
            <w:r w:rsidRPr="00A30FB0">
              <w:t>fusion vertébrale décompresse et stabilise la colonne vertébrale, y compris les régions lombaire</w:t>
            </w:r>
            <w:r>
              <w:t>s</w:t>
            </w:r>
            <w:r w:rsidRPr="00A30FB0">
              <w:t>, cervicale</w:t>
            </w:r>
            <w:r>
              <w:t>s</w:t>
            </w:r>
            <w:r w:rsidRPr="00A30FB0">
              <w:t xml:space="preserve"> et thoracique</w:t>
            </w:r>
            <w:r>
              <w:t>s</w:t>
            </w:r>
            <w:r w:rsidRPr="00A30FB0">
              <w:t xml:space="preserve">. Les indications courantes de fusion vertébrale </w:t>
            </w:r>
            <w:r>
              <w:t>incluent, notamment</w:t>
            </w:r>
            <w:r w:rsidRPr="00A30FB0">
              <w:t xml:space="preserve"> la sténose vertébrale, les traumatismes, les t</w:t>
            </w:r>
            <w:r>
              <w:t>umeurs de la colonne vertébrale et la scoliose (…).</w:t>
            </w:r>
          </w:p>
          <w:p w14:paraId="457501B1" w14:textId="77777777" w:rsidR="00D1755C" w:rsidRDefault="00D1755C" w:rsidP="00D1755C"/>
          <w:p w14:paraId="34CEB68C" w14:textId="77777777" w:rsidR="00D1755C" w:rsidRDefault="00D1755C" w:rsidP="00D1755C">
            <w:r w:rsidRPr="00A30FB0">
              <w:t>Les fusions lombaires sont les procédures de fusion vertébrale les plus courantes</w:t>
            </w:r>
            <w:r>
              <w:t xml:space="preserve"> et plus de la moitié des </w:t>
            </w:r>
            <w:r w:rsidRPr="00A30FB0">
              <w:t>patients subissant une fusion vertébrale ont plus de 50 ans.</w:t>
            </w:r>
            <w:r>
              <w:t xml:space="preserve"> </w:t>
            </w:r>
            <w:r w:rsidRPr="00A30FB0">
              <w:t xml:space="preserve">Il existe </w:t>
            </w:r>
            <w:r>
              <w:t xml:space="preserve">par conséquent </w:t>
            </w:r>
            <w:r w:rsidRPr="00A30FB0">
              <w:t>un grand nombre de patients potentiels pour les procédures de</w:t>
            </w:r>
            <w:r>
              <w:t xml:space="preserve"> fusion vertébrale en raison du vieillissement de la </w:t>
            </w:r>
            <w:r w:rsidRPr="00A30FB0">
              <w:t>population</w:t>
            </w:r>
            <w:r>
              <w:t>, et ce, d’autant que</w:t>
            </w:r>
            <w:r w:rsidRPr="00A30FB0">
              <w:t xml:space="preserve"> la fusion vertébrale </w:t>
            </w:r>
            <w:r>
              <w:t xml:space="preserve">est </w:t>
            </w:r>
            <w:r w:rsidRPr="00A30FB0">
              <w:t xml:space="preserve">utilisée pour traiter un éventail </w:t>
            </w:r>
            <w:r>
              <w:t xml:space="preserve">croissant </w:t>
            </w:r>
            <w:r w:rsidRPr="00A30FB0">
              <w:t>d'indications</w:t>
            </w:r>
            <w:r>
              <w:t>.</w:t>
            </w:r>
          </w:p>
          <w:p w14:paraId="793DEB21" w14:textId="77777777" w:rsidR="00D1755C" w:rsidRDefault="00D1755C" w:rsidP="00D1755C"/>
          <w:p w14:paraId="57723BC3" w14:textId="77777777" w:rsidR="00D1755C" w:rsidRPr="008140D0" w:rsidRDefault="00D1755C" w:rsidP="00D1755C">
            <w:r>
              <w:t xml:space="preserve">Le marché de la fusion vertébrale est tiré par l'incidence toujours croissante des troubles de la colonne </w:t>
            </w:r>
            <w:r w:rsidRPr="008140D0">
              <w:t>vertébrale, l’évolution des techniques d’imageries qui permettent désormais un meilleur traitement des cas complexes, et ce, malgré un facteur limitant consistant dans le coût du traitement et la possibilité d’être remboursé de la globalité des soins par les systèmes d’assurance maladie publiques ou privé</w:t>
            </w:r>
            <w:r>
              <w:t>s</w:t>
            </w:r>
            <w:r w:rsidRPr="008140D0">
              <w:t xml:space="preserve"> présents dans chaque pays. </w:t>
            </w:r>
          </w:p>
          <w:p w14:paraId="546B7B89" w14:textId="77777777" w:rsidR="00D1755C" w:rsidRPr="008140D0" w:rsidRDefault="00D1755C" w:rsidP="00D1755C"/>
          <w:p w14:paraId="3A6F0C7D" w14:textId="77777777" w:rsidR="00D1755C" w:rsidRDefault="00D1755C" w:rsidP="00D1755C">
            <w:r w:rsidRPr="00D6736C">
              <w:t xml:space="preserve">Il est courant d'incorporer plus d'un type d'implant dans chaque procédure afin de maximiser la stabilité. </w:t>
            </w:r>
          </w:p>
          <w:p w14:paraId="513EE975" w14:textId="77777777" w:rsidR="00D1755C" w:rsidRPr="00A30FB0" w:rsidRDefault="00D1755C" w:rsidP="00D1755C">
            <w:r w:rsidRPr="00D6736C">
              <w:t>Les procédures de fusion et les chirurgies de la colonne vertébrale en général ont été motivées par les progrès des technologies de navigation et d'imagerie. Ces progrès ont permis d’améliorer la capacité du chirurgien à identifier la source du mal de dos et à obtenir une visualisation du champ chirurgical lors de la réalisation d’une opération</w:t>
            </w:r>
            <w:r>
              <w:t>.</w:t>
            </w:r>
          </w:p>
        </w:tc>
        <w:tc>
          <w:tcPr>
            <w:tcW w:w="1280" w:type="dxa"/>
            <w:tcBorders>
              <w:top w:val="nil"/>
              <w:left w:val="nil"/>
              <w:bottom w:val="nil"/>
              <w:right w:val="nil"/>
            </w:tcBorders>
            <w:shd w:val="clear" w:color="auto" w:fill="auto"/>
            <w:noWrap/>
            <w:vAlign w:val="bottom"/>
            <w:hideMark/>
          </w:tcPr>
          <w:p w14:paraId="758F035E" w14:textId="77777777" w:rsidR="00D1755C" w:rsidRPr="00A30FB0" w:rsidRDefault="00D1755C" w:rsidP="00D1755C"/>
        </w:tc>
        <w:tc>
          <w:tcPr>
            <w:tcW w:w="1280" w:type="dxa"/>
            <w:tcBorders>
              <w:top w:val="nil"/>
              <w:left w:val="nil"/>
              <w:bottom w:val="nil"/>
              <w:right w:val="nil"/>
            </w:tcBorders>
            <w:shd w:val="clear" w:color="auto" w:fill="auto"/>
            <w:noWrap/>
            <w:vAlign w:val="bottom"/>
            <w:hideMark/>
          </w:tcPr>
          <w:p w14:paraId="0A813380" w14:textId="77777777" w:rsidR="00D1755C" w:rsidRPr="00A30FB0" w:rsidRDefault="00D1755C" w:rsidP="00D1755C"/>
        </w:tc>
      </w:tr>
      <w:tr w:rsidR="00D1755C" w:rsidRPr="00194C23" w14:paraId="526E5461" w14:textId="77777777" w:rsidTr="00D1755C">
        <w:trPr>
          <w:trHeight w:val="255"/>
        </w:trPr>
        <w:tc>
          <w:tcPr>
            <w:tcW w:w="15877" w:type="dxa"/>
            <w:gridSpan w:val="4"/>
            <w:tcBorders>
              <w:top w:val="nil"/>
              <w:left w:val="nil"/>
              <w:bottom w:val="nil"/>
              <w:right w:val="nil"/>
            </w:tcBorders>
            <w:shd w:val="clear" w:color="auto" w:fill="auto"/>
            <w:noWrap/>
            <w:vAlign w:val="bottom"/>
            <w:hideMark/>
          </w:tcPr>
          <w:p w14:paraId="5E736571" w14:textId="77777777" w:rsidR="00D1755C" w:rsidRDefault="00D1755C" w:rsidP="00D1755C">
            <w:pPr>
              <w:rPr>
                <w:b/>
                <w:i/>
                <w:u w:val="single"/>
              </w:rPr>
            </w:pPr>
          </w:p>
          <w:p w14:paraId="0C0788E1" w14:textId="1011B49B" w:rsidR="00D1755C" w:rsidRPr="00194C23" w:rsidRDefault="00D1755C" w:rsidP="00D1755C">
            <w:pPr>
              <w:rPr>
                <w:b/>
                <w:i/>
                <w:u w:val="single"/>
              </w:rPr>
            </w:pPr>
            <w:r w:rsidRPr="00194C23">
              <w:rPr>
                <w:b/>
                <w:i/>
                <w:u w:val="single"/>
              </w:rPr>
              <w:t xml:space="preserve">Le marché </w:t>
            </w:r>
            <w:r>
              <w:rPr>
                <w:b/>
                <w:i/>
                <w:u w:val="single"/>
              </w:rPr>
              <w:t xml:space="preserve">des procédures mini-invasives - MIS </w:t>
            </w:r>
            <w:r w:rsidRPr="00194C23">
              <w:rPr>
                <w:b/>
                <w:i/>
                <w:u w:val="single"/>
              </w:rPr>
              <w:t xml:space="preserve">(Source : </w:t>
            </w:r>
            <w:r w:rsidR="00CA5E30" w:rsidRPr="00194C23">
              <w:rPr>
                <w:b/>
                <w:i/>
                <w:u w:val="single"/>
              </w:rPr>
              <w:t>GlobalData</w:t>
            </w:r>
            <w:r w:rsidRPr="00194C23">
              <w:rPr>
                <w:b/>
                <w:i/>
                <w:u w:val="single"/>
              </w:rPr>
              <w:t>)</w:t>
            </w:r>
            <w:r>
              <w:rPr>
                <w:b/>
                <w:i/>
                <w:u w:val="single"/>
              </w:rPr>
              <w:t xml:space="preserve"> </w:t>
            </w:r>
            <w:r w:rsidRPr="00194C23">
              <w:rPr>
                <w:b/>
                <w:i/>
                <w:u w:val="single"/>
              </w:rPr>
              <w:t>:</w:t>
            </w:r>
          </w:p>
          <w:p w14:paraId="181AD7A3" w14:textId="77777777" w:rsidR="00D1755C" w:rsidRDefault="00D1755C" w:rsidP="00D1755C"/>
          <w:p w14:paraId="58CF4F05" w14:textId="540C4E2B" w:rsidR="00D1755C" w:rsidRDefault="00D1755C" w:rsidP="00D1755C">
            <w:r>
              <w:t xml:space="preserve">Marché à fort potentiel évalué en valeur à </w:t>
            </w:r>
            <w:r w:rsidR="001C30B9">
              <w:t>611 M</w:t>
            </w:r>
            <w:r>
              <w:t xml:space="preserve">$ et en volume à 845.000 unités en 2019, le marché du MIS est </w:t>
            </w:r>
          </w:p>
          <w:p w14:paraId="2417659C" w14:textId="771FB11E" w:rsidR="00D1755C" w:rsidRDefault="00D1755C" w:rsidP="00D1755C">
            <w:r>
              <w:t>estimé pouvoir doubler d’ici 2028 pour atteindre 1</w:t>
            </w:r>
            <w:r w:rsidR="001C30B9">
              <w:t xml:space="preserve">.242 </w:t>
            </w:r>
            <w:r>
              <w:t>M$ et près de 1.750.000 unités.</w:t>
            </w:r>
          </w:p>
          <w:p w14:paraId="30A1CFA4" w14:textId="77777777" w:rsidR="00D1755C" w:rsidRDefault="00D1755C" w:rsidP="00D1755C">
            <w:r>
              <w:rPr>
                <w:noProof/>
              </w:rPr>
              <mc:AlternateContent>
                <mc:Choice Requires="wps">
                  <w:drawing>
                    <wp:anchor distT="0" distB="0" distL="114300" distR="114300" simplePos="0" relativeHeight="251664433" behindDoc="0" locked="0" layoutInCell="1" allowOverlap="1" wp14:anchorId="32567F14" wp14:editId="3B55EEB1">
                      <wp:simplePos x="0" y="0"/>
                      <wp:positionH relativeFrom="column">
                        <wp:posOffset>3841750</wp:posOffset>
                      </wp:positionH>
                      <wp:positionV relativeFrom="paragraph">
                        <wp:posOffset>663575</wp:posOffset>
                      </wp:positionV>
                      <wp:extent cx="2057400" cy="1150620"/>
                      <wp:effectExtent l="0" t="0" r="0" b="0"/>
                      <wp:wrapSquare wrapText="bothSides"/>
                      <wp:docPr id="30" name="Zone de texte 30"/>
                      <wp:cNvGraphicFramePr/>
                      <a:graphic xmlns:a="http://schemas.openxmlformats.org/drawingml/2006/main">
                        <a:graphicData uri="http://schemas.microsoft.com/office/word/2010/wordprocessingShape">
                          <wps:wsp>
                            <wps:cNvSpPr txBox="1"/>
                            <wps:spPr>
                              <a:xfrm>
                                <a:off x="0" y="0"/>
                                <a:ext cx="2057400" cy="115062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A7CEA78" w14:textId="77777777" w:rsidR="000511BB" w:rsidRDefault="000511BB" w:rsidP="00D1755C">
                                  <w:r>
                                    <w:t>La prédominance de l’Amérique du Nord (50%) est fort logiquement constatée sur ce marché du MIS comme sur celui de la fusion rachidienne. L’Europe compte pour 26% et l’Asie/Pacifique pour 18%.</w:t>
                                  </w:r>
                                </w:p>
                                <w:p w14:paraId="653BBF4E" w14:textId="77777777" w:rsidR="000511BB" w:rsidRDefault="000511BB" w:rsidP="00D1755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30" o:spid="_x0000_s1051" type="#_x0000_t202" style="position:absolute;left:0;text-align:left;margin-left:302.5pt;margin-top:52.25pt;width:162pt;height:90.6pt;z-index:25166443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" filled="f" stroked="f">
                      <v:textbox>
                        <w:txbxContent>
                          <w:p w14:paraId="3A7CEA78" w14:textId="77777777" w:rsidR="00F011AB" w:rsidRDefault="00F011AB" w:rsidP="00D1755C">
                            <w:r>
                              <w:t>La prédominance de l’Amérique du Nord (50%) est fort logiquement constatée sur ce marché du MIS comme sur celui de la fusion rachidienne. L’Europe compte pour 26% et l’Asie/Pacifique pour 18%.</w:t>
                            </w:r>
                          </w:p>
                          <w:p w14:paraId="653BBF4E" w14:textId="77777777" w:rsidR="00F011AB" w:rsidRDefault="00F011AB" w:rsidP="00D1755C"/>
                        </w:txbxContent>
                      </v:textbox>
                      <w10:wrap type="square"/>
                    </v:shape>
                  </w:pict>
                </mc:Fallback>
              </mc:AlternateContent>
            </w:r>
          </w:p>
          <w:p w14:paraId="4AA7825F" w14:textId="77777777" w:rsidR="00D1755C" w:rsidRPr="00194C23" w:rsidRDefault="00D1755C" w:rsidP="00D1755C">
            <w:r>
              <w:rPr>
                <w:noProof/>
              </w:rPr>
              <w:drawing>
                <wp:inline distT="0" distB="0" distL="0" distR="0" wp14:anchorId="6AB2E0A1" wp14:editId="6B6062A4">
                  <wp:extent cx="3846830" cy="2379482"/>
                  <wp:effectExtent l="0" t="0" r="0" b="8255"/>
                  <wp:docPr id="29"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848045" cy="2380234"/>
                          </a:xfrm>
                          <a:prstGeom prst="rect">
                            <a:avLst/>
                          </a:prstGeom>
                          <a:noFill/>
                          <a:ln>
                            <a:noFill/>
                          </a:ln>
                        </pic:spPr>
                      </pic:pic>
                    </a:graphicData>
                  </a:graphic>
                </wp:inline>
              </w:drawing>
            </w:r>
          </w:p>
        </w:tc>
        <w:tc>
          <w:tcPr>
            <w:tcW w:w="1280" w:type="dxa"/>
            <w:tcBorders>
              <w:top w:val="nil"/>
              <w:left w:val="nil"/>
              <w:bottom w:val="nil"/>
              <w:right w:val="nil"/>
            </w:tcBorders>
            <w:shd w:val="clear" w:color="auto" w:fill="auto"/>
            <w:noWrap/>
            <w:vAlign w:val="bottom"/>
            <w:hideMark/>
          </w:tcPr>
          <w:p w14:paraId="17414E68" w14:textId="77777777" w:rsidR="00D1755C" w:rsidRPr="00194C23" w:rsidRDefault="00D1755C" w:rsidP="00D1755C"/>
        </w:tc>
        <w:tc>
          <w:tcPr>
            <w:tcW w:w="1280" w:type="dxa"/>
            <w:tcBorders>
              <w:top w:val="nil"/>
              <w:left w:val="nil"/>
              <w:bottom w:val="nil"/>
              <w:right w:val="nil"/>
            </w:tcBorders>
            <w:shd w:val="clear" w:color="auto" w:fill="auto"/>
            <w:noWrap/>
            <w:vAlign w:val="bottom"/>
            <w:hideMark/>
          </w:tcPr>
          <w:p w14:paraId="3F69A1BB" w14:textId="77777777" w:rsidR="00D1755C" w:rsidRPr="00194C23" w:rsidRDefault="00D1755C" w:rsidP="00D1755C"/>
        </w:tc>
      </w:tr>
      <w:tr w:rsidR="00D1755C" w:rsidRPr="00D56CAF" w14:paraId="00FBCC9C" w14:textId="77777777" w:rsidTr="00D1755C">
        <w:trPr>
          <w:gridAfter w:val="3"/>
          <w:wAfter w:w="6516" w:type="dxa"/>
          <w:trHeight w:val="255"/>
        </w:trPr>
        <w:tc>
          <w:tcPr>
            <w:tcW w:w="9361" w:type="dxa"/>
            <w:tcBorders>
              <w:top w:val="nil"/>
              <w:left w:val="nil"/>
              <w:bottom w:val="nil"/>
              <w:right w:val="nil"/>
            </w:tcBorders>
            <w:shd w:val="clear" w:color="auto" w:fill="auto"/>
            <w:noWrap/>
            <w:vAlign w:val="bottom"/>
            <w:hideMark/>
          </w:tcPr>
          <w:p w14:paraId="6DA7F815" w14:textId="77777777" w:rsidR="00D1755C" w:rsidRPr="00D56CAF" w:rsidRDefault="00D1755C" w:rsidP="00D1755C">
            <w:pPr>
              <w:jc w:val="left"/>
            </w:pPr>
          </w:p>
          <w:p w14:paraId="5FE53E94" w14:textId="77777777" w:rsidR="00D1755C" w:rsidRDefault="00D1755C" w:rsidP="00D1755C">
            <w:r w:rsidRPr="00D56CAF">
              <w:lastRenderedPageBreak/>
              <w:t>Les dispositifs rachidiens mini-invasifs peuvent être utilisés pour traiter une grande variété d'affections qui affectent la colonne vertébrale, telles que la discopathie dégénérative, la sténose vertébrale, les traumatismes, les tumeurs de la colonne vertébrale et la scoliose.</w:t>
            </w:r>
          </w:p>
          <w:p w14:paraId="789EA4D4" w14:textId="77777777" w:rsidR="00D1755C" w:rsidRDefault="00D1755C" w:rsidP="00D1755C"/>
          <w:p w14:paraId="79265CE3" w14:textId="5409FF58" w:rsidR="00D1755C" w:rsidRDefault="00D1755C" w:rsidP="00D1755C">
            <w:r>
              <w:t>L</w:t>
            </w:r>
            <w:r w:rsidRPr="00D56CAF">
              <w:t xml:space="preserve">es procédures MIS </w:t>
            </w:r>
            <w:r>
              <w:t>présentent</w:t>
            </w:r>
            <w:r w:rsidRPr="00D56CAF">
              <w:t xml:space="preserve"> un certain nombre d'avantages tant </w:t>
            </w:r>
            <w:r>
              <w:t>pour les</w:t>
            </w:r>
            <w:r w:rsidRPr="00D56CAF">
              <w:t xml:space="preserve"> patients </w:t>
            </w:r>
            <w:r>
              <w:t xml:space="preserve">que </w:t>
            </w:r>
            <w:r w:rsidR="00F84270">
              <w:t xml:space="preserve">pour </w:t>
            </w:r>
            <w:r>
              <w:t>les</w:t>
            </w:r>
            <w:r w:rsidRPr="00D56CAF">
              <w:t xml:space="preserve"> </w:t>
            </w:r>
            <w:r>
              <w:t>prestataires de soins de santé :</w:t>
            </w:r>
          </w:p>
          <w:p w14:paraId="4FC664AE" w14:textId="15DAC283" w:rsidR="00D1755C" w:rsidRDefault="00F84270" w:rsidP="00D1755C">
            <w:pPr>
              <w:pStyle w:val="Paragraphedeliste"/>
              <w:numPr>
                <w:ilvl w:val="0"/>
                <w:numId w:val="84"/>
              </w:numPr>
            </w:pPr>
            <w:r>
              <w:t>u</w:t>
            </w:r>
            <w:r w:rsidRPr="00D56CAF">
              <w:t xml:space="preserve">ne </w:t>
            </w:r>
            <w:r w:rsidR="00D1755C" w:rsidRPr="00D56CAF">
              <w:t>procédure mini-invasive nécessite moins de traumatisme de l'anatomie du patient, et donc moins de douleur, un temps plus court sous anesthésie et une utilisation postopératoire plus faible de médicaments, ainsi qu'un retour plus précoce au mouvement et un risque réduit d'infection</w:t>
            </w:r>
            <w:r w:rsidR="00D1755C">
              <w:t> ;</w:t>
            </w:r>
          </w:p>
          <w:p w14:paraId="09113690" w14:textId="0464E3C0" w:rsidR="00D1755C" w:rsidRDefault="00F84270" w:rsidP="00D1755C">
            <w:pPr>
              <w:pStyle w:val="Paragraphedeliste"/>
              <w:numPr>
                <w:ilvl w:val="0"/>
                <w:numId w:val="84"/>
              </w:numPr>
            </w:pPr>
            <w:r>
              <w:t xml:space="preserve">pour </w:t>
            </w:r>
            <w:r w:rsidR="00D1755C">
              <w:t xml:space="preserve">les établissements de santé, les chirurgies mini-invasives permettent des temps d'opération plus courts, favorisant une efficacité accrue de la salle d'opération et des séjours hospitaliers plus courts ; </w:t>
            </w:r>
          </w:p>
          <w:p w14:paraId="7466F37F" w14:textId="2D81ED28" w:rsidR="00D1755C" w:rsidRPr="00D56CAF" w:rsidRDefault="00F84270" w:rsidP="00D1755C">
            <w:pPr>
              <w:pStyle w:val="Paragraphedeliste"/>
              <w:numPr>
                <w:ilvl w:val="0"/>
                <w:numId w:val="84"/>
              </w:numPr>
            </w:pPr>
            <w:r>
              <w:t>également</w:t>
            </w:r>
            <w:r w:rsidR="00D1755C">
              <w:t xml:space="preserve">, les procédures mini-invasives sont de plus en plus pratiquées en ambulatoire. Poussé par le désir de réduire la hausse des coûts des soins de santé, ainsi que de traiter un nombre croissant de patients à mesure que la population vieillit et que les maladies chroniques deviennent plus fréquentes, un nombre croissant de procédures de soins de </w:t>
            </w:r>
            <w:r w:rsidR="00D1755C" w:rsidRPr="00CD5A25">
              <w:t xml:space="preserve">santé est effectué </w:t>
            </w:r>
            <w:r w:rsidR="00D1755C">
              <w:t xml:space="preserve">en ambulatoire. </w:t>
            </w:r>
          </w:p>
          <w:p w14:paraId="2C985064" w14:textId="77777777" w:rsidR="00D1755C" w:rsidRDefault="00D1755C" w:rsidP="00D1755C"/>
          <w:p w14:paraId="6A50CC8A" w14:textId="333406E6" w:rsidR="00D1755C" w:rsidRPr="00C064BC" w:rsidRDefault="00D1755C" w:rsidP="00D1755C">
            <w:r>
              <w:t xml:space="preserve">De même que pour </w:t>
            </w:r>
            <w:r w:rsidRPr="00C064BC">
              <w:t>l</w:t>
            </w:r>
            <w:r>
              <w:t>a fusion rachidienne,</w:t>
            </w:r>
            <w:r w:rsidRPr="00C064BC">
              <w:t xml:space="preserve"> </w:t>
            </w:r>
            <w:r>
              <w:t xml:space="preserve">il </w:t>
            </w:r>
            <w:r w:rsidRPr="00C064BC">
              <w:t xml:space="preserve">existe un grand nombre de patients potentiels pour les procédures MIS en raison de </w:t>
            </w:r>
            <w:r>
              <w:t>l’accroissement</w:t>
            </w:r>
            <w:r w:rsidRPr="00C064BC">
              <w:t xml:space="preserve"> </w:t>
            </w:r>
            <w:r w:rsidR="00F84270">
              <w:t>du vieillissement de</w:t>
            </w:r>
            <w:r w:rsidR="00F84270" w:rsidRPr="00C064BC">
              <w:t xml:space="preserve"> </w:t>
            </w:r>
            <w:r w:rsidRPr="00C064BC">
              <w:t xml:space="preserve">la population. </w:t>
            </w:r>
            <w:r>
              <w:t>Les atouts du MIS (moins invasif et moins contraignant pour les établissements de santé) laissent à penser que le potentiel du dispositif est important.</w:t>
            </w:r>
          </w:p>
          <w:p w14:paraId="38C3BD86" w14:textId="77777777" w:rsidR="00D1755C" w:rsidRPr="00D56CAF" w:rsidRDefault="00D1755C" w:rsidP="00D1755C">
            <w:pPr>
              <w:jc w:val="left"/>
            </w:pPr>
          </w:p>
        </w:tc>
        <w:tc>
          <w:tcPr>
            <w:tcW w:w="1280" w:type="dxa"/>
            <w:tcBorders>
              <w:top w:val="nil"/>
              <w:left w:val="nil"/>
              <w:bottom w:val="nil"/>
              <w:right w:val="nil"/>
            </w:tcBorders>
            <w:shd w:val="clear" w:color="auto" w:fill="auto"/>
            <w:noWrap/>
            <w:vAlign w:val="bottom"/>
            <w:hideMark/>
          </w:tcPr>
          <w:p w14:paraId="484A8D07" w14:textId="77777777" w:rsidR="00D1755C" w:rsidRPr="00D56CAF" w:rsidRDefault="00D1755C" w:rsidP="00D1755C">
            <w:pPr>
              <w:jc w:val="left"/>
            </w:pPr>
          </w:p>
        </w:tc>
        <w:tc>
          <w:tcPr>
            <w:tcW w:w="1280" w:type="dxa"/>
            <w:tcBorders>
              <w:top w:val="nil"/>
              <w:left w:val="nil"/>
              <w:bottom w:val="nil"/>
              <w:right w:val="nil"/>
            </w:tcBorders>
            <w:shd w:val="clear" w:color="auto" w:fill="auto"/>
            <w:noWrap/>
            <w:vAlign w:val="bottom"/>
            <w:hideMark/>
          </w:tcPr>
          <w:p w14:paraId="6F112D17" w14:textId="77777777" w:rsidR="00D1755C" w:rsidRPr="00D56CAF" w:rsidRDefault="00D1755C" w:rsidP="00D1755C">
            <w:pPr>
              <w:jc w:val="left"/>
            </w:pPr>
          </w:p>
        </w:tc>
      </w:tr>
    </w:tbl>
    <w:p w14:paraId="56E53CE2" w14:textId="77777777" w:rsidR="00D1755C" w:rsidRDefault="00D1755C" w:rsidP="00D1755C"/>
    <w:p w14:paraId="335D9D7E" w14:textId="77777777" w:rsidR="00D1755C" w:rsidRPr="00611C16" w:rsidRDefault="00D1755C" w:rsidP="00D1755C">
      <w:pPr>
        <w:pStyle w:val="Paragraphedeliste"/>
        <w:numPr>
          <w:ilvl w:val="0"/>
          <w:numId w:val="35"/>
        </w:numPr>
        <w:rPr>
          <w:b/>
          <w:bCs/>
          <w:iCs/>
        </w:rPr>
      </w:pPr>
      <w:r>
        <w:rPr>
          <w:b/>
          <w:bCs/>
          <w:iCs/>
        </w:rPr>
        <w:t>Les t</w:t>
      </w:r>
      <w:r w:rsidRPr="00611C16">
        <w:rPr>
          <w:b/>
          <w:bCs/>
          <w:iCs/>
        </w:rPr>
        <w:t>endances</w:t>
      </w:r>
      <w:r>
        <w:rPr>
          <w:b/>
          <w:bCs/>
          <w:iCs/>
        </w:rPr>
        <w:t> :</w:t>
      </w:r>
    </w:p>
    <w:p w14:paraId="296FC597" w14:textId="77777777" w:rsidR="00D1755C" w:rsidRDefault="00D1755C" w:rsidP="00D1755C"/>
    <w:p w14:paraId="3FFBEB07" w14:textId="77777777" w:rsidR="00D1755C" w:rsidRDefault="00D1755C" w:rsidP="00D1755C">
      <w:r>
        <w:t>Les principales tendances du marché identifiées par la Société sont les suivantes :</w:t>
      </w:r>
    </w:p>
    <w:p w14:paraId="3E7435B9" w14:textId="6DF9646B" w:rsidR="00D1755C" w:rsidRDefault="00F84270" w:rsidP="00D1755C">
      <w:pPr>
        <w:pStyle w:val="Paragraphedeliste"/>
        <w:numPr>
          <w:ilvl w:val="0"/>
          <w:numId w:val="36"/>
        </w:numPr>
      </w:pPr>
      <w:r>
        <w:t xml:space="preserve">augmentation </w:t>
      </w:r>
      <w:r w:rsidR="00D1755C">
        <w:t>des pathologies dégénératives notamment sous l’effet du vieillissement général de la population, de l’évolution du mode de vie sédentaire et de la prévalence de l’obésité ;</w:t>
      </w:r>
    </w:p>
    <w:p w14:paraId="0B3DCD4E" w14:textId="138E45EC" w:rsidR="00D1755C" w:rsidRDefault="00F84270" w:rsidP="00D1755C">
      <w:pPr>
        <w:pStyle w:val="Paragraphedeliste"/>
        <w:numPr>
          <w:ilvl w:val="0"/>
          <w:numId w:val="36"/>
        </w:numPr>
      </w:pPr>
      <w:r>
        <w:t xml:space="preserve">montée </w:t>
      </w:r>
      <w:r w:rsidR="00D1755C">
        <w:t xml:space="preserve">en puissance des modes opératoires dits mini-invasifs, dont l’objectif est de réduire l’impact de l’opération chirurgicale sur le patient. Cette tendance est principalement observée dans les pays développés ; </w:t>
      </w:r>
    </w:p>
    <w:p w14:paraId="5CF9EDAB" w14:textId="541D3BAF" w:rsidR="00D1755C" w:rsidRDefault="00F84270" w:rsidP="00D1755C">
      <w:pPr>
        <w:pStyle w:val="Paragraphedeliste"/>
        <w:numPr>
          <w:ilvl w:val="0"/>
          <w:numId w:val="36"/>
        </w:numPr>
      </w:pPr>
      <w:r>
        <w:t xml:space="preserve">diffusion </w:t>
      </w:r>
      <w:r w:rsidR="00D1755C">
        <w:t>de l’utilisation de ces dispositifs aux marchés émergeants ;</w:t>
      </w:r>
    </w:p>
    <w:p w14:paraId="7B1FAC22" w14:textId="00879753" w:rsidR="00D1755C" w:rsidRDefault="00F84270" w:rsidP="00D1755C">
      <w:pPr>
        <w:pStyle w:val="Paragraphedeliste"/>
        <w:numPr>
          <w:ilvl w:val="0"/>
          <w:numId w:val="36"/>
        </w:numPr>
      </w:pPr>
      <w:r>
        <w:t xml:space="preserve">pression </w:t>
      </w:r>
      <w:r w:rsidR="00D1755C">
        <w:t>règlementaire accrue ;</w:t>
      </w:r>
    </w:p>
    <w:p w14:paraId="091B8D97" w14:textId="6CC4EA18" w:rsidR="00D1755C" w:rsidRDefault="00F84270" w:rsidP="00D1755C">
      <w:pPr>
        <w:pStyle w:val="Paragraphedeliste"/>
        <w:numPr>
          <w:ilvl w:val="0"/>
          <w:numId w:val="36"/>
        </w:numPr>
      </w:pPr>
      <w:r>
        <w:t xml:space="preserve">augmentation </w:t>
      </w:r>
      <w:r w:rsidR="00D1755C">
        <w:t>de l’accès aux soins dans les pays émergents avec le développement d’une classe moyenne représentant une demande de soins croissante, associée à un déploiement de systèmes de couverture ;</w:t>
      </w:r>
    </w:p>
    <w:p w14:paraId="01138970" w14:textId="59559B98" w:rsidR="00D1755C" w:rsidRDefault="00F84270" w:rsidP="00D1755C">
      <w:pPr>
        <w:pStyle w:val="Paragraphedeliste"/>
        <w:numPr>
          <w:ilvl w:val="0"/>
          <w:numId w:val="36"/>
        </w:numPr>
      </w:pPr>
      <w:r>
        <w:t xml:space="preserve">augmentation </w:t>
      </w:r>
      <w:r w:rsidR="00D1755C">
        <w:t>du nombre de praticiens intervenant sur le rachis, par la diffusion de la formation des chirurgiens aux techniques opératoires du rachis au plan mondial ;</w:t>
      </w:r>
    </w:p>
    <w:p w14:paraId="658C4E46" w14:textId="443F0BC8" w:rsidR="00D1755C" w:rsidRDefault="00F84270" w:rsidP="00D1755C">
      <w:pPr>
        <w:pStyle w:val="Paragraphedeliste"/>
        <w:numPr>
          <w:ilvl w:val="0"/>
          <w:numId w:val="36"/>
        </w:numPr>
      </w:pPr>
      <w:r>
        <w:t xml:space="preserve">pression </w:t>
      </w:r>
      <w:r w:rsidR="00D1755C">
        <w:t xml:space="preserve">tarifaire dans les pays développés en raison des politiques publiques de maîtrise des dépenses de santé et réduction des bases de remboursement à l’initiative des assurances et des mutuelles. </w:t>
      </w:r>
    </w:p>
    <w:p w14:paraId="52A3C34C" w14:textId="77777777" w:rsidR="00D1755C" w:rsidRDefault="00D1755C" w:rsidP="00D1755C"/>
    <w:p w14:paraId="6F88272E" w14:textId="21573E5C" w:rsidR="00D1755C" w:rsidRDefault="00D1755C" w:rsidP="00D1755C">
      <w:r w:rsidRPr="003545E3">
        <w:t>La croissance du nombre d’opérations instrumentées</w:t>
      </w:r>
      <w:r>
        <w:t xml:space="preserve"> dans le monde devrait croître d’environ 5% par an pendant les 10 années à venir (source</w:t>
      </w:r>
      <w:r w:rsidR="008301A7">
        <w:t> :</w:t>
      </w:r>
      <w:r>
        <w:t xml:space="preserve"> iData Research) avec cependant une situation contrastée selon les pays : les marchés émergents devraient poursuivre leur rythme de croissance élevé alors que le marché américain devrait s’infléchir vers une relative stagnation. </w:t>
      </w:r>
    </w:p>
    <w:p w14:paraId="5553F11E" w14:textId="77777777" w:rsidR="00D1755C" w:rsidRDefault="00D1755C" w:rsidP="00D1755C">
      <w:r>
        <w:t>Une certaine pression devrait s’exercer sur les prix, notamment aux Etats-Unis compte tenu des difficultés de certains pays à maintenir leur équilibre budgétaire et la nécessité de réduire leurs dépenses de santé.</w:t>
      </w:r>
    </w:p>
    <w:p w14:paraId="1055EAD6" w14:textId="77777777" w:rsidR="00D1755C" w:rsidRDefault="00D1755C" w:rsidP="00D1755C">
      <w:r>
        <w:t>La Société fait ses meilleurs efforts pour faire face à ces défis.</w:t>
      </w:r>
    </w:p>
    <w:p w14:paraId="4B1ECC8A" w14:textId="77777777" w:rsidR="00D1755C" w:rsidRPr="00A70D60" w:rsidRDefault="00D1755C" w:rsidP="00D1755C"/>
    <w:p w14:paraId="779997D5" w14:textId="06883993" w:rsidR="00D1755C" w:rsidRDefault="00D1755C" w:rsidP="00D1755C">
      <w:pPr>
        <w:pStyle w:val="Titre3"/>
      </w:pPr>
      <w:bookmarkStart w:id="129" w:name="_Ref368742219"/>
      <w:bookmarkStart w:id="130" w:name="_Toc475033189"/>
      <w:r>
        <w:t>5.2.2</w:t>
      </w:r>
      <w:r w:rsidRPr="00A601E8">
        <w:t xml:space="preserve">. </w:t>
      </w:r>
      <w:r>
        <w:t>L’environnement concurrentiel</w:t>
      </w:r>
      <w:bookmarkEnd w:id="129"/>
      <w:bookmarkEnd w:id="130"/>
    </w:p>
    <w:p w14:paraId="5A62AE14" w14:textId="77777777" w:rsidR="00D1755C" w:rsidRDefault="00D1755C" w:rsidP="00D1755C"/>
    <w:p w14:paraId="16BD1E18" w14:textId="77777777" w:rsidR="00D1755C" w:rsidRPr="0071125C" w:rsidRDefault="00D1755C" w:rsidP="00D1755C">
      <w:pPr>
        <w:rPr>
          <w:szCs w:val="20"/>
        </w:rPr>
      </w:pPr>
      <w:r w:rsidRPr="0071125C">
        <w:rPr>
          <w:szCs w:val="20"/>
        </w:rPr>
        <w:t xml:space="preserve">Le marché des produits du rachis est </w:t>
      </w:r>
      <w:r>
        <w:rPr>
          <w:szCs w:val="20"/>
        </w:rPr>
        <w:t>très</w:t>
      </w:r>
      <w:r w:rsidRPr="0071125C">
        <w:rPr>
          <w:szCs w:val="20"/>
        </w:rPr>
        <w:t xml:space="preserve"> concurrentiel et soumis (i) à des changements technologiques, (ii) à la mise sur le marché de nouveaux produits et (iii) à d’autres activités développées par les acteurs du marché.</w:t>
      </w:r>
    </w:p>
    <w:p w14:paraId="7038369D" w14:textId="77777777" w:rsidR="00D1755C" w:rsidRDefault="00D1755C" w:rsidP="00D1755C">
      <w:r>
        <w:t>L’évolution historique et la croissance significative du marché des produits de chirurgie du rachis ont conduit de nombreux acteurs à se développer par croissance externe en ciblant des sociétés disposant de technologies innovantes ou de parts de marché dignes d’intérêt, et encouragé toutes les sociétés à intensifier leurs efforts concurrentiels. Un certain nombre de concurrents se concentre sur un produit ou une partie de marché spécifique, rendant potentiellement plus difficile pour la Société l’amélioration de sa position concurrentielle globale sur le marché.</w:t>
      </w:r>
    </w:p>
    <w:p w14:paraId="37941235" w14:textId="77777777" w:rsidR="00D1755C" w:rsidRPr="0071125C" w:rsidRDefault="00D1755C" w:rsidP="00D1755C">
      <w:pPr>
        <w:rPr>
          <w:b/>
          <w:bCs/>
          <w:i/>
          <w:iCs/>
          <w:szCs w:val="20"/>
        </w:rPr>
      </w:pPr>
    </w:p>
    <w:p w14:paraId="468B47C1" w14:textId="77777777" w:rsidR="00D1755C" w:rsidRPr="00611C16" w:rsidRDefault="00D1755C" w:rsidP="00D1755C">
      <w:pPr>
        <w:pStyle w:val="Paragraphedeliste"/>
        <w:numPr>
          <w:ilvl w:val="0"/>
          <w:numId w:val="37"/>
        </w:numPr>
        <w:rPr>
          <w:b/>
          <w:bCs/>
          <w:iCs/>
          <w:szCs w:val="20"/>
        </w:rPr>
      </w:pPr>
      <w:r w:rsidRPr="00611C16">
        <w:rPr>
          <w:b/>
          <w:bCs/>
          <w:iCs/>
          <w:szCs w:val="20"/>
        </w:rPr>
        <w:t>Principaux facteurs de concurrence</w:t>
      </w:r>
    </w:p>
    <w:p w14:paraId="684CA269" w14:textId="77777777" w:rsidR="00D1755C" w:rsidRPr="0071125C" w:rsidRDefault="00D1755C" w:rsidP="00D1755C">
      <w:pPr>
        <w:rPr>
          <w:b/>
          <w:bCs/>
          <w:i/>
          <w:iCs/>
          <w:szCs w:val="20"/>
        </w:rPr>
      </w:pPr>
    </w:p>
    <w:p w14:paraId="5EFF742E" w14:textId="77777777" w:rsidR="00D1755C" w:rsidRPr="0071125C" w:rsidRDefault="00D1755C" w:rsidP="00D1755C">
      <w:pPr>
        <w:rPr>
          <w:szCs w:val="20"/>
        </w:rPr>
      </w:pPr>
      <w:r w:rsidRPr="0071125C">
        <w:rPr>
          <w:szCs w:val="20"/>
        </w:rPr>
        <w:t xml:space="preserve">Spineway estime que les principaux moteurs de concurrence sont les suivants : </w:t>
      </w:r>
    </w:p>
    <w:p w14:paraId="0918E0FB" w14:textId="77777777" w:rsidR="00D1755C" w:rsidRPr="001E1929" w:rsidRDefault="00D1755C" w:rsidP="00D1755C">
      <w:pPr>
        <w:pStyle w:val="Paragraphedeliste"/>
        <w:numPr>
          <w:ilvl w:val="0"/>
          <w:numId w:val="66"/>
        </w:numPr>
        <w:rPr>
          <w:color w:val="000000"/>
          <w:szCs w:val="18"/>
        </w:rPr>
      </w:pPr>
      <w:r>
        <w:rPr>
          <w:color w:val="000000"/>
          <w:szCs w:val="18"/>
        </w:rPr>
        <w:t>l</w:t>
      </w:r>
      <w:r w:rsidRPr="001E1929">
        <w:rPr>
          <w:color w:val="000000"/>
          <w:szCs w:val="18"/>
        </w:rPr>
        <w:t xml:space="preserve">a technologie, la fiabilité, la performance et la qualité des produits ; </w:t>
      </w:r>
    </w:p>
    <w:p w14:paraId="1A7BAF9D" w14:textId="77777777" w:rsidR="00D1755C" w:rsidRDefault="00D1755C" w:rsidP="00D1755C">
      <w:pPr>
        <w:pStyle w:val="Paragraphedeliste"/>
        <w:numPr>
          <w:ilvl w:val="0"/>
          <w:numId w:val="66"/>
        </w:numPr>
        <w:rPr>
          <w:color w:val="000000"/>
          <w:szCs w:val="18"/>
        </w:rPr>
      </w:pPr>
      <w:r>
        <w:rPr>
          <w:color w:val="000000"/>
          <w:szCs w:val="18"/>
        </w:rPr>
        <w:t>l</w:t>
      </w:r>
      <w:r w:rsidRPr="001E1929">
        <w:rPr>
          <w:color w:val="000000"/>
          <w:szCs w:val="18"/>
        </w:rPr>
        <w:t>es prix, compte tenu notamment du niveau de remboursement autorisé par les organismes d’assurance santé et les systèmes de santé nationaux et locaux ;</w:t>
      </w:r>
      <w:r>
        <w:rPr>
          <w:color w:val="000000"/>
          <w:szCs w:val="18"/>
        </w:rPr>
        <w:t xml:space="preserve"> </w:t>
      </w:r>
    </w:p>
    <w:p w14:paraId="160CD6E1" w14:textId="77777777" w:rsidR="00D1755C" w:rsidRPr="001E1929" w:rsidRDefault="00D1755C" w:rsidP="00D1755C">
      <w:pPr>
        <w:pStyle w:val="Paragraphedeliste"/>
        <w:numPr>
          <w:ilvl w:val="0"/>
          <w:numId w:val="66"/>
        </w:numPr>
        <w:rPr>
          <w:color w:val="000000"/>
          <w:szCs w:val="18"/>
        </w:rPr>
      </w:pPr>
      <w:r>
        <w:rPr>
          <w:color w:val="000000"/>
          <w:szCs w:val="18"/>
        </w:rPr>
        <w:t>l</w:t>
      </w:r>
      <w:r w:rsidRPr="001E1929">
        <w:rPr>
          <w:color w:val="000000"/>
          <w:szCs w:val="18"/>
        </w:rPr>
        <w:t>’étendue des gammes de produits ;</w:t>
      </w:r>
    </w:p>
    <w:p w14:paraId="059C3C1A" w14:textId="77777777" w:rsidR="00D1755C" w:rsidRPr="001E1929" w:rsidRDefault="00D1755C" w:rsidP="00D1755C">
      <w:pPr>
        <w:pStyle w:val="Paragraphedeliste"/>
        <w:numPr>
          <w:ilvl w:val="0"/>
          <w:numId w:val="66"/>
        </w:numPr>
        <w:rPr>
          <w:color w:val="000000"/>
          <w:szCs w:val="18"/>
        </w:rPr>
      </w:pPr>
      <w:r>
        <w:rPr>
          <w:color w:val="000000"/>
          <w:szCs w:val="18"/>
        </w:rPr>
        <w:t>l</w:t>
      </w:r>
      <w:r w:rsidRPr="001E1929">
        <w:rPr>
          <w:color w:val="000000"/>
          <w:szCs w:val="18"/>
        </w:rPr>
        <w:t>es ressources financières ;</w:t>
      </w:r>
    </w:p>
    <w:p w14:paraId="55BA5410" w14:textId="77777777" w:rsidR="00D1755C" w:rsidRPr="001E1929" w:rsidRDefault="00D1755C" w:rsidP="00D1755C">
      <w:pPr>
        <w:pStyle w:val="Paragraphedeliste"/>
        <w:numPr>
          <w:ilvl w:val="0"/>
          <w:numId w:val="66"/>
        </w:numPr>
        <w:rPr>
          <w:color w:val="000000"/>
          <w:szCs w:val="18"/>
        </w:rPr>
      </w:pPr>
      <w:r>
        <w:rPr>
          <w:color w:val="000000"/>
          <w:szCs w:val="18"/>
        </w:rPr>
        <w:t>l</w:t>
      </w:r>
      <w:r w:rsidRPr="001E1929">
        <w:rPr>
          <w:color w:val="000000"/>
          <w:szCs w:val="18"/>
        </w:rPr>
        <w:t>a propriété intellectuelle ;</w:t>
      </w:r>
    </w:p>
    <w:p w14:paraId="6837C081" w14:textId="77777777" w:rsidR="00D1755C" w:rsidRPr="001E1929" w:rsidRDefault="00D1755C" w:rsidP="00D1755C">
      <w:pPr>
        <w:pStyle w:val="Paragraphedeliste"/>
        <w:numPr>
          <w:ilvl w:val="0"/>
          <w:numId w:val="66"/>
        </w:numPr>
        <w:rPr>
          <w:color w:val="000000"/>
          <w:szCs w:val="18"/>
        </w:rPr>
      </w:pPr>
      <w:r>
        <w:rPr>
          <w:color w:val="000000"/>
          <w:szCs w:val="18"/>
        </w:rPr>
        <w:t>l</w:t>
      </w:r>
      <w:r w:rsidRPr="001E1929">
        <w:rPr>
          <w:color w:val="000000"/>
          <w:szCs w:val="18"/>
        </w:rPr>
        <w:t>es délais de commercialisation ;</w:t>
      </w:r>
    </w:p>
    <w:p w14:paraId="3DE0F4C6" w14:textId="77777777" w:rsidR="00D1755C" w:rsidRPr="001E1929" w:rsidRDefault="00D1755C" w:rsidP="00D1755C">
      <w:pPr>
        <w:pStyle w:val="Paragraphedeliste"/>
        <w:numPr>
          <w:ilvl w:val="0"/>
          <w:numId w:val="66"/>
        </w:numPr>
        <w:rPr>
          <w:color w:val="000000"/>
          <w:szCs w:val="18"/>
        </w:rPr>
      </w:pPr>
      <w:r>
        <w:rPr>
          <w:color w:val="000000"/>
          <w:szCs w:val="18"/>
        </w:rPr>
        <w:t>l</w:t>
      </w:r>
      <w:r w:rsidRPr="001E1929">
        <w:rPr>
          <w:color w:val="000000"/>
          <w:szCs w:val="18"/>
        </w:rPr>
        <w:t>es relations avec les chirurgiens du rachis, les établissements de soins et autres fournisseurs et payeurs de services de soins ;</w:t>
      </w:r>
    </w:p>
    <w:p w14:paraId="7A1B1695" w14:textId="77777777" w:rsidR="00D1755C" w:rsidRPr="001E1929" w:rsidRDefault="00D1755C" w:rsidP="00D1755C">
      <w:pPr>
        <w:pStyle w:val="Paragraphedeliste"/>
        <w:numPr>
          <w:ilvl w:val="0"/>
          <w:numId w:val="66"/>
        </w:numPr>
        <w:rPr>
          <w:color w:val="000000"/>
          <w:szCs w:val="18"/>
        </w:rPr>
      </w:pPr>
      <w:r>
        <w:rPr>
          <w:color w:val="000000"/>
          <w:szCs w:val="18"/>
        </w:rPr>
        <w:t>l</w:t>
      </w:r>
      <w:r w:rsidRPr="001E1929">
        <w:rPr>
          <w:color w:val="000000"/>
          <w:szCs w:val="18"/>
        </w:rPr>
        <w:t>es services attachés aux produits et le service client ;</w:t>
      </w:r>
    </w:p>
    <w:p w14:paraId="7C3E5D58" w14:textId="77777777" w:rsidR="00D1755C" w:rsidRPr="001E1929" w:rsidRDefault="00D1755C" w:rsidP="00D1755C">
      <w:pPr>
        <w:pStyle w:val="Paragraphedeliste"/>
        <w:numPr>
          <w:ilvl w:val="0"/>
          <w:numId w:val="66"/>
        </w:numPr>
        <w:rPr>
          <w:color w:val="000000"/>
          <w:szCs w:val="18"/>
        </w:rPr>
      </w:pPr>
      <w:r>
        <w:rPr>
          <w:color w:val="000000"/>
          <w:szCs w:val="18"/>
        </w:rPr>
        <w:t>l</w:t>
      </w:r>
      <w:r w:rsidRPr="001E1929">
        <w:rPr>
          <w:color w:val="000000"/>
          <w:szCs w:val="18"/>
        </w:rPr>
        <w:t>es relations avec les distributeurs, fournisseurs et fabricants ; et</w:t>
      </w:r>
    </w:p>
    <w:p w14:paraId="7F8FE5B0" w14:textId="77777777" w:rsidR="00D1755C" w:rsidRPr="001E1929" w:rsidRDefault="00D1755C" w:rsidP="00D1755C">
      <w:pPr>
        <w:pStyle w:val="Paragraphedeliste"/>
        <w:numPr>
          <w:ilvl w:val="0"/>
          <w:numId w:val="66"/>
        </w:numPr>
        <w:rPr>
          <w:color w:val="000000"/>
          <w:szCs w:val="18"/>
        </w:rPr>
      </w:pPr>
      <w:r>
        <w:rPr>
          <w:color w:val="000000"/>
          <w:szCs w:val="18"/>
        </w:rPr>
        <w:t>l</w:t>
      </w:r>
      <w:r w:rsidRPr="001E1929">
        <w:rPr>
          <w:color w:val="000000"/>
          <w:szCs w:val="18"/>
        </w:rPr>
        <w:t>a couverture géographique.</w:t>
      </w:r>
    </w:p>
    <w:p w14:paraId="4E6B805B" w14:textId="77777777" w:rsidR="00D1755C" w:rsidRPr="0071125C" w:rsidRDefault="00D1755C" w:rsidP="00D1755C">
      <w:pPr>
        <w:rPr>
          <w:b/>
          <w:bCs/>
          <w:i/>
          <w:iCs/>
          <w:szCs w:val="20"/>
        </w:rPr>
      </w:pPr>
    </w:p>
    <w:p w14:paraId="0D2800CC" w14:textId="77777777" w:rsidR="00D1755C" w:rsidRPr="00611C16" w:rsidRDefault="00D1755C" w:rsidP="00D1755C">
      <w:pPr>
        <w:pStyle w:val="Paragraphedeliste"/>
        <w:numPr>
          <w:ilvl w:val="0"/>
          <w:numId w:val="38"/>
        </w:numPr>
        <w:rPr>
          <w:b/>
          <w:bCs/>
          <w:iCs/>
          <w:szCs w:val="20"/>
        </w:rPr>
      </w:pPr>
      <w:r w:rsidRPr="00611C16">
        <w:rPr>
          <w:b/>
          <w:bCs/>
          <w:iCs/>
          <w:szCs w:val="20"/>
        </w:rPr>
        <w:t>Typologie de la concurrence</w:t>
      </w:r>
    </w:p>
    <w:p w14:paraId="52B34E80" w14:textId="77777777" w:rsidR="00D1755C" w:rsidRPr="0071125C" w:rsidRDefault="00D1755C" w:rsidP="00D1755C">
      <w:pPr>
        <w:rPr>
          <w:szCs w:val="20"/>
        </w:rPr>
      </w:pPr>
    </w:p>
    <w:p w14:paraId="43D76DC6" w14:textId="77777777" w:rsidR="00D1755C" w:rsidRPr="0071125C" w:rsidRDefault="00D1755C" w:rsidP="00D1755C">
      <w:pPr>
        <w:tabs>
          <w:tab w:val="left" w:pos="1047"/>
        </w:tabs>
        <w:rPr>
          <w:szCs w:val="20"/>
        </w:rPr>
      </w:pPr>
      <w:r w:rsidRPr="0071125C">
        <w:rPr>
          <w:szCs w:val="20"/>
        </w:rPr>
        <w:t>L’environnement concurrentiel peut être classé selon la typologie suivante :</w:t>
      </w:r>
    </w:p>
    <w:p w14:paraId="3A9B26A3" w14:textId="77777777" w:rsidR="00D1755C" w:rsidRDefault="00D1755C" w:rsidP="00D1755C">
      <w:pPr>
        <w:rPr>
          <w:szCs w:val="20"/>
        </w:rPr>
      </w:pPr>
    </w:p>
    <w:p w14:paraId="6D260FA8" w14:textId="77777777" w:rsidR="00D1755C" w:rsidRDefault="00D1755C" w:rsidP="00D1755C">
      <w:pPr>
        <w:rPr>
          <w:szCs w:val="20"/>
        </w:rPr>
      </w:pPr>
      <w:r w:rsidRPr="0071125C">
        <w:rPr>
          <w:b/>
          <w:bCs/>
          <w:szCs w:val="20"/>
        </w:rPr>
        <w:t>Les leaders américains</w:t>
      </w:r>
      <w:r w:rsidRPr="0071125C">
        <w:rPr>
          <w:szCs w:val="20"/>
        </w:rPr>
        <w:t xml:space="preserve"> </w:t>
      </w:r>
      <w:r w:rsidRPr="0071125C">
        <w:rPr>
          <w:b/>
          <w:bCs/>
          <w:szCs w:val="20"/>
        </w:rPr>
        <w:t xml:space="preserve">constituent le premier groupe de concurrents </w:t>
      </w:r>
      <w:r w:rsidRPr="0071125C">
        <w:rPr>
          <w:szCs w:val="20"/>
        </w:rPr>
        <w:t xml:space="preserve">de la Société avec une part de marché </w:t>
      </w:r>
      <w:r>
        <w:rPr>
          <w:szCs w:val="20"/>
        </w:rPr>
        <w:t xml:space="preserve">comprise entre 60% et </w:t>
      </w:r>
      <w:r w:rsidRPr="0071125C">
        <w:rPr>
          <w:szCs w:val="20"/>
        </w:rPr>
        <w:t xml:space="preserve">80% au niveau mondial. Ces entreprises, souvent le fruit d’une politique d’acquisition dynamique au cours des dernières années, offrent une large gamme de produits commercialisés dans le monde entier, notamment grâce à d’importantes forces de vente commercialisant souvent indirectement auprès des établissements de soin. La plupart de ces entreprises sont présentes dans d’autres segments de la chirurgie orthopédique ou cardiaque, le rachis représentant une part modérée voire faible du chiffre d’affaires. </w:t>
      </w:r>
    </w:p>
    <w:p w14:paraId="68339511" w14:textId="77777777" w:rsidR="00D1755C" w:rsidRPr="00A46E7E" w:rsidRDefault="00D1755C" w:rsidP="00D1755C">
      <w:r>
        <w:t xml:space="preserve">Ces sociétés leader </w:t>
      </w:r>
      <w:r w:rsidRPr="045DF780">
        <w:t>sont solidement établies et disposent de ressources considérables, bien supérieures à celle de Spineway, et notamment :</w:t>
      </w:r>
    </w:p>
    <w:p w14:paraId="1DEAA2E4" w14:textId="41B3D145" w:rsidR="00D1755C" w:rsidRDefault="00D1755C" w:rsidP="00D1755C">
      <w:pPr>
        <w:pStyle w:val="Paragraphedeliste"/>
        <w:numPr>
          <w:ilvl w:val="0"/>
          <w:numId w:val="8"/>
        </w:numPr>
      </w:pPr>
      <w:r>
        <w:t>d</w:t>
      </w:r>
      <w:r w:rsidRPr="00A46E7E">
        <w:t xml:space="preserve">e budgets plus importants affectés à la </w:t>
      </w:r>
      <w:r w:rsidR="00740ED6">
        <w:t>R&amp;D</w:t>
      </w:r>
      <w:r w:rsidRPr="00A46E7E">
        <w:t>, aux essais cliniques, à la commercialisation des produits et à la gestion du contentieux de la propriété intellectuelle ;</w:t>
      </w:r>
    </w:p>
    <w:p w14:paraId="4D77C604" w14:textId="77777777" w:rsidR="00D1755C" w:rsidRDefault="00D1755C" w:rsidP="00D1755C">
      <w:pPr>
        <w:pStyle w:val="Paragraphedeliste"/>
        <w:numPr>
          <w:ilvl w:val="0"/>
          <w:numId w:val="8"/>
        </w:numPr>
      </w:pPr>
      <w:r>
        <w:t>d’un réseau de chirurgiens partenaires plus important ;</w:t>
      </w:r>
    </w:p>
    <w:p w14:paraId="06F46258" w14:textId="77777777" w:rsidR="00D1755C" w:rsidRDefault="00D1755C" w:rsidP="00D1755C">
      <w:pPr>
        <w:pStyle w:val="Paragraphedeliste"/>
        <w:numPr>
          <w:ilvl w:val="0"/>
          <w:numId w:val="8"/>
        </w:numPr>
      </w:pPr>
      <w:r>
        <w:t>d’équipes plus nombreuses voire plus expérimentées dans l’obtention et le maintien d’autorisations règlementaires pour leurs produits et les améliorations apportées aux produits existants ;</w:t>
      </w:r>
    </w:p>
    <w:p w14:paraId="686D8A1B" w14:textId="77777777" w:rsidR="00D1755C" w:rsidRDefault="00D1755C" w:rsidP="00D1755C">
      <w:pPr>
        <w:pStyle w:val="Paragraphedeliste"/>
        <w:numPr>
          <w:ilvl w:val="0"/>
          <w:numId w:val="8"/>
        </w:numPr>
      </w:pPr>
      <w:r>
        <w:t>d</w:t>
      </w:r>
      <w:r w:rsidRPr="00A46E7E">
        <w:t>’un nombre plus important de produits bénéficiant de données cliniques à long terme ;</w:t>
      </w:r>
    </w:p>
    <w:p w14:paraId="4D581A3B" w14:textId="77777777" w:rsidR="00D1755C" w:rsidRDefault="00D1755C" w:rsidP="00D1755C">
      <w:pPr>
        <w:pStyle w:val="Paragraphedeliste"/>
        <w:numPr>
          <w:ilvl w:val="0"/>
          <w:numId w:val="8"/>
        </w:numPr>
      </w:pPr>
      <w:r>
        <w:t>de réseaux de distribution mieux implantés ou de taille plus importante ;</w:t>
      </w:r>
    </w:p>
    <w:p w14:paraId="47F31CE7" w14:textId="77777777" w:rsidR="00D1755C" w:rsidRDefault="00D1755C" w:rsidP="00D1755C">
      <w:pPr>
        <w:pStyle w:val="Paragraphedeliste"/>
        <w:numPr>
          <w:ilvl w:val="0"/>
          <w:numId w:val="9"/>
        </w:numPr>
      </w:pPr>
      <w:r>
        <w:t>d</w:t>
      </w:r>
      <w:r w:rsidRPr="00A46E7E">
        <w:t>’une plus grande expérience et de moyens plus importants en matière de lancement, de promotion, de commercialisation et de distribution de produits ;</w:t>
      </w:r>
    </w:p>
    <w:p w14:paraId="54A8B118" w14:textId="77777777" w:rsidR="00D1755C" w:rsidRDefault="00D1755C" w:rsidP="00D1755C">
      <w:pPr>
        <w:pStyle w:val="Paragraphedeliste"/>
        <w:numPr>
          <w:ilvl w:val="0"/>
          <w:numId w:val="9"/>
        </w:numPr>
      </w:pPr>
      <w:r>
        <w:t>d</w:t>
      </w:r>
      <w:r w:rsidRPr="00A46E7E">
        <w:t>’infrastructures mieux implantées ; et</w:t>
      </w:r>
    </w:p>
    <w:p w14:paraId="669EC420" w14:textId="77777777" w:rsidR="00D1755C" w:rsidRDefault="00D1755C" w:rsidP="00D1755C">
      <w:pPr>
        <w:pStyle w:val="Paragraphedeliste"/>
        <w:numPr>
          <w:ilvl w:val="0"/>
          <w:numId w:val="9"/>
        </w:numPr>
      </w:pPr>
      <w:r>
        <w:t>d’une plus forte notoriété.</w:t>
      </w:r>
    </w:p>
    <w:p w14:paraId="73D6FABB" w14:textId="77777777" w:rsidR="00D1755C" w:rsidRDefault="00D1755C" w:rsidP="00D1755C">
      <w:pPr>
        <w:rPr>
          <w:b/>
          <w:bCs/>
          <w:szCs w:val="20"/>
        </w:rPr>
      </w:pPr>
    </w:p>
    <w:p w14:paraId="195DC27C" w14:textId="77777777" w:rsidR="00D1755C" w:rsidRPr="0071125C" w:rsidRDefault="00D1755C" w:rsidP="00D1755C">
      <w:pPr>
        <w:rPr>
          <w:szCs w:val="20"/>
        </w:rPr>
      </w:pPr>
      <w:r>
        <w:rPr>
          <w:b/>
          <w:bCs/>
          <w:szCs w:val="20"/>
        </w:rPr>
        <w:t>Un</w:t>
      </w:r>
      <w:r w:rsidRPr="0071125C">
        <w:rPr>
          <w:b/>
          <w:bCs/>
          <w:szCs w:val="20"/>
        </w:rPr>
        <w:t xml:space="preserve"> second groupe est constitué de so</w:t>
      </w:r>
      <w:r>
        <w:rPr>
          <w:b/>
          <w:bCs/>
          <w:szCs w:val="20"/>
        </w:rPr>
        <w:t xml:space="preserve">ciétés de taille intermédiaire </w:t>
      </w:r>
      <w:r w:rsidRPr="0071125C">
        <w:rPr>
          <w:szCs w:val="20"/>
        </w:rPr>
        <w:t>essentiellement centrées sur les Etats-Unis et évoluant vers le modèle de distribution des leaders</w:t>
      </w:r>
      <w:r>
        <w:rPr>
          <w:szCs w:val="20"/>
        </w:rPr>
        <w:t xml:space="preserve"> (notamment NuVasive et Global Medical)</w:t>
      </w:r>
      <w:r w:rsidRPr="0071125C">
        <w:rPr>
          <w:szCs w:val="20"/>
        </w:rPr>
        <w:t xml:space="preserve">. Ces groupes ont développé des gammes complètes et/ou des innovations technologiques pour pénétrer des segments spécifiques. </w:t>
      </w:r>
    </w:p>
    <w:p w14:paraId="3CFACDEA" w14:textId="2A702733" w:rsidR="00D1755C" w:rsidRPr="00220302" w:rsidRDefault="00D1755C" w:rsidP="00D1755C">
      <w:r w:rsidRPr="00220302">
        <w:t>Compte-tenu des barrières importantes à l’entrée (notamment en raison de l’intensification des exigences réglementaires), les acteurs de taille moyenne sont fréquemment présents</w:t>
      </w:r>
      <w:r w:rsidR="00F84270">
        <w:t xml:space="preserve">, et ce depuis longtemps, </w:t>
      </w:r>
      <w:r w:rsidRPr="00220302">
        <w:t>sur le marché des produits de chirurgie du rachis et peuvent directement concurrencer les produits Spineway.</w:t>
      </w:r>
    </w:p>
    <w:p w14:paraId="7CBA4CB1" w14:textId="77777777" w:rsidR="00D1755C" w:rsidRPr="00220302" w:rsidRDefault="00D1755C" w:rsidP="00D1755C">
      <w:pPr>
        <w:rPr>
          <w:szCs w:val="20"/>
        </w:rPr>
      </w:pPr>
    </w:p>
    <w:p w14:paraId="0FAC42B5" w14:textId="77777777" w:rsidR="00DB5FDD" w:rsidRDefault="00DB5FDD">
      <w:pPr>
        <w:jc w:val="left"/>
        <w:rPr>
          <w:szCs w:val="20"/>
        </w:rPr>
      </w:pPr>
      <w:r>
        <w:rPr>
          <w:szCs w:val="20"/>
        </w:rPr>
        <w:br w:type="page"/>
      </w:r>
    </w:p>
    <w:p w14:paraId="121D1578" w14:textId="001DBB6F" w:rsidR="00D1755C" w:rsidRPr="00813933" w:rsidRDefault="00D1755C" w:rsidP="00D1755C">
      <w:pPr>
        <w:rPr>
          <w:szCs w:val="20"/>
        </w:rPr>
      </w:pPr>
      <w:r w:rsidRPr="0071125C">
        <w:rPr>
          <w:szCs w:val="20"/>
        </w:rPr>
        <w:lastRenderedPageBreak/>
        <w:t>Le</w:t>
      </w:r>
      <w:r>
        <w:rPr>
          <w:szCs w:val="20"/>
        </w:rPr>
        <w:t>s</w:t>
      </w:r>
      <w:r w:rsidRPr="0071125C">
        <w:rPr>
          <w:szCs w:val="20"/>
        </w:rPr>
        <w:t xml:space="preserve"> tableau</w:t>
      </w:r>
      <w:r>
        <w:rPr>
          <w:szCs w:val="20"/>
        </w:rPr>
        <w:t>x</w:t>
      </w:r>
      <w:r w:rsidRPr="0071125C">
        <w:rPr>
          <w:szCs w:val="20"/>
        </w:rPr>
        <w:t xml:space="preserve"> </w:t>
      </w:r>
      <w:r w:rsidRPr="0090269D">
        <w:rPr>
          <w:szCs w:val="20"/>
        </w:rPr>
        <w:t xml:space="preserve">ci-dessous </w:t>
      </w:r>
      <w:r>
        <w:rPr>
          <w:szCs w:val="20"/>
        </w:rPr>
        <w:t>présentent</w:t>
      </w:r>
      <w:r w:rsidRPr="0090269D">
        <w:rPr>
          <w:szCs w:val="20"/>
        </w:rPr>
        <w:t xml:space="preserve"> le</w:t>
      </w:r>
      <w:r>
        <w:rPr>
          <w:szCs w:val="20"/>
        </w:rPr>
        <w:t>s</w:t>
      </w:r>
      <w:r w:rsidRPr="0090269D">
        <w:rPr>
          <w:szCs w:val="20"/>
        </w:rPr>
        <w:t xml:space="preserve"> </w:t>
      </w:r>
      <w:r>
        <w:rPr>
          <w:szCs w:val="20"/>
        </w:rPr>
        <w:t>revenus</w:t>
      </w:r>
      <w:r w:rsidRPr="0090269D">
        <w:rPr>
          <w:szCs w:val="20"/>
        </w:rPr>
        <w:t xml:space="preserve"> </w:t>
      </w:r>
      <w:r>
        <w:rPr>
          <w:szCs w:val="20"/>
        </w:rPr>
        <w:t xml:space="preserve">dégagés par </w:t>
      </w:r>
      <w:r w:rsidRPr="0090269D">
        <w:rPr>
          <w:szCs w:val="20"/>
        </w:rPr>
        <w:t>ces leaders américains</w:t>
      </w:r>
      <w:r>
        <w:rPr>
          <w:szCs w:val="20"/>
        </w:rPr>
        <w:t xml:space="preserve"> sur les marchés de la fusion rachidienne et MIS</w:t>
      </w:r>
      <w:r w:rsidRPr="0090269D">
        <w:rPr>
          <w:szCs w:val="20"/>
        </w:rPr>
        <w:t xml:space="preserve">, ainsi que </w:t>
      </w:r>
      <w:r>
        <w:rPr>
          <w:szCs w:val="20"/>
        </w:rPr>
        <w:t>leurs</w:t>
      </w:r>
      <w:r w:rsidRPr="0090269D">
        <w:rPr>
          <w:szCs w:val="20"/>
        </w:rPr>
        <w:t xml:space="preserve"> parts de marché respectives</w:t>
      </w:r>
      <w:r>
        <w:rPr>
          <w:szCs w:val="20"/>
        </w:rPr>
        <w:t>.</w:t>
      </w:r>
    </w:p>
    <w:p w14:paraId="00CD571E" w14:textId="77777777" w:rsidR="00D1755C" w:rsidRDefault="00D1755C" w:rsidP="00D1755C">
      <w:pPr>
        <w:rPr>
          <w:color w:val="FF0000"/>
          <w:szCs w:val="20"/>
        </w:rPr>
      </w:pPr>
    </w:p>
    <w:tbl>
      <w:tblPr>
        <w:tblW w:w="9420" w:type="dxa"/>
        <w:tblInd w:w="55" w:type="dxa"/>
        <w:tblCellMar>
          <w:left w:w="70" w:type="dxa"/>
          <w:right w:w="70" w:type="dxa"/>
        </w:tblCellMar>
        <w:tblLook w:val="04A0" w:firstRow="1" w:lastRow="0" w:firstColumn="1" w:lastColumn="0" w:noHBand="0" w:noVBand="1"/>
      </w:tblPr>
      <w:tblGrid>
        <w:gridCol w:w="3120"/>
        <w:gridCol w:w="2100"/>
        <w:gridCol w:w="2100"/>
        <w:gridCol w:w="2100"/>
      </w:tblGrid>
      <w:tr w:rsidR="00D1755C" w:rsidRPr="002974C5" w14:paraId="0F30CC4C" w14:textId="77777777" w:rsidTr="00D1755C">
        <w:trPr>
          <w:trHeight w:val="580"/>
        </w:trPr>
        <w:tc>
          <w:tcPr>
            <w:tcW w:w="3120" w:type="dxa"/>
            <w:tcBorders>
              <w:top w:val="nil"/>
              <w:left w:val="nil"/>
              <w:bottom w:val="nil"/>
              <w:right w:val="nil"/>
            </w:tcBorders>
            <w:shd w:val="clear" w:color="auto" w:fill="auto"/>
            <w:noWrap/>
            <w:vAlign w:val="bottom"/>
            <w:hideMark/>
          </w:tcPr>
          <w:p w14:paraId="6093C80D" w14:textId="77777777" w:rsidR="00D1755C" w:rsidRPr="002974C5" w:rsidRDefault="00D1755C" w:rsidP="00D1755C">
            <w:pPr>
              <w:jc w:val="left"/>
              <w:rPr>
                <w:rFonts w:ascii="Calibri" w:eastAsia="Times New Roman" w:hAnsi="Calibri" w:cs="Times New Roman"/>
                <w:color w:val="000000"/>
                <w:sz w:val="24"/>
              </w:rPr>
            </w:pPr>
          </w:p>
        </w:tc>
        <w:tc>
          <w:tcPr>
            <w:tcW w:w="2100" w:type="dxa"/>
            <w:tcBorders>
              <w:top w:val="nil"/>
              <w:left w:val="nil"/>
              <w:bottom w:val="nil"/>
              <w:right w:val="nil"/>
            </w:tcBorders>
            <w:shd w:val="clear" w:color="auto" w:fill="auto"/>
            <w:noWrap/>
            <w:vAlign w:val="bottom"/>
            <w:hideMark/>
          </w:tcPr>
          <w:p w14:paraId="206E96BB" w14:textId="77777777" w:rsidR="00D1755C" w:rsidRPr="002974C5" w:rsidRDefault="00D1755C" w:rsidP="00D1755C">
            <w:pPr>
              <w:jc w:val="left"/>
              <w:rPr>
                <w:rFonts w:ascii="Calibri" w:eastAsia="Times New Roman" w:hAnsi="Calibri" w:cs="Times New Roman"/>
                <w:color w:val="000000"/>
                <w:sz w:val="24"/>
              </w:rPr>
            </w:pPr>
          </w:p>
        </w:tc>
        <w:tc>
          <w:tcPr>
            <w:tcW w:w="4200" w:type="dxa"/>
            <w:gridSpan w:val="2"/>
            <w:tcBorders>
              <w:top w:val="single" w:sz="8" w:space="0" w:color="auto"/>
              <w:left w:val="single" w:sz="8" w:space="0" w:color="auto"/>
              <w:bottom w:val="single" w:sz="8" w:space="0" w:color="auto"/>
              <w:right w:val="single" w:sz="8" w:space="0" w:color="auto"/>
            </w:tcBorders>
            <w:shd w:val="clear" w:color="000000" w:fill="1F497D"/>
            <w:vAlign w:val="center"/>
            <w:hideMark/>
          </w:tcPr>
          <w:p w14:paraId="4D995A7A" w14:textId="77777777" w:rsidR="00D1755C" w:rsidRPr="002974C5" w:rsidRDefault="00D1755C" w:rsidP="00D1755C">
            <w:pPr>
              <w:jc w:val="center"/>
              <w:rPr>
                <w:rFonts w:ascii="Calibri" w:eastAsia="Times New Roman" w:hAnsi="Calibri" w:cs="Times New Roman"/>
                <w:b/>
                <w:bCs/>
                <w:color w:val="FFFFFF"/>
                <w:szCs w:val="20"/>
              </w:rPr>
            </w:pPr>
            <w:r>
              <w:rPr>
                <w:rFonts w:ascii="Calibri" w:eastAsia="Times New Roman" w:hAnsi="Calibri" w:cs="Times New Roman"/>
                <w:b/>
                <w:bCs/>
                <w:color w:val="FFFFFF"/>
                <w:szCs w:val="20"/>
              </w:rPr>
              <w:t>Marché de la f</w:t>
            </w:r>
            <w:r w:rsidRPr="002974C5">
              <w:rPr>
                <w:rFonts w:ascii="Calibri" w:eastAsia="Times New Roman" w:hAnsi="Calibri" w:cs="Times New Roman"/>
                <w:b/>
                <w:bCs/>
                <w:color w:val="FFFFFF"/>
                <w:szCs w:val="20"/>
              </w:rPr>
              <w:t>usion rachidienne</w:t>
            </w:r>
          </w:p>
        </w:tc>
      </w:tr>
      <w:tr w:rsidR="00D1755C" w:rsidRPr="002974C5" w14:paraId="344B09C9" w14:textId="77777777" w:rsidTr="00D1755C">
        <w:trPr>
          <w:trHeight w:val="600"/>
        </w:trPr>
        <w:tc>
          <w:tcPr>
            <w:tcW w:w="3120" w:type="dxa"/>
            <w:tcBorders>
              <w:top w:val="single" w:sz="8" w:space="0" w:color="auto"/>
              <w:left w:val="single" w:sz="8" w:space="0" w:color="auto"/>
              <w:bottom w:val="nil"/>
              <w:right w:val="single" w:sz="8" w:space="0" w:color="auto"/>
            </w:tcBorders>
            <w:shd w:val="clear" w:color="000000" w:fill="1F497D"/>
            <w:vAlign w:val="center"/>
            <w:hideMark/>
          </w:tcPr>
          <w:p w14:paraId="5E1A2825" w14:textId="77777777" w:rsidR="00D1755C" w:rsidRPr="002974C5" w:rsidRDefault="00D1755C" w:rsidP="00D1755C">
            <w:pPr>
              <w:jc w:val="center"/>
              <w:rPr>
                <w:rFonts w:ascii="Calibri" w:eastAsia="Times New Roman" w:hAnsi="Calibri" w:cs="Times New Roman"/>
                <w:b/>
                <w:bCs/>
                <w:color w:val="FFFFFF"/>
                <w:szCs w:val="20"/>
              </w:rPr>
            </w:pPr>
            <w:r w:rsidRPr="002974C5">
              <w:rPr>
                <w:rFonts w:ascii="Calibri" w:eastAsia="Times New Roman" w:hAnsi="Calibri" w:cs="Times New Roman"/>
                <w:b/>
                <w:bCs/>
                <w:color w:val="FFFFFF"/>
                <w:szCs w:val="20"/>
              </w:rPr>
              <w:t>Sociétés</w:t>
            </w:r>
          </w:p>
        </w:tc>
        <w:tc>
          <w:tcPr>
            <w:tcW w:w="2100" w:type="dxa"/>
            <w:tcBorders>
              <w:top w:val="single" w:sz="8" w:space="0" w:color="auto"/>
              <w:left w:val="nil"/>
              <w:bottom w:val="nil"/>
              <w:right w:val="single" w:sz="8" w:space="0" w:color="auto"/>
            </w:tcBorders>
            <w:shd w:val="clear" w:color="000000" w:fill="1F497D"/>
            <w:vAlign w:val="center"/>
            <w:hideMark/>
          </w:tcPr>
          <w:p w14:paraId="2C82F78C" w14:textId="77777777" w:rsidR="00D1755C" w:rsidRPr="002974C5" w:rsidRDefault="00D1755C" w:rsidP="00D1755C">
            <w:pPr>
              <w:jc w:val="center"/>
              <w:rPr>
                <w:rFonts w:ascii="Calibri" w:eastAsia="Times New Roman" w:hAnsi="Calibri" w:cs="Times New Roman"/>
                <w:b/>
                <w:bCs/>
                <w:color w:val="FFFFFF"/>
                <w:szCs w:val="20"/>
              </w:rPr>
            </w:pPr>
            <w:r w:rsidRPr="002974C5">
              <w:rPr>
                <w:rFonts w:ascii="Calibri" w:eastAsia="Times New Roman" w:hAnsi="Calibri" w:cs="Times New Roman"/>
                <w:b/>
                <w:bCs/>
                <w:color w:val="FFFFFF"/>
                <w:szCs w:val="20"/>
              </w:rPr>
              <w:t>Pays</w:t>
            </w:r>
          </w:p>
        </w:tc>
        <w:tc>
          <w:tcPr>
            <w:tcW w:w="2100" w:type="dxa"/>
            <w:tcBorders>
              <w:top w:val="nil"/>
              <w:left w:val="nil"/>
              <w:bottom w:val="single" w:sz="8" w:space="0" w:color="auto"/>
              <w:right w:val="single" w:sz="8" w:space="0" w:color="auto"/>
            </w:tcBorders>
            <w:shd w:val="clear" w:color="000000" w:fill="1F497D"/>
            <w:vAlign w:val="center"/>
            <w:hideMark/>
          </w:tcPr>
          <w:p w14:paraId="375F831C" w14:textId="331F3CEE" w:rsidR="00D1755C" w:rsidRPr="002974C5" w:rsidRDefault="00D1755C" w:rsidP="0081753C">
            <w:pPr>
              <w:jc w:val="center"/>
              <w:rPr>
                <w:rFonts w:ascii="Calibri" w:eastAsia="Times New Roman" w:hAnsi="Calibri" w:cs="Times New Roman"/>
                <w:b/>
                <w:bCs/>
                <w:color w:val="FFFFFF"/>
                <w:szCs w:val="20"/>
              </w:rPr>
            </w:pPr>
            <w:r w:rsidRPr="002974C5">
              <w:rPr>
                <w:rFonts w:ascii="Calibri" w:eastAsia="Times New Roman" w:hAnsi="Calibri" w:cs="Times New Roman"/>
                <w:b/>
                <w:bCs/>
                <w:color w:val="FFFFFF"/>
                <w:szCs w:val="20"/>
              </w:rPr>
              <w:t xml:space="preserve"> CA </w:t>
            </w:r>
            <w:r w:rsidRPr="0081753C">
              <w:rPr>
                <w:rFonts w:ascii="Calibri" w:eastAsia="Times New Roman" w:hAnsi="Calibri" w:cs="Times New Roman"/>
                <w:b/>
                <w:bCs/>
                <w:color w:val="FFFFFF" w:themeColor="background1"/>
                <w:szCs w:val="20"/>
              </w:rPr>
              <w:t>2019</w:t>
            </w:r>
            <w:r w:rsidR="0081753C">
              <w:rPr>
                <w:rFonts w:ascii="Calibri" w:eastAsia="Times New Roman" w:hAnsi="Calibri" w:cs="Times New Roman"/>
                <w:b/>
                <w:bCs/>
                <w:color w:val="FFFFFF" w:themeColor="background1"/>
                <w:szCs w:val="20"/>
              </w:rPr>
              <w:t xml:space="preserve"> (M</w:t>
            </w:r>
            <w:r w:rsidR="0081753C" w:rsidRPr="0081753C">
              <w:rPr>
                <w:color w:val="FFFFFF" w:themeColor="background1"/>
              </w:rPr>
              <w:t>$</w:t>
            </w:r>
            <w:r w:rsidR="0081753C">
              <w:rPr>
                <w:color w:val="FFFFFF" w:themeColor="background1"/>
              </w:rPr>
              <w:t>)</w:t>
            </w:r>
          </w:p>
        </w:tc>
        <w:tc>
          <w:tcPr>
            <w:tcW w:w="2100" w:type="dxa"/>
            <w:tcBorders>
              <w:top w:val="nil"/>
              <w:left w:val="nil"/>
              <w:bottom w:val="single" w:sz="8" w:space="0" w:color="auto"/>
              <w:right w:val="single" w:sz="8" w:space="0" w:color="auto"/>
            </w:tcBorders>
            <w:shd w:val="clear" w:color="000000" w:fill="1F497D"/>
            <w:vAlign w:val="center"/>
            <w:hideMark/>
          </w:tcPr>
          <w:p w14:paraId="6635AD6D" w14:textId="77777777" w:rsidR="00D1755C" w:rsidRPr="002974C5" w:rsidRDefault="00D1755C" w:rsidP="00D1755C">
            <w:pPr>
              <w:jc w:val="center"/>
              <w:rPr>
                <w:rFonts w:ascii="Calibri" w:eastAsia="Times New Roman" w:hAnsi="Calibri" w:cs="Times New Roman"/>
                <w:b/>
                <w:bCs/>
                <w:color w:val="FFFFFF"/>
                <w:szCs w:val="20"/>
              </w:rPr>
            </w:pPr>
            <w:r w:rsidRPr="002974C5">
              <w:rPr>
                <w:rFonts w:ascii="Calibri" w:eastAsia="Times New Roman" w:hAnsi="Calibri" w:cs="Times New Roman"/>
                <w:b/>
                <w:bCs/>
                <w:color w:val="FFFFFF"/>
                <w:szCs w:val="20"/>
              </w:rPr>
              <w:t xml:space="preserve">Parts de marché 2019 </w:t>
            </w:r>
          </w:p>
        </w:tc>
      </w:tr>
      <w:tr w:rsidR="00D1755C" w:rsidRPr="002974C5" w14:paraId="2455B903" w14:textId="77777777" w:rsidTr="00D1755C">
        <w:trPr>
          <w:trHeight w:val="320"/>
        </w:trPr>
        <w:tc>
          <w:tcPr>
            <w:tcW w:w="312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3DC34008" w14:textId="77777777" w:rsidR="00D1755C" w:rsidRPr="002974C5" w:rsidRDefault="00D1755C" w:rsidP="00D1755C">
            <w:pPr>
              <w:jc w:val="center"/>
              <w:rPr>
                <w:rFonts w:ascii="Calibri" w:eastAsia="Times New Roman" w:hAnsi="Calibri" w:cs="Times New Roman"/>
                <w:color w:val="000000"/>
                <w:szCs w:val="20"/>
              </w:rPr>
            </w:pPr>
            <w:r w:rsidRPr="002974C5">
              <w:rPr>
                <w:rFonts w:ascii="Calibri" w:eastAsia="Times New Roman" w:hAnsi="Calibri" w:cs="Times New Roman"/>
                <w:color w:val="000000"/>
                <w:szCs w:val="20"/>
              </w:rPr>
              <w:t>Medtronic</w:t>
            </w:r>
          </w:p>
        </w:tc>
        <w:tc>
          <w:tcPr>
            <w:tcW w:w="2100" w:type="dxa"/>
            <w:tcBorders>
              <w:top w:val="single" w:sz="8" w:space="0" w:color="auto"/>
              <w:left w:val="nil"/>
              <w:bottom w:val="single" w:sz="8" w:space="0" w:color="auto"/>
              <w:right w:val="single" w:sz="8" w:space="0" w:color="auto"/>
            </w:tcBorders>
            <w:shd w:val="clear" w:color="auto" w:fill="auto"/>
            <w:vAlign w:val="center"/>
            <w:hideMark/>
          </w:tcPr>
          <w:p w14:paraId="067C4ED9" w14:textId="77777777" w:rsidR="00D1755C" w:rsidRPr="002974C5" w:rsidRDefault="00D1755C" w:rsidP="00D1755C">
            <w:pPr>
              <w:jc w:val="center"/>
              <w:rPr>
                <w:rFonts w:ascii="Calibri" w:eastAsia="Times New Roman" w:hAnsi="Calibri" w:cs="Times New Roman"/>
                <w:color w:val="000000"/>
                <w:szCs w:val="20"/>
              </w:rPr>
            </w:pPr>
            <w:r w:rsidRPr="002974C5">
              <w:rPr>
                <w:rFonts w:ascii="Calibri" w:eastAsia="Times New Roman" w:hAnsi="Calibri" w:cs="Times New Roman"/>
                <w:color w:val="000000"/>
                <w:szCs w:val="20"/>
              </w:rPr>
              <w:t>Etats-Unis</w:t>
            </w:r>
          </w:p>
        </w:tc>
        <w:tc>
          <w:tcPr>
            <w:tcW w:w="2100" w:type="dxa"/>
            <w:tcBorders>
              <w:top w:val="nil"/>
              <w:left w:val="nil"/>
              <w:bottom w:val="single" w:sz="8" w:space="0" w:color="auto"/>
              <w:right w:val="single" w:sz="8" w:space="0" w:color="auto"/>
            </w:tcBorders>
            <w:shd w:val="clear" w:color="auto" w:fill="auto"/>
            <w:vAlign w:val="center"/>
            <w:hideMark/>
          </w:tcPr>
          <w:p w14:paraId="69E9896F" w14:textId="56651F34" w:rsidR="00D1755C" w:rsidRPr="002974C5" w:rsidRDefault="0081753C" w:rsidP="00D1755C">
            <w:pPr>
              <w:jc w:val="center"/>
              <w:rPr>
                <w:rFonts w:ascii="Calibri" w:eastAsia="Times New Roman" w:hAnsi="Calibri" w:cs="Times New Roman"/>
                <w:color w:val="000000"/>
                <w:szCs w:val="20"/>
              </w:rPr>
            </w:pPr>
            <w:r>
              <w:rPr>
                <w:rFonts w:ascii="Calibri" w:eastAsia="Times New Roman" w:hAnsi="Calibri" w:cs="Times New Roman"/>
                <w:color w:val="000000"/>
                <w:szCs w:val="20"/>
              </w:rPr>
              <w:t xml:space="preserve"> 2.</w:t>
            </w:r>
            <w:r w:rsidR="00D1755C" w:rsidRPr="002974C5">
              <w:rPr>
                <w:rFonts w:ascii="Calibri" w:eastAsia="Times New Roman" w:hAnsi="Calibri" w:cs="Times New Roman"/>
                <w:color w:val="000000"/>
                <w:szCs w:val="20"/>
              </w:rPr>
              <w:t xml:space="preserve">146    </w:t>
            </w:r>
          </w:p>
        </w:tc>
        <w:tc>
          <w:tcPr>
            <w:tcW w:w="2100" w:type="dxa"/>
            <w:tcBorders>
              <w:top w:val="nil"/>
              <w:left w:val="nil"/>
              <w:bottom w:val="single" w:sz="8" w:space="0" w:color="auto"/>
              <w:right w:val="single" w:sz="8" w:space="0" w:color="auto"/>
            </w:tcBorders>
            <w:shd w:val="clear" w:color="auto" w:fill="auto"/>
            <w:vAlign w:val="center"/>
            <w:hideMark/>
          </w:tcPr>
          <w:p w14:paraId="3F4A66C7" w14:textId="77777777" w:rsidR="00D1755C" w:rsidRPr="002974C5" w:rsidRDefault="00D1755C" w:rsidP="00D1755C">
            <w:pPr>
              <w:jc w:val="center"/>
              <w:rPr>
                <w:rFonts w:ascii="Calibri" w:eastAsia="Times New Roman" w:hAnsi="Calibri" w:cs="Times New Roman"/>
                <w:color w:val="000000"/>
                <w:szCs w:val="20"/>
              </w:rPr>
            </w:pPr>
            <w:r w:rsidRPr="002974C5">
              <w:rPr>
                <w:rFonts w:ascii="Calibri" w:eastAsia="Times New Roman" w:hAnsi="Calibri" w:cs="Times New Roman"/>
                <w:color w:val="000000"/>
                <w:szCs w:val="20"/>
              </w:rPr>
              <w:t>31%</w:t>
            </w:r>
          </w:p>
        </w:tc>
      </w:tr>
      <w:tr w:rsidR="00D1755C" w:rsidRPr="002974C5" w14:paraId="5C8852E2" w14:textId="77777777" w:rsidTr="00D1755C">
        <w:trPr>
          <w:trHeight w:val="320"/>
        </w:trPr>
        <w:tc>
          <w:tcPr>
            <w:tcW w:w="3120" w:type="dxa"/>
            <w:tcBorders>
              <w:top w:val="nil"/>
              <w:left w:val="single" w:sz="8" w:space="0" w:color="auto"/>
              <w:bottom w:val="single" w:sz="8" w:space="0" w:color="auto"/>
              <w:right w:val="single" w:sz="8" w:space="0" w:color="auto"/>
            </w:tcBorders>
            <w:shd w:val="clear" w:color="auto" w:fill="auto"/>
            <w:vAlign w:val="center"/>
            <w:hideMark/>
          </w:tcPr>
          <w:p w14:paraId="07A75DF8" w14:textId="2ADEC8D1" w:rsidR="00D1755C" w:rsidRPr="002974C5" w:rsidRDefault="00D16E63" w:rsidP="00B2272B">
            <w:pPr>
              <w:jc w:val="center"/>
              <w:rPr>
                <w:rFonts w:ascii="Calibri" w:eastAsia="Times New Roman" w:hAnsi="Calibri" w:cs="Times New Roman"/>
                <w:color w:val="000000"/>
                <w:szCs w:val="20"/>
              </w:rPr>
            </w:pPr>
            <w:r w:rsidRPr="002974C5">
              <w:rPr>
                <w:rFonts w:ascii="Calibri" w:eastAsia="Times New Roman" w:hAnsi="Calibri" w:cs="Times New Roman"/>
                <w:color w:val="000000"/>
                <w:szCs w:val="20"/>
              </w:rPr>
              <w:t>Jo</w:t>
            </w:r>
            <w:r>
              <w:rPr>
                <w:rFonts w:ascii="Calibri" w:eastAsia="Times New Roman" w:hAnsi="Calibri" w:cs="Times New Roman"/>
                <w:color w:val="000000"/>
                <w:szCs w:val="20"/>
              </w:rPr>
              <w:t>hn</w:t>
            </w:r>
            <w:r w:rsidRPr="002974C5">
              <w:rPr>
                <w:rFonts w:ascii="Calibri" w:eastAsia="Times New Roman" w:hAnsi="Calibri" w:cs="Times New Roman"/>
                <w:color w:val="000000"/>
                <w:szCs w:val="20"/>
              </w:rPr>
              <w:t>son</w:t>
            </w:r>
            <w:r w:rsidR="00B2272B" w:rsidRPr="002974C5">
              <w:rPr>
                <w:rFonts w:ascii="Calibri" w:eastAsia="Times New Roman" w:hAnsi="Calibri" w:cs="Times New Roman"/>
                <w:color w:val="000000"/>
                <w:szCs w:val="20"/>
              </w:rPr>
              <w:t xml:space="preserve"> </w:t>
            </w:r>
            <w:r w:rsidR="00D1755C" w:rsidRPr="002974C5">
              <w:rPr>
                <w:rFonts w:ascii="Calibri" w:eastAsia="Times New Roman" w:hAnsi="Calibri" w:cs="Times New Roman"/>
                <w:color w:val="000000"/>
                <w:szCs w:val="20"/>
              </w:rPr>
              <w:t xml:space="preserve">&amp; </w:t>
            </w:r>
            <w:r w:rsidRPr="002974C5">
              <w:rPr>
                <w:rFonts w:ascii="Calibri" w:eastAsia="Times New Roman" w:hAnsi="Calibri" w:cs="Times New Roman"/>
                <w:color w:val="000000"/>
                <w:szCs w:val="20"/>
              </w:rPr>
              <w:t>Johnson</w:t>
            </w:r>
          </w:p>
        </w:tc>
        <w:tc>
          <w:tcPr>
            <w:tcW w:w="2100" w:type="dxa"/>
            <w:tcBorders>
              <w:top w:val="nil"/>
              <w:left w:val="nil"/>
              <w:bottom w:val="single" w:sz="8" w:space="0" w:color="auto"/>
              <w:right w:val="single" w:sz="8" w:space="0" w:color="auto"/>
            </w:tcBorders>
            <w:shd w:val="clear" w:color="auto" w:fill="auto"/>
            <w:vAlign w:val="center"/>
            <w:hideMark/>
          </w:tcPr>
          <w:p w14:paraId="3ACC9736" w14:textId="77777777" w:rsidR="00D1755C" w:rsidRPr="002974C5" w:rsidRDefault="00D1755C" w:rsidP="00D1755C">
            <w:pPr>
              <w:jc w:val="center"/>
              <w:rPr>
                <w:rFonts w:ascii="Calibri" w:eastAsia="Times New Roman" w:hAnsi="Calibri" w:cs="Times New Roman"/>
                <w:color w:val="000000"/>
                <w:szCs w:val="20"/>
              </w:rPr>
            </w:pPr>
            <w:r w:rsidRPr="002974C5">
              <w:rPr>
                <w:rFonts w:ascii="Calibri" w:eastAsia="Times New Roman" w:hAnsi="Calibri" w:cs="Times New Roman"/>
                <w:color w:val="000000"/>
                <w:szCs w:val="20"/>
              </w:rPr>
              <w:t>Etats-Unis</w:t>
            </w:r>
          </w:p>
        </w:tc>
        <w:tc>
          <w:tcPr>
            <w:tcW w:w="2100" w:type="dxa"/>
            <w:tcBorders>
              <w:top w:val="nil"/>
              <w:left w:val="nil"/>
              <w:bottom w:val="single" w:sz="8" w:space="0" w:color="auto"/>
              <w:right w:val="single" w:sz="8" w:space="0" w:color="auto"/>
            </w:tcBorders>
            <w:shd w:val="clear" w:color="auto" w:fill="auto"/>
            <w:vAlign w:val="center"/>
            <w:hideMark/>
          </w:tcPr>
          <w:p w14:paraId="55D1BB39" w14:textId="236D9E65" w:rsidR="00D1755C" w:rsidRPr="002974C5" w:rsidRDefault="0081753C" w:rsidP="00D1755C">
            <w:pPr>
              <w:jc w:val="center"/>
              <w:rPr>
                <w:rFonts w:ascii="Calibri" w:eastAsia="Times New Roman" w:hAnsi="Calibri" w:cs="Times New Roman"/>
                <w:color w:val="000000"/>
                <w:szCs w:val="20"/>
              </w:rPr>
            </w:pPr>
            <w:r>
              <w:rPr>
                <w:rFonts w:ascii="Calibri" w:eastAsia="Times New Roman" w:hAnsi="Calibri" w:cs="Times New Roman"/>
                <w:color w:val="000000"/>
                <w:szCs w:val="20"/>
              </w:rPr>
              <w:t xml:space="preserve"> 1.</w:t>
            </w:r>
            <w:r w:rsidR="00D1755C" w:rsidRPr="002974C5">
              <w:rPr>
                <w:rFonts w:ascii="Calibri" w:eastAsia="Times New Roman" w:hAnsi="Calibri" w:cs="Times New Roman"/>
                <w:color w:val="000000"/>
                <w:szCs w:val="20"/>
              </w:rPr>
              <w:t xml:space="preserve">394    </w:t>
            </w:r>
          </w:p>
        </w:tc>
        <w:tc>
          <w:tcPr>
            <w:tcW w:w="2100" w:type="dxa"/>
            <w:tcBorders>
              <w:top w:val="nil"/>
              <w:left w:val="nil"/>
              <w:bottom w:val="single" w:sz="8" w:space="0" w:color="auto"/>
              <w:right w:val="single" w:sz="8" w:space="0" w:color="auto"/>
            </w:tcBorders>
            <w:shd w:val="clear" w:color="auto" w:fill="auto"/>
            <w:vAlign w:val="center"/>
            <w:hideMark/>
          </w:tcPr>
          <w:p w14:paraId="6A0853EB" w14:textId="77777777" w:rsidR="00D1755C" w:rsidRPr="002974C5" w:rsidRDefault="00D1755C" w:rsidP="00D1755C">
            <w:pPr>
              <w:jc w:val="center"/>
              <w:rPr>
                <w:rFonts w:ascii="Calibri" w:eastAsia="Times New Roman" w:hAnsi="Calibri" w:cs="Times New Roman"/>
                <w:color w:val="000000"/>
                <w:szCs w:val="20"/>
              </w:rPr>
            </w:pPr>
            <w:r w:rsidRPr="002974C5">
              <w:rPr>
                <w:rFonts w:ascii="Calibri" w:eastAsia="Times New Roman" w:hAnsi="Calibri" w:cs="Times New Roman"/>
                <w:color w:val="000000"/>
                <w:szCs w:val="20"/>
              </w:rPr>
              <w:t>20%</w:t>
            </w:r>
          </w:p>
        </w:tc>
      </w:tr>
      <w:tr w:rsidR="00D1755C" w:rsidRPr="002974C5" w14:paraId="17EF1B95" w14:textId="77777777" w:rsidTr="00D1755C">
        <w:trPr>
          <w:trHeight w:val="320"/>
        </w:trPr>
        <w:tc>
          <w:tcPr>
            <w:tcW w:w="3120" w:type="dxa"/>
            <w:tcBorders>
              <w:top w:val="nil"/>
              <w:left w:val="single" w:sz="8" w:space="0" w:color="auto"/>
              <w:bottom w:val="single" w:sz="8" w:space="0" w:color="auto"/>
              <w:right w:val="single" w:sz="8" w:space="0" w:color="auto"/>
            </w:tcBorders>
            <w:shd w:val="clear" w:color="auto" w:fill="auto"/>
            <w:vAlign w:val="center"/>
            <w:hideMark/>
          </w:tcPr>
          <w:p w14:paraId="74E0933F" w14:textId="591A73ED" w:rsidR="00D1755C" w:rsidRPr="002974C5" w:rsidRDefault="00D1755C" w:rsidP="00D1755C">
            <w:pPr>
              <w:jc w:val="center"/>
              <w:rPr>
                <w:rFonts w:ascii="Calibri" w:eastAsia="Times New Roman" w:hAnsi="Calibri" w:cs="Times New Roman"/>
                <w:color w:val="000000"/>
                <w:szCs w:val="20"/>
              </w:rPr>
            </w:pPr>
            <w:r w:rsidRPr="002974C5">
              <w:rPr>
                <w:rFonts w:ascii="Calibri" w:eastAsia="Times New Roman" w:hAnsi="Calibri" w:cs="Times New Roman"/>
                <w:color w:val="000000"/>
                <w:szCs w:val="20"/>
              </w:rPr>
              <w:t>St</w:t>
            </w:r>
            <w:r w:rsidR="00B2272B">
              <w:rPr>
                <w:rFonts w:ascii="Calibri" w:eastAsia="Times New Roman" w:hAnsi="Calibri" w:cs="Times New Roman"/>
                <w:color w:val="000000"/>
                <w:szCs w:val="20"/>
              </w:rPr>
              <w:t>r</w:t>
            </w:r>
            <w:r w:rsidRPr="002974C5">
              <w:rPr>
                <w:rFonts w:ascii="Calibri" w:eastAsia="Times New Roman" w:hAnsi="Calibri" w:cs="Times New Roman"/>
                <w:color w:val="000000"/>
                <w:szCs w:val="20"/>
              </w:rPr>
              <w:t>yker Cop</w:t>
            </w:r>
          </w:p>
        </w:tc>
        <w:tc>
          <w:tcPr>
            <w:tcW w:w="2100" w:type="dxa"/>
            <w:tcBorders>
              <w:top w:val="nil"/>
              <w:left w:val="nil"/>
              <w:bottom w:val="single" w:sz="8" w:space="0" w:color="auto"/>
              <w:right w:val="single" w:sz="8" w:space="0" w:color="auto"/>
            </w:tcBorders>
            <w:shd w:val="clear" w:color="auto" w:fill="auto"/>
            <w:vAlign w:val="center"/>
            <w:hideMark/>
          </w:tcPr>
          <w:p w14:paraId="667DCE59" w14:textId="77777777" w:rsidR="00D1755C" w:rsidRPr="002974C5" w:rsidRDefault="00D1755C" w:rsidP="00D1755C">
            <w:pPr>
              <w:jc w:val="center"/>
              <w:rPr>
                <w:rFonts w:ascii="Calibri" w:eastAsia="Times New Roman" w:hAnsi="Calibri" w:cs="Times New Roman"/>
                <w:color w:val="000000"/>
                <w:szCs w:val="20"/>
              </w:rPr>
            </w:pPr>
            <w:r w:rsidRPr="002974C5">
              <w:rPr>
                <w:rFonts w:ascii="Calibri" w:eastAsia="Times New Roman" w:hAnsi="Calibri" w:cs="Times New Roman"/>
                <w:color w:val="000000"/>
                <w:szCs w:val="20"/>
              </w:rPr>
              <w:t>Etats-Unis</w:t>
            </w:r>
          </w:p>
        </w:tc>
        <w:tc>
          <w:tcPr>
            <w:tcW w:w="2100" w:type="dxa"/>
            <w:tcBorders>
              <w:top w:val="nil"/>
              <w:left w:val="nil"/>
              <w:bottom w:val="single" w:sz="8" w:space="0" w:color="auto"/>
              <w:right w:val="single" w:sz="8" w:space="0" w:color="auto"/>
            </w:tcBorders>
            <w:shd w:val="clear" w:color="auto" w:fill="auto"/>
            <w:vAlign w:val="center"/>
            <w:hideMark/>
          </w:tcPr>
          <w:p w14:paraId="03620CEB" w14:textId="77777777" w:rsidR="00D1755C" w:rsidRPr="002974C5" w:rsidRDefault="00D1755C" w:rsidP="00D1755C">
            <w:pPr>
              <w:jc w:val="center"/>
              <w:rPr>
                <w:rFonts w:ascii="Calibri" w:eastAsia="Times New Roman" w:hAnsi="Calibri" w:cs="Times New Roman"/>
                <w:color w:val="000000"/>
                <w:szCs w:val="20"/>
              </w:rPr>
            </w:pPr>
            <w:r w:rsidRPr="002974C5">
              <w:rPr>
                <w:rFonts w:ascii="Calibri" w:eastAsia="Times New Roman" w:hAnsi="Calibri" w:cs="Times New Roman"/>
                <w:color w:val="000000"/>
                <w:szCs w:val="20"/>
              </w:rPr>
              <w:t xml:space="preserve"> 587    </w:t>
            </w:r>
          </w:p>
        </w:tc>
        <w:tc>
          <w:tcPr>
            <w:tcW w:w="2100" w:type="dxa"/>
            <w:tcBorders>
              <w:top w:val="nil"/>
              <w:left w:val="nil"/>
              <w:bottom w:val="single" w:sz="8" w:space="0" w:color="auto"/>
              <w:right w:val="single" w:sz="8" w:space="0" w:color="auto"/>
            </w:tcBorders>
            <w:shd w:val="clear" w:color="auto" w:fill="auto"/>
            <w:vAlign w:val="center"/>
            <w:hideMark/>
          </w:tcPr>
          <w:p w14:paraId="63964C04" w14:textId="77777777" w:rsidR="00D1755C" w:rsidRPr="002974C5" w:rsidRDefault="00D1755C" w:rsidP="00D1755C">
            <w:pPr>
              <w:jc w:val="center"/>
              <w:rPr>
                <w:rFonts w:ascii="Calibri" w:eastAsia="Times New Roman" w:hAnsi="Calibri" w:cs="Times New Roman"/>
                <w:color w:val="000000"/>
                <w:szCs w:val="20"/>
              </w:rPr>
            </w:pPr>
            <w:r w:rsidRPr="002974C5">
              <w:rPr>
                <w:rFonts w:ascii="Calibri" w:eastAsia="Times New Roman" w:hAnsi="Calibri" w:cs="Times New Roman"/>
                <w:color w:val="000000"/>
                <w:szCs w:val="20"/>
              </w:rPr>
              <w:t>9%</w:t>
            </w:r>
          </w:p>
        </w:tc>
      </w:tr>
      <w:tr w:rsidR="00D1755C" w:rsidRPr="002974C5" w14:paraId="66650E18" w14:textId="77777777" w:rsidTr="00D1755C">
        <w:trPr>
          <w:trHeight w:val="320"/>
        </w:trPr>
        <w:tc>
          <w:tcPr>
            <w:tcW w:w="3120" w:type="dxa"/>
            <w:tcBorders>
              <w:top w:val="nil"/>
              <w:left w:val="single" w:sz="8" w:space="0" w:color="auto"/>
              <w:bottom w:val="single" w:sz="8" w:space="0" w:color="auto"/>
              <w:right w:val="single" w:sz="8" w:space="0" w:color="auto"/>
            </w:tcBorders>
            <w:shd w:val="clear" w:color="auto" w:fill="auto"/>
            <w:vAlign w:val="center"/>
            <w:hideMark/>
          </w:tcPr>
          <w:p w14:paraId="4B01ECB5" w14:textId="77777777" w:rsidR="00D1755C" w:rsidRPr="002974C5" w:rsidRDefault="00D1755C" w:rsidP="00D1755C">
            <w:pPr>
              <w:jc w:val="center"/>
              <w:rPr>
                <w:rFonts w:ascii="Calibri" w:eastAsia="Times New Roman" w:hAnsi="Calibri" w:cs="Times New Roman"/>
                <w:color w:val="000000"/>
                <w:szCs w:val="20"/>
              </w:rPr>
            </w:pPr>
            <w:r w:rsidRPr="002974C5">
              <w:rPr>
                <w:rFonts w:ascii="Calibri" w:eastAsia="Times New Roman" w:hAnsi="Calibri" w:cs="Times New Roman"/>
                <w:color w:val="000000"/>
                <w:szCs w:val="20"/>
              </w:rPr>
              <w:t>NuVasive Inc</w:t>
            </w:r>
          </w:p>
        </w:tc>
        <w:tc>
          <w:tcPr>
            <w:tcW w:w="2100" w:type="dxa"/>
            <w:tcBorders>
              <w:top w:val="nil"/>
              <w:left w:val="nil"/>
              <w:bottom w:val="single" w:sz="8" w:space="0" w:color="auto"/>
              <w:right w:val="single" w:sz="8" w:space="0" w:color="auto"/>
            </w:tcBorders>
            <w:shd w:val="clear" w:color="auto" w:fill="auto"/>
            <w:vAlign w:val="center"/>
            <w:hideMark/>
          </w:tcPr>
          <w:p w14:paraId="23E2C3D5" w14:textId="77777777" w:rsidR="00D1755C" w:rsidRPr="002974C5" w:rsidRDefault="00D1755C" w:rsidP="00D1755C">
            <w:pPr>
              <w:jc w:val="center"/>
              <w:rPr>
                <w:rFonts w:ascii="Calibri" w:eastAsia="Times New Roman" w:hAnsi="Calibri" w:cs="Times New Roman"/>
                <w:color w:val="000000"/>
                <w:szCs w:val="20"/>
              </w:rPr>
            </w:pPr>
            <w:r w:rsidRPr="002974C5">
              <w:rPr>
                <w:rFonts w:ascii="Calibri" w:eastAsia="Times New Roman" w:hAnsi="Calibri" w:cs="Times New Roman"/>
                <w:color w:val="000000"/>
                <w:szCs w:val="20"/>
              </w:rPr>
              <w:t>Etats-Unis</w:t>
            </w:r>
          </w:p>
        </w:tc>
        <w:tc>
          <w:tcPr>
            <w:tcW w:w="2100" w:type="dxa"/>
            <w:tcBorders>
              <w:top w:val="nil"/>
              <w:left w:val="nil"/>
              <w:bottom w:val="single" w:sz="8" w:space="0" w:color="auto"/>
              <w:right w:val="single" w:sz="8" w:space="0" w:color="auto"/>
            </w:tcBorders>
            <w:shd w:val="clear" w:color="auto" w:fill="auto"/>
            <w:vAlign w:val="center"/>
            <w:hideMark/>
          </w:tcPr>
          <w:p w14:paraId="4D7F8151" w14:textId="77777777" w:rsidR="00D1755C" w:rsidRPr="002974C5" w:rsidRDefault="00D1755C" w:rsidP="00D1755C">
            <w:pPr>
              <w:jc w:val="center"/>
              <w:rPr>
                <w:rFonts w:ascii="Calibri" w:eastAsia="Times New Roman" w:hAnsi="Calibri" w:cs="Times New Roman"/>
                <w:color w:val="000000"/>
                <w:szCs w:val="20"/>
              </w:rPr>
            </w:pPr>
            <w:r w:rsidRPr="002974C5">
              <w:rPr>
                <w:rFonts w:ascii="Calibri" w:eastAsia="Times New Roman" w:hAnsi="Calibri" w:cs="Times New Roman"/>
                <w:color w:val="000000"/>
                <w:szCs w:val="20"/>
              </w:rPr>
              <w:t xml:space="preserve"> 422    </w:t>
            </w:r>
          </w:p>
        </w:tc>
        <w:tc>
          <w:tcPr>
            <w:tcW w:w="2100" w:type="dxa"/>
            <w:tcBorders>
              <w:top w:val="nil"/>
              <w:left w:val="nil"/>
              <w:bottom w:val="single" w:sz="8" w:space="0" w:color="auto"/>
              <w:right w:val="single" w:sz="8" w:space="0" w:color="auto"/>
            </w:tcBorders>
            <w:shd w:val="clear" w:color="auto" w:fill="auto"/>
            <w:vAlign w:val="center"/>
            <w:hideMark/>
          </w:tcPr>
          <w:p w14:paraId="2F90F072" w14:textId="77777777" w:rsidR="00D1755C" w:rsidRPr="002974C5" w:rsidRDefault="00D1755C" w:rsidP="00D1755C">
            <w:pPr>
              <w:jc w:val="center"/>
              <w:rPr>
                <w:rFonts w:ascii="Calibri" w:eastAsia="Times New Roman" w:hAnsi="Calibri" w:cs="Times New Roman"/>
                <w:color w:val="000000"/>
                <w:szCs w:val="20"/>
              </w:rPr>
            </w:pPr>
            <w:r w:rsidRPr="002974C5">
              <w:rPr>
                <w:rFonts w:ascii="Calibri" w:eastAsia="Times New Roman" w:hAnsi="Calibri" w:cs="Times New Roman"/>
                <w:color w:val="000000"/>
                <w:szCs w:val="20"/>
              </w:rPr>
              <w:t>6%</w:t>
            </w:r>
          </w:p>
        </w:tc>
      </w:tr>
      <w:tr w:rsidR="00D1755C" w:rsidRPr="002974C5" w14:paraId="67A1C69A" w14:textId="77777777" w:rsidTr="00D1755C">
        <w:trPr>
          <w:trHeight w:val="320"/>
        </w:trPr>
        <w:tc>
          <w:tcPr>
            <w:tcW w:w="3120" w:type="dxa"/>
            <w:tcBorders>
              <w:top w:val="nil"/>
              <w:left w:val="single" w:sz="8" w:space="0" w:color="auto"/>
              <w:bottom w:val="single" w:sz="8" w:space="0" w:color="auto"/>
              <w:right w:val="single" w:sz="8" w:space="0" w:color="auto"/>
            </w:tcBorders>
            <w:shd w:val="clear" w:color="auto" w:fill="auto"/>
            <w:vAlign w:val="center"/>
            <w:hideMark/>
          </w:tcPr>
          <w:p w14:paraId="4DDA8FE6" w14:textId="77777777" w:rsidR="00D1755C" w:rsidRPr="002974C5" w:rsidRDefault="00D1755C" w:rsidP="00D1755C">
            <w:pPr>
              <w:jc w:val="center"/>
              <w:rPr>
                <w:rFonts w:ascii="Calibri" w:eastAsia="Times New Roman" w:hAnsi="Calibri" w:cs="Times New Roman"/>
                <w:color w:val="000000"/>
                <w:szCs w:val="20"/>
              </w:rPr>
            </w:pPr>
            <w:r w:rsidRPr="002974C5">
              <w:rPr>
                <w:rFonts w:ascii="Calibri" w:eastAsia="Times New Roman" w:hAnsi="Calibri" w:cs="Times New Roman"/>
                <w:color w:val="000000"/>
                <w:szCs w:val="20"/>
              </w:rPr>
              <w:t>Globus Medical Inc</w:t>
            </w:r>
          </w:p>
        </w:tc>
        <w:tc>
          <w:tcPr>
            <w:tcW w:w="2100" w:type="dxa"/>
            <w:tcBorders>
              <w:top w:val="nil"/>
              <w:left w:val="nil"/>
              <w:bottom w:val="single" w:sz="8" w:space="0" w:color="auto"/>
              <w:right w:val="single" w:sz="8" w:space="0" w:color="auto"/>
            </w:tcBorders>
            <w:shd w:val="clear" w:color="auto" w:fill="auto"/>
            <w:vAlign w:val="center"/>
            <w:hideMark/>
          </w:tcPr>
          <w:p w14:paraId="54CF5AF2" w14:textId="77777777" w:rsidR="00D1755C" w:rsidRPr="002974C5" w:rsidRDefault="00D1755C" w:rsidP="00D1755C">
            <w:pPr>
              <w:jc w:val="center"/>
              <w:rPr>
                <w:rFonts w:ascii="Calibri" w:eastAsia="Times New Roman" w:hAnsi="Calibri" w:cs="Times New Roman"/>
                <w:color w:val="000000"/>
                <w:szCs w:val="20"/>
              </w:rPr>
            </w:pPr>
            <w:r w:rsidRPr="002974C5">
              <w:rPr>
                <w:rFonts w:ascii="Calibri" w:eastAsia="Times New Roman" w:hAnsi="Calibri" w:cs="Times New Roman"/>
                <w:color w:val="000000"/>
                <w:szCs w:val="20"/>
              </w:rPr>
              <w:t>Etats-Unis</w:t>
            </w:r>
          </w:p>
        </w:tc>
        <w:tc>
          <w:tcPr>
            <w:tcW w:w="2100" w:type="dxa"/>
            <w:tcBorders>
              <w:top w:val="nil"/>
              <w:left w:val="nil"/>
              <w:bottom w:val="single" w:sz="8" w:space="0" w:color="auto"/>
              <w:right w:val="single" w:sz="8" w:space="0" w:color="auto"/>
            </w:tcBorders>
            <w:shd w:val="clear" w:color="auto" w:fill="auto"/>
            <w:vAlign w:val="center"/>
            <w:hideMark/>
          </w:tcPr>
          <w:p w14:paraId="31E0E170" w14:textId="77777777" w:rsidR="00D1755C" w:rsidRPr="002974C5" w:rsidRDefault="00D1755C" w:rsidP="00D1755C">
            <w:pPr>
              <w:jc w:val="center"/>
              <w:rPr>
                <w:rFonts w:ascii="Calibri" w:eastAsia="Times New Roman" w:hAnsi="Calibri" w:cs="Times New Roman"/>
                <w:color w:val="000000"/>
                <w:szCs w:val="20"/>
              </w:rPr>
            </w:pPr>
            <w:r w:rsidRPr="002974C5">
              <w:rPr>
                <w:rFonts w:ascii="Calibri" w:eastAsia="Times New Roman" w:hAnsi="Calibri" w:cs="Times New Roman"/>
                <w:color w:val="000000"/>
                <w:szCs w:val="20"/>
              </w:rPr>
              <w:t xml:space="preserve"> 420    </w:t>
            </w:r>
          </w:p>
        </w:tc>
        <w:tc>
          <w:tcPr>
            <w:tcW w:w="2100" w:type="dxa"/>
            <w:tcBorders>
              <w:top w:val="nil"/>
              <w:left w:val="nil"/>
              <w:bottom w:val="single" w:sz="8" w:space="0" w:color="auto"/>
              <w:right w:val="single" w:sz="8" w:space="0" w:color="auto"/>
            </w:tcBorders>
            <w:shd w:val="clear" w:color="auto" w:fill="auto"/>
            <w:vAlign w:val="center"/>
            <w:hideMark/>
          </w:tcPr>
          <w:p w14:paraId="1B355244" w14:textId="77777777" w:rsidR="00D1755C" w:rsidRPr="002974C5" w:rsidRDefault="00D1755C" w:rsidP="00D1755C">
            <w:pPr>
              <w:jc w:val="center"/>
              <w:rPr>
                <w:rFonts w:ascii="Calibri" w:eastAsia="Times New Roman" w:hAnsi="Calibri" w:cs="Times New Roman"/>
                <w:color w:val="000000"/>
                <w:szCs w:val="20"/>
              </w:rPr>
            </w:pPr>
            <w:r w:rsidRPr="002974C5">
              <w:rPr>
                <w:rFonts w:ascii="Calibri" w:eastAsia="Times New Roman" w:hAnsi="Calibri" w:cs="Times New Roman"/>
                <w:color w:val="000000"/>
                <w:szCs w:val="20"/>
              </w:rPr>
              <w:t>6%</w:t>
            </w:r>
          </w:p>
        </w:tc>
      </w:tr>
      <w:tr w:rsidR="00D1755C" w:rsidRPr="002974C5" w14:paraId="4D713117" w14:textId="77777777" w:rsidTr="00D1755C">
        <w:trPr>
          <w:trHeight w:val="320"/>
        </w:trPr>
        <w:tc>
          <w:tcPr>
            <w:tcW w:w="3120" w:type="dxa"/>
            <w:tcBorders>
              <w:top w:val="nil"/>
              <w:left w:val="single" w:sz="8" w:space="0" w:color="auto"/>
              <w:bottom w:val="single" w:sz="8" w:space="0" w:color="auto"/>
              <w:right w:val="single" w:sz="8" w:space="0" w:color="auto"/>
            </w:tcBorders>
            <w:shd w:val="clear" w:color="auto" w:fill="auto"/>
            <w:vAlign w:val="center"/>
            <w:hideMark/>
          </w:tcPr>
          <w:p w14:paraId="444D0239" w14:textId="77777777" w:rsidR="00D1755C" w:rsidRPr="002974C5" w:rsidRDefault="00D1755C" w:rsidP="00D1755C">
            <w:pPr>
              <w:jc w:val="center"/>
              <w:rPr>
                <w:rFonts w:ascii="Calibri" w:eastAsia="Times New Roman" w:hAnsi="Calibri" w:cs="Times New Roman"/>
                <w:color w:val="000000"/>
                <w:szCs w:val="20"/>
              </w:rPr>
            </w:pPr>
            <w:r w:rsidRPr="002974C5">
              <w:rPr>
                <w:rFonts w:ascii="Calibri" w:eastAsia="Times New Roman" w:hAnsi="Calibri" w:cs="Times New Roman"/>
                <w:color w:val="000000"/>
                <w:szCs w:val="20"/>
              </w:rPr>
              <w:t>Zimmer Blomet Holdings Inc</w:t>
            </w:r>
          </w:p>
        </w:tc>
        <w:tc>
          <w:tcPr>
            <w:tcW w:w="2100" w:type="dxa"/>
            <w:tcBorders>
              <w:top w:val="nil"/>
              <w:left w:val="nil"/>
              <w:bottom w:val="single" w:sz="8" w:space="0" w:color="auto"/>
              <w:right w:val="single" w:sz="8" w:space="0" w:color="auto"/>
            </w:tcBorders>
            <w:shd w:val="clear" w:color="auto" w:fill="auto"/>
            <w:vAlign w:val="center"/>
            <w:hideMark/>
          </w:tcPr>
          <w:p w14:paraId="595B1D59" w14:textId="77777777" w:rsidR="00D1755C" w:rsidRPr="002974C5" w:rsidRDefault="00D1755C" w:rsidP="00D1755C">
            <w:pPr>
              <w:jc w:val="center"/>
              <w:rPr>
                <w:rFonts w:ascii="Calibri" w:eastAsia="Times New Roman" w:hAnsi="Calibri" w:cs="Times New Roman"/>
                <w:color w:val="000000"/>
                <w:szCs w:val="20"/>
              </w:rPr>
            </w:pPr>
            <w:r w:rsidRPr="002974C5">
              <w:rPr>
                <w:rFonts w:ascii="Calibri" w:eastAsia="Times New Roman" w:hAnsi="Calibri" w:cs="Times New Roman"/>
                <w:color w:val="000000"/>
                <w:szCs w:val="20"/>
              </w:rPr>
              <w:t>Etats-Unis</w:t>
            </w:r>
          </w:p>
        </w:tc>
        <w:tc>
          <w:tcPr>
            <w:tcW w:w="2100" w:type="dxa"/>
            <w:tcBorders>
              <w:top w:val="nil"/>
              <w:left w:val="nil"/>
              <w:bottom w:val="single" w:sz="8" w:space="0" w:color="auto"/>
              <w:right w:val="single" w:sz="8" w:space="0" w:color="auto"/>
            </w:tcBorders>
            <w:shd w:val="clear" w:color="auto" w:fill="auto"/>
            <w:vAlign w:val="center"/>
            <w:hideMark/>
          </w:tcPr>
          <w:p w14:paraId="1781B49A" w14:textId="77777777" w:rsidR="00D1755C" w:rsidRPr="002974C5" w:rsidRDefault="00D1755C" w:rsidP="00D1755C">
            <w:pPr>
              <w:jc w:val="center"/>
              <w:rPr>
                <w:rFonts w:ascii="Calibri" w:eastAsia="Times New Roman" w:hAnsi="Calibri" w:cs="Times New Roman"/>
                <w:color w:val="000000"/>
                <w:szCs w:val="20"/>
              </w:rPr>
            </w:pPr>
            <w:r w:rsidRPr="002974C5">
              <w:rPr>
                <w:rFonts w:ascii="Calibri" w:eastAsia="Times New Roman" w:hAnsi="Calibri" w:cs="Times New Roman"/>
                <w:color w:val="000000"/>
                <w:szCs w:val="20"/>
              </w:rPr>
              <w:t xml:space="preserve"> 369    </w:t>
            </w:r>
          </w:p>
        </w:tc>
        <w:tc>
          <w:tcPr>
            <w:tcW w:w="2100" w:type="dxa"/>
            <w:tcBorders>
              <w:top w:val="nil"/>
              <w:left w:val="nil"/>
              <w:bottom w:val="single" w:sz="8" w:space="0" w:color="auto"/>
              <w:right w:val="single" w:sz="8" w:space="0" w:color="auto"/>
            </w:tcBorders>
            <w:shd w:val="clear" w:color="auto" w:fill="auto"/>
            <w:vAlign w:val="center"/>
            <w:hideMark/>
          </w:tcPr>
          <w:p w14:paraId="65FA468B" w14:textId="77777777" w:rsidR="00D1755C" w:rsidRPr="002974C5" w:rsidRDefault="00D1755C" w:rsidP="00D1755C">
            <w:pPr>
              <w:jc w:val="center"/>
              <w:rPr>
                <w:rFonts w:ascii="Calibri" w:eastAsia="Times New Roman" w:hAnsi="Calibri" w:cs="Times New Roman"/>
                <w:color w:val="000000"/>
                <w:szCs w:val="20"/>
              </w:rPr>
            </w:pPr>
            <w:r w:rsidRPr="002974C5">
              <w:rPr>
                <w:rFonts w:ascii="Calibri" w:eastAsia="Times New Roman" w:hAnsi="Calibri" w:cs="Times New Roman"/>
                <w:color w:val="000000"/>
                <w:szCs w:val="20"/>
              </w:rPr>
              <w:t>5%</w:t>
            </w:r>
          </w:p>
        </w:tc>
      </w:tr>
      <w:tr w:rsidR="00D1755C" w:rsidRPr="002974C5" w14:paraId="0EFCBDB6" w14:textId="77777777" w:rsidTr="00D1755C">
        <w:trPr>
          <w:trHeight w:val="320"/>
        </w:trPr>
        <w:tc>
          <w:tcPr>
            <w:tcW w:w="3120" w:type="dxa"/>
            <w:tcBorders>
              <w:top w:val="nil"/>
              <w:left w:val="single" w:sz="8" w:space="0" w:color="auto"/>
              <w:bottom w:val="single" w:sz="8" w:space="0" w:color="auto"/>
              <w:right w:val="single" w:sz="8" w:space="0" w:color="auto"/>
            </w:tcBorders>
            <w:shd w:val="clear" w:color="auto" w:fill="auto"/>
            <w:vAlign w:val="center"/>
            <w:hideMark/>
          </w:tcPr>
          <w:p w14:paraId="0A751D18" w14:textId="77777777" w:rsidR="00D1755C" w:rsidRPr="002974C5" w:rsidRDefault="00D1755C" w:rsidP="00D1755C">
            <w:pPr>
              <w:jc w:val="center"/>
              <w:rPr>
                <w:rFonts w:ascii="Calibri" w:eastAsia="Times New Roman" w:hAnsi="Calibri" w:cs="Times New Roman"/>
                <w:color w:val="000000"/>
                <w:szCs w:val="20"/>
              </w:rPr>
            </w:pPr>
            <w:r w:rsidRPr="002974C5">
              <w:rPr>
                <w:rFonts w:ascii="Calibri" w:eastAsia="Times New Roman" w:hAnsi="Calibri" w:cs="Times New Roman"/>
                <w:color w:val="000000"/>
                <w:szCs w:val="20"/>
              </w:rPr>
              <w:t>Autres intervenants</w:t>
            </w:r>
          </w:p>
        </w:tc>
        <w:tc>
          <w:tcPr>
            <w:tcW w:w="2100" w:type="dxa"/>
            <w:tcBorders>
              <w:top w:val="nil"/>
              <w:left w:val="nil"/>
              <w:bottom w:val="single" w:sz="8" w:space="0" w:color="auto"/>
              <w:right w:val="single" w:sz="8" w:space="0" w:color="auto"/>
            </w:tcBorders>
            <w:shd w:val="clear" w:color="auto" w:fill="auto"/>
            <w:vAlign w:val="center"/>
            <w:hideMark/>
          </w:tcPr>
          <w:p w14:paraId="49E9DE1C" w14:textId="77777777" w:rsidR="00D1755C" w:rsidRPr="002974C5" w:rsidRDefault="00D1755C" w:rsidP="00D1755C">
            <w:pPr>
              <w:jc w:val="center"/>
              <w:rPr>
                <w:rFonts w:ascii="Calibri" w:eastAsia="Times New Roman" w:hAnsi="Calibri" w:cs="Times New Roman"/>
                <w:color w:val="000000"/>
                <w:szCs w:val="20"/>
              </w:rPr>
            </w:pPr>
            <w:r w:rsidRPr="002974C5">
              <w:rPr>
                <w:rFonts w:ascii="Calibri" w:eastAsia="Times New Roman" w:hAnsi="Calibri" w:cs="Times New Roman"/>
                <w:color w:val="000000"/>
                <w:szCs w:val="20"/>
              </w:rPr>
              <w:t>-</w:t>
            </w:r>
          </w:p>
        </w:tc>
        <w:tc>
          <w:tcPr>
            <w:tcW w:w="2100" w:type="dxa"/>
            <w:tcBorders>
              <w:top w:val="nil"/>
              <w:left w:val="nil"/>
              <w:bottom w:val="single" w:sz="8" w:space="0" w:color="auto"/>
              <w:right w:val="single" w:sz="8" w:space="0" w:color="auto"/>
            </w:tcBorders>
            <w:shd w:val="clear" w:color="auto" w:fill="auto"/>
            <w:vAlign w:val="center"/>
            <w:hideMark/>
          </w:tcPr>
          <w:p w14:paraId="2BFAC173" w14:textId="77777777" w:rsidR="00D1755C" w:rsidRPr="002974C5" w:rsidRDefault="00D1755C" w:rsidP="00D1755C">
            <w:pPr>
              <w:jc w:val="center"/>
              <w:rPr>
                <w:rFonts w:ascii="Calibri" w:eastAsia="Times New Roman" w:hAnsi="Calibri" w:cs="Times New Roman"/>
                <w:color w:val="000000"/>
                <w:szCs w:val="20"/>
              </w:rPr>
            </w:pPr>
            <w:r w:rsidRPr="002974C5">
              <w:rPr>
                <w:rFonts w:ascii="Calibri" w:eastAsia="Times New Roman" w:hAnsi="Calibri" w:cs="Times New Roman"/>
                <w:color w:val="000000"/>
                <w:szCs w:val="20"/>
              </w:rPr>
              <w:t xml:space="preserve"> 777    </w:t>
            </w:r>
          </w:p>
        </w:tc>
        <w:tc>
          <w:tcPr>
            <w:tcW w:w="2100" w:type="dxa"/>
            <w:tcBorders>
              <w:top w:val="nil"/>
              <w:left w:val="nil"/>
              <w:bottom w:val="single" w:sz="8" w:space="0" w:color="auto"/>
              <w:right w:val="single" w:sz="8" w:space="0" w:color="auto"/>
            </w:tcBorders>
            <w:shd w:val="clear" w:color="auto" w:fill="auto"/>
            <w:vAlign w:val="center"/>
            <w:hideMark/>
          </w:tcPr>
          <w:p w14:paraId="4DDC141F" w14:textId="77777777" w:rsidR="00D1755C" w:rsidRPr="002974C5" w:rsidRDefault="00D1755C" w:rsidP="00D1755C">
            <w:pPr>
              <w:jc w:val="center"/>
              <w:rPr>
                <w:rFonts w:ascii="Calibri" w:eastAsia="Times New Roman" w:hAnsi="Calibri" w:cs="Times New Roman"/>
                <w:color w:val="000000"/>
                <w:szCs w:val="20"/>
              </w:rPr>
            </w:pPr>
            <w:r w:rsidRPr="002974C5">
              <w:rPr>
                <w:rFonts w:ascii="Calibri" w:eastAsia="Times New Roman" w:hAnsi="Calibri" w:cs="Times New Roman"/>
                <w:color w:val="000000"/>
                <w:szCs w:val="20"/>
              </w:rPr>
              <w:t>11%</w:t>
            </w:r>
          </w:p>
        </w:tc>
      </w:tr>
      <w:tr w:rsidR="00D1755C" w:rsidRPr="002974C5" w14:paraId="358CDAD0" w14:textId="77777777" w:rsidTr="00D1755C">
        <w:trPr>
          <w:trHeight w:val="320"/>
        </w:trPr>
        <w:tc>
          <w:tcPr>
            <w:tcW w:w="3120" w:type="dxa"/>
            <w:tcBorders>
              <w:top w:val="nil"/>
              <w:left w:val="single" w:sz="8" w:space="0" w:color="auto"/>
              <w:bottom w:val="single" w:sz="8" w:space="0" w:color="auto"/>
              <w:right w:val="single" w:sz="8" w:space="0" w:color="auto"/>
            </w:tcBorders>
            <w:shd w:val="clear" w:color="auto" w:fill="auto"/>
            <w:vAlign w:val="center"/>
            <w:hideMark/>
          </w:tcPr>
          <w:p w14:paraId="1106976F" w14:textId="77777777" w:rsidR="00D1755C" w:rsidRPr="002974C5" w:rsidRDefault="00D1755C" w:rsidP="00D1755C">
            <w:pPr>
              <w:jc w:val="center"/>
              <w:rPr>
                <w:rFonts w:ascii="Calibri" w:eastAsia="Times New Roman" w:hAnsi="Calibri" w:cs="Times New Roman"/>
                <w:color w:val="000000"/>
                <w:szCs w:val="20"/>
              </w:rPr>
            </w:pPr>
            <w:r w:rsidRPr="002974C5">
              <w:rPr>
                <w:rFonts w:ascii="Calibri" w:eastAsia="Times New Roman" w:hAnsi="Calibri" w:cs="Times New Roman"/>
                <w:color w:val="000000"/>
                <w:szCs w:val="20"/>
              </w:rPr>
              <w:t>Autres revenus (hors fabrication)</w:t>
            </w:r>
          </w:p>
        </w:tc>
        <w:tc>
          <w:tcPr>
            <w:tcW w:w="2100" w:type="dxa"/>
            <w:tcBorders>
              <w:top w:val="nil"/>
              <w:left w:val="nil"/>
              <w:bottom w:val="single" w:sz="8" w:space="0" w:color="auto"/>
              <w:right w:val="single" w:sz="8" w:space="0" w:color="auto"/>
            </w:tcBorders>
            <w:shd w:val="clear" w:color="auto" w:fill="auto"/>
            <w:vAlign w:val="center"/>
            <w:hideMark/>
          </w:tcPr>
          <w:p w14:paraId="44EC2629" w14:textId="77777777" w:rsidR="00D1755C" w:rsidRPr="002974C5" w:rsidRDefault="00D1755C" w:rsidP="00D1755C">
            <w:pPr>
              <w:jc w:val="center"/>
              <w:rPr>
                <w:rFonts w:ascii="Calibri" w:eastAsia="Times New Roman" w:hAnsi="Calibri" w:cs="Times New Roman"/>
                <w:color w:val="000000"/>
                <w:szCs w:val="20"/>
              </w:rPr>
            </w:pPr>
            <w:r w:rsidRPr="002974C5">
              <w:rPr>
                <w:rFonts w:ascii="Calibri" w:eastAsia="Times New Roman" w:hAnsi="Calibri" w:cs="Times New Roman"/>
                <w:color w:val="000000"/>
                <w:szCs w:val="20"/>
              </w:rPr>
              <w:t>-</w:t>
            </w:r>
          </w:p>
        </w:tc>
        <w:tc>
          <w:tcPr>
            <w:tcW w:w="2100" w:type="dxa"/>
            <w:tcBorders>
              <w:top w:val="nil"/>
              <w:left w:val="nil"/>
              <w:bottom w:val="single" w:sz="8" w:space="0" w:color="auto"/>
              <w:right w:val="single" w:sz="8" w:space="0" w:color="auto"/>
            </w:tcBorders>
            <w:shd w:val="clear" w:color="auto" w:fill="auto"/>
            <w:vAlign w:val="center"/>
            <w:hideMark/>
          </w:tcPr>
          <w:p w14:paraId="3280CC83" w14:textId="77777777" w:rsidR="00D1755C" w:rsidRPr="002974C5" w:rsidRDefault="00D1755C" w:rsidP="00D1755C">
            <w:pPr>
              <w:jc w:val="center"/>
              <w:rPr>
                <w:rFonts w:ascii="Calibri" w:eastAsia="Times New Roman" w:hAnsi="Calibri" w:cs="Times New Roman"/>
                <w:color w:val="000000"/>
                <w:szCs w:val="20"/>
              </w:rPr>
            </w:pPr>
            <w:r w:rsidRPr="002974C5">
              <w:rPr>
                <w:rFonts w:ascii="Calibri" w:eastAsia="Times New Roman" w:hAnsi="Calibri" w:cs="Times New Roman"/>
                <w:color w:val="000000"/>
                <w:szCs w:val="20"/>
              </w:rPr>
              <w:t xml:space="preserve"> 777    </w:t>
            </w:r>
          </w:p>
        </w:tc>
        <w:tc>
          <w:tcPr>
            <w:tcW w:w="2100" w:type="dxa"/>
            <w:tcBorders>
              <w:top w:val="nil"/>
              <w:left w:val="nil"/>
              <w:bottom w:val="single" w:sz="8" w:space="0" w:color="auto"/>
              <w:right w:val="single" w:sz="8" w:space="0" w:color="auto"/>
            </w:tcBorders>
            <w:shd w:val="clear" w:color="auto" w:fill="auto"/>
            <w:vAlign w:val="center"/>
            <w:hideMark/>
          </w:tcPr>
          <w:p w14:paraId="12327A5C" w14:textId="77777777" w:rsidR="00D1755C" w:rsidRPr="002974C5" w:rsidRDefault="00D1755C" w:rsidP="00D1755C">
            <w:pPr>
              <w:jc w:val="center"/>
              <w:rPr>
                <w:rFonts w:ascii="Calibri" w:eastAsia="Times New Roman" w:hAnsi="Calibri" w:cs="Times New Roman"/>
                <w:color w:val="000000"/>
                <w:szCs w:val="20"/>
              </w:rPr>
            </w:pPr>
            <w:r w:rsidRPr="002974C5">
              <w:rPr>
                <w:rFonts w:ascii="Calibri" w:eastAsia="Times New Roman" w:hAnsi="Calibri" w:cs="Times New Roman"/>
                <w:color w:val="000000"/>
                <w:szCs w:val="20"/>
              </w:rPr>
              <w:t>11%</w:t>
            </w:r>
          </w:p>
        </w:tc>
      </w:tr>
      <w:tr w:rsidR="00D1755C" w:rsidRPr="002974C5" w14:paraId="567FF60F" w14:textId="77777777" w:rsidTr="00D1755C">
        <w:trPr>
          <w:trHeight w:val="320"/>
        </w:trPr>
        <w:tc>
          <w:tcPr>
            <w:tcW w:w="3120" w:type="dxa"/>
            <w:tcBorders>
              <w:top w:val="nil"/>
              <w:left w:val="single" w:sz="8" w:space="0" w:color="auto"/>
              <w:bottom w:val="single" w:sz="8" w:space="0" w:color="auto"/>
              <w:right w:val="single" w:sz="8" w:space="0" w:color="auto"/>
            </w:tcBorders>
            <w:shd w:val="clear" w:color="auto" w:fill="auto"/>
            <w:vAlign w:val="center"/>
            <w:hideMark/>
          </w:tcPr>
          <w:p w14:paraId="77B32AA9" w14:textId="77777777" w:rsidR="00D1755C" w:rsidRPr="002974C5" w:rsidRDefault="00D1755C" w:rsidP="00D1755C">
            <w:pPr>
              <w:jc w:val="center"/>
              <w:rPr>
                <w:rFonts w:ascii="Calibri" w:eastAsia="Times New Roman" w:hAnsi="Calibri" w:cs="Times New Roman"/>
                <w:b/>
                <w:bCs/>
                <w:color w:val="000000"/>
                <w:szCs w:val="20"/>
              </w:rPr>
            </w:pPr>
            <w:r w:rsidRPr="002974C5">
              <w:rPr>
                <w:rFonts w:ascii="Calibri" w:eastAsia="Times New Roman" w:hAnsi="Calibri" w:cs="Times New Roman"/>
                <w:b/>
                <w:bCs/>
                <w:color w:val="000000"/>
                <w:szCs w:val="20"/>
              </w:rPr>
              <w:t>Total</w:t>
            </w:r>
          </w:p>
        </w:tc>
        <w:tc>
          <w:tcPr>
            <w:tcW w:w="2100" w:type="dxa"/>
            <w:tcBorders>
              <w:top w:val="nil"/>
              <w:left w:val="nil"/>
              <w:bottom w:val="single" w:sz="8" w:space="0" w:color="auto"/>
              <w:right w:val="single" w:sz="8" w:space="0" w:color="auto"/>
            </w:tcBorders>
            <w:shd w:val="clear" w:color="auto" w:fill="auto"/>
            <w:vAlign w:val="center"/>
            <w:hideMark/>
          </w:tcPr>
          <w:p w14:paraId="2F789214" w14:textId="77777777" w:rsidR="00D1755C" w:rsidRPr="002974C5" w:rsidRDefault="00D1755C" w:rsidP="00D1755C">
            <w:pPr>
              <w:jc w:val="center"/>
              <w:rPr>
                <w:rFonts w:ascii="Calibri" w:eastAsia="Times New Roman" w:hAnsi="Calibri" w:cs="Times New Roman"/>
                <w:color w:val="000000"/>
                <w:szCs w:val="20"/>
              </w:rPr>
            </w:pPr>
            <w:r w:rsidRPr="002974C5">
              <w:rPr>
                <w:rFonts w:ascii="Calibri" w:eastAsia="Times New Roman" w:hAnsi="Calibri" w:cs="Times New Roman"/>
                <w:color w:val="000000"/>
                <w:szCs w:val="20"/>
              </w:rPr>
              <w:t> </w:t>
            </w:r>
          </w:p>
        </w:tc>
        <w:tc>
          <w:tcPr>
            <w:tcW w:w="2100" w:type="dxa"/>
            <w:tcBorders>
              <w:top w:val="nil"/>
              <w:left w:val="nil"/>
              <w:bottom w:val="single" w:sz="8" w:space="0" w:color="auto"/>
              <w:right w:val="single" w:sz="8" w:space="0" w:color="auto"/>
            </w:tcBorders>
            <w:shd w:val="clear" w:color="auto" w:fill="auto"/>
            <w:vAlign w:val="center"/>
            <w:hideMark/>
          </w:tcPr>
          <w:p w14:paraId="3F88C655" w14:textId="3BE69E87" w:rsidR="00D1755C" w:rsidRPr="002974C5" w:rsidRDefault="00D1755C" w:rsidP="0081753C">
            <w:pPr>
              <w:jc w:val="center"/>
              <w:rPr>
                <w:rFonts w:ascii="Calibri" w:eastAsia="Times New Roman" w:hAnsi="Calibri" w:cs="Times New Roman"/>
                <w:b/>
                <w:bCs/>
                <w:color w:val="000000"/>
                <w:szCs w:val="20"/>
              </w:rPr>
            </w:pPr>
            <w:r w:rsidRPr="002974C5">
              <w:rPr>
                <w:rFonts w:ascii="Calibri" w:eastAsia="Times New Roman" w:hAnsi="Calibri" w:cs="Times New Roman"/>
                <w:b/>
                <w:bCs/>
                <w:color w:val="000000"/>
                <w:szCs w:val="20"/>
              </w:rPr>
              <w:t xml:space="preserve"> 6</w:t>
            </w:r>
            <w:r w:rsidR="0081753C">
              <w:rPr>
                <w:rFonts w:ascii="Calibri" w:eastAsia="Times New Roman" w:hAnsi="Calibri" w:cs="Times New Roman"/>
                <w:b/>
                <w:bCs/>
                <w:color w:val="000000"/>
                <w:szCs w:val="20"/>
              </w:rPr>
              <w:t>.</w:t>
            </w:r>
            <w:r w:rsidRPr="002974C5">
              <w:rPr>
                <w:rFonts w:ascii="Calibri" w:eastAsia="Times New Roman" w:hAnsi="Calibri" w:cs="Times New Roman"/>
                <w:b/>
                <w:bCs/>
                <w:color w:val="000000"/>
                <w:szCs w:val="20"/>
              </w:rPr>
              <w:t xml:space="preserve">892    </w:t>
            </w:r>
          </w:p>
        </w:tc>
        <w:tc>
          <w:tcPr>
            <w:tcW w:w="2100" w:type="dxa"/>
            <w:tcBorders>
              <w:top w:val="nil"/>
              <w:left w:val="nil"/>
              <w:bottom w:val="single" w:sz="8" w:space="0" w:color="auto"/>
              <w:right w:val="single" w:sz="8" w:space="0" w:color="auto"/>
            </w:tcBorders>
            <w:shd w:val="clear" w:color="auto" w:fill="auto"/>
            <w:vAlign w:val="center"/>
            <w:hideMark/>
          </w:tcPr>
          <w:p w14:paraId="7D2D8623" w14:textId="77777777" w:rsidR="00D1755C" w:rsidRPr="002974C5" w:rsidRDefault="00D1755C" w:rsidP="00D1755C">
            <w:pPr>
              <w:jc w:val="center"/>
              <w:rPr>
                <w:rFonts w:ascii="Calibri" w:eastAsia="Times New Roman" w:hAnsi="Calibri" w:cs="Times New Roman"/>
                <w:color w:val="000000"/>
                <w:szCs w:val="20"/>
              </w:rPr>
            </w:pPr>
            <w:r w:rsidRPr="002974C5">
              <w:rPr>
                <w:rFonts w:ascii="Calibri" w:eastAsia="Times New Roman" w:hAnsi="Calibri" w:cs="Times New Roman"/>
                <w:color w:val="000000"/>
                <w:szCs w:val="20"/>
              </w:rPr>
              <w:t>100%</w:t>
            </w:r>
          </w:p>
        </w:tc>
      </w:tr>
      <w:tr w:rsidR="00D1755C" w:rsidRPr="002974C5" w14:paraId="1A1566EB" w14:textId="77777777" w:rsidTr="00D1755C">
        <w:trPr>
          <w:trHeight w:val="300"/>
        </w:trPr>
        <w:tc>
          <w:tcPr>
            <w:tcW w:w="9420" w:type="dxa"/>
            <w:gridSpan w:val="4"/>
            <w:tcBorders>
              <w:top w:val="single" w:sz="8" w:space="0" w:color="auto"/>
              <w:left w:val="nil"/>
              <w:bottom w:val="nil"/>
              <w:right w:val="nil"/>
            </w:tcBorders>
            <w:shd w:val="clear" w:color="auto" w:fill="auto"/>
            <w:noWrap/>
            <w:vAlign w:val="center"/>
            <w:hideMark/>
          </w:tcPr>
          <w:p w14:paraId="060F7558" w14:textId="77777777" w:rsidR="00D1755C" w:rsidRPr="002974C5" w:rsidRDefault="00D1755C" w:rsidP="00D1755C">
            <w:pPr>
              <w:jc w:val="left"/>
              <w:rPr>
                <w:rFonts w:ascii="Calibri" w:eastAsia="Times New Roman" w:hAnsi="Calibri" w:cs="Times New Roman"/>
                <w:i/>
                <w:iCs/>
                <w:color w:val="000000"/>
                <w:szCs w:val="20"/>
              </w:rPr>
            </w:pPr>
            <w:r w:rsidRPr="002974C5">
              <w:rPr>
                <w:rFonts w:ascii="Calibri" w:eastAsia="Times New Roman" w:hAnsi="Calibri" w:cs="Times New Roman"/>
                <w:i/>
                <w:iCs/>
                <w:color w:val="000000"/>
                <w:szCs w:val="20"/>
              </w:rPr>
              <w:t>Source : GlobalData</w:t>
            </w:r>
          </w:p>
        </w:tc>
      </w:tr>
    </w:tbl>
    <w:p w14:paraId="421A16D1" w14:textId="77777777" w:rsidR="00D1755C" w:rsidRDefault="00D1755C" w:rsidP="00D1755C">
      <w:pPr>
        <w:ind w:left="360"/>
        <w:rPr>
          <w:szCs w:val="20"/>
        </w:rPr>
      </w:pPr>
    </w:p>
    <w:p w14:paraId="7DEA3AC5" w14:textId="77777777" w:rsidR="00D1755C" w:rsidRPr="0071125C" w:rsidRDefault="00D1755C" w:rsidP="00D1755C">
      <w:pPr>
        <w:ind w:left="360"/>
        <w:rPr>
          <w:szCs w:val="20"/>
        </w:rPr>
      </w:pPr>
    </w:p>
    <w:tbl>
      <w:tblPr>
        <w:tblW w:w="9420" w:type="dxa"/>
        <w:tblInd w:w="55" w:type="dxa"/>
        <w:tblCellMar>
          <w:left w:w="70" w:type="dxa"/>
          <w:right w:w="70" w:type="dxa"/>
        </w:tblCellMar>
        <w:tblLook w:val="04A0" w:firstRow="1" w:lastRow="0" w:firstColumn="1" w:lastColumn="0" w:noHBand="0" w:noVBand="1"/>
      </w:tblPr>
      <w:tblGrid>
        <w:gridCol w:w="3120"/>
        <w:gridCol w:w="2100"/>
        <w:gridCol w:w="2100"/>
        <w:gridCol w:w="2100"/>
      </w:tblGrid>
      <w:tr w:rsidR="00D1755C" w:rsidRPr="002974C5" w14:paraId="6CB3A65D" w14:textId="77777777" w:rsidTr="00D1755C">
        <w:trPr>
          <w:trHeight w:val="560"/>
        </w:trPr>
        <w:tc>
          <w:tcPr>
            <w:tcW w:w="3120" w:type="dxa"/>
            <w:tcBorders>
              <w:top w:val="nil"/>
              <w:left w:val="nil"/>
              <w:bottom w:val="nil"/>
              <w:right w:val="nil"/>
            </w:tcBorders>
            <w:shd w:val="clear" w:color="auto" w:fill="auto"/>
            <w:noWrap/>
            <w:vAlign w:val="bottom"/>
            <w:hideMark/>
          </w:tcPr>
          <w:p w14:paraId="1DDD9885" w14:textId="77777777" w:rsidR="00D1755C" w:rsidRPr="002974C5" w:rsidRDefault="00D1755C" w:rsidP="00D1755C">
            <w:pPr>
              <w:jc w:val="left"/>
              <w:rPr>
                <w:rFonts w:ascii="Calibri" w:eastAsia="Times New Roman" w:hAnsi="Calibri" w:cs="Times New Roman"/>
                <w:color w:val="000000"/>
                <w:sz w:val="24"/>
              </w:rPr>
            </w:pPr>
          </w:p>
        </w:tc>
        <w:tc>
          <w:tcPr>
            <w:tcW w:w="2100" w:type="dxa"/>
            <w:tcBorders>
              <w:top w:val="nil"/>
              <w:left w:val="nil"/>
              <w:bottom w:val="nil"/>
              <w:right w:val="nil"/>
            </w:tcBorders>
            <w:shd w:val="clear" w:color="auto" w:fill="auto"/>
            <w:noWrap/>
            <w:vAlign w:val="bottom"/>
            <w:hideMark/>
          </w:tcPr>
          <w:p w14:paraId="5930F105" w14:textId="77777777" w:rsidR="00D1755C" w:rsidRPr="002974C5" w:rsidRDefault="00D1755C" w:rsidP="00D1755C">
            <w:pPr>
              <w:jc w:val="left"/>
              <w:rPr>
                <w:rFonts w:ascii="Calibri" w:eastAsia="Times New Roman" w:hAnsi="Calibri" w:cs="Times New Roman"/>
                <w:color w:val="000000"/>
                <w:sz w:val="24"/>
              </w:rPr>
            </w:pPr>
          </w:p>
        </w:tc>
        <w:tc>
          <w:tcPr>
            <w:tcW w:w="4200" w:type="dxa"/>
            <w:gridSpan w:val="2"/>
            <w:tcBorders>
              <w:top w:val="single" w:sz="8" w:space="0" w:color="auto"/>
              <w:left w:val="single" w:sz="8" w:space="0" w:color="auto"/>
              <w:bottom w:val="single" w:sz="8" w:space="0" w:color="auto"/>
              <w:right w:val="single" w:sz="8" w:space="0" w:color="auto"/>
            </w:tcBorders>
            <w:shd w:val="clear" w:color="000000" w:fill="1F497D"/>
            <w:vAlign w:val="center"/>
            <w:hideMark/>
          </w:tcPr>
          <w:p w14:paraId="459B2A54" w14:textId="77777777" w:rsidR="00D1755C" w:rsidRPr="002974C5" w:rsidRDefault="00D1755C" w:rsidP="00D1755C">
            <w:pPr>
              <w:jc w:val="center"/>
              <w:rPr>
                <w:rFonts w:ascii="Calibri" w:eastAsia="Times New Roman" w:hAnsi="Calibri" w:cs="Times New Roman"/>
                <w:b/>
                <w:bCs/>
                <w:color w:val="FFFFFF"/>
                <w:szCs w:val="20"/>
              </w:rPr>
            </w:pPr>
            <w:r w:rsidRPr="002974C5">
              <w:rPr>
                <w:rFonts w:ascii="Calibri" w:eastAsia="Times New Roman" w:hAnsi="Calibri" w:cs="Times New Roman"/>
                <w:b/>
                <w:bCs/>
                <w:color w:val="FFFFFF"/>
                <w:szCs w:val="20"/>
              </w:rPr>
              <w:t>Marché MIS</w:t>
            </w:r>
          </w:p>
        </w:tc>
      </w:tr>
      <w:tr w:rsidR="00D1755C" w:rsidRPr="002974C5" w14:paraId="123BB6A1" w14:textId="77777777" w:rsidTr="00D1755C">
        <w:trPr>
          <w:trHeight w:val="560"/>
        </w:trPr>
        <w:tc>
          <w:tcPr>
            <w:tcW w:w="3120" w:type="dxa"/>
            <w:tcBorders>
              <w:top w:val="single" w:sz="8" w:space="0" w:color="auto"/>
              <w:left w:val="single" w:sz="8" w:space="0" w:color="auto"/>
              <w:bottom w:val="nil"/>
              <w:right w:val="single" w:sz="8" w:space="0" w:color="auto"/>
            </w:tcBorders>
            <w:shd w:val="clear" w:color="000000" w:fill="1F497D"/>
            <w:vAlign w:val="center"/>
            <w:hideMark/>
          </w:tcPr>
          <w:p w14:paraId="4302336C" w14:textId="77777777" w:rsidR="00D1755C" w:rsidRPr="002974C5" w:rsidRDefault="00D1755C" w:rsidP="00D1755C">
            <w:pPr>
              <w:jc w:val="center"/>
              <w:rPr>
                <w:rFonts w:ascii="Calibri" w:eastAsia="Times New Roman" w:hAnsi="Calibri" w:cs="Times New Roman"/>
                <w:b/>
                <w:bCs/>
                <w:color w:val="FFFFFF"/>
                <w:szCs w:val="20"/>
              </w:rPr>
            </w:pPr>
            <w:r w:rsidRPr="002974C5">
              <w:rPr>
                <w:rFonts w:ascii="Calibri" w:eastAsia="Times New Roman" w:hAnsi="Calibri" w:cs="Times New Roman"/>
                <w:b/>
                <w:bCs/>
                <w:color w:val="FFFFFF"/>
                <w:szCs w:val="20"/>
              </w:rPr>
              <w:t>Sociétés</w:t>
            </w:r>
          </w:p>
        </w:tc>
        <w:tc>
          <w:tcPr>
            <w:tcW w:w="2100" w:type="dxa"/>
            <w:tcBorders>
              <w:top w:val="single" w:sz="8" w:space="0" w:color="auto"/>
              <w:left w:val="nil"/>
              <w:bottom w:val="nil"/>
              <w:right w:val="single" w:sz="8" w:space="0" w:color="auto"/>
            </w:tcBorders>
            <w:shd w:val="clear" w:color="000000" w:fill="1F497D"/>
            <w:vAlign w:val="center"/>
            <w:hideMark/>
          </w:tcPr>
          <w:p w14:paraId="467B96F7" w14:textId="77777777" w:rsidR="00D1755C" w:rsidRPr="002974C5" w:rsidRDefault="00D1755C" w:rsidP="00D1755C">
            <w:pPr>
              <w:jc w:val="center"/>
              <w:rPr>
                <w:rFonts w:ascii="Calibri" w:eastAsia="Times New Roman" w:hAnsi="Calibri" w:cs="Times New Roman"/>
                <w:b/>
                <w:bCs/>
                <w:color w:val="FFFFFF"/>
                <w:szCs w:val="20"/>
              </w:rPr>
            </w:pPr>
            <w:r w:rsidRPr="002974C5">
              <w:rPr>
                <w:rFonts w:ascii="Calibri" w:eastAsia="Times New Roman" w:hAnsi="Calibri" w:cs="Times New Roman"/>
                <w:b/>
                <w:bCs/>
                <w:color w:val="FFFFFF"/>
                <w:szCs w:val="20"/>
              </w:rPr>
              <w:t>Pays</w:t>
            </w:r>
          </w:p>
        </w:tc>
        <w:tc>
          <w:tcPr>
            <w:tcW w:w="2100" w:type="dxa"/>
            <w:tcBorders>
              <w:top w:val="nil"/>
              <w:left w:val="nil"/>
              <w:bottom w:val="single" w:sz="8" w:space="0" w:color="auto"/>
              <w:right w:val="single" w:sz="8" w:space="0" w:color="auto"/>
            </w:tcBorders>
            <w:shd w:val="clear" w:color="000000" w:fill="1F497D"/>
            <w:vAlign w:val="center"/>
            <w:hideMark/>
          </w:tcPr>
          <w:p w14:paraId="0E5B6EAE" w14:textId="0DAC0D37" w:rsidR="00D1755C" w:rsidRPr="002974C5" w:rsidRDefault="00D1755C" w:rsidP="00D1755C">
            <w:pPr>
              <w:jc w:val="center"/>
              <w:rPr>
                <w:rFonts w:ascii="Calibri" w:eastAsia="Times New Roman" w:hAnsi="Calibri" w:cs="Times New Roman"/>
                <w:b/>
                <w:bCs/>
                <w:color w:val="FFFFFF"/>
                <w:szCs w:val="20"/>
              </w:rPr>
            </w:pPr>
            <w:r w:rsidRPr="002974C5">
              <w:rPr>
                <w:rFonts w:ascii="Calibri" w:eastAsia="Times New Roman" w:hAnsi="Calibri" w:cs="Times New Roman"/>
                <w:b/>
                <w:bCs/>
                <w:color w:val="FFFFFF"/>
                <w:szCs w:val="20"/>
              </w:rPr>
              <w:t xml:space="preserve"> CA 2019</w:t>
            </w:r>
            <w:r w:rsidR="0081753C">
              <w:rPr>
                <w:rFonts w:ascii="Calibri" w:eastAsia="Times New Roman" w:hAnsi="Calibri" w:cs="Times New Roman"/>
                <w:b/>
                <w:bCs/>
                <w:color w:val="FFFFFF"/>
                <w:szCs w:val="20"/>
              </w:rPr>
              <w:t xml:space="preserve"> </w:t>
            </w:r>
            <w:r w:rsidR="0081753C">
              <w:rPr>
                <w:rFonts w:ascii="Calibri" w:eastAsia="Times New Roman" w:hAnsi="Calibri" w:cs="Times New Roman"/>
                <w:b/>
                <w:bCs/>
                <w:color w:val="FFFFFF" w:themeColor="background1"/>
                <w:szCs w:val="20"/>
              </w:rPr>
              <w:t>(M</w:t>
            </w:r>
            <w:r w:rsidR="0081753C" w:rsidRPr="0081753C">
              <w:rPr>
                <w:color w:val="FFFFFF" w:themeColor="background1"/>
              </w:rPr>
              <w:t>$</w:t>
            </w:r>
            <w:r w:rsidR="0081753C">
              <w:rPr>
                <w:color w:val="FFFFFF" w:themeColor="background1"/>
              </w:rPr>
              <w:t>)</w:t>
            </w:r>
          </w:p>
        </w:tc>
        <w:tc>
          <w:tcPr>
            <w:tcW w:w="2100" w:type="dxa"/>
            <w:tcBorders>
              <w:top w:val="nil"/>
              <w:left w:val="nil"/>
              <w:bottom w:val="single" w:sz="8" w:space="0" w:color="auto"/>
              <w:right w:val="single" w:sz="8" w:space="0" w:color="auto"/>
            </w:tcBorders>
            <w:shd w:val="clear" w:color="000000" w:fill="1F497D"/>
            <w:vAlign w:val="center"/>
            <w:hideMark/>
          </w:tcPr>
          <w:p w14:paraId="64B1C0BB" w14:textId="77777777" w:rsidR="00D1755C" w:rsidRPr="002974C5" w:rsidRDefault="00D1755C" w:rsidP="00D1755C">
            <w:pPr>
              <w:jc w:val="center"/>
              <w:rPr>
                <w:rFonts w:ascii="Calibri" w:eastAsia="Times New Roman" w:hAnsi="Calibri" w:cs="Times New Roman"/>
                <w:b/>
                <w:bCs/>
                <w:color w:val="FFFFFF"/>
                <w:szCs w:val="20"/>
              </w:rPr>
            </w:pPr>
            <w:r w:rsidRPr="002974C5">
              <w:rPr>
                <w:rFonts w:ascii="Calibri" w:eastAsia="Times New Roman" w:hAnsi="Calibri" w:cs="Times New Roman"/>
                <w:b/>
                <w:bCs/>
                <w:color w:val="FFFFFF"/>
                <w:szCs w:val="20"/>
              </w:rPr>
              <w:t>Parts de marché 2019</w:t>
            </w:r>
          </w:p>
        </w:tc>
      </w:tr>
      <w:tr w:rsidR="00D1755C" w:rsidRPr="002974C5" w14:paraId="284DFDC7" w14:textId="77777777" w:rsidTr="00D1755C">
        <w:trPr>
          <w:trHeight w:val="320"/>
        </w:trPr>
        <w:tc>
          <w:tcPr>
            <w:tcW w:w="312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17D9F929" w14:textId="77777777" w:rsidR="00D1755C" w:rsidRPr="002974C5" w:rsidRDefault="00D1755C" w:rsidP="00D1755C">
            <w:pPr>
              <w:jc w:val="center"/>
              <w:rPr>
                <w:rFonts w:ascii="Calibri" w:eastAsia="Times New Roman" w:hAnsi="Calibri" w:cs="Times New Roman"/>
                <w:color w:val="000000"/>
                <w:szCs w:val="20"/>
              </w:rPr>
            </w:pPr>
            <w:r w:rsidRPr="002974C5">
              <w:rPr>
                <w:rFonts w:ascii="Calibri" w:eastAsia="Times New Roman" w:hAnsi="Calibri" w:cs="Times New Roman"/>
                <w:color w:val="000000"/>
                <w:szCs w:val="20"/>
              </w:rPr>
              <w:t>Medtronic</w:t>
            </w:r>
          </w:p>
        </w:tc>
        <w:tc>
          <w:tcPr>
            <w:tcW w:w="2100" w:type="dxa"/>
            <w:tcBorders>
              <w:top w:val="single" w:sz="8" w:space="0" w:color="auto"/>
              <w:left w:val="nil"/>
              <w:bottom w:val="single" w:sz="8" w:space="0" w:color="auto"/>
              <w:right w:val="single" w:sz="8" w:space="0" w:color="auto"/>
            </w:tcBorders>
            <w:shd w:val="clear" w:color="auto" w:fill="auto"/>
            <w:vAlign w:val="center"/>
            <w:hideMark/>
          </w:tcPr>
          <w:p w14:paraId="203855FD" w14:textId="77777777" w:rsidR="00D1755C" w:rsidRPr="002974C5" w:rsidRDefault="00D1755C" w:rsidP="00D1755C">
            <w:pPr>
              <w:jc w:val="center"/>
              <w:rPr>
                <w:rFonts w:ascii="Calibri" w:eastAsia="Times New Roman" w:hAnsi="Calibri" w:cs="Times New Roman"/>
                <w:color w:val="000000"/>
                <w:szCs w:val="20"/>
              </w:rPr>
            </w:pPr>
            <w:r w:rsidRPr="002974C5">
              <w:rPr>
                <w:rFonts w:ascii="Calibri" w:eastAsia="Times New Roman" w:hAnsi="Calibri" w:cs="Times New Roman"/>
                <w:color w:val="000000"/>
                <w:szCs w:val="20"/>
              </w:rPr>
              <w:t>Etats-Unis</w:t>
            </w:r>
          </w:p>
        </w:tc>
        <w:tc>
          <w:tcPr>
            <w:tcW w:w="2100" w:type="dxa"/>
            <w:tcBorders>
              <w:top w:val="nil"/>
              <w:left w:val="nil"/>
              <w:bottom w:val="single" w:sz="8" w:space="0" w:color="auto"/>
              <w:right w:val="single" w:sz="8" w:space="0" w:color="auto"/>
            </w:tcBorders>
            <w:shd w:val="clear" w:color="auto" w:fill="auto"/>
            <w:vAlign w:val="center"/>
            <w:hideMark/>
          </w:tcPr>
          <w:p w14:paraId="2C479850" w14:textId="77777777" w:rsidR="00D1755C" w:rsidRPr="002974C5" w:rsidRDefault="00D1755C" w:rsidP="00D1755C">
            <w:pPr>
              <w:jc w:val="center"/>
              <w:rPr>
                <w:rFonts w:ascii="Calibri" w:eastAsia="Times New Roman" w:hAnsi="Calibri" w:cs="Times New Roman"/>
                <w:color w:val="000000"/>
                <w:szCs w:val="20"/>
              </w:rPr>
            </w:pPr>
            <w:r w:rsidRPr="002974C5">
              <w:rPr>
                <w:rFonts w:ascii="Calibri" w:eastAsia="Times New Roman" w:hAnsi="Calibri" w:cs="Times New Roman"/>
                <w:color w:val="000000"/>
                <w:szCs w:val="20"/>
              </w:rPr>
              <w:t>135</w:t>
            </w:r>
          </w:p>
        </w:tc>
        <w:tc>
          <w:tcPr>
            <w:tcW w:w="2100" w:type="dxa"/>
            <w:tcBorders>
              <w:top w:val="nil"/>
              <w:left w:val="nil"/>
              <w:bottom w:val="single" w:sz="8" w:space="0" w:color="auto"/>
              <w:right w:val="single" w:sz="8" w:space="0" w:color="auto"/>
            </w:tcBorders>
            <w:shd w:val="clear" w:color="auto" w:fill="auto"/>
            <w:vAlign w:val="center"/>
            <w:hideMark/>
          </w:tcPr>
          <w:p w14:paraId="51AB00E4" w14:textId="77777777" w:rsidR="00D1755C" w:rsidRPr="002974C5" w:rsidRDefault="00D1755C" w:rsidP="00D1755C">
            <w:pPr>
              <w:jc w:val="center"/>
              <w:rPr>
                <w:rFonts w:ascii="Calibri" w:eastAsia="Times New Roman" w:hAnsi="Calibri" w:cs="Times New Roman"/>
                <w:color w:val="000000"/>
                <w:szCs w:val="20"/>
              </w:rPr>
            </w:pPr>
            <w:r w:rsidRPr="002974C5">
              <w:rPr>
                <w:rFonts w:ascii="Calibri" w:eastAsia="Times New Roman" w:hAnsi="Calibri" w:cs="Times New Roman"/>
                <w:color w:val="000000"/>
                <w:szCs w:val="20"/>
              </w:rPr>
              <w:t>23%</w:t>
            </w:r>
          </w:p>
        </w:tc>
      </w:tr>
      <w:tr w:rsidR="00D1755C" w:rsidRPr="002974C5" w14:paraId="0B7DCFED" w14:textId="77777777" w:rsidTr="00D1755C">
        <w:trPr>
          <w:trHeight w:val="320"/>
        </w:trPr>
        <w:tc>
          <w:tcPr>
            <w:tcW w:w="3120" w:type="dxa"/>
            <w:tcBorders>
              <w:top w:val="nil"/>
              <w:left w:val="single" w:sz="8" w:space="0" w:color="auto"/>
              <w:bottom w:val="single" w:sz="8" w:space="0" w:color="auto"/>
              <w:right w:val="single" w:sz="8" w:space="0" w:color="auto"/>
            </w:tcBorders>
            <w:shd w:val="clear" w:color="auto" w:fill="auto"/>
            <w:vAlign w:val="center"/>
            <w:hideMark/>
          </w:tcPr>
          <w:p w14:paraId="530D71B1" w14:textId="0460770D" w:rsidR="00D1755C" w:rsidRPr="002974C5" w:rsidRDefault="00D1755C" w:rsidP="00B2272B">
            <w:pPr>
              <w:jc w:val="center"/>
              <w:rPr>
                <w:rFonts w:ascii="Calibri" w:eastAsia="Times New Roman" w:hAnsi="Calibri" w:cs="Times New Roman"/>
                <w:color w:val="000000"/>
                <w:szCs w:val="20"/>
              </w:rPr>
            </w:pPr>
            <w:r w:rsidRPr="002974C5">
              <w:rPr>
                <w:rFonts w:ascii="Calibri" w:eastAsia="Times New Roman" w:hAnsi="Calibri" w:cs="Times New Roman"/>
                <w:color w:val="000000"/>
                <w:szCs w:val="20"/>
              </w:rPr>
              <w:t xml:space="preserve">Johnson &amp; </w:t>
            </w:r>
            <w:r w:rsidR="00D16E63" w:rsidRPr="002974C5">
              <w:rPr>
                <w:rFonts w:ascii="Calibri" w:eastAsia="Times New Roman" w:hAnsi="Calibri" w:cs="Times New Roman"/>
                <w:color w:val="000000"/>
                <w:szCs w:val="20"/>
              </w:rPr>
              <w:t>Jo</w:t>
            </w:r>
            <w:r w:rsidR="00D16E63">
              <w:rPr>
                <w:rFonts w:ascii="Calibri" w:eastAsia="Times New Roman" w:hAnsi="Calibri" w:cs="Times New Roman"/>
                <w:color w:val="000000"/>
                <w:szCs w:val="20"/>
              </w:rPr>
              <w:t>hn</w:t>
            </w:r>
            <w:r w:rsidR="00D16E63" w:rsidRPr="002974C5">
              <w:rPr>
                <w:rFonts w:ascii="Calibri" w:eastAsia="Times New Roman" w:hAnsi="Calibri" w:cs="Times New Roman"/>
                <w:color w:val="000000"/>
                <w:szCs w:val="20"/>
              </w:rPr>
              <w:t>son</w:t>
            </w:r>
          </w:p>
        </w:tc>
        <w:tc>
          <w:tcPr>
            <w:tcW w:w="2100" w:type="dxa"/>
            <w:tcBorders>
              <w:top w:val="nil"/>
              <w:left w:val="nil"/>
              <w:bottom w:val="single" w:sz="8" w:space="0" w:color="auto"/>
              <w:right w:val="single" w:sz="8" w:space="0" w:color="auto"/>
            </w:tcBorders>
            <w:shd w:val="clear" w:color="auto" w:fill="auto"/>
            <w:vAlign w:val="center"/>
            <w:hideMark/>
          </w:tcPr>
          <w:p w14:paraId="45CF6832" w14:textId="77777777" w:rsidR="00D1755C" w:rsidRPr="002974C5" w:rsidRDefault="00D1755C" w:rsidP="00D1755C">
            <w:pPr>
              <w:jc w:val="center"/>
              <w:rPr>
                <w:rFonts w:ascii="Calibri" w:eastAsia="Times New Roman" w:hAnsi="Calibri" w:cs="Times New Roman"/>
                <w:color w:val="000000"/>
                <w:szCs w:val="20"/>
              </w:rPr>
            </w:pPr>
            <w:r w:rsidRPr="002974C5">
              <w:rPr>
                <w:rFonts w:ascii="Calibri" w:eastAsia="Times New Roman" w:hAnsi="Calibri" w:cs="Times New Roman"/>
                <w:color w:val="000000"/>
                <w:szCs w:val="20"/>
              </w:rPr>
              <w:t>Etats-Unis</w:t>
            </w:r>
          </w:p>
        </w:tc>
        <w:tc>
          <w:tcPr>
            <w:tcW w:w="2100" w:type="dxa"/>
            <w:tcBorders>
              <w:top w:val="nil"/>
              <w:left w:val="nil"/>
              <w:bottom w:val="single" w:sz="8" w:space="0" w:color="auto"/>
              <w:right w:val="single" w:sz="8" w:space="0" w:color="auto"/>
            </w:tcBorders>
            <w:shd w:val="clear" w:color="auto" w:fill="auto"/>
            <w:vAlign w:val="center"/>
            <w:hideMark/>
          </w:tcPr>
          <w:p w14:paraId="40DD1849" w14:textId="77777777" w:rsidR="00D1755C" w:rsidRPr="002974C5" w:rsidRDefault="00D1755C" w:rsidP="00D1755C">
            <w:pPr>
              <w:jc w:val="center"/>
              <w:rPr>
                <w:rFonts w:ascii="Calibri" w:eastAsia="Times New Roman" w:hAnsi="Calibri" w:cs="Times New Roman"/>
                <w:color w:val="000000"/>
                <w:szCs w:val="20"/>
              </w:rPr>
            </w:pPr>
            <w:r w:rsidRPr="002974C5">
              <w:rPr>
                <w:rFonts w:ascii="Calibri" w:eastAsia="Times New Roman" w:hAnsi="Calibri" w:cs="Times New Roman"/>
                <w:color w:val="000000"/>
                <w:szCs w:val="20"/>
              </w:rPr>
              <w:t>96</w:t>
            </w:r>
          </w:p>
        </w:tc>
        <w:tc>
          <w:tcPr>
            <w:tcW w:w="2100" w:type="dxa"/>
            <w:tcBorders>
              <w:top w:val="nil"/>
              <w:left w:val="nil"/>
              <w:bottom w:val="single" w:sz="8" w:space="0" w:color="auto"/>
              <w:right w:val="single" w:sz="8" w:space="0" w:color="auto"/>
            </w:tcBorders>
            <w:shd w:val="clear" w:color="auto" w:fill="auto"/>
            <w:vAlign w:val="center"/>
            <w:hideMark/>
          </w:tcPr>
          <w:p w14:paraId="7CF9855A" w14:textId="77777777" w:rsidR="00D1755C" w:rsidRPr="002974C5" w:rsidRDefault="00D1755C" w:rsidP="00D1755C">
            <w:pPr>
              <w:jc w:val="center"/>
              <w:rPr>
                <w:rFonts w:ascii="Calibri" w:eastAsia="Times New Roman" w:hAnsi="Calibri" w:cs="Times New Roman"/>
                <w:color w:val="000000"/>
                <w:szCs w:val="20"/>
              </w:rPr>
            </w:pPr>
            <w:r w:rsidRPr="002974C5">
              <w:rPr>
                <w:rFonts w:ascii="Calibri" w:eastAsia="Times New Roman" w:hAnsi="Calibri" w:cs="Times New Roman"/>
                <w:color w:val="000000"/>
                <w:szCs w:val="20"/>
              </w:rPr>
              <w:t>16%</w:t>
            </w:r>
          </w:p>
        </w:tc>
      </w:tr>
      <w:tr w:rsidR="00D1755C" w:rsidRPr="002974C5" w14:paraId="48F6EBCC" w14:textId="77777777" w:rsidTr="00D1755C">
        <w:trPr>
          <w:trHeight w:val="320"/>
        </w:trPr>
        <w:tc>
          <w:tcPr>
            <w:tcW w:w="3120" w:type="dxa"/>
            <w:tcBorders>
              <w:top w:val="nil"/>
              <w:left w:val="single" w:sz="8" w:space="0" w:color="auto"/>
              <w:bottom w:val="single" w:sz="8" w:space="0" w:color="auto"/>
              <w:right w:val="single" w:sz="8" w:space="0" w:color="auto"/>
            </w:tcBorders>
            <w:shd w:val="clear" w:color="auto" w:fill="auto"/>
            <w:vAlign w:val="center"/>
            <w:hideMark/>
          </w:tcPr>
          <w:p w14:paraId="749E5EE2" w14:textId="77777777" w:rsidR="00D1755C" w:rsidRPr="002974C5" w:rsidRDefault="00D1755C" w:rsidP="00D1755C">
            <w:pPr>
              <w:jc w:val="center"/>
              <w:rPr>
                <w:rFonts w:ascii="Calibri" w:eastAsia="Times New Roman" w:hAnsi="Calibri" w:cs="Times New Roman"/>
                <w:color w:val="000000"/>
                <w:szCs w:val="20"/>
              </w:rPr>
            </w:pPr>
            <w:r w:rsidRPr="002974C5">
              <w:rPr>
                <w:rFonts w:ascii="Calibri" w:eastAsia="Times New Roman" w:hAnsi="Calibri" w:cs="Times New Roman"/>
                <w:color w:val="000000"/>
                <w:szCs w:val="20"/>
              </w:rPr>
              <w:t>NuVasive Inc</w:t>
            </w:r>
          </w:p>
        </w:tc>
        <w:tc>
          <w:tcPr>
            <w:tcW w:w="2100" w:type="dxa"/>
            <w:tcBorders>
              <w:top w:val="nil"/>
              <w:left w:val="nil"/>
              <w:bottom w:val="single" w:sz="8" w:space="0" w:color="auto"/>
              <w:right w:val="single" w:sz="8" w:space="0" w:color="auto"/>
            </w:tcBorders>
            <w:shd w:val="clear" w:color="auto" w:fill="auto"/>
            <w:vAlign w:val="center"/>
            <w:hideMark/>
          </w:tcPr>
          <w:p w14:paraId="7AAAEF3F" w14:textId="77777777" w:rsidR="00D1755C" w:rsidRPr="002974C5" w:rsidRDefault="00D1755C" w:rsidP="00D1755C">
            <w:pPr>
              <w:jc w:val="center"/>
              <w:rPr>
                <w:rFonts w:ascii="Calibri" w:eastAsia="Times New Roman" w:hAnsi="Calibri" w:cs="Times New Roman"/>
                <w:color w:val="000000"/>
                <w:szCs w:val="20"/>
              </w:rPr>
            </w:pPr>
            <w:r w:rsidRPr="002974C5">
              <w:rPr>
                <w:rFonts w:ascii="Calibri" w:eastAsia="Times New Roman" w:hAnsi="Calibri" w:cs="Times New Roman"/>
                <w:color w:val="000000"/>
                <w:szCs w:val="20"/>
              </w:rPr>
              <w:t>Etats-Unis</w:t>
            </w:r>
          </w:p>
        </w:tc>
        <w:tc>
          <w:tcPr>
            <w:tcW w:w="2100" w:type="dxa"/>
            <w:tcBorders>
              <w:top w:val="nil"/>
              <w:left w:val="nil"/>
              <w:bottom w:val="single" w:sz="8" w:space="0" w:color="auto"/>
              <w:right w:val="single" w:sz="8" w:space="0" w:color="auto"/>
            </w:tcBorders>
            <w:shd w:val="clear" w:color="auto" w:fill="auto"/>
            <w:vAlign w:val="center"/>
            <w:hideMark/>
          </w:tcPr>
          <w:p w14:paraId="0AA93A80" w14:textId="77777777" w:rsidR="00D1755C" w:rsidRPr="002974C5" w:rsidRDefault="00D1755C" w:rsidP="00D1755C">
            <w:pPr>
              <w:jc w:val="center"/>
              <w:rPr>
                <w:rFonts w:ascii="Calibri" w:eastAsia="Times New Roman" w:hAnsi="Calibri" w:cs="Times New Roman"/>
                <w:color w:val="000000"/>
                <w:szCs w:val="20"/>
              </w:rPr>
            </w:pPr>
            <w:r w:rsidRPr="002974C5">
              <w:rPr>
                <w:rFonts w:ascii="Calibri" w:eastAsia="Times New Roman" w:hAnsi="Calibri" w:cs="Times New Roman"/>
                <w:color w:val="000000"/>
                <w:szCs w:val="20"/>
              </w:rPr>
              <w:t>54</w:t>
            </w:r>
          </w:p>
        </w:tc>
        <w:tc>
          <w:tcPr>
            <w:tcW w:w="2100" w:type="dxa"/>
            <w:tcBorders>
              <w:top w:val="nil"/>
              <w:left w:val="nil"/>
              <w:bottom w:val="single" w:sz="8" w:space="0" w:color="auto"/>
              <w:right w:val="single" w:sz="8" w:space="0" w:color="auto"/>
            </w:tcBorders>
            <w:shd w:val="clear" w:color="auto" w:fill="auto"/>
            <w:vAlign w:val="center"/>
            <w:hideMark/>
          </w:tcPr>
          <w:p w14:paraId="193608A9" w14:textId="77777777" w:rsidR="00D1755C" w:rsidRPr="002974C5" w:rsidRDefault="00D1755C" w:rsidP="00D1755C">
            <w:pPr>
              <w:jc w:val="center"/>
              <w:rPr>
                <w:rFonts w:ascii="Calibri" w:eastAsia="Times New Roman" w:hAnsi="Calibri" w:cs="Times New Roman"/>
                <w:color w:val="000000"/>
                <w:szCs w:val="20"/>
              </w:rPr>
            </w:pPr>
            <w:r w:rsidRPr="002974C5">
              <w:rPr>
                <w:rFonts w:ascii="Calibri" w:eastAsia="Times New Roman" w:hAnsi="Calibri" w:cs="Times New Roman"/>
                <w:color w:val="000000"/>
                <w:szCs w:val="20"/>
              </w:rPr>
              <w:t>9%</w:t>
            </w:r>
          </w:p>
        </w:tc>
      </w:tr>
      <w:tr w:rsidR="00D1755C" w:rsidRPr="002974C5" w14:paraId="23942671" w14:textId="77777777" w:rsidTr="00D1755C">
        <w:trPr>
          <w:trHeight w:val="320"/>
        </w:trPr>
        <w:tc>
          <w:tcPr>
            <w:tcW w:w="3120" w:type="dxa"/>
            <w:tcBorders>
              <w:top w:val="nil"/>
              <w:left w:val="single" w:sz="8" w:space="0" w:color="auto"/>
              <w:bottom w:val="single" w:sz="8" w:space="0" w:color="auto"/>
              <w:right w:val="single" w:sz="8" w:space="0" w:color="auto"/>
            </w:tcBorders>
            <w:shd w:val="clear" w:color="auto" w:fill="auto"/>
            <w:vAlign w:val="center"/>
            <w:hideMark/>
          </w:tcPr>
          <w:p w14:paraId="43C0D7FC" w14:textId="08E73262" w:rsidR="00D1755C" w:rsidRPr="002974C5" w:rsidRDefault="00D1755C" w:rsidP="00D1755C">
            <w:pPr>
              <w:jc w:val="center"/>
              <w:rPr>
                <w:rFonts w:ascii="Calibri" w:eastAsia="Times New Roman" w:hAnsi="Calibri" w:cs="Times New Roman"/>
                <w:color w:val="000000"/>
                <w:szCs w:val="20"/>
              </w:rPr>
            </w:pPr>
            <w:r w:rsidRPr="002974C5">
              <w:rPr>
                <w:rFonts w:ascii="Calibri" w:eastAsia="Times New Roman" w:hAnsi="Calibri" w:cs="Times New Roman"/>
                <w:color w:val="000000"/>
                <w:szCs w:val="20"/>
              </w:rPr>
              <w:t>St</w:t>
            </w:r>
            <w:r w:rsidR="00B2272B">
              <w:rPr>
                <w:rFonts w:ascii="Calibri" w:eastAsia="Times New Roman" w:hAnsi="Calibri" w:cs="Times New Roman"/>
                <w:color w:val="000000"/>
                <w:szCs w:val="20"/>
              </w:rPr>
              <w:t>r</w:t>
            </w:r>
            <w:r w:rsidRPr="002974C5">
              <w:rPr>
                <w:rFonts w:ascii="Calibri" w:eastAsia="Times New Roman" w:hAnsi="Calibri" w:cs="Times New Roman"/>
                <w:color w:val="000000"/>
                <w:szCs w:val="20"/>
              </w:rPr>
              <w:t>yker Cop</w:t>
            </w:r>
          </w:p>
        </w:tc>
        <w:tc>
          <w:tcPr>
            <w:tcW w:w="2100" w:type="dxa"/>
            <w:tcBorders>
              <w:top w:val="nil"/>
              <w:left w:val="nil"/>
              <w:bottom w:val="single" w:sz="8" w:space="0" w:color="auto"/>
              <w:right w:val="single" w:sz="8" w:space="0" w:color="auto"/>
            </w:tcBorders>
            <w:shd w:val="clear" w:color="auto" w:fill="auto"/>
            <w:vAlign w:val="center"/>
            <w:hideMark/>
          </w:tcPr>
          <w:p w14:paraId="582AC772" w14:textId="77777777" w:rsidR="00D1755C" w:rsidRPr="002974C5" w:rsidRDefault="00D1755C" w:rsidP="00D1755C">
            <w:pPr>
              <w:jc w:val="center"/>
              <w:rPr>
                <w:rFonts w:ascii="Calibri" w:eastAsia="Times New Roman" w:hAnsi="Calibri" w:cs="Times New Roman"/>
                <w:color w:val="000000"/>
                <w:szCs w:val="20"/>
              </w:rPr>
            </w:pPr>
            <w:r w:rsidRPr="002974C5">
              <w:rPr>
                <w:rFonts w:ascii="Calibri" w:eastAsia="Times New Roman" w:hAnsi="Calibri" w:cs="Times New Roman"/>
                <w:color w:val="000000"/>
                <w:szCs w:val="20"/>
              </w:rPr>
              <w:t>Etats-Unis</w:t>
            </w:r>
          </w:p>
        </w:tc>
        <w:tc>
          <w:tcPr>
            <w:tcW w:w="2100" w:type="dxa"/>
            <w:tcBorders>
              <w:top w:val="nil"/>
              <w:left w:val="nil"/>
              <w:bottom w:val="single" w:sz="8" w:space="0" w:color="auto"/>
              <w:right w:val="single" w:sz="8" w:space="0" w:color="auto"/>
            </w:tcBorders>
            <w:shd w:val="clear" w:color="auto" w:fill="auto"/>
            <w:vAlign w:val="center"/>
            <w:hideMark/>
          </w:tcPr>
          <w:p w14:paraId="7C3245A4" w14:textId="77777777" w:rsidR="00D1755C" w:rsidRPr="002974C5" w:rsidRDefault="00D1755C" w:rsidP="00D1755C">
            <w:pPr>
              <w:jc w:val="center"/>
              <w:rPr>
                <w:rFonts w:ascii="Calibri" w:eastAsia="Times New Roman" w:hAnsi="Calibri" w:cs="Times New Roman"/>
                <w:color w:val="000000"/>
                <w:szCs w:val="20"/>
              </w:rPr>
            </w:pPr>
            <w:r w:rsidRPr="002974C5">
              <w:rPr>
                <w:rFonts w:ascii="Calibri" w:eastAsia="Times New Roman" w:hAnsi="Calibri" w:cs="Times New Roman"/>
                <w:color w:val="000000"/>
                <w:szCs w:val="20"/>
              </w:rPr>
              <w:t>39</w:t>
            </w:r>
          </w:p>
        </w:tc>
        <w:tc>
          <w:tcPr>
            <w:tcW w:w="2100" w:type="dxa"/>
            <w:tcBorders>
              <w:top w:val="nil"/>
              <w:left w:val="nil"/>
              <w:bottom w:val="single" w:sz="8" w:space="0" w:color="auto"/>
              <w:right w:val="single" w:sz="8" w:space="0" w:color="auto"/>
            </w:tcBorders>
            <w:shd w:val="clear" w:color="auto" w:fill="auto"/>
            <w:vAlign w:val="center"/>
            <w:hideMark/>
          </w:tcPr>
          <w:p w14:paraId="2FA68DA1" w14:textId="77777777" w:rsidR="00D1755C" w:rsidRPr="002974C5" w:rsidRDefault="00D1755C" w:rsidP="00D1755C">
            <w:pPr>
              <w:jc w:val="center"/>
              <w:rPr>
                <w:rFonts w:ascii="Calibri" w:eastAsia="Times New Roman" w:hAnsi="Calibri" w:cs="Times New Roman"/>
                <w:color w:val="000000"/>
                <w:szCs w:val="20"/>
              </w:rPr>
            </w:pPr>
            <w:r w:rsidRPr="002974C5">
              <w:rPr>
                <w:rFonts w:ascii="Calibri" w:eastAsia="Times New Roman" w:hAnsi="Calibri" w:cs="Times New Roman"/>
                <w:color w:val="000000"/>
                <w:szCs w:val="20"/>
              </w:rPr>
              <w:t>7%</w:t>
            </w:r>
          </w:p>
        </w:tc>
      </w:tr>
      <w:tr w:rsidR="00D1755C" w:rsidRPr="002974C5" w14:paraId="35A435DD" w14:textId="77777777" w:rsidTr="00D1755C">
        <w:trPr>
          <w:trHeight w:val="320"/>
        </w:trPr>
        <w:tc>
          <w:tcPr>
            <w:tcW w:w="3120" w:type="dxa"/>
            <w:tcBorders>
              <w:top w:val="nil"/>
              <w:left w:val="single" w:sz="8" w:space="0" w:color="auto"/>
              <w:bottom w:val="single" w:sz="8" w:space="0" w:color="auto"/>
              <w:right w:val="single" w:sz="8" w:space="0" w:color="auto"/>
            </w:tcBorders>
            <w:shd w:val="clear" w:color="auto" w:fill="auto"/>
            <w:vAlign w:val="center"/>
            <w:hideMark/>
          </w:tcPr>
          <w:p w14:paraId="0593856F" w14:textId="77777777" w:rsidR="00D1755C" w:rsidRPr="002974C5" w:rsidRDefault="00D1755C" w:rsidP="00D1755C">
            <w:pPr>
              <w:jc w:val="center"/>
              <w:rPr>
                <w:rFonts w:ascii="Calibri" w:eastAsia="Times New Roman" w:hAnsi="Calibri" w:cs="Times New Roman"/>
                <w:color w:val="000000"/>
                <w:szCs w:val="20"/>
              </w:rPr>
            </w:pPr>
            <w:r w:rsidRPr="002974C5">
              <w:rPr>
                <w:rFonts w:ascii="Calibri" w:eastAsia="Times New Roman" w:hAnsi="Calibri" w:cs="Times New Roman"/>
                <w:color w:val="000000"/>
                <w:szCs w:val="20"/>
              </w:rPr>
              <w:t>Globus Medical Inc</w:t>
            </w:r>
          </w:p>
        </w:tc>
        <w:tc>
          <w:tcPr>
            <w:tcW w:w="2100" w:type="dxa"/>
            <w:tcBorders>
              <w:top w:val="nil"/>
              <w:left w:val="nil"/>
              <w:bottom w:val="single" w:sz="8" w:space="0" w:color="auto"/>
              <w:right w:val="single" w:sz="8" w:space="0" w:color="auto"/>
            </w:tcBorders>
            <w:shd w:val="clear" w:color="auto" w:fill="auto"/>
            <w:vAlign w:val="center"/>
            <w:hideMark/>
          </w:tcPr>
          <w:p w14:paraId="0772B8A3" w14:textId="77777777" w:rsidR="00D1755C" w:rsidRPr="002974C5" w:rsidRDefault="00D1755C" w:rsidP="00D1755C">
            <w:pPr>
              <w:jc w:val="center"/>
              <w:rPr>
                <w:rFonts w:ascii="Calibri" w:eastAsia="Times New Roman" w:hAnsi="Calibri" w:cs="Times New Roman"/>
                <w:color w:val="000000"/>
                <w:szCs w:val="20"/>
              </w:rPr>
            </w:pPr>
            <w:r w:rsidRPr="002974C5">
              <w:rPr>
                <w:rFonts w:ascii="Calibri" w:eastAsia="Times New Roman" w:hAnsi="Calibri" w:cs="Times New Roman"/>
                <w:color w:val="000000"/>
                <w:szCs w:val="20"/>
              </w:rPr>
              <w:t>Etats-Unis</w:t>
            </w:r>
          </w:p>
        </w:tc>
        <w:tc>
          <w:tcPr>
            <w:tcW w:w="2100" w:type="dxa"/>
            <w:tcBorders>
              <w:top w:val="nil"/>
              <w:left w:val="nil"/>
              <w:bottom w:val="single" w:sz="8" w:space="0" w:color="auto"/>
              <w:right w:val="single" w:sz="8" w:space="0" w:color="auto"/>
            </w:tcBorders>
            <w:shd w:val="clear" w:color="auto" w:fill="auto"/>
            <w:vAlign w:val="center"/>
            <w:hideMark/>
          </w:tcPr>
          <w:p w14:paraId="5721F95D" w14:textId="77777777" w:rsidR="00D1755C" w:rsidRPr="002974C5" w:rsidRDefault="00D1755C" w:rsidP="00D1755C">
            <w:pPr>
              <w:jc w:val="center"/>
              <w:rPr>
                <w:rFonts w:ascii="Calibri" w:eastAsia="Times New Roman" w:hAnsi="Calibri" w:cs="Times New Roman"/>
                <w:color w:val="000000"/>
                <w:szCs w:val="20"/>
              </w:rPr>
            </w:pPr>
            <w:r w:rsidRPr="002974C5">
              <w:rPr>
                <w:rFonts w:ascii="Calibri" w:eastAsia="Times New Roman" w:hAnsi="Calibri" w:cs="Times New Roman"/>
                <w:color w:val="000000"/>
                <w:szCs w:val="20"/>
              </w:rPr>
              <w:t>24</w:t>
            </w:r>
          </w:p>
        </w:tc>
        <w:tc>
          <w:tcPr>
            <w:tcW w:w="2100" w:type="dxa"/>
            <w:tcBorders>
              <w:top w:val="nil"/>
              <w:left w:val="nil"/>
              <w:bottom w:val="single" w:sz="8" w:space="0" w:color="auto"/>
              <w:right w:val="single" w:sz="8" w:space="0" w:color="auto"/>
            </w:tcBorders>
            <w:shd w:val="clear" w:color="auto" w:fill="auto"/>
            <w:vAlign w:val="center"/>
            <w:hideMark/>
          </w:tcPr>
          <w:p w14:paraId="4D684ECF" w14:textId="77777777" w:rsidR="00D1755C" w:rsidRPr="002974C5" w:rsidRDefault="00D1755C" w:rsidP="00D1755C">
            <w:pPr>
              <w:jc w:val="center"/>
              <w:rPr>
                <w:rFonts w:ascii="Calibri" w:eastAsia="Times New Roman" w:hAnsi="Calibri" w:cs="Times New Roman"/>
                <w:color w:val="000000"/>
                <w:szCs w:val="20"/>
              </w:rPr>
            </w:pPr>
            <w:r w:rsidRPr="002974C5">
              <w:rPr>
                <w:rFonts w:ascii="Calibri" w:eastAsia="Times New Roman" w:hAnsi="Calibri" w:cs="Times New Roman"/>
                <w:color w:val="000000"/>
                <w:szCs w:val="20"/>
              </w:rPr>
              <w:t>4%</w:t>
            </w:r>
          </w:p>
        </w:tc>
      </w:tr>
      <w:tr w:rsidR="00D1755C" w:rsidRPr="002974C5" w14:paraId="50854762" w14:textId="77777777" w:rsidTr="00D1755C">
        <w:trPr>
          <w:trHeight w:val="320"/>
        </w:trPr>
        <w:tc>
          <w:tcPr>
            <w:tcW w:w="3120" w:type="dxa"/>
            <w:tcBorders>
              <w:top w:val="nil"/>
              <w:left w:val="single" w:sz="8" w:space="0" w:color="auto"/>
              <w:bottom w:val="single" w:sz="8" w:space="0" w:color="auto"/>
              <w:right w:val="single" w:sz="8" w:space="0" w:color="auto"/>
            </w:tcBorders>
            <w:shd w:val="clear" w:color="auto" w:fill="auto"/>
            <w:vAlign w:val="center"/>
            <w:hideMark/>
          </w:tcPr>
          <w:p w14:paraId="77B330E1" w14:textId="77777777" w:rsidR="00D1755C" w:rsidRPr="002974C5" w:rsidRDefault="00D1755C" w:rsidP="00D1755C">
            <w:pPr>
              <w:jc w:val="center"/>
              <w:rPr>
                <w:rFonts w:ascii="Calibri" w:eastAsia="Times New Roman" w:hAnsi="Calibri" w:cs="Times New Roman"/>
                <w:color w:val="000000"/>
                <w:szCs w:val="20"/>
              </w:rPr>
            </w:pPr>
            <w:r w:rsidRPr="002974C5">
              <w:rPr>
                <w:rFonts w:ascii="Calibri" w:eastAsia="Times New Roman" w:hAnsi="Calibri" w:cs="Times New Roman"/>
                <w:color w:val="000000"/>
                <w:szCs w:val="20"/>
              </w:rPr>
              <w:t>Zimmer Blomet Holdings Inc</w:t>
            </w:r>
          </w:p>
        </w:tc>
        <w:tc>
          <w:tcPr>
            <w:tcW w:w="2100" w:type="dxa"/>
            <w:tcBorders>
              <w:top w:val="nil"/>
              <w:left w:val="nil"/>
              <w:bottom w:val="single" w:sz="8" w:space="0" w:color="auto"/>
              <w:right w:val="single" w:sz="8" w:space="0" w:color="auto"/>
            </w:tcBorders>
            <w:shd w:val="clear" w:color="auto" w:fill="auto"/>
            <w:vAlign w:val="center"/>
            <w:hideMark/>
          </w:tcPr>
          <w:p w14:paraId="30672086" w14:textId="77777777" w:rsidR="00D1755C" w:rsidRPr="002974C5" w:rsidRDefault="00D1755C" w:rsidP="00D1755C">
            <w:pPr>
              <w:jc w:val="center"/>
              <w:rPr>
                <w:rFonts w:ascii="Calibri" w:eastAsia="Times New Roman" w:hAnsi="Calibri" w:cs="Times New Roman"/>
                <w:color w:val="000000"/>
                <w:szCs w:val="20"/>
              </w:rPr>
            </w:pPr>
            <w:r w:rsidRPr="002974C5">
              <w:rPr>
                <w:rFonts w:ascii="Calibri" w:eastAsia="Times New Roman" w:hAnsi="Calibri" w:cs="Times New Roman"/>
                <w:color w:val="000000"/>
                <w:szCs w:val="20"/>
              </w:rPr>
              <w:t>Etats-Unis</w:t>
            </w:r>
          </w:p>
        </w:tc>
        <w:tc>
          <w:tcPr>
            <w:tcW w:w="2100" w:type="dxa"/>
            <w:tcBorders>
              <w:top w:val="nil"/>
              <w:left w:val="nil"/>
              <w:bottom w:val="single" w:sz="8" w:space="0" w:color="auto"/>
              <w:right w:val="single" w:sz="8" w:space="0" w:color="auto"/>
            </w:tcBorders>
            <w:shd w:val="clear" w:color="auto" w:fill="auto"/>
            <w:vAlign w:val="center"/>
            <w:hideMark/>
          </w:tcPr>
          <w:p w14:paraId="7F578706" w14:textId="77777777" w:rsidR="00D1755C" w:rsidRPr="002974C5" w:rsidRDefault="00D1755C" w:rsidP="00D1755C">
            <w:pPr>
              <w:jc w:val="center"/>
              <w:rPr>
                <w:rFonts w:ascii="Calibri" w:eastAsia="Times New Roman" w:hAnsi="Calibri" w:cs="Times New Roman"/>
                <w:color w:val="000000"/>
                <w:szCs w:val="20"/>
              </w:rPr>
            </w:pPr>
            <w:r w:rsidRPr="002974C5">
              <w:rPr>
                <w:rFonts w:ascii="Calibri" w:eastAsia="Times New Roman" w:hAnsi="Calibri" w:cs="Times New Roman"/>
                <w:color w:val="000000"/>
                <w:szCs w:val="20"/>
              </w:rPr>
              <w:t>20</w:t>
            </w:r>
          </w:p>
        </w:tc>
        <w:tc>
          <w:tcPr>
            <w:tcW w:w="2100" w:type="dxa"/>
            <w:tcBorders>
              <w:top w:val="nil"/>
              <w:left w:val="nil"/>
              <w:bottom w:val="single" w:sz="8" w:space="0" w:color="auto"/>
              <w:right w:val="single" w:sz="8" w:space="0" w:color="auto"/>
            </w:tcBorders>
            <w:shd w:val="clear" w:color="auto" w:fill="auto"/>
            <w:vAlign w:val="center"/>
            <w:hideMark/>
          </w:tcPr>
          <w:p w14:paraId="5BE3E2EB" w14:textId="77777777" w:rsidR="00D1755C" w:rsidRPr="002974C5" w:rsidRDefault="00D1755C" w:rsidP="00D1755C">
            <w:pPr>
              <w:jc w:val="center"/>
              <w:rPr>
                <w:rFonts w:ascii="Calibri" w:eastAsia="Times New Roman" w:hAnsi="Calibri" w:cs="Times New Roman"/>
                <w:color w:val="000000"/>
                <w:szCs w:val="20"/>
              </w:rPr>
            </w:pPr>
            <w:r w:rsidRPr="002974C5">
              <w:rPr>
                <w:rFonts w:ascii="Calibri" w:eastAsia="Times New Roman" w:hAnsi="Calibri" w:cs="Times New Roman"/>
                <w:color w:val="000000"/>
                <w:szCs w:val="20"/>
              </w:rPr>
              <w:t>3%</w:t>
            </w:r>
          </w:p>
        </w:tc>
      </w:tr>
      <w:tr w:rsidR="00D1755C" w:rsidRPr="002974C5" w14:paraId="1F46E2E5" w14:textId="77777777" w:rsidTr="00D1755C">
        <w:trPr>
          <w:trHeight w:val="320"/>
        </w:trPr>
        <w:tc>
          <w:tcPr>
            <w:tcW w:w="3120" w:type="dxa"/>
            <w:tcBorders>
              <w:top w:val="nil"/>
              <w:left w:val="single" w:sz="8" w:space="0" w:color="auto"/>
              <w:bottom w:val="single" w:sz="8" w:space="0" w:color="auto"/>
              <w:right w:val="single" w:sz="8" w:space="0" w:color="auto"/>
            </w:tcBorders>
            <w:shd w:val="clear" w:color="auto" w:fill="auto"/>
            <w:vAlign w:val="center"/>
            <w:hideMark/>
          </w:tcPr>
          <w:p w14:paraId="241057AA" w14:textId="77777777" w:rsidR="00D1755C" w:rsidRPr="002974C5" w:rsidRDefault="00D1755C" w:rsidP="00D1755C">
            <w:pPr>
              <w:jc w:val="center"/>
              <w:rPr>
                <w:rFonts w:ascii="Calibri" w:eastAsia="Times New Roman" w:hAnsi="Calibri" w:cs="Times New Roman"/>
                <w:color w:val="000000"/>
                <w:szCs w:val="20"/>
              </w:rPr>
            </w:pPr>
            <w:r w:rsidRPr="002974C5">
              <w:rPr>
                <w:rFonts w:ascii="Calibri" w:eastAsia="Times New Roman" w:hAnsi="Calibri" w:cs="Times New Roman"/>
                <w:color w:val="000000"/>
                <w:szCs w:val="20"/>
              </w:rPr>
              <w:t>Autres intervenants</w:t>
            </w:r>
          </w:p>
        </w:tc>
        <w:tc>
          <w:tcPr>
            <w:tcW w:w="2100" w:type="dxa"/>
            <w:tcBorders>
              <w:top w:val="nil"/>
              <w:left w:val="nil"/>
              <w:bottom w:val="single" w:sz="8" w:space="0" w:color="auto"/>
              <w:right w:val="single" w:sz="8" w:space="0" w:color="auto"/>
            </w:tcBorders>
            <w:shd w:val="clear" w:color="auto" w:fill="auto"/>
            <w:vAlign w:val="center"/>
            <w:hideMark/>
          </w:tcPr>
          <w:p w14:paraId="21FFDF2A" w14:textId="77777777" w:rsidR="00D1755C" w:rsidRPr="002974C5" w:rsidRDefault="00D1755C" w:rsidP="00D1755C">
            <w:pPr>
              <w:jc w:val="center"/>
              <w:rPr>
                <w:rFonts w:ascii="Calibri" w:eastAsia="Times New Roman" w:hAnsi="Calibri" w:cs="Times New Roman"/>
                <w:color w:val="000000"/>
                <w:szCs w:val="20"/>
              </w:rPr>
            </w:pPr>
            <w:r w:rsidRPr="002974C5">
              <w:rPr>
                <w:rFonts w:ascii="Calibri" w:eastAsia="Times New Roman" w:hAnsi="Calibri" w:cs="Times New Roman"/>
                <w:color w:val="000000"/>
                <w:szCs w:val="20"/>
              </w:rPr>
              <w:t>-</w:t>
            </w:r>
          </w:p>
        </w:tc>
        <w:tc>
          <w:tcPr>
            <w:tcW w:w="2100" w:type="dxa"/>
            <w:tcBorders>
              <w:top w:val="nil"/>
              <w:left w:val="nil"/>
              <w:bottom w:val="single" w:sz="8" w:space="0" w:color="auto"/>
              <w:right w:val="single" w:sz="8" w:space="0" w:color="auto"/>
            </w:tcBorders>
            <w:shd w:val="clear" w:color="auto" w:fill="auto"/>
            <w:vAlign w:val="center"/>
            <w:hideMark/>
          </w:tcPr>
          <w:p w14:paraId="70210FE4" w14:textId="77777777" w:rsidR="00D1755C" w:rsidRPr="002974C5" w:rsidRDefault="00D1755C" w:rsidP="00D1755C">
            <w:pPr>
              <w:jc w:val="center"/>
              <w:rPr>
                <w:rFonts w:ascii="Calibri" w:eastAsia="Times New Roman" w:hAnsi="Calibri" w:cs="Times New Roman"/>
                <w:color w:val="000000"/>
                <w:szCs w:val="20"/>
              </w:rPr>
            </w:pPr>
            <w:r w:rsidRPr="002974C5">
              <w:rPr>
                <w:rFonts w:ascii="Calibri" w:eastAsia="Times New Roman" w:hAnsi="Calibri" w:cs="Times New Roman"/>
                <w:color w:val="000000"/>
                <w:szCs w:val="20"/>
              </w:rPr>
              <w:t>109</w:t>
            </w:r>
          </w:p>
        </w:tc>
        <w:tc>
          <w:tcPr>
            <w:tcW w:w="2100" w:type="dxa"/>
            <w:tcBorders>
              <w:top w:val="nil"/>
              <w:left w:val="nil"/>
              <w:bottom w:val="single" w:sz="8" w:space="0" w:color="auto"/>
              <w:right w:val="single" w:sz="8" w:space="0" w:color="auto"/>
            </w:tcBorders>
            <w:shd w:val="clear" w:color="auto" w:fill="auto"/>
            <w:vAlign w:val="center"/>
            <w:hideMark/>
          </w:tcPr>
          <w:p w14:paraId="3F6BA287" w14:textId="77777777" w:rsidR="00D1755C" w:rsidRPr="002974C5" w:rsidRDefault="00D1755C" w:rsidP="00D1755C">
            <w:pPr>
              <w:jc w:val="center"/>
              <w:rPr>
                <w:rFonts w:ascii="Calibri" w:eastAsia="Times New Roman" w:hAnsi="Calibri" w:cs="Times New Roman"/>
                <w:color w:val="000000"/>
                <w:szCs w:val="20"/>
              </w:rPr>
            </w:pPr>
            <w:r w:rsidRPr="002974C5">
              <w:rPr>
                <w:rFonts w:ascii="Calibri" w:eastAsia="Times New Roman" w:hAnsi="Calibri" w:cs="Times New Roman"/>
                <w:color w:val="000000"/>
                <w:szCs w:val="20"/>
              </w:rPr>
              <w:t>18%</w:t>
            </w:r>
          </w:p>
        </w:tc>
      </w:tr>
      <w:tr w:rsidR="00D1755C" w:rsidRPr="002974C5" w14:paraId="57708CF6" w14:textId="77777777" w:rsidTr="00D1755C">
        <w:trPr>
          <w:trHeight w:val="320"/>
        </w:trPr>
        <w:tc>
          <w:tcPr>
            <w:tcW w:w="3120" w:type="dxa"/>
            <w:tcBorders>
              <w:top w:val="nil"/>
              <w:left w:val="single" w:sz="8" w:space="0" w:color="auto"/>
              <w:bottom w:val="single" w:sz="8" w:space="0" w:color="auto"/>
              <w:right w:val="single" w:sz="8" w:space="0" w:color="auto"/>
            </w:tcBorders>
            <w:shd w:val="clear" w:color="auto" w:fill="auto"/>
            <w:vAlign w:val="center"/>
            <w:hideMark/>
          </w:tcPr>
          <w:p w14:paraId="7D7B3A76" w14:textId="77777777" w:rsidR="00D1755C" w:rsidRPr="002974C5" w:rsidRDefault="00D1755C" w:rsidP="00D1755C">
            <w:pPr>
              <w:jc w:val="center"/>
              <w:rPr>
                <w:rFonts w:ascii="Calibri" w:eastAsia="Times New Roman" w:hAnsi="Calibri" w:cs="Times New Roman"/>
                <w:color w:val="000000"/>
                <w:szCs w:val="20"/>
              </w:rPr>
            </w:pPr>
            <w:r w:rsidRPr="002974C5">
              <w:rPr>
                <w:rFonts w:ascii="Calibri" w:eastAsia="Times New Roman" w:hAnsi="Calibri" w:cs="Times New Roman"/>
                <w:color w:val="000000"/>
                <w:szCs w:val="20"/>
              </w:rPr>
              <w:t>Autres revenus (hors fabrication)</w:t>
            </w:r>
          </w:p>
        </w:tc>
        <w:tc>
          <w:tcPr>
            <w:tcW w:w="2100" w:type="dxa"/>
            <w:tcBorders>
              <w:top w:val="nil"/>
              <w:left w:val="nil"/>
              <w:bottom w:val="single" w:sz="8" w:space="0" w:color="auto"/>
              <w:right w:val="single" w:sz="8" w:space="0" w:color="auto"/>
            </w:tcBorders>
            <w:shd w:val="clear" w:color="auto" w:fill="auto"/>
            <w:vAlign w:val="center"/>
            <w:hideMark/>
          </w:tcPr>
          <w:p w14:paraId="7B7EC7CF" w14:textId="77777777" w:rsidR="00D1755C" w:rsidRPr="002974C5" w:rsidRDefault="00D1755C" w:rsidP="00D1755C">
            <w:pPr>
              <w:jc w:val="center"/>
              <w:rPr>
                <w:rFonts w:ascii="Calibri" w:eastAsia="Times New Roman" w:hAnsi="Calibri" w:cs="Times New Roman"/>
                <w:color w:val="000000"/>
                <w:szCs w:val="20"/>
              </w:rPr>
            </w:pPr>
            <w:r w:rsidRPr="002974C5">
              <w:rPr>
                <w:rFonts w:ascii="Calibri" w:eastAsia="Times New Roman" w:hAnsi="Calibri" w:cs="Times New Roman"/>
                <w:color w:val="000000"/>
                <w:szCs w:val="20"/>
              </w:rPr>
              <w:t>-</w:t>
            </w:r>
          </w:p>
        </w:tc>
        <w:tc>
          <w:tcPr>
            <w:tcW w:w="2100" w:type="dxa"/>
            <w:tcBorders>
              <w:top w:val="nil"/>
              <w:left w:val="nil"/>
              <w:bottom w:val="single" w:sz="8" w:space="0" w:color="auto"/>
              <w:right w:val="single" w:sz="8" w:space="0" w:color="auto"/>
            </w:tcBorders>
            <w:shd w:val="clear" w:color="auto" w:fill="auto"/>
            <w:vAlign w:val="center"/>
            <w:hideMark/>
          </w:tcPr>
          <w:p w14:paraId="49C455A5" w14:textId="77777777" w:rsidR="00D1755C" w:rsidRPr="002974C5" w:rsidRDefault="00D1755C" w:rsidP="00D1755C">
            <w:pPr>
              <w:jc w:val="center"/>
              <w:rPr>
                <w:rFonts w:ascii="Calibri" w:eastAsia="Times New Roman" w:hAnsi="Calibri" w:cs="Times New Roman"/>
                <w:color w:val="000000"/>
                <w:szCs w:val="20"/>
              </w:rPr>
            </w:pPr>
            <w:r w:rsidRPr="002974C5">
              <w:rPr>
                <w:rFonts w:ascii="Calibri" w:eastAsia="Times New Roman" w:hAnsi="Calibri" w:cs="Times New Roman"/>
                <w:color w:val="000000"/>
                <w:szCs w:val="20"/>
              </w:rPr>
              <w:t>120</w:t>
            </w:r>
          </w:p>
        </w:tc>
        <w:tc>
          <w:tcPr>
            <w:tcW w:w="2100" w:type="dxa"/>
            <w:tcBorders>
              <w:top w:val="nil"/>
              <w:left w:val="nil"/>
              <w:bottom w:val="single" w:sz="8" w:space="0" w:color="auto"/>
              <w:right w:val="single" w:sz="8" w:space="0" w:color="auto"/>
            </w:tcBorders>
            <w:shd w:val="clear" w:color="auto" w:fill="auto"/>
            <w:vAlign w:val="center"/>
            <w:hideMark/>
          </w:tcPr>
          <w:p w14:paraId="0C16881E" w14:textId="77777777" w:rsidR="00D1755C" w:rsidRPr="002974C5" w:rsidRDefault="00D1755C" w:rsidP="00D1755C">
            <w:pPr>
              <w:jc w:val="center"/>
              <w:rPr>
                <w:rFonts w:ascii="Calibri" w:eastAsia="Times New Roman" w:hAnsi="Calibri" w:cs="Times New Roman"/>
                <w:color w:val="000000"/>
                <w:szCs w:val="20"/>
              </w:rPr>
            </w:pPr>
            <w:r w:rsidRPr="002974C5">
              <w:rPr>
                <w:rFonts w:ascii="Calibri" w:eastAsia="Times New Roman" w:hAnsi="Calibri" w:cs="Times New Roman"/>
                <w:color w:val="000000"/>
                <w:szCs w:val="20"/>
              </w:rPr>
              <w:t>20%</w:t>
            </w:r>
          </w:p>
        </w:tc>
      </w:tr>
      <w:tr w:rsidR="00D1755C" w:rsidRPr="002974C5" w14:paraId="2FB897A1" w14:textId="77777777" w:rsidTr="00D1755C">
        <w:trPr>
          <w:trHeight w:val="320"/>
        </w:trPr>
        <w:tc>
          <w:tcPr>
            <w:tcW w:w="3120" w:type="dxa"/>
            <w:tcBorders>
              <w:top w:val="nil"/>
              <w:left w:val="single" w:sz="8" w:space="0" w:color="auto"/>
              <w:bottom w:val="single" w:sz="8" w:space="0" w:color="auto"/>
              <w:right w:val="single" w:sz="8" w:space="0" w:color="auto"/>
            </w:tcBorders>
            <w:shd w:val="clear" w:color="auto" w:fill="auto"/>
            <w:vAlign w:val="center"/>
            <w:hideMark/>
          </w:tcPr>
          <w:p w14:paraId="13DC9DB3" w14:textId="77777777" w:rsidR="00D1755C" w:rsidRPr="002974C5" w:rsidRDefault="00D1755C" w:rsidP="00D1755C">
            <w:pPr>
              <w:jc w:val="center"/>
              <w:rPr>
                <w:rFonts w:ascii="Calibri" w:eastAsia="Times New Roman" w:hAnsi="Calibri" w:cs="Times New Roman"/>
                <w:b/>
                <w:bCs/>
                <w:color w:val="000000"/>
                <w:szCs w:val="20"/>
              </w:rPr>
            </w:pPr>
            <w:r w:rsidRPr="002974C5">
              <w:rPr>
                <w:rFonts w:ascii="Calibri" w:eastAsia="Times New Roman" w:hAnsi="Calibri" w:cs="Times New Roman"/>
                <w:b/>
                <w:bCs/>
                <w:color w:val="000000"/>
                <w:szCs w:val="20"/>
              </w:rPr>
              <w:t>Total</w:t>
            </w:r>
          </w:p>
        </w:tc>
        <w:tc>
          <w:tcPr>
            <w:tcW w:w="2100" w:type="dxa"/>
            <w:tcBorders>
              <w:top w:val="nil"/>
              <w:left w:val="nil"/>
              <w:bottom w:val="single" w:sz="8" w:space="0" w:color="auto"/>
              <w:right w:val="single" w:sz="8" w:space="0" w:color="auto"/>
            </w:tcBorders>
            <w:shd w:val="clear" w:color="auto" w:fill="auto"/>
            <w:vAlign w:val="center"/>
            <w:hideMark/>
          </w:tcPr>
          <w:p w14:paraId="119A97D3" w14:textId="77777777" w:rsidR="00D1755C" w:rsidRPr="002974C5" w:rsidRDefault="00D1755C" w:rsidP="00D1755C">
            <w:pPr>
              <w:jc w:val="center"/>
              <w:rPr>
                <w:rFonts w:ascii="Calibri" w:eastAsia="Times New Roman" w:hAnsi="Calibri" w:cs="Times New Roman"/>
                <w:color w:val="000000"/>
                <w:szCs w:val="20"/>
              </w:rPr>
            </w:pPr>
            <w:r w:rsidRPr="002974C5">
              <w:rPr>
                <w:rFonts w:ascii="Calibri" w:eastAsia="Times New Roman" w:hAnsi="Calibri" w:cs="Times New Roman"/>
                <w:color w:val="000000"/>
                <w:szCs w:val="20"/>
              </w:rPr>
              <w:t> </w:t>
            </w:r>
          </w:p>
        </w:tc>
        <w:tc>
          <w:tcPr>
            <w:tcW w:w="2100" w:type="dxa"/>
            <w:tcBorders>
              <w:top w:val="nil"/>
              <w:left w:val="nil"/>
              <w:bottom w:val="single" w:sz="8" w:space="0" w:color="auto"/>
              <w:right w:val="single" w:sz="8" w:space="0" w:color="auto"/>
            </w:tcBorders>
            <w:shd w:val="clear" w:color="auto" w:fill="auto"/>
            <w:vAlign w:val="center"/>
            <w:hideMark/>
          </w:tcPr>
          <w:p w14:paraId="72BF2B2D" w14:textId="77777777" w:rsidR="00D1755C" w:rsidRPr="002974C5" w:rsidRDefault="00D1755C" w:rsidP="00D1755C">
            <w:pPr>
              <w:jc w:val="center"/>
              <w:rPr>
                <w:rFonts w:ascii="Calibri" w:eastAsia="Times New Roman" w:hAnsi="Calibri" w:cs="Times New Roman"/>
                <w:b/>
                <w:bCs/>
                <w:color w:val="000000"/>
                <w:szCs w:val="20"/>
              </w:rPr>
            </w:pPr>
            <w:r w:rsidRPr="002974C5">
              <w:rPr>
                <w:rFonts w:ascii="Calibri" w:eastAsia="Times New Roman" w:hAnsi="Calibri" w:cs="Times New Roman"/>
                <w:b/>
                <w:bCs/>
                <w:color w:val="000000"/>
                <w:szCs w:val="20"/>
              </w:rPr>
              <w:t>597</w:t>
            </w:r>
          </w:p>
        </w:tc>
        <w:tc>
          <w:tcPr>
            <w:tcW w:w="2100" w:type="dxa"/>
            <w:tcBorders>
              <w:top w:val="nil"/>
              <w:left w:val="nil"/>
              <w:bottom w:val="single" w:sz="8" w:space="0" w:color="auto"/>
              <w:right w:val="single" w:sz="8" w:space="0" w:color="auto"/>
            </w:tcBorders>
            <w:shd w:val="clear" w:color="auto" w:fill="auto"/>
            <w:vAlign w:val="center"/>
            <w:hideMark/>
          </w:tcPr>
          <w:p w14:paraId="2AE86006" w14:textId="77777777" w:rsidR="00D1755C" w:rsidRPr="002974C5" w:rsidRDefault="00D1755C" w:rsidP="00D1755C">
            <w:pPr>
              <w:jc w:val="center"/>
              <w:rPr>
                <w:rFonts w:ascii="Calibri" w:eastAsia="Times New Roman" w:hAnsi="Calibri" w:cs="Times New Roman"/>
                <w:color w:val="000000"/>
                <w:szCs w:val="20"/>
              </w:rPr>
            </w:pPr>
            <w:r w:rsidRPr="002974C5">
              <w:rPr>
                <w:rFonts w:ascii="Calibri" w:eastAsia="Times New Roman" w:hAnsi="Calibri" w:cs="Times New Roman"/>
                <w:color w:val="000000"/>
                <w:szCs w:val="20"/>
              </w:rPr>
              <w:t>100%</w:t>
            </w:r>
          </w:p>
        </w:tc>
      </w:tr>
      <w:tr w:rsidR="00D1755C" w:rsidRPr="002974C5" w14:paraId="59DA8E0B" w14:textId="77777777" w:rsidTr="00D1755C">
        <w:trPr>
          <w:trHeight w:val="300"/>
        </w:trPr>
        <w:tc>
          <w:tcPr>
            <w:tcW w:w="9420" w:type="dxa"/>
            <w:gridSpan w:val="4"/>
            <w:tcBorders>
              <w:top w:val="single" w:sz="8" w:space="0" w:color="auto"/>
              <w:left w:val="nil"/>
              <w:bottom w:val="nil"/>
              <w:right w:val="nil"/>
            </w:tcBorders>
            <w:shd w:val="clear" w:color="auto" w:fill="auto"/>
            <w:noWrap/>
            <w:vAlign w:val="center"/>
            <w:hideMark/>
          </w:tcPr>
          <w:p w14:paraId="579DBFF9" w14:textId="77777777" w:rsidR="00D1755C" w:rsidRPr="002974C5" w:rsidRDefault="00D1755C" w:rsidP="00D1755C">
            <w:pPr>
              <w:jc w:val="left"/>
              <w:rPr>
                <w:rFonts w:ascii="Calibri" w:eastAsia="Times New Roman" w:hAnsi="Calibri" w:cs="Times New Roman"/>
                <w:i/>
                <w:iCs/>
                <w:color w:val="000000"/>
                <w:szCs w:val="20"/>
              </w:rPr>
            </w:pPr>
            <w:r w:rsidRPr="002974C5">
              <w:rPr>
                <w:rFonts w:ascii="Calibri" w:eastAsia="Times New Roman" w:hAnsi="Calibri" w:cs="Times New Roman"/>
                <w:i/>
                <w:iCs/>
                <w:color w:val="000000"/>
                <w:szCs w:val="20"/>
              </w:rPr>
              <w:t>Source : GlobalData</w:t>
            </w:r>
          </w:p>
        </w:tc>
      </w:tr>
    </w:tbl>
    <w:p w14:paraId="30882CFD" w14:textId="77777777" w:rsidR="00D1755C" w:rsidRDefault="00D1755C" w:rsidP="00D1755C">
      <w:pPr>
        <w:rPr>
          <w:b/>
          <w:bCs/>
          <w:szCs w:val="20"/>
        </w:rPr>
      </w:pPr>
    </w:p>
    <w:p w14:paraId="7332BC73" w14:textId="77777777" w:rsidR="00D1755C" w:rsidRPr="0071125C" w:rsidRDefault="00D1755C" w:rsidP="00D1755C">
      <w:pPr>
        <w:rPr>
          <w:szCs w:val="20"/>
        </w:rPr>
      </w:pPr>
    </w:p>
    <w:p w14:paraId="7C74801C" w14:textId="77777777" w:rsidR="00D1755C" w:rsidRPr="0090269D" w:rsidRDefault="00D1755C" w:rsidP="00D1755C">
      <w:pPr>
        <w:rPr>
          <w:szCs w:val="20"/>
        </w:rPr>
      </w:pPr>
      <w:r w:rsidRPr="0090269D">
        <w:rPr>
          <w:szCs w:val="20"/>
        </w:rPr>
        <w:t xml:space="preserve">La part de marché cumulée </w:t>
      </w:r>
      <w:r>
        <w:rPr>
          <w:szCs w:val="20"/>
        </w:rPr>
        <w:t xml:space="preserve">de ces principaux </w:t>
      </w:r>
      <w:r w:rsidRPr="0090269D">
        <w:rPr>
          <w:szCs w:val="20"/>
        </w:rPr>
        <w:t>acteurs américains</w:t>
      </w:r>
      <w:r>
        <w:rPr>
          <w:szCs w:val="20"/>
        </w:rPr>
        <w:t xml:space="preserve"> </w:t>
      </w:r>
      <w:r w:rsidRPr="0090269D">
        <w:rPr>
          <w:szCs w:val="20"/>
        </w:rPr>
        <w:t>atteint environ 7</w:t>
      </w:r>
      <w:r>
        <w:rPr>
          <w:szCs w:val="20"/>
        </w:rPr>
        <w:t>7</w:t>
      </w:r>
      <w:r w:rsidRPr="0090269D">
        <w:rPr>
          <w:szCs w:val="20"/>
        </w:rPr>
        <w:t xml:space="preserve">% </w:t>
      </w:r>
      <w:r>
        <w:rPr>
          <w:szCs w:val="20"/>
        </w:rPr>
        <w:t>pour le marché de la fusion rachidienne et 62% pour le marché MIS.</w:t>
      </w:r>
    </w:p>
    <w:p w14:paraId="1C63A796" w14:textId="77777777" w:rsidR="00D1755C" w:rsidRPr="0071125C" w:rsidRDefault="00D1755C" w:rsidP="00D1755C">
      <w:pPr>
        <w:ind w:left="360"/>
        <w:rPr>
          <w:szCs w:val="20"/>
        </w:rPr>
      </w:pPr>
    </w:p>
    <w:p w14:paraId="3620F13F" w14:textId="60E9EA46" w:rsidR="00D1755C" w:rsidRPr="00611C16" w:rsidRDefault="00D1755C" w:rsidP="00D1755C">
      <w:pPr>
        <w:rPr>
          <w:szCs w:val="20"/>
        </w:rPr>
      </w:pPr>
      <w:r w:rsidRPr="00611C16">
        <w:rPr>
          <w:b/>
          <w:bCs/>
          <w:szCs w:val="20"/>
        </w:rPr>
        <w:t>La troisième catégorie d’intervenants rassemble les sociétés de petite et moyenne taille</w:t>
      </w:r>
      <w:r w:rsidRPr="00611C16">
        <w:rPr>
          <w:szCs w:val="20"/>
        </w:rPr>
        <w:t xml:space="preserve"> qui développent des produits innovants en améliorant des produits existants ou de nouvelles technologies sur des marchés naissants. Ces sociétés, qui représentent des parts de marché encore relativement marginales, tirent profit de leur petite taille, de leur réactivité et de leurs étroites collaborations avec des chirurgiens de renom. Cette catégorie inclut par exemple des sociétés comme </w:t>
      </w:r>
      <w:r w:rsidR="00B2272B">
        <w:rPr>
          <w:szCs w:val="20"/>
        </w:rPr>
        <w:t xml:space="preserve">SeaSpine </w:t>
      </w:r>
      <w:r>
        <w:rPr>
          <w:szCs w:val="20"/>
        </w:rPr>
        <w:t xml:space="preserve">(Etats-Unis), </w:t>
      </w:r>
      <w:r w:rsidRPr="00611C16">
        <w:rPr>
          <w:szCs w:val="20"/>
        </w:rPr>
        <w:t>Paradigm (Allemagne), Ulrich (Allemagne), Medicrea (France)</w:t>
      </w:r>
      <w:r>
        <w:rPr>
          <w:szCs w:val="20"/>
        </w:rPr>
        <w:t xml:space="preserve">, </w:t>
      </w:r>
      <w:r w:rsidRPr="00611C16">
        <w:rPr>
          <w:szCs w:val="20"/>
        </w:rPr>
        <w:t>Spine</w:t>
      </w:r>
      <w:r>
        <w:rPr>
          <w:szCs w:val="20"/>
        </w:rPr>
        <w:t>a</w:t>
      </w:r>
      <w:r w:rsidRPr="00611C16">
        <w:rPr>
          <w:szCs w:val="20"/>
        </w:rPr>
        <w:t>rt (Suisse), Spineguard (France), Vexim (France), Joimax (Allemagne), Sintea (Italie),</w:t>
      </w:r>
      <w:r>
        <w:rPr>
          <w:szCs w:val="20"/>
        </w:rPr>
        <w:t xml:space="preserve"> Implanet (France)</w:t>
      </w:r>
      <w:r w:rsidRPr="00611C16">
        <w:rPr>
          <w:szCs w:val="20"/>
        </w:rPr>
        <w:t>.</w:t>
      </w:r>
    </w:p>
    <w:p w14:paraId="28D3C9DE" w14:textId="77777777" w:rsidR="00D1755C" w:rsidRPr="0071125C" w:rsidRDefault="00D1755C" w:rsidP="00D1755C">
      <w:pPr>
        <w:rPr>
          <w:szCs w:val="20"/>
        </w:rPr>
      </w:pPr>
    </w:p>
    <w:p w14:paraId="5FF4042A" w14:textId="77777777" w:rsidR="00D1755C" w:rsidRPr="0071125C" w:rsidRDefault="00D1755C" w:rsidP="00D1755C">
      <w:pPr>
        <w:rPr>
          <w:szCs w:val="20"/>
        </w:rPr>
      </w:pPr>
      <w:r w:rsidRPr="0071125C">
        <w:rPr>
          <w:szCs w:val="20"/>
        </w:rPr>
        <w:t>Spineway se situe pleinement dans cette troisième catégorie mais avec un positionnement axé sur l’amélioration des produits existants et la mise à disposition d’une gamme complète, et non uniquement sur la recherche de rupture technologique.</w:t>
      </w:r>
    </w:p>
    <w:p w14:paraId="2F50BA24" w14:textId="77777777" w:rsidR="00D1755C" w:rsidRPr="0071125C" w:rsidRDefault="00D1755C" w:rsidP="00D1755C">
      <w:pPr>
        <w:rPr>
          <w:szCs w:val="20"/>
        </w:rPr>
      </w:pPr>
    </w:p>
    <w:p w14:paraId="4701CCB9" w14:textId="77777777" w:rsidR="00D1755C" w:rsidRDefault="00D1755C" w:rsidP="00D1755C">
      <w:pPr>
        <w:rPr>
          <w:szCs w:val="20"/>
        </w:rPr>
      </w:pPr>
      <w:r w:rsidRPr="0071125C">
        <w:rPr>
          <w:szCs w:val="20"/>
        </w:rPr>
        <w:t xml:space="preserve">Par ailleurs, </w:t>
      </w:r>
      <w:r>
        <w:rPr>
          <w:szCs w:val="20"/>
        </w:rPr>
        <w:t xml:space="preserve">et </w:t>
      </w:r>
      <w:r w:rsidRPr="0071125C">
        <w:rPr>
          <w:szCs w:val="20"/>
        </w:rPr>
        <w:t>en marge de cette classification, quelques acteurs régionaux situés dans les pays émergents</w:t>
      </w:r>
      <w:r>
        <w:rPr>
          <w:szCs w:val="20"/>
        </w:rPr>
        <w:t xml:space="preserve"> se</w:t>
      </w:r>
      <w:r w:rsidRPr="0071125C">
        <w:rPr>
          <w:szCs w:val="20"/>
        </w:rPr>
        <w:t xml:space="preserve"> sont fortement développés au cours des dernières années</w:t>
      </w:r>
      <w:r>
        <w:rPr>
          <w:szCs w:val="20"/>
        </w:rPr>
        <w:t xml:space="preserve"> : </w:t>
      </w:r>
      <w:r w:rsidRPr="0071125C">
        <w:rPr>
          <w:szCs w:val="20"/>
        </w:rPr>
        <w:t>U&amp;I (Corée du Sud), GS (Corée du Sud), Meditech (Corée du Sud), GMREIS (Brésil), MDT (Brésil), Kanghui (Chine), Wegao (Chine), Trauson (Chine).</w:t>
      </w:r>
    </w:p>
    <w:p w14:paraId="2B17A049" w14:textId="77777777" w:rsidR="00D1755C" w:rsidRDefault="00D1755C" w:rsidP="00D1755C">
      <w:pPr>
        <w:rPr>
          <w:szCs w:val="20"/>
        </w:rPr>
      </w:pPr>
      <w:r>
        <w:rPr>
          <w:szCs w:val="20"/>
        </w:rPr>
        <w:t>L’image de marque liée à l’origine de ces entreprises et la perception de la qualité et son contrôle limitent la diffusion de leurs productions à leur territoire domestique et/ou aux pays défavorisés.</w:t>
      </w:r>
    </w:p>
    <w:p w14:paraId="446CEA82" w14:textId="77777777" w:rsidR="00D1755C" w:rsidRPr="0071125C" w:rsidRDefault="00D1755C" w:rsidP="00D1755C">
      <w:pPr>
        <w:rPr>
          <w:szCs w:val="20"/>
        </w:rPr>
      </w:pPr>
      <w:r>
        <w:rPr>
          <w:szCs w:val="20"/>
        </w:rPr>
        <w:t>Leurs parts de marché à l’international sont donc, depuis 10 ans, marginales.</w:t>
      </w:r>
    </w:p>
    <w:p w14:paraId="216D5CD6" w14:textId="77777777" w:rsidR="00D1755C" w:rsidRDefault="00D1755C" w:rsidP="00D1755C"/>
    <w:p w14:paraId="7B8F4EE3" w14:textId="77777777" w:rsidR="00D1755C" w:rsidRPr="00611C16" w:rsidRDefault="00D1755C" w:rsidP="00D1755C">
      <w:pPr>
        <w:pStyle w:val="Paragraphedeliste"/>
        <w:numPr>
          <w:ilvl w:val="0"/>
          <w:numId w:val="38"/>
        </w:numPr>
        <w:rPr>
          <w:b/>
          <w:bCs/>
          <w:iCs/>
          <w:szCs w:val="20"/>
        </w:rPr>
      </w:pPr>
      <w:r>
        <w:rPr>
          <w:b/>
          <w:bCs/>
          <w:iCs/>
          <w:szCs w:val="20"/>
        </w:rPr>
        <w:t>Tendances :</w:t>
      </w:r>
    </w:p>
    <w:p w14:paraId="43D24FCD" w14:textId="77777777" w:rsidR="00D1755C" w:rsidRDefault="00D1755C" w:rsidP="00D1755C"/>
    <w:p w14:paraId="764C56B1" w14:textId="77777777" w:rsidR="00D1755C" w:rsidRDefault="00D1755C" w:rsidP="00D1755C">
      <w:r>
        <w:t>L’évolution historique et la croissance significative du marché des produits de chirurgie du rachis ont conduit de nombreux acteurs à se développer par croissance externe en ciblant des sociétés disposant de technologies innovantes ou de parts de marché dignes d’intérêt, et encouragé toutes les sociétés à intensifier leurs efforts concurrentiels. Un certain nombre de concurrents se concentre sur un produit ou une partie de marché spécifique, rendant potentiellement plus difficile pour la Société l’amélioration de sa position concurrentielle globale sur le marché.</w:t>
      </w:r>
    </w:p>
    <w:p w14:paraId="2117FC09" w14:textId="77777777" w:rsidR="00D1755C" w:rsidRDefault="00D1755C" w:rsidP="00C66951">
      <w:pPr>
        <w:jc w:val="left"/>
        <w:rPr>
          <w:szCs w:val="20"/>
        </w:rPr>
      </w:pPr>
    </w:p>
    <w:p w14:paraId="4C263B10" w14:textId="2E0E1BF1" w:rsidR="00C66951" w:rsidRDefault="00C66951" w:rsidP="00C66951">
      <w:pPr>
        <w:pStyle w:val="Titre2"/>
        <w:ind w:left="567"/>
      </w:pPr>
      <w:bookmarkStart w:id="131" w:name="_Toc475033190"/>
      <w:r>
        <w:t>5.3. Evènements importants dans le developpement des activites de Spineway</w:t>
      </w:r>
      <w:bookmarkEnd w:id="131"/>
      <w:r>
        <w:t xml:space="preserve"> </w:t>
      </w:r>
    </w:p>
    <w:p w14:paraId="63804D66" w14:textId="77777777" w:rsidR="00C66951" w:rsidRDefault="00C66951" w:rsidP="00C66951">
      <w:pPr>
        <w:jc w:val="left"/>
        <w:rPr>
          <w:szCs w:val="20"/>
        </w:rPr>
      </w:pPr>
    </w:p>
    <w:p w14:paraId="0042976C" w14:textId="77777777" w:rsidR="00C66951" w:rsidRDefault="00C66951" w:rsidP="00C66951">
      <w:r w:rsidRPr="54FDD3F0">
        <w:rPr>
          <w:b/>
          <w:bCs/>
        </w:rPr>
        <w:t xml:space="preserve">2005 </w:t>
      </w:r>
      <w:r>
        <w:tab/>
      </w:r>
      <w:r w:rsidRPr="00F44E7C">
        <w:t xml:space="preserve">Création de Spineway par </w:t>
      </w:r>
      <w:r>
        <w:t xml:space="preserve">M. </w:t>
      </w:r>
      <w:r w:rsidRPr="00F44E7C">
        <w:t xml:space="preserve">Stéphane Le Roux et </w:t>
      </w:r>
      <w:r>
        <w:t xml:space="preserve">M. </w:t>
      </w:r>
      <w:r w:rsidRPr="00F44E7C">
        <w:t>Philippe Laurito</w:t>
      </w:r>
      <w:r w:rsidRPr="00D53D80">
        <w:t xml:space="preserve"> </w:t>
      </w:r>
    </w:p>
    <w:p w14:paraId="15B7ABE1" w14:textId="77777777" w:rsidR="00C66951" w:rsidRDefault="00C66951" w:rsidP="00C66951"/>
    <w:p w14:paraId="42499F92" w14:textId="77777777" w:rsidR="00C66951" w:rsidRDefault="00C66951" w:rsidP="00C66951">
      <w:r w:rsidRPr="54FDD3F0">
        <w:rPr>
          <w:b/>
          <w:bCs/>
        </w:rPr>
        <w:t xml:space="preserve">2006 </w:t>
      </w:r>
      <w:r w:rsidRPr="00F44E7C">
        <w:tab/>
        <w:t>Lancement des gammes Twin Peaks et Ayers Rock (CE)</w:t>
      </w:r>
    </w:p>
    <w:p w14:paraId="1D7B7B2A" w14:textId="77777777" w:rsidR="00C66951" w:rsidRDefault="00C66951" w:rsidP="00C66951">
      <w:r>
        <w:tab/>
        <w:t>Certifications ISO 9001 et 13485 (DNV-Norvège)</w:t>
      </w:r>
    </w:p>
    <w:p w14:paraId="2530BF1E" w14:textId="77777777" w:rsidR="00C66951" w:rsidRPr="00F44E7C" w:rsidRDefault="00C66951" w:rsidP="00C66951"/>
    <w:p w14:paraId="5A20B8F7" w14:textId="77777777" w:rsidR="00C66951" w:rsidRDefault="00C66951" w:rsidP="00C66951">
      <w:r w:rsidRPr="00936FA7">
        <w:rPr>
          <w:b/>
        </w:rPr>
        <w:t>2007</w:t>
      </w:r>
      <w:r w:rsidRPr="00D53D80">
        <w:t xml:space="preserve"> </w:t>
      </w:r>
      <w:r>
        <w:tab/>
      </w:r>
      <w:r w:rsidRPr="006B1B37">
        <w:t>Lancement de la gamme Mont Blanc (CE)</w:t>
      </w:r>
    </w:p>
    <w:p w14:paraId="3464B81E" w14:textId="77777777" w:rsidR="00C66951" w:rsidRPr="00D53D80" w:rsidRDefault="00C66951" w:rsidP="00C66951"/>
    <w:p w14:paraId="16F82F51" w14:textId="77777777" w:rsidR="00C66951" w:rsidRDefault="00C66951" w:rsidP="00C66951">
      <w:r w:rsidRPr="54FDD3F0">
        <w:rPr>
          <w:b/>
          <w:bCs/>
        </w:rPr>
        <w:t xml:space="preserve">2008 </w:t>
      </w:r>
      <w:r>
        <w:tab/>
      </w:r>
      <w:r w:rsidRPr="006B1B37">
        <w:t>Lancement de la gamme Rift (CE)</w:t>
      </w:r>
    </w:p>
    <w:p w14:paraId="4A3BF6CA" w14:textId="77777777" w:rsidR="00C66951" w:rsidRDefault="00C66951" w:rsidP="00C66951">
      <w:pPr>
        <w:ind w:firstLine="709"/>
      </w:pPr>
      <w:r w:rsidRPr="006B1B37">
        <w:t>Validation par les Hospices Civils de Lyon d’un protocole d’études cliniques</w:t>
      </w:r>
    </w:p>
    <w:p w14:paraId="79777E58" w14:textId="77777777" w:rsidR="00C66951" w:rsidRPr="006B1B37" w:rsidRDefault="00C66951" w:rsidP="00C66951">
      <w:pPr>
        <w:ind w:firstLine="709"/>
      </w:pPr>
    </w:p>
    <w:p w14:paraId="7836E370" w14:textId="77777777" w:rsidR="00C66951" w:rsidRPr="00021917" w:rsidRDefault="00C66951" w:rsidP="00C66951">
      <w:r w:rsidRPr="54FDD3F0">
        <w:rPr>
          <w:b/>
          <w:bCs/>
        </w:rPr>
        <w:t xml:space="preserve">2009 </w:t>
      </w:r>
      <w:r>
        <w:tab/>
      </w:r>
      <w:r w:rsidRPr="00936FA7">
        <w:t>Lancement des gammes Mont Blanc Baby et Neve (CE)</w:t>
      </w:r>
    </w:p>
    <w:p w14:paraId="6CC0280F" w14:textId="77777777" w:rsidR="00C66951" w:rsidRDefault="00C66951" w:rsidP="00C66951">
      <w:pPr>
        <w:ind w:left="709"/>
      </w:pPr>
      <w:r w:rsidRPr="00936FA7">
        <w:t>Réalisation d’un symposium</w:t>
      </w:r>
      <w:r>
        <w:t xml:space="preserve"> à </w:t>
      </w:r>
      <w:r w:rsidRPr="00936FA7">
        <w:t>Caracas (Venezuela) réunissant des chirurgiens spécialisés en chirurgie rachidienne sur les problématiques de la chirurgie de la colonne vertébrale</w:t>
      </w:r>
    </w:p>
    <w:p w14:paraId="22CDC8B4" w14:textId="77777777" w:rsidR="00C66951" w:rsidRPr="00936FA7" w:rsidRDefault="00C66951" w:rsidP="00C66951">
      <w:pPr>
        <w:ind w:left="709"/>
      </w:pPr>
    </w:p>
    <w:p w14:paraId="4B99619B" w14:textId="77777777" w:rsidR="00C66951" w:rsidRDefault="00C66951" w:rsidP="00C66951">
      <w:r w:rsidRPr="00936FA7">
        <w:rPr>
          <w:b/>
        </w:rPr>
        <w:t>2010</w:t>
      </w:r>
      <w:r w:rsidRPr="00936FA7">
        <w:t xml:space="preserve"> </w:t>
      </w:r>
      <w:r w:rsidRPr="00936FA7">
        <w:tab/>
        <w:t>Lancement de la gamme Blue Mountain (CE)</w:t>
      </w:r>
    </w:p>
    <w:p w14:paraId="56424455" w14:textId="77777777" w:rsidR="00C66951" w:rsidRPr="00936FA7" w:rsidRDefault="00C66951" w:rsidP="00C66951"/>
    <w:p w14:paraId="47446697" w14:textId="77777777" w:rsidR="00C66951" w:rsidRPr="00936FA7" w:rsidRDefault="00C66951" w:rsidP="00C66951">
      <w:r w:rsidRPr="00936FA7">
        <w:rPr>
          <w:b/>
        </w:rPr>
        <w:t>2011</w:t>
      </w:r>
      <w:r w:rsidRPr="00936FA7">
        <w:t xml:space="preserve"> </w:t>
      </w:r>
      <w:r w:rsidRPr="00936FA7">
        <w:tab/>
        <w:t>Lancement de la gamme Kili (CE)</w:t>
      </w:r>
    </w:p>
    <w:p w14:paraId="26209669" w14:textId="4A566D2F" w:rsidR="00C66951" w:rsidRDefault="00C66951" w:rsidP="00C66951">
      <w:pPr>
        <w:ind w:firstLine="709"/>
      </w:pPr>
      <w:r w:rsidRPr="00936FA7">
        <w:t>Début de la commercialisation en Chine (</w:t>
      </w:r>
      <w:r w:rsidR="00F0057F" w:rsidRPr="006B3490">
        <w:rPr>
          <w:szCs w:val="20"/>
        </w:rPr>
        <w:t>NMPA</w:t>
      </w:r>
      <w:r w:rsidRPr="00936FA7">
        <w:t>)</w:t>
      </w:r>
    </w:p>
    <w:p w14:paraId="4B36EEAB" w14:textId="77777777" w:rsidR="00C66951" w:rsidRPr="00936FA7" w:rsidRDefault="00C66951" w:rsidP="00C66951">
      <w:pPr>
        <w:ind w:firstLine="709"/>
        <w:rPr>
          <w:b/>
        </w:rPr>
      </w:pPr>
    </w:p>
    <w:p w14:paraId="156EFCA0" w14:textId="77777777" w:rsidR="00C66951" w:rsidRPr="00936FA7" w:rsidRDefault="00C66951" w:rsidP="00C66951">
      <w:r w:rsidRPr="54FDD3F0">
        <w:rPr>
          <w:b/>
          <w:bCs/>
        </w:rPr>
        <w:t xml:space="preserve">2012 </w:t>
      </w:r>
      <w:r w:rsidRPr="00936FA7">
        <w:tab/>
        <w:t>Lancement de l’évaluation clinique du Mont Blanc 3D+ (CE)</w:t>
      </w:r>
    </w:p>
    <w:p w14:paraId="5DDE4C2E" w14:textId="77777777" w:rsidR="00C66951" w:rsidRDefault="00C66951" w:rsidP="00C66951">
      <w:pPr>
        <w:ind w:firstLine="709"/>
      </w:pPr>
      <w:r w:rsidRPr="00936FA7">
        <w:t>Premières publications sur Kili</w:t>
      </w:r>
    </w:p>
    <w:p w14:paraId="341D7A8C" w14:textId="77777777" w:rsidR="00C66951" w:rsidRPr="00936FA7" w:rsidRDefault="00C66951" w:rsidP="00C66951">
      <w:pPr>
        <w:ind w:firstLine="709"/>
      </w:pPr>
    </w:p>
    <w:p w14:paraId="69F30DAC" w14:textId="77777777" w:rsidR="00C66951" w:rsidRPr="00936FA7" w:rsidRDefault="00C66951" w:rsidP="00C66951">
      <w:pPr>
        <w:ind w:left="700" w:hanging="700"/>
      </w:pPr>
      <w:r w:rsidRPr="54FDD3F0">
        <w:rPr>
          <w:b/>
          <w:bCs/>
        </w:rPr>
        <w:t xml:space="preserve">2013 </w:t>
      </w:r>
      <w:r w:rsidRPr="00936FA7">
        <w:tab/>
        <w:t xml:space="preserve">Introduction en Bourse sur </w:t>
      </w:r>
      <w:r>
        <w:t xml:space="preserve">Euronext Growth (anciennement </w:t>
      </w:r>
      <w:r w:rsidRPr="00936FA7">
        <w:t>Alternext</w:t>
      </w:r>
      <w:r>
        <w:t>)</w:t>
      </w:r>
      <w:r w:rsidRPr="00936FA7">
        <w:t xml:space="preserve"> : février 2013, levée </w:t>
      </w:r>
      <w:r>
        <w:t>de fonds de 4,9 M</w:t>
      </w:r>
      <w:r w:rsidRPr="00936FA7">
        <w:t>€</w:t>
      </w:r>
      <w:r>
        <w:t xml:space="preserve"> auprès d’investisseurs qualifiés </w:t>
      </w:r>
    </w:p>
    <w:p w14:paraId="2C605DE5" w14:textId="77777777" w:rsidR="00C66951" w:rsidRPr="00936FA7" w:rsidRDefault="00C66951" w:rsidP="00C66951">
      <w:pPr>
        <w:ind w:firstLine="709"/>
      </w:pPr>
      <w:r w:rsidRPr="00936FA7">
        <w:t>Déménagement en mai 2013 à Ecully</w:t>
      </w:r>
    </w:p>
    <w:p w14:paraId="07FEEEF0" w14:textId="77777777" w:rsidR="00C66951" w:rsidRPr="00936FA7" w:rsidRDefault="00C66951" w:rsidP="00C66951">
      <w:pPr>
        <w:ind w:firstLine="709"/>
      </w:pPr>
      <w:r w:rsidRPr="00936FA7">
        <w:t>Structuration de l’équipe</w:t>
      </w:r>
      <w:r>
        <w:t xml:space="preserve"> avec une </w:t>
      </w:r>
      <w:r w:rsidRPr="00936FA7">
        <w:t>croissance de l’effectif</w:t>
      </w:r>
      <w:r>
        <w:t xml:space="preserve"> de l’ordre de </w:t>
      </w:r>
      <w:r w:rsidRPr="00936FA7">
        <w:t>30 %</w:t>
      </w:r>
    </w:p>
    <w:p w14:paraId="5A21315F" w14:textId="77777777" w:rsidR="00C66951" w:rsidRPr="00936FA7" w:rsidRDefault="00C66951" w:rsidP="00C66951">
      <w:pPr>
        <w:ind w:firstLine="709"/>
      </w:pPr>
      <w:r w:rsidRPr="00936FA7">
        <w:t>Création d’un service Ressources Humaines : décembre</w:t>
      </w:r>
    </w:p>
    <w:p w14:paraId="466FEE97" w14:textId="77777777" w:rsidR="00C66951" w:rsidRPr="006972C2" w:rsidRDefault="00C66951" w:rsidP="00C66951">
      <w:pPr>
        <w:ind w:left="709"/>
      </w:pPr>
      <w:r>
        <w:t>Spineway Implants</w:t>
      </w:r>
      <w:r w:rsidRPr="006972C2">
        <w:t xml:space="preserve"> Iberica </w:t>
      </w:r>
      <w:r>
        <w:t xml:space="preserve">(ancienne dénomination sociale de Spineway Spain) </w:t>
      </w:r>
      <w:r w:rsidRPr="006972C2">
        <w:t xml:space="preserve">devient filiale à 50% </w:t>
      </w:r>
      <w:r>
        <w:t xml:space="preserve">de </w:t>
      </w:r>
      <w:r w:rsidRPr="006972C2">
        <w:t>Spineway en juillet 2013</w:t>
      </w:r>
    </w:p>
    <w:p w14:paraId="4F20F1F8" w14:textId="77777777" w:rsidR="00C66951" w:rsidRPr="00936FA7" w:rsidRDefault="00C66951" w:rsidP="00C66951">
      <w:pPr>
        <w:ind w:firstLine="709"/>
      </w:pPr>
      <w:r w:rsidRPr="00936FA7">
        <w:t>Mises sur le marché de nouveaux produits</w:t>
      </w:r>
    </w:p>
    <w:p w14:paraId="3DEF8C23" w14:textId="77777777" w:rsidR="00C66951" w:rsidRPr="00C804FA" w:rsidRDefault="00C66951" w:rsidP="00C66951">
      <w:pPr>
        <w:ind w:firstLine="709"/>
        <w:rPr>
          <w:lang w:val="en-GB"/>
        </w:rPr>
      </w:pPr>
      <w:r>
        <w:rPr>
          <w:lang w:val="en-GB"/>
        </w:rPr>
        <w:t>Renforcement gamme lombaire</w:t>
      </w:r>
      <w:r w:rsidRPr="00C804FA">
        <w:rPr>
          <w:lang w:val="en-GB"/>
        </w:rPr>
        <w:t>: Twin-Peaks OLIF</w:t>
      </w:r>
    </w:p>
    <w:p w14:paraId="29DFFAC6" w14:textId="77777777" w:rsidR="00C66951" w:rsidRPr="00936FA7" w:rsidRDefault="00C66951" w:rsidP="00C66951">
      <w:pPr>
        <w:ind w:firstLine="709"/>
      </w:pPr>
      <w:r w:rsidRPr="00936FA7">
        <w:t>Lancement Sonora : substitut osseux</w:t>
      </w:r>
    </w:p>
    <w:p w14:paraId="10A45287" w14:textId="77777777" w:rsidR="00C66951" w:rsidRPr="00936FA7" w:rsidRDefault="00C66951" w:rsidP="00C66951">
      <w:pPr>
        <w:ind w:firstLine="709"/>
      </w:pPr>
      <w:r w:rsidRPr="00936FA7">
        <w:t>Complément gamme Mont Blanc connecteurs et vis Lombo-Iliaques</w:t>
      </w:r>
    </w:p>
    <w:p w14:paraId="0AFEBB4B" w14:textId="77777777" w:rsidR="00C66951" w:rsidRPr="00936FA7" w:rsidRDefault="00C66951" w:rsidP="00C66951">
      <w:pPr>
        <w:ind w:firstLine="709"/>
      </w:pPr>
      <w:r w:rsidRPr="00936FA7">
        <w:t>Forte croissance des ventes : CA 6,6 M€ (+ 39,5 %)</w:t>
      </w:r>
    </w:p>
    <w:p w14:paraId="6963F333" w14:textId="70A7870D" w:rsidR="00C66951" w:rsidRPr="00936FA7" w:rsidRDefault="00F84270" w:rsidP="00C66951">
      <w:pPr>
        <w:ind w:firstLine="709"/>
      </w:pPr>
      <w:r>
        <w:t>Etats-Unis</w:t>
      </w:r>
      <w:r w:rsidRPr="00936FA7">
        <w:t xml:space="preserve"> </w:t>
      </w:r>
      <w:r w:rsidR="00C66951" w:rsidRPr="00936FA7">
        <w:t>: Premières poses Mont Blanc réalisées</w:t>
      </w:r>
    </w:p>
    <w:p w14:paraId="3A75EC41" w14:textId="77777777" w:rsidR="00C66951" w:rsidRPr="00936FA7" w:rsidRDefault="00C66951" w:rsidP="00C66951">
      <w:pPr>
        <w:ind w:firstLine="709"/>
      </w:pPr>
      <w:r w:rsidRPr="00936FA7">
        <w:t>Mont Blanc 3D + : Premières interventions de correction de scoliose en Chine</w:t>
      </w:r>
    </w:p>
    <w:p w14:paraId="58F555B3" w14:textId="77777777" w:rsidR="00C66951" w:rsidRDefault="00C66951" w:rsidP="00C66951">
      <w:pPr>
        <w:ind w:firstLine="709"/>
      </w:pPr>
      <w:r w:rsidRPr="00936FA7">
        <w:t>Gammes Spineway homologuées en Inde</w:t>
      </w:r>
    </w:p>
    <w:p w14:paraId="56E596EE" w14:textId="77777777" w:rsidR="00C66951" w:rsidRDefault="00C66951" w:rsidP="00C66951">
      <w:pPr>
        <w:ind w:firstLine="709"/>
      </w:pPr>
    </w:p>
    <w:p w14:paraId="40DC1FAC" w14:textId="77777777" w:rsidR="00C66951" w:rsidRPr="006972C2" w:rsidRDefault="00C66951" w:rsidP="00C66951">
      <w:r w:rsidRPr="006972C2">
        <w:rPr>
          <w:b/>
        </w:rPr>
        <w:lastRenderedPageBreak/>
        <w:t>2014</w:t>
      </w:r>
      <w:r w:rsidRPr="006972C2">
        <w:t xml:space="preserve"> </w:t>
      </w:r>
      <w:r w:rsidRPr="006972C2">
        <w:tab/>
        <w:t>Levée de fonds de 1</w:t>
      </w:r>
      <w:r>
        <w:t>,2 M</w:t>
      </w:r>
      <w:r w:rsidRPr="006972C2">
        <w:t xml:space="preserve">€ </w:t>
      </w:r>
      <w:r>
        <w:t xml:space="preserve">par voie d’un placement privé </w:t>
      </w:r>
      <w:r w:rsidRPr="006972C2">
        <w:t xml:space="preserve">auprès d’investisseurs qualifiés </w:t>
      </w:r>
    </w:p>
    <w:p w14:paraId="57B7E2F3" w14:textId="77777777" w:rsidR="00C66951" w:rsidRDefault="00C66951" w:rsidP="00C66951"/>
    <w:p w14:paraId="448A5979" w14:textId="5726537D" w:rsidR="00C66951" w:rsidRDefault="00C66951" w:rsidP="00C66951">
      <w:pPr>
        <w:ind w:left="700" w:hanging="700"/>
        <w:rPr>
          <w:color w:val="FF0000"/>
        </w:rPr>
      </w:pPr>
      <w:r w:rsidRPr="54FDD3F0">
        <w:rPr>
          <w:b/>
          <w:bCs/>
        </w:rPr>
        <w:t xml:space="preserve">2015 </w:t>
      </w:r>
      <w:r>
        <w:tab/>
        <w:t>Spineway Implants</w:t>
      </w:r>
      <w:r w:rsidRPr="006972C2">
        <w:t xml:space="preserve"> </w:t>
      </w:r>
      <w:r>
        <w:t xml:space="preserve">Iberica </w:t>
      </w:r>
      <w:r w:rsidRPr="006972C2">
        <w:t>devient filiale à 100% de Spineway SA</w:t>
      </w:r>
      <w:r>
        <w:t xml:space="preserve"> et change de dénomination sociale pour devenir Spineway Spain</w:t>
      </w:r>
    </w:p>
    <w:p w14:paraId="0A973E98" w14:textId="77777777" w:rsidR="00C66951" w:rsidRDefault="00C66951" w:rsidP="00C66951"/>
    <w:p w14:paraId="6748F335" w14:textId="745DBDE5" w:rsidR="00C66951" w:rsidRPr="0030320A" w:rsidRDefault="00C66951" w:rsidP="00C66951">
      <w:pPr>
        <w:ind w:left="700" w:hanging="700"/>
      </w:pPr>
      <w:r w:rsidRPr="54FDD3F0">
        <w:rPr>
          <w:b/>
          <w:bCs/>
        </w:rPr>
        <w:t xml:space="preserve">2016 </w:t>
      </w:r>
      <w:r>
        <w:tab/>
      </w:r>
      <w:r w:rsidRPr="0030320A">
        <w:t>Signature d’un contrat de partenariat avec la Société chinoise Tinavi Medical Technologies, pour une durée de 5 années, afin de distribuer les gammes d’implants du Groupe</w:t>
      </w:r>
      <w:r>
        <w:t xml:space="preserve"> sur le territoire chinois</w:t>
      </w:r>
      <w:r w:rsidRPr="0030320A">
        <w:t xml:space="preserve"> </w:t>
      </w:r>
    </w:p>
    <w:p w14:paraId="74A7159D" w14:textId="4B4AF214" w:rsidR="00C66951" w:rsidRPr="005E0E4A" w:rsidRDefault="00C66951" w:rsidP="00C66951">
      <w:pPr>
        <w:ind w:left="700"/>
      </w:pPr>
      <w:r w:rsidRPr="0030320A">
        <w:t>Prise de participation de Tinavi Medical Technologies dans le capital de Spineway</w:t>
      </w:r>
      <w:r>
        <w:t xml:space="preserve"> par le biais d’une augmentation de </w:t>
      </w:r>
      <w:r w:rsidRPr="005E0E4A">
        <w:t xml:space="preserve">capital </w:t>
      </w:r>
      <w:r>
        <w:t xml:space="preserve">réservée pour un montant </w:t>
      </w:r>
      <w:r w:rsidRPr="005E0E4A">
        <w:t xml:space="preserve">de </w:t>
      </w:r>
      <w:r>
        <w:t>1,4</w:t>
      </w:r>
      <w:r w:rsidRPr="005E0E4A">
        <w:t xml:space="preserve"> </w:t>
      </w:r>
      <w:r>
        <w:t>M</w:t>
      </w:r>
      <w:r w:rsidRPr="005E0E4A">
        <w:t>€</w:t>
      </w:r>
    </w:p>
    <w:p w14:paraId="48F50E50" w14:textId="65F4FBE6" w:rsidR="00C66951" w:rsidRDefault="00C66951" w:rsidP="00C66951">
      <w:pPr>
        <w:ind w:left="709"/>
      </w:pPr>
      <w:r>
        <w:t xml:space="preserve">Création d’une filiale basée en Floride, Spineway USA Inc, avec pour missions la diffusion aux </w:t>
      </w:r>
      <w:r w:rsidR="00F84270">
        <w:t xml:space="preserve">Etats-Unis </w:t>
      </w:r>
      <w:r>
        <w:t>de l’ensemble des produits du Groupe et la relation client avec les distributeurs et utilisateurs des produits Spineway</w:t>
      </w:r>
    </w:p>
    <w:p w14:paraId="7C32EAA6" w14:textId="77777777" w:rsidR="00C66951" w:rsidRDefault="00C66951" w:rsidP="00C66951">
      <w:pPr>
        <w:ind w:left="700"/>
        <w:rPr>
          <w:b/>
        </w:rPr>
      </w:pPr>
    </w:p>
    <w:p w14:paraId="4860EF78" w14:textId="4862CD50" w:rsidR="00C66951" w:rsidRDefault="00C66951" w:rsidP="00C66951">
      <w:pPr>
        <w:ind w:left="700" w:hanging="700"/>
      </w:pPr>
      <w:r w:rsidRPr="54FDD3F0">
        <w:rPr>
          <w:b/>
          <w:bCs/>
        </w:rPr>
        <w:t xml:space="preserve">2017 </w:t>
      </w:r>
      <w:r>
        <w:tab/>
      </w:r>
      <w:r w:rsidRPr="0098016E">
        <w:t>Signature d’un contrat d’émission d’O</w:t>
      </w:r>
      <w:r>
        <w:t>RNANE</w:t>
      </w:r>
      <w:r w:rsidRPr="0098016E">
        <w:t xml:space="preserve"> avec Yorkville Advisors 1012 Springfield Avenue NJ 07092 Mountainside</w:t>
      </w:r>
    </w:p>
    <w:p w14:paraId="49CFB086" w14:textId="116B4112" w:rsidR="00C66951" w:rsidRPr="00866310" w:rsidRDefault="00C66951" w:rsidP="00C66951">
      <w:pPr>
        <w:pStyle w:val="Paragraphedeliste"/>
        <w:rPr>
          <w:rFonts w:eastAsiaTheme="majorEastAsia" w:cstheme="majorBidi"/>
          <w:bCs/>
          <w:szCs w:val="20"/>
        </w:rPr>
      </w:pPr>
      <w:r w:rsidRPr="00866310">
        <w:rPr>
          <w:rFonts w:eastAsiaTheme="majorEastAsia" w:cstheme="majorBidi"/>
          <w:bCs/>
          <w:szCs w:val="20"/>
        </w:rPr>
        <w:t xml:space="preserve">Développement de l’activité aux </w:t>
      </w:r>
      <w:r>
        <w:rPr>
          <w:rFonts w:eastAsiaTheme="majorEastAsia" w:cstheme="majorBidi"/>
          <w:bCs/>
          <w:szCs w:val="20"/>
        </w:rPr>
        <w:t>Etats-Unis</w:t>
      </w:r>
    </w:p>
    <w:p w14:paraId="3FB3EE07" w14:textId="5AABFC32" w:rsidR="00C66951" w:rsidRDefault="00C66951" w:rsidP="00C66951">
      <w:pPr>
        <w:pStyle w:val="Paragraphedeliste"/>
        <w:rPr>
          <w:rFonts w:eastAsiaTheme="majorEastAsia" w:cstheme="majorBidi"/>
          <w:bCs/>
          <w:szCs w:val="20"/>
        </w:rPr>
      </w:pPr>
      <w:r>
        <w:rPr>
          <w:rFonts w:eastAsiaTheme="majorEastAsia" w:cstheme="majorBidi"/>
          <w:bCs/>
          <w:szCs w:val="20"/>
        </w:rPr>
        <w:t>Transfert sur le compartiment « Offre au public » d’Euronext Growth</w:t>
      </w:r>
    </w:p>
    <w:p w14:paraId="74BF6B37" w14:textId="77777777" w:rsidR="00C66951" w:rsidRDefault="00C66951" w:rsidP="00C66951">
      <w:pPr>
        <w:rPr>
          <w:rFonts w:eastAsiaTheme="majorEastAsia" w:cstheme="majorBidi"/>
          <w:bCs/>
          <w:szCs w:val="20"/>
        </w:rPr>
      </w:pPr>
    </w:p>
    <w:p w14:paraId="6E8113AA" w14:textId="77777777" w:rsidR="00C66951" w:rsidRPr="00280C8F" w:rsidRDefault="00C66951" w:rsidP="00C66951">
      <w:pPr>
        <w:rPr>
          <w:rFonts w:eastAsiaTheme="majorEastAsia" w:cstheme="majorBidi"/>
          <w:bCs/>
          <w:color w:val="FF0000"/>
          <w:szCs w:val="20"/>
        </w:rPr>
      </w:pPr>
      <w:r w:rsidRPr="00866310">
        <w:rPr>
          <w:rFonts w:eastAsiaTheme="majorEastAsia" w:cstheme="majorBidi"/>
          <w:b/>
          <w:bCs/>
          <w:szCs w:val="20"/>
        </w:rPr>
        <w:t>2018</w:t>
      </w:r>
      <w:r w:rsidRPr="00866310">
        <w:rPr>
          <w:rFonts w:eastAsiaTheme="majorEastAsia" w:cstheme="majorBidi"/>
          <w:bCs/>
          <w:szCs w:val="20"/>
        </w:rPr>
        <w:t xml:space="preserve"> </w:t>
      </w:r>
      <w:r>
        <w:rPr>
          <w:rFonts w:eastAsiaTheme="majorEastAsia" w:cstheme="majorBidi"/>
          <w:bCs/>
          <w:szCs w:val="20"/>
        </w:rPr>
        <w:tab/>
      </w:r>
      <w:r w:rsidRPr="00280C8F">
        <w:rPr>
          <w:rFonts w:eastAsiaTheme="majorEastAsia" w:cstheme="majorBidi"/>
          <w:bCs/>
          <w:szCs w:val="20"/>
        </w:rPr>
        <w:t xml:space="preserve">Fermeture Spineway </w:t>
      </w:r>
      <w:r>
        <w:rPr>
          <w:rFonts w:eastAsiaTheme="majorEastAsia" w:cstheme="majorBidi"/>
          <w:bCs/>
          <w:szCs w:val="20"/>
        </w:rPr>
        <w:t>Iberica </w:t>
      </w:r>
    </w:p>
    <w:p w14:paraId="68DC562B" w14:textId="12F6EDE6" w:rsidR="00C66951" w:rsidRDefault="00C66951" w:rsidP="00C66951">
      <w:pPr>
        <w:ind w:left="700"/>
        <w:rPr>
          <w:rFonts w:eastAsiaTheme="majorEastAsia" w:cstheme="majorBidi"/>
          <w:bCs/>
          <w:szCs w:val="20"/>
        </w:rPr>
      </w:pPr>
      <w:r>
        <w:rPr>
          <w:rFonts w:eastAsiaTheme="majorEastAsia" w:cstheme="majorBidi"/>
          <w:bCs/>
          <w:szCs w:val="20"/>
        </w:rPr>
        <w:t>Signature d’un contrat d’émission d’ORNANE avec un fonds d’investissement de la société de gestion luxembourgeoise European High Growth Opportunities Manco SA pour un montant nominal maximum de 10 M€</w:t>
      </w:r>
    </w:p>
    <w:p w14:paraId="67E2A1BC" w14:textId="77777777" w:rsidR="00C66951" w:rsidRPr="001C3FCF" w:rsidRDefault="00C66951" w:rsidP="00C66951">
      <w:pPr>
        <w:ind w:left="700"/>
        <w:rPr>
          <w:rFonts w:eastAsiaTheme="majorEastAsia" w:cstheme="majorBidi"/>
          <w:bCs/>
          <w:szCs w:val="20"/>
        </w:rPr>
      </w:pPr>
      <w:r w:rsidRPr="00897818">
        <w:rPr>
          <w:rFonts w:eastAsiaTheme="majorEastAsia" w:cstheme="majorBidi"/>
          <w:bCs/>
          <w:szCs w:val="20"/>
        </w:rPr>
        <w:t xml:space="preserve">Fin du financement obligataires (ORNANE) avec le fond d’investissement </w:t>
      </w:r>
      <w:r w:rsidRPr="00897818">
        <w:t>Yorkville Advisors (remboursement anticipé de 22 ORNANE encore détenues par cet investisseur qui conserve la possibilité d’exercer ses BSA pour 1 M€)</w:t>
      </w:r>
    </w:p>
    <w:p w14:paraId="7C639BA2" w14:textId="77777777" w:rsidR="00C66951" w:rsidRDefault="00C66951" w:rsidP="00C66951">
      <w:pPr>
        <w:rPr>
          <w:rFonts w:eastAsiaTheme="majorEastAsia" w:cstheme="majorBidi"/>
          <w:bCs/>
          <w:color w:val="FF0000"/>
          <w:szCs w:val="20"/>
        </w:rPr>
      </w:pPr>
    </w:p>
    <w:p w14:paraId="14569D1A" w14:textId="26113AF7" w:rsidR="00C66951" w:rsidRPr="00897818" w:rsidRDefault="00C66951" w:rsidP="00C66951">
      <w:pPr>
        <w:ind w:left="700" w:hanging="700"/>
      </w:pPr>
      <w:r w:rsidRPr="54FDD3F0">
        <w:rPr>
          <w:rFonts w:eastAsiaTheme="majorEastAsia" w:cstheme="majorBidi"/>
          <w:b/>
          <w:bCs/>
        </w:rPr>
        <w:t xml:space="preserve">2019 </w:t>
      </w:r>
      <w:r>
        <w:rPr>
          <w:rFonts w:eastAsiaTheme="majorEastAsia" w:cstheme="majorBidi"/>
          <w:bCs/>
          <w:color w:val="FF0000"/>
          <w:szCs w:val="20"/>
        </w:rPr>
        <w:tab/>
      </w:r>
      <w:r w:rsidRPr="54FDD3F0">
        <w:rPr>
          <w:rFonts w:eastAsiaTheme="majorEastAsia" w:cstheme="majorBidi"/>
        </w:rPr>
        <w:t>Réorganisation interne des équipes et renouvellement de la moitié du comité de direction</w:t>
      </w:r>
    </w:p>
    <w:p w14:paraId="59D59CAD" w14:textId="434CD263" w:rsidR="00C66951" w:rsidRPr="001C3FCF" w:rsidRDefault="00C66951" w:rsidP="00C66951">
      <w:pPr>
        <w:ind w:left="709"/>
        <w:rPr>
          <w:rFonts w:eastAsiaTheme="majorEastAsia" w:cstheme="majorBidi"/>
        </w:rPr>
      </w:pPr>
      <w:r w:rsidRPr="54FDD3F0">
        <w:rPr>
          <w:rFonts w:eastAsiaTheme="majorEastAsia" w:cstheme="majorBidi"/>
        </w:rPr>
        <w:t>Nomination de Myriam Denis au poste de Directeur Administratif et Financier, de Wim Van Der Wee au poste de Responsable marketing &amp; communication et Cédryc Douillet au poste de Responsable commercial</w:t>
      </w:r>
    </w:p>
    <w:p w14:paraId="72E87575" w14:textId="752FE738" w:rsidR="00C66951" w:rsidRDefault="00C66951" w:rsidP="00C66951">
      <w:pPr>
        <w:ind w:left="700"/>
        <w:rPr>
          <w:rFonts w:eastAsiaTheme="majorEastAsia" w:cstheme="majorBidi"/>
        </w:rPr>
      </w:pPr>
      <w:r w:rsidRPr="54FDD3F0">
        <w:rPr>
          <w:rFonts w:eastAsiaTheme="majorEastAsia" w:cstheme="majorBidi"/>
        </w:rPr>
        <w:t>Plan social et restructuration des équipes</w:t>
      </w:r>
    </w:p>
    <w:p w14:paraId="5AEEF6D3" w14:textId="0270A244" w:rsidR="00C66951" w:rsidRDefault="00C66951" w:rsidP="00C66951">
      <w:pPr>
        <w:ind w:left="700"/>
        <w:rPr>
          <w:rFonts w:eastAsiaTheme="majorEastAsia" w:cstheme="majorBidi"/>
        </w:rPr>
      </w:pPr>
      <w:r w:rsidRPr="54FDD3F0">
        <w:rPr>
          <w:rFonts w:eastAsiaTheme="majorEastAsia" w:cstheme="majorBidi"/>
        </w:rPr>
        <w:t xml:space="preserve">Augmentation de capital avec suppression du droit préférentiel de souscription au profit de </w:t>
      </w:r>
      <w:r>
        <w:rPr>
          <w:rFonts w:eastAsiaTheme="majorEastAsia" w:cstheme="majorBidi"/>
        </w:rPr>
        <w:t xml:space="preserve">Negma </w:t>
      </w:r>
      <w:r w:rsidR="00F84270">
        <w:rPr>
          <w:rFonts w:eastAsiaTheme="majorEastAsia" w:cstheme="majorBidi"/>
        </w:rPr>
        <w:t>Group Ltd (</w:t>
      </w:r>
      <w:r>
        <w:rPr>
          <w:rFonts w:eastAsiaTheme="majorEastAsia" w:cstheme="majorBidi"/>
        </w:rPr>
        <w:t>P</w:t>
      </w:r>
      <w:r w:rsidRPr="54FDD3F0">
        <w:rPr>
          <w:rFonts w:eastAsiaTheme="majorEastAsia" w:cstheme="majorBidi"/>
        </w:rPr>
        <w:t>ark Capital</w:t>
      </w:r>
      <w:r w:rsidR="00F84270">
        <w:rPr>
          <w:rFonts w:eastAsiaTheme="majorEastAsia" w:cstheme="majorBidi"/>
        </w:rPr>
        <w:t>)</w:t>
      </w:r>
      <w:r w:rsidRPr="54FDD3F0">
        <w:rPr>
          <w:rFonts w:eastAsiaTheme="majorEastAsia" w:cstheme="majorBidi"/>
        </w:rPr>
        <w:t xml:space="preserve"> de 1 M€</w:t>
      </w:r>
    </w:p>
    <w:p w14:paraId="1C7FD718" w14:textId="7B7D5225" w:rsidR="00C66951" w:rsidRDefault="00C66951" w:rsidP="00C66951">
      <w:pPr>
        <w:ind w:left="700"/>
        <w:rPr>
          <w:rFonts w:eastAsiaTheme="majorEastAsia" w:cstheme="majorBidi"/>
          <w:bCs/>
          <w:szCs w:val="20"/>
        </w:rPr>
      </w:pPr>
      <w:r w:rsidRPr="001C3FCF">
        <w:rPr>
          <w:rFonts w:eastAsiaTheme="majorEastAsia" w:cstheme="majorBidi"/>
          <w:bCs/>
          <w:szCs w:val="20"/>
        </w:rPr>
        <w:t>Signature du contrat d’émission d’OCABSA avec Negma Group Ltd</w:t>
      </w:r>
      <w:r>
        <w:rPr>
          <w:rFonts w:eastAsiaTheme="majorEastAsia" w:cstheme="majorBidi"/>
          <w:bCs/>
          <w:szCs w:val="20"/>
        </w:rPr>
        <w:t xml:space="preserve"> représentant un emprunt obligataire d’un montant nominal maximum de 40 M€</w:t>
      </w:r>
    </w:p>
    <w:p w14:paraId="6F6B7068" w14:textId="77777777" w:rsidR="00C66951" w:rsidRDefault="00C66951" w:rsidP="00C66951">
      <w:pPr>
        <w:rPr>
          <w:rFonts w:eastAsiaTheme="majorEastAsia" w:cstheme="majorBidi"/>
          <w:bCs/>
          <w:color w:val="FF0000"/>
          <w:szCs w:val="20"/>
        </w:rPr>
      </w:pPr>
    </w:p>
    <w:p w14:paraId="07C44AEF" w14:textId="59AA35BD" w:rsidR="00C66951" w:rsidRDefault="00C66951" w:rsidP="00C66951">
      <w:pPr>
        <w:ind w:left="700" w:hanging="700"/>
        <w:rPr>
          <w:rFonts w:eastAsiaTheme="majorEastAsia" w:cstheme="majorBidi"/>
        </w:rPr>
      </w:pPr>
      <w:r w:rsidRPr="54FDD3F0">
        <w:rPr>
          <w:rFonts w:eastAsiaTheme="majorEastAsia" w:cstheme="majorBidi"/>
          <w:b/>
          <w:bCs/>
        </w:rPr>
        <w:t>2020</w:t>
      </w:r>
      <w:r w:rsidRPr="54FDD3F0">
        <w:rPr>
          <w:rFonts w:eastAsiaTheme="majorEastAsia" w:cstheme="majorBidi"/>
        </w:rPr>
        <w:t xml:space="preserve"> </w:t>
      </w:r>
      <w:r w:rsidRPr="000D07E7">
        <w:rPr>
          <w:rFonts w:eastAsiaTheme="majorEastAsia" w:cstheme="majorBidi"/>
          <w:bCs/>
          <w:szCs w:val="20"/>
        </w:rPr>
        <w:tab/>
      </w:r>
      <w:r w:rsidRPr="54FDD3F0">
        <w:rPr>
          <w:rFonts w:eastAsiaTheme="majorEastAsia" w:cstheme="majorBidi"/>
        </w:rPr>
        <w:t>Activité du Groupe pénalisée par la pandémie mondiale de Covid-19 qui a entrainé l’arrêt de bon nombre de chirurgies non vitale</w:t>
      </w:r>
      <w:r>
        <w:rPr>
          <w:rFonts w:eastAsiaTheme="majorEastAsia" w:cstheme="majorBidi"/>
        </w:rPr>
        <w:t>s</w:t>
      </w:r>
      <w:r w:rsidRPr="54FDD3F0">
        <w:rPr>
          <w:rFonts w:eastAsiaTheme="majorEastAsia" w:cstheme="majorBidi"/>
        </w:rPr>
        <w:t xml:space="preserve"> </w:t>
      </w:r>
      <w:r>
        <w:rPr>
          <w:rFonts w:eastAsiaTheme="majorEastAsia" w:cstheme="majorBidi"/>
        </w:rPr>
        <w:t>à</w:t>
      </w:r>
      <w:r w:rsidRPr="54FDD3F0">
        <w:rPr>
          <w:rFonts w:eastAsiaTheme="majorEastAsia" w:cstheme="majorBidi"/>
        </w:rPr>
        <w:t xml:space="preserve"> travers le monde et mise en place des mesures nécessaires pour sécuriser les conditions de travail des salariés et accompagner la reprise progressive des chirurgies du rachis au plan international</w:t>
      </w:r>
    </w:p>
    <w:p w14:paraId="107B5DC3" w14:textId="71DC87F2" w:rsidR="00C66951" w:rsidRPr="00501A26" w:rsidRDefault="00C66951" w:rsidP="00C66951">
      <w:pPr>
        <w:ind w:left="700"/>
        <w:rPr>
          <w:rFonts w:eastAsiaTheme="majorEastAsia" w:cstheme="majorBidi"/>
        </w:rPr>
      </w:pPr>
      <w:r w:rsidRPr="54FDD3F0">
        <w:rPr>
          <w:rFonts w:eastAsiaTheme="majorEastAsia" w:cstheme="majorBidi"/>
        </w:rPr>
        <w:t>Obtention de prêts garantis par l’Etat de 1,27M€</w:t>
      </w:r>
    </w:p>
    <w:p w14:paraId="67C8B863" w14:textId="34584B85" w:rsidR="00C66951" w:rsidRPr="00501A26" w:rsidRDefault="00C66951" w:rsidP="00C66951">
      <w:pPr>
        <w:ind w:left="700"/>
        <w:rPr>
          <w:rFonts w:eastAsiaTheme="majorEastAsia" w:cstheme="majorBidi"/>
          <w:bCs/>
          <w:szCs w:val="20"/>
        </w:rPr>
      </w:pPr>
      <w:r w:rsidRPr="00501A26">
        <w:rPr>
          <w:rFonts w:eastAsiaTheme="majorEastAsia" w:cstheme="majorBidi"/>
          <w:bCs/>
          <w:szCs w:val="20"/>
        </w:rPr>
        <w:t>Augmentation du capital réservée de 4,6M€, réalisée par compensation de créances, au profit de Negma Group Ltd</w:t>
      </w:r>
    </w:p>
    <w:p w14:paraId="1A5690CC" w14:textId="3A5609DB" w:rsidR="00C66951" w:rsidRPr="000D07E7" w:rsidRDefault="00C66951" w:rsidP="00C66951">
      <w:pPr>
        <w:ind w:left="700"/>
        <w:rPr>
          <w:rFonts w:eastAsiaTheme="majorEastAsia" w:cstheme="majorBidi"/>
        </w:rPr>
      </w:pPr>
      <w:r w:rsidRPr="54FDD3F0">
        <w:rPr>
          <w:rFonts w:eastAsiaTheme="majorEastAsia" w:cstheme="majorBidi"/>
        </w:rPr>
        <w:t>Réductions techniques du capital social par réduction de la valeur nominale des actions les 25 mai 2020 et 16 septembre 2020, afin d’éviter le mécanisme de compensation prévu dans le contrat d’émission d’OCABSA avec Negma Group Ltd et donc minimiser l’impact dilutif pour les actionnaires</w:t>
      </w:r>
    </w:p>
    <w:p w14:paraId="05FDABFE" w14:textId="47A1E3C2" w:rsidR="00C66951" w:rsidRDefault="00C66951" w:rsidP="00C66951">
      <w:pPr>
        <w:ind w:left="700"/>
        <w:rPr>
          <w:rFonts w:eastAsiaTheme="majorEastAsia" w:cstheme="majorBidi"/>
          <w:bCs/>
          <w:szCs w:val="20"/>
        </w:rPr>
      </w:pPr>
      <w:r>
        <w:rPr>
          <w:rFonts w:eastAsiaTheme="majorEastAsia" w:cstheme="majorBidi"/>
          <w:bCs/>
          <w:szCs w:val="20"/>
        </w:rPr>
        <w:t xml:space="preserve">Mobilisation des </w:t>
      </w:r>
      <w:r w:rsidRPr="000D07E7">
        <w:rPr>
          <w:rFonts w:eastAsiaTheme="majorEastAsia" w:cstheme="majorBidi"/>
          <w:bCs/>
          <w:szCs w:val="20"/>
        </w:rPr>
        <w:t xml:space="preserve">équipes du Groupe sur l’objectif de certification CE </w:t>
      </w:r>
      <w:r w:rsidR="00F84270">
        <w:rPr>
          <w:rFonts w:eastAsiaTheme="majorEastAsia" w:cstheme="majorBidi"/>
          <w:bCs/>
          <w:szCs w:val="20"/>
        </w:rPr>
        <w:t>RMD</w:t>
      </w:r>
      <w:r w:rsidRPr="000D07E7">
        <w:rPr>
          <w:rFonts w:eastAsiaTheme="majorEastAsia" w:cstheme="majorBidi"/>
          <w:bCs/>
          <w:szCs w:val="20"/>
        </w:rPr>
        <w:t>. Le Groupe a d’ailleurs sélectionné, en décembre, T</w:t>
      </w:r>
      <w:r w:rsidR="00B2272B">
        <w:t>Ü</w:t>
      </w:r>
      <w:r w:rsidRPr="000D07E7">
        <w:rPr>
          <w:rFonts w:eastAsiaTheme="majorEastAsia" w:cstheme="majorBidi"/>
          <w:bCs/>
          <w:szCs w:val="20"/>
        </w:rPr>
        <w:t>V Rheinland comme organisme certificateur de ses produits, dans un contexte de renforcement de l’exigence du contexte règlementaire européen à propos des dispositifs médicaux.</w:t>
      </w:r>
    </w:p>
    <w:p w14:paraId="6FBBE67E" w14:textId="77777777" w:rsidR="00C66951" w:rsidRPr="000D07E7" w:rsidRDefault="00C66951" w:rsidP="00C66951">
      <w:pPr>
        <w:ind w:left="700"/>
        <w:rPr>
          <w:rFonts w:eastAsiaTheme="majorEastAsia" w:cstheme="majorBidi"/>
        </w:rPr>
      </w:pPr>
      <w:r w:rsidRPr="54FDD3F0">
        <w:rPr>
          <w:rFonts w:eastAsiaTheme="majorEastAsia" w:cstheme="majorBidi"/>
        </w:rPr>
        <w:t>Lancement d’un nouveau plan stratégique 2020-2022 passant par la mise en place d’une nouvelle politique commerciale, de plans marketing orientés digital et relation clients / chirurgiens et de projets internes importants</w:t>
      </w:r>
    </w:p>
    <w:p w14:paraId="16866AF5" w14:textId="77777777" w:rsidR="00C66951" w:rsidRDefault="00C66951" w:rsidP="00C66951">
      <w:pPr>
        <w:ind w:left="700"/>
        <w:rPr>
          <w:rFonts w:eastAsiaTheme="majorEastAsia" w:cstheme="majorBidi"/>
          <w:bCs/>
          <w:color w:val="FF0000"/>
          <w:szCs w:val="20"/>
        </w:rPr>
      </w:pPr>
      <w:r w:rsidRPr="54FDD3F0">
        <w:rPr>
          <w:rFonts w:eastAsiaTheme="majorEastAsia" w:cstheme="majorBidi"/>
        </w:rPr>
        <w:t>Effort conséquent porté sur les projets d’innovation et de recherche afin de pouvoir déposer et lancer de nouveaux produits dès 2021 dont la plateforme MISTI présentée à l’automne 2020.</w:t>
      </w:r>
    </w:p>
    <w:p w14:paraId="2393EE0D" w14:textId="77777777" w:rsidR="00D1755C" w:rsidRPr="00467BA6" w:rsidRDefault="00D1755C" w:rsidP="00DC6E98">
      <w:pPr>
        <w:jc w:val="left"/>
        <w:rPr>
          <w:b/>
        </w:rPr>
      </w:pPr>
    </w:p>
    <w:p w14:paraId="790641F8" w14:textId="6E52B2FB" w:rsidR="00AD25AB" w:rsidRDefault="54FDD3F0" w:rsidP="00635279">
      <w:pPr>
        <w:pStyle w:val="Titre2"/>
        <w:ind w:left="567"/>
      </w:pPr>
      <w:bookmarkStart w:id="132" w:name="_Ref474073722"/>
      <w:bookmarkStart w:id="133" w:name="_Ref372966192"/>
      <w:bookmarkStart w:id="134" w:name="_Ref368212424"/>
      <w:bookmarkStart w:id="135" w:name="_Toc475033191"/>
      <w:r>
        <w:lastRenderedPageBreak/>
        <w:t>5.</w:t>
      </w:r>
      <w:r w:rsidR="00D1755C">
        <w:t>4</w:t>
      </w:r>
      <w:r>
        <w:t>. La stratégie de développement de Spineway</w:t>
      </w:r>
      <w:bookmarkEnd w:id="132"/>
      <w:bookmarkEnd w:id="135"/>
      <w:r>
        <w:t xml:space="preserve"> </w:t>
      </w:r>
      <w:bookmarkEnd w:id="133"/>
      <w:bookmarkEnd w:id="134"/>
    </w:p>
    <w:p w14:paraId="14971C4A" w14:textId="77777777" w:rsidR="00516762" w:rsidRDefault="00516762" w:rsidP="00516762">
      <w:pPr>
        <w:ind w:left="567"/>
        <w:rPr>
          <w:szCs w:val="20"/>
        </w:rPr>
      </w:pPr>
    </w:p>
    <w:p w14:paraId="652B95CB" w14:textId="4F0403B8" w:rsidR="00516762" w:rsidRPr="00516762" w:rsidRDefault="00516762" w:rsidP="008140D0">
      <w:r w:rsidRPr="003C0FC4">
        <w:t xml:space="preserve">Le Groupe poursuit la mise en œuvre de son plan stratégique </w:t>
      </w:r>
      <w:r w:rsidR="008140D0">
        <w:t>2020/</w:t>
      </w:r>
      <w:r w:rsidRPr="003C0FC4">
        <w:t>202</w:t>
      </w:r>
      <w:r w:rsidR="000050CE" w:rsidRPr="003C0FC4">
        <w:t>2</w:t>
      </w:r>
      <w:r w:rsidRPr="003C0FC4">
        <w:t xml:space="preserve"> lequel s’articule a</w:t>
      </w:r>
      <w:r w:rsidR="000050CE" w:rsidRPr="003C0FC4">
        <w:t>utour de</w:t>
      </w:r>
      <w:r w:rsidR="000050CE">
        <w:t xml:space="preserve"> </w:t>
      </w:r>
      <w:r w:rsidR="00D825EF">
        <w:t>plusieurs</w:t>
      </w:r>
      <w:r w:rsidR="000050CE">
        <w:t xml:space="preserve"> axes principaux</w:t>
      </w:r>
      <w:r w:rsidR="00F10CFA">
        <w:t xml:space="preserve"> </w:t>
      </w:r>
      <w:r w:rsidRPr="00516762">
        <w:t>:</w:t>
      </w:r>
    </w:p>
    <w:p w14:paraId="541E86CE" w14:textId="77777777" w:rsidR="00516762" w:rsidRDefault="00516762" w:rsidP="008140D0"/>
    <w:p w14:paraId="2546105E" w14:textId="50647F3D" w:rsidR="000050CE" w:rsidRPr="00516762" w:rsidRDefault="000050CE" w:rsidP="00C622C2">
      <w:pPr>
        <w:pStyle w:val="Paragraphedeliste"/>
        <w:numPr>
          <w:ilvl w:val="0"/>
          <w:numId w:val="50"/>
        </w:numPr>
        <w:ind w:left="0" w:firstLine="0"/>
        <w:rPr>
          <w:b/>
        </w:rPr>
      </w:pPr>
      <w:r w:rsidRPr="00516762">
        <w:rPr>
          <w:b/>
        </w:rPr>
        <w:t xml:space="preserve">Une </w:t>
      </w:r>
      <w:r>
        <w:rPr>
          <w:b/>
        </w:rPr>
        <w:t>stratégie produit</w:t>
      </w:r>
      <w:r w:rsidR="005267E2">
        <w:rPr>
          <w:b/>
        </w:rPr>
        <w:t>s et services</w:t>
      </w:r>
      <w:r w:rsidR="002B2CBC">
        <w:rPr>
          <w:b/>
        </w:rPr>
        <w:t xml:space="preserve"> : </w:t>
      </w:r>
      <w:r w:rsidR="005267E2">
        <w:rPr>
          <w:b/>
        </w:rPr>
        <w:t>évolution vers</w:t>
      </w:r>
      <w:r w:rsidR="002B2CBC" w:rsidRPr="002B2CBC">
        <w:rPr>
          <w:b/>
        </w:rPr>
        <w:t xml:space="preserve"> le segment </w:t>
      </w:r>
      <w:r w:rsidR="002B2CBC" w:rsidRPr="005267E2">
        <w:rPr>
          <w:b/>
          <w:i/>
        </w:rPr>
        <w:t>Premium </w:t>
      </w:r>
    </w:p>
    <w:p w14:paraId="0BEEA4A4" w14:textId="77777777" w:rsidR="000050CE" w:rsidRPr="006746E8" w:rsidRDefault="000050CE" w:rsidP="008140D0">
      <w:pPr>
        <w:rPr>
          <w:szCs w:val="20"/>
        </w:rPr>
      </w:pPr>
    </w:p>
    <w:p w14:paraId="2BA68D1F" w14:textId="46C2162C" w:rsidR="005267E2" w:rsidRPr="008A7DBD" w:rsidRDefault="000050CE" w:rsidP="005267E2">
      <w:r w:rsidRPr="006746E8">
        <w:t xml:space="preserve">De manière à toujours apporter une offre de </w:t>
      </w:r>
      <w:r w:rsidR="002B2CBC" w:rsidRPr="006746E8">
        <w:t xml:space="preserve">grande </w:t>
      </w:r>
      <w:r w:rsidRPr="006746E8">
        <w:t xml:space="preserve">qualité et en adéquation avec les besoins </w:t>
      </w:r>
      <w:r w:rsidR="005267E2" w:rsidRPr="006746E8">
        <w:t xml:space="preserve">des </w:t>
      </w:r>
      <w:r w:rsidRPr="006746E8">
        <w:t>marché</w:t>
      </w:r>
      <w:r w:rsidR="005267E2" w:rsidRPr="006746E8">
        <w:t>s</w:t>
      </w:r>
      <w:r w:rsidRPr="006746E8">
        <w:t xml:space="preserve">, le </w:t>
      </w:r>
      <w:r w:rsidR="002B2CBC" w:rsidRPr="006746E8">
        <w:t>G</w:t>
      </w:r>
      <w:r w:rsidRPr="006746E8">
        <w:t xml:space="preserve">roupe développe </w:t>
      </w:r>
      <w:r w:rsidR="005267E2" w:rsidRPr="005B42F0">
        <w:rPr>
          <w:rFonts w:eastAsia="Times New Roman" w:cs="Times New Roman"/>
        </w:rPr>
        <w:t xml:space="preserve">de nombreux projets visant à apporter des améliorations, tant aux utilisateurs (les </w:t>
      </w:r>
      <w:r w:rsidR="005267E2" w:rsidRPr="006746E8">
        <w:t>chirurgiens) qu’aux destinataires des implants (les patients).</w:t>
      </w:r>
    </w:p>
    <w:p w14:paraId="7E05D099" w14:textId="4DEF839F" w:rsidR="005267E2" w:rsidRPr="008F3458" w:rsidRDefault="005267E2" w:rsidP="005B42F0">
      <w:r w:rsidRPr="008A7DBD">
        <w:t xml:space="preserve">Les retours terrains et l’analyse de publications scientifiques permettent aux équipes de Spineway de se tenir informées des pratiques, besoins et attentes des personnels soignants </w:t>
      </w:r>
      <w:r w:rsidRPr="008F3458">
        <w:t>qui travaillent dans les établissements de soins.</w:t>
      </w:r>
    </w:p>
    <w:p w14:paraId="2F809EB4" w14:textId="77777777" w:rsidR="005267E2" w:rsidRPr="00C825C0" w:rsidRDefault="005267E2" w:rsidP="005B42F0"/>
    <w:p w14:paraId="4020668F" w14:textId="0865C7D8" w:rsidR="005267E2" w:rsidRPr="00B2272B" w:rsidRDefault="005267E2" w:rsidP="005B42F0">
      <w:r w:rsidRPr="00C825C0">
        <w:t xml:space="preserve">La chirurgie du rachis se caractérise par une évolution continue </w:t>
      </w:r>
      <w:r w:rsidR="008A7DBD" w:rsidRPr="00C825C0">
        <w:t>des techniques opératoires. D</w:t>
      </w:r>
      <w:r w:rsidRPr="00A35A6F">
        <w:t xml:space="preserve">epuis </w:t>
      </w:r>
      <w:r w:rsidRPr="009F0CB3">
        <w:t>plus de 50 a</w:t>
      </w:r>
      <w:r w:rsidR="008A7DBD" w:rsidRPr="00CF3ED7">
        <w:t>ns, l</w:t>
      </w:r>
      <w:r w:rsidRPr="00B2272B">
        <w:t>es chirurgiens, médecins et personnels soignants réfléchissent en permanence aux moyens d’apporter de meilleurs résultats post-opératoires a leurs patients.</w:t>
      </w:r>
    </w:p>
    <w:p w14:paraId="55457A81" w14:textId="77777777" w:rsidR="005267E2" w:rsidRPr="00B2272B" w:rsidRDefault="005267E2" w:rsidP="005B42F0"/>
    <w:p w14:paraId="360B41DC" w14:textId="502698B2" w:rsidR="005267E2" w:rsidRPr="006746E8" w:rsidRDefault="005267E2" w:rsidP="005B42F0">
      <w:r w:rsidRPr="00533F0A">
        <w:t>Grâce à son histoire, son enseignement universitaire et son organisation hospitalière de pointe supp</w:t>
      </w:r>
      <w:r w:rsidRPr="00AB61C8">
        <w:t xml:space="preserve">ortées par une prise en charge universelle des soins, ainsi que son ingénierie et sa capacité industrielle, </w:t>
      </w:r>
      <w:r w:rsidRPr="00F0057F">
        <w:t xml:space="preserve">la France </w:t>
      </w:r>
      <w:r w:rsidRPr="006746E8">
        <w:t xml:space="preserve">a toujours été reconnue comme pionnière en chirurgie rachidienne : depuis plus de 40 ans les techniques opératoires françaises ont été diffusées dans le monde entier et sont toujours reconnues pour apporter d’excellents résultats aux patients. </w:t>
      </w:r>
    </w:p>
    <w:p w14:paraId="68EA5A74" w14:textId="321A80A0" w:rsidR="005267E2" w:rsidRPr="006746E8" w:rsidRDefault="005267E2" w:rsidP="005B42F0">
      <w:r w:rsidRPr="006746E8">
        <w:t>En effet, les praticiens intègrent les besoins et attentes des patients dans leurs projets thérapeutiques et participent ainsi à l’amélioration permanente des soins.</w:t>
      </w:r>
    </w:p>
    <w:p w14:paraId="019D0390" w14:textId="69C19B95" w:rsidR="005267E2" w:rsidRPr="006746E8" w:rsidRDefault="005267E2" w:rsidP="005B42F0">
      <w:r w:rsidRPr="006746E8">
        <w:t>En matière de chirurgie rachidienne, ces évolutions des interventions chirurgicales ont vocation à être intégrées par les équipes Spineway.</w:t>
      </w:r>
    </w:p>
    <w:p w14:paraId="3DC53EAF" w14:textId="77777777" w:rsidR="005267E2" w:rsidRPr="006746E8" w:rsidRDefault="005267E2" w:rsidP="005B42F0"/>
    <w:p w14:paraId="7F9E629B" w14:textId="77777777" w:rsidR="005267E2" w:rsidRPr="006746E8" w:rsidRDefault="005267E2" w:rsidP="005B42F0">
      <w:r w:rsidRPr="006746E8">
        <w:t>Les besoins exprimés correspondent à des attentes variées :</w:t>
      </w:r>
    </w:p>
    <w:p w14:paraId="7A39D675" w14:textId="2BD263FC" w:rsidR="005267E2" w:rsidRPr="006746E8" w:rsidRDefault="005267E2" w:rsidP="005B42F0">
      <w:pPr>
        <w:pStyle w:val="Paragraphedeliste"/>
        <w:numPr>
          <w:ilvl w:val="0"/>
          <w:numId w:val="38"/>
        </w:numPr>
      </w:pPr>
      <w:r w:rsidRPr="006746E8">
        <w:t>des gestes opératoires assistés afin de devenir plus précis et/ou plus facilement répétables. Ces aides peuvent consister dans l’évolution des protocoles opératoires, la robotisation ou encore des instruments chirurgicaux ;</w:t>
      </w:r>
    </w:p>
    <w:p w14:paraId="17E53F84" w14:textId="29C982B9" w:rsidR="005267E2" w:rsidRPr="006746E8" w:rsidRDefault="005267E2" w:rsidP="005267E2">
      <w:pPr>
        <w:pStyle w:val="Paragraphedeliste"/>
        <w:numPr>
          <w:ilvl w:val="0"/>
          <w:numId w:val="38"/>
        </w:numPr>
        <w:spacing w:before="100" w:beforeAutospacing="1" w:after="100" w:afterAutospacing="1"/>
      </w:pPr>
      <w:r w:rsidRPr="006746E8">
        <w:t>des interventions chirurgicales de plus courte durée, afin de limiter les infections dans le cadre du site opératoire, minimiser le saignement pre et post opératoire mais aussi réduire la durée de la phase de rééducation post-opératoire.</w:t>
      </w:r>
    </w:p>
    <w:p w14:paraId="50C26BEA" w14:textId="04BF4FE1" w:rsidR="005267E2" w:rsidRPr="006746E8" w:rsidRDefault="005267E2" w:rsidP="006746E8">
      <w:pPr>
        <w:pStyle w:val="Paragraphedeliste"/>
        <w:numPr>
          <w:ilvl w:val="0"/>
          <w:numId w:val="38"/>
        </w:numPr>
      </w:pPr>
      <w:r w:rsidRPr="006746E8">
        <w:t>la réduction de la douleur des patients et l’accès à une un meilleure qualité de vie après les soins.</w:t>
      </w:r>
    </w:p>
    <w:p w14:paraId="36EB2866" w14:textId="77777777" w:rsidR="005267E2" w:rsidRPr="006746E8" w:rsidRDefault="005267E2" w:rsidP="006746E8"/>
    <w:p w14:paraId="4DB2DC5B" w14:textId="73BE2E8F" w:rsidR="005267E2" w:rsidRPr="006746E8" w:rsidRDefault="005267E2" w:rsidP="006746E8">
      <w:r w:rsidRPr="006746E8">
        <w:t xml:space="preserve">Spineway entend </w:t>
      </w:r>
      <w:r w:rsidR="006746E8">
        <w:t xml:space="preserve">donc </w:t>
      </w:r>
      <w:r w:rsidRPr="006746E8">
        <w:t>participer au progrès thérapeutique en analysant les besoins exprimés et en les traduisant en produits et services adaptés.</w:t>
      </w:r>
    </w:p>
    <w:p w14:paraId="40D916EC" w14:textId="1768A499" w:rsidR="005267E2" w:rsidRPr="006746E8" w:rsidRDefault="005267E2" w:rsidP="006746E8">
      <w:r w:rsidRPr="006746E8">
        <w:t xml:space="preserve">Spineway </w:t>
      </w:r>
      <w:r w:rsidR="006746E8">
        <w:t>se</w:t>
      </w:r>
      <w:r w:rsidR="006746E8" w:rsidRPr="00FE7CC9">
        <w:t xml:space="preserve"> différenci</w:t>
      </w:r>
      <w:r w:rsidR="006746E8">
        <w:t>e</w:t>
      </w:r>
      <w:r w:rsidR="006746E8" w:rsidRPr="00FE7CC9">
        <w:t xml:space="preserve"> de la concurrence par son caractère pionnier</w:t>
      </w:r>
      <w:r w:rsidR="006746E8">
        <w:t xml:space="preserve"> et </w:t>
      </w:r>
      <w:r w:rsidRPr="006746E8">
        <w:t xml:space="preserve">entend </w:t>
      </w:r>
      <w:r w:rsidR="006746E8">
        <w:t xml:space="preserve">non seulement </w:t>
      </w:r>
      <w:r w:rsidRPr="006746E8">
        <w:t>maintenir un av</w:t>
      </w:r>
      <w:r w:rsidR="006746E8">
        <w:t xml:space="preserve">antage mais également </w:t>
      </w:r>
      <w:r w:rsidRPr="006746E8">
        <w:t>se développer plus rapidement que la croissance du marché (</w:t>
      </w:r>
      <w:r w:rsidR="006746E8" w:rsidRPr="006746E8">
        <w:t xml:space="preserve">le </w:t>
      </w:r>
      <w:r w:rsidRPr="006746E8">
        <w:t>consensus estimatif </w:t>
      </w:r>
      <w:r w:rsidR="006746E8" w:rsidRPr="006746E8">
        <w:t xml:space="preserve"> évoque une croissance mondiale de</w:t>
      </w:r>
      <w:r w:rsidRPr="006746E8">
        <w:t>: +/- 3 à 5 %/an)</w:t>
      </w:r>
      <w:r w:rsidR="006746E8" w:rsidRPr="006746E8">
        <w:t>.</w:t>
      </w:r>
    </w:p>
    <w:p w14:paraId="63513400" w14:textId="5027517C" w:rsidR="005267E2" w:rsidRDefault="005267E2" w:rsidP="006746E8">
      <w:r w:rsidRPr="008A7DBD">
        <w:t>Ces actions mobilisent, entre autres, les services R&amp;D marketing et qualité/affaires règlementaires  afin d’être sans cesse force de proposition avec des innovations et nouveaux produits</w:t>
      </w:r>
      <w:r w:rsidR="006746E8" w:rsidRPr="008F3458">
        <w:t>.</w:t>
      </w:r>
    </w:p>
    <w:p w14:paraId="40DCDAAE" w14:textId="77777777" w:rsidR="006746E8" w:rsidRPr="006746E8" w:rsidRDefault="006746E8" w:rsidP="006746E8"/>
    <w:p w14:paraId="3D44BCCA" w14:textId="076AE4AE" w:rsidR="005267E2" w:rsidRPr="005B42F0" w:rsidRDefault="006746E8" w:rsidP="005B42F0">
      <w:pPr>
        <w:rPr>
          <w:b/>
        </w:rPr>
      </w:pPr>
      <w:r w:rsidRPr="005B42F0">
        <w:rPr>
          <w:b/>
        </w:rPr>
        <w:t>Le</w:t>
      </w:r>
      <w:r w:rsidR="005267E2" w:rsidRPr="005B42F0">
        <w:rPr>
          <w:b/>
        </w:rPr>
        <w:t> positionnement </w:t>
      </w:r>
      <w:r w:rsidR="005267E2" w:rsidRPr="005B42F0">
        <w:rPr>
          <w:b/>
          <w:i/>
        </w:rPr>
        <w:t>Premium </w:t>
      </w:r>
      <w:r w:rsidR="005267E2" w:rsidRPr="005B42F0">
        <w:rPr>
          <w:b/>
        </w:rPr>
        <w:t xml:space="preserve">: </w:t>
      </w:r>
    </w:p>
    <w:p w14:paraId="1148B565" w14:textId="77777777" w:rsidR="008A7DBD" w:rsidRPr="006746E8" w:rsidRDefault="008A7DBD" w:rsidP="005B42F0"/>
    <w:p w14:paraId="588D9BAA" w14:textId="654BB6CC" w:rsidR="006746E8" w:rsidRDefault="006746E8" w:rsidP="006746E8">
      <w:r w:rsidRPr="006746E8">
        <w:t>Le</w:t>
      </w:r>
      <w:r w:rsidR="005267E2" w:rsidRPr="006746E8">
        <w:t xml:space="preserve">s nouvelles techniques opératoires attendues par le corps médical </w:t>
      </w:r>
      <w:r>
        <w:t>se complexifient</w:t>
      </w:r>
      <w:r w:rsidR="005267E2" w:rsidRPr="006746E8">
        <w:t xml:space="preserve"> et nécessitent la mise en </w:t>
      </w:r>
      <w:r w:rsidRPr="006746E8">
        <w:t xml:space="preserve">œuvre </w:t>
      </w:r>
      <w:r w:rsidR="005267E2" w:rsidRPr="006746E8">
        <w:t>de moyens techniques</w:t>
      </w:r>
      <w:r w:rsidRPr="006746E8">
        <w:t xml:space="preserve"> plus importants</w:t>
      </w:r>
      <w:r w:rsidR="005267E2" w:rsidRPr="006746E8">
        <w:t xml:space="preserve">, ce qui se traduit par : </w:t>
      </w:r>
    </w:p>
    <w:p w14:paraId="260657E9" w14:textId="77777777" w:rsidR="006746E8" w:rsidRDefault="006746E8" w:rsidP="005B42F0">
      <w:pPr>
        <w:pStyle w:val="Paragraphedeliste"/>
        <w:numPr>
          <w:ilvl w:val="0"/>
          <w:numId w:val="91"/>
        </w:numPr>
      </w:pPr>
      <w:r>
        <w:t xml:space="preserve">des </w:t>
      </w:r>
      <w:r w:rsidR="005267E2" w:rsidRPr="006746E8">
        <w:t>instruments chirurgicaux</w:t>
      </w:r>
      <w:r w:rsidRPr="006746E8">
        <w:t xml:space="preserve"> réutilisables ou consommables </w:t>
      </w:r>
      <w:r>
        <w:t>plus nombreux ;</w:t>
      </w:r>
    </w:p>
    <w:p w14:paraId="110B7497" w14:textId="015A312B" w:rsidR="005267E2" w:rsidRPr="006746E8" w:rsidRDefault="005267E2" w:rsidP="005B42F0">
      <w:pPr>
        <w:pStyle w:val="Paragraphedeliste"/>
        <w:numPr>
          <w:ilvl w:val="0"/>
          <w:numId w:val="91"/>
        </w:numPr>
      </w:pPr>
      <w:r w:rsidRPr="006746E8">
        <w:t xml:space="preserve">des </w:t>
      </w:r>
      <w:r w:rsidR="006746E8" w:rsidRPr="00DD4284">
        <w:t>kits d’instrumentation</w:t>
      </w:r>
      <w:r w:rsidR="006746E8" w:rsidRPr="00D22122">
        <w:t xml:space="preserve"> plus couteux</w:t>
      </w:r>
      <w:r w:rsidR="006746E8">
        <w:t>.</w:t>
      </w:r>
    </w:p>
    <w:p w14:paraId="5778937B" w14:textId="77777777" w:rsidR="006746E8" w:rsidRDefault="006746E8" w:rsidP="006746E8"/>
    <w:p w14:paraId="1ADD85F7" w14:textId="28368776" w:rsidR="005267E2" w:rsidRPr="006746E8" w:rsidRDefault="008A7DBD" w:rsidP="006746E8">
      <w:r>
        <w:t>En effet</w:t>
      </w:r>
      <w:r w:rsidR="006746E8">
        <w:t>, les</w:t>
      </w:r>
      <w:r w:rsidR="005267E2" w:rsidRPr="006746E8">
        <w:t xml:space="preserve"> technologies de production des implants évoluent </w:t>
      </w:r>
      <w:r w:rsidR="006746E8">
        <w:t>(</w:t>
      </w:r>
      <w:r w:rsidR="005267E2" w:rsidRPr="006746E8">
        <w:t>avec</w:t>
      </w:r>
      <w:r w:rsidR="006746E8">
        <w:t>,</w:t>
      </w:r>
      <w:r w:rsidR="005267E2" w:rsidRPr="006746E8">
        <w:t xml:space="preserve"> par exemple</w:t>
      </w:r>
      <w:r w:rsidR="006746E8">
        <w:t>,</w:t>
      </w:r>
      <w:r w:rsidR="005267E2" w:rsidRPr="006746E8">
        <w:t xml:space="preserve"> l’apparition d’implants fabriqués en titane par imprimantes 3D</w:t>
      </w:r>
      <w:r w:rsidR="006746E8">
        <w:t xml:space="preserve"> nécessitant des </w:t>
      </w:r>
      <w:r w:rsidR="005267E2" w:rsidRPr="006746E8">
        <w:t>moyens de production hi-tech</w:t>
      </w:r>
      <w:r w:rsidR="006746E8">
        <w:t xml:space="preserve"> dont le coût est élevé) et les</w:t>
      </w:r>
      <w:r w:rsidR="005267E2" w:rsidRPr="006746E8">
        <w:t xml:space="preserve"> </w:t>
      </w:r>
      <w:r w:rsidR="006746E8">
        <w:t>contraintes</w:t>
      </w:r>
      <w:r w:rsidR="005267E2" w:rsidRPr="006746E8">
        <w:t xml:space="preserve"> règlementaires </w:t>
      </w:r>
      <w:r w:rsidR="006746E8">
        <w:t>se densifient</w:t>
      </w:r>
      <w:r>
        <w:t xml:space="preserve"> </w:t>
      </w:r>
      <w:r w:rsidR="005267E2" w:rsidRPr="006746E8">
        <w:t xml:space="preserve">(certification CE </w:t>
      </w:r>
      <w:r w:rsidR="006746E8">
        <w:t>RMD</w:t>
      </w:r>
      <w:r>
        <w:t xml:space="preserve"> obligatoire à compter de 2024). La conjugaison de ces deux phénomènes implique une augmentation des </w:t>
      </w:r>
      <w:r w:rsidR="005267E2" w:rsidRPr="006746E8">
        <w:t>coûts.</w:t>
      </w:r>
    </w:p>
    <w:p w14:paraId="3F690536" w14:textId="64B15E16" w:rsidR="005267E2" w:rsidRPr="006746E8" w:rsidRDefault="006746E8" w:rsidP="006746E8">
      <w:r>
        <w:t>La</w:t>
      </w:r>
      <w:r w:rsidR="005267E2" w:rsidRPr="006746E8">
        <w:t xml:space="preserve"> commercialisation de telles technologies </w:t>
      </w:r>
      <w:r>
        <w:t xml:space="preserve">ne </w:t>
      </w:r>
      <w:r w:rsidR="008A7DBD">
        <w:t>peut donc</w:t>
      </w:r>
      <w:r w:rsidR="005267E2" w:rsidRPr="006746E8">
        <w:t xml:space="preserve"> </w:t>
      </w:r>
      <w:r w:rsidR="008A7DBD">
        <w:t xml:space="preserve">être </w:t>
      </w:r>
      <w:r w:rsidR="005267E2" w:rsidRPr="006746E8">
        <w:t>rentable</w:t>
      </w:r>
      <w:r>
        <w:t xml:space="preserve"> qu’au travers un</w:t>
      </w:r>
      <w:r w:rsidR="005267E2" w:rsidRPr="006746E8">
        <w:t xml:space="preserve"> positionnement marketing haut de gamme</w:t>
      </w:r>
      <w:r>
        <w:t xml:space="preserve"> -</w:t>
      </w:r>
      <w:r w:rsidR="005267E2" w:rsidRPr="006746E8">
        <w:t xml:space="preserve"> </w:t>
      </w:r>
      <w:r w:rsidR="005267E2" w:rsidRPr="005B42F0">
        <w:rPr>
          <w:i/>
        </w:rPr>
        <w:t>premium</w:t>
      </w:r>
      <w:r w:rsidR="005267E2" w:rsidRPr="006746E8">
        <w:t xml:space="preserve"> </w:t>
      </w:r>
      <w:r>
        <w:t xml:space="preserve">- </w:t>
      </w:r>
      <w:r w:rsidR="005267E2" w:rsidRPr="006746E8">
        <w:t>avec une tarific</w:t>
      </w:r>
      <w:r>
        <w:t>ation nécessairement adaptée et élevée.</w:t>
      </w:r>
    </w:p>
    <w:p w14:paraId="03735CC5" w14:textId="77777777" w:rsidR="008A7DBD" w:rsidRDefault="008A7DBD" w:rsidP="006746E8"/>
    <w:p w14:paraId="3AF9B019" w14:textId="416BD367" w:rsidR="005267E2" w:rsidRPr="008A7DBD" w:rsidRDefault="008A7DBD" w:rsidP="006746E8">
      <w:r>
        <w:t xml:space="preserve">Dans ce contexte, </w:t>
      </w:r>
      <w:r w:rsidR="005267E2" w:rsidRPr="008A7DBD">
        <w:t>Spineway poursuivra deux axes de développement de son offre : </w:t>
      </w:r>
    </w:p>
    <w:p w14:paraId="17E593DD" w14:textId="08191741" w:rsidR="005267E2" w:rsidRPr="008F3458" w:rsidRDefault="006746E8" w:rsidP="006746E8">
      <w:pPr>
        <w:pStyle w:val="Paragraphedeliste"/>
        <w:numPr>
          <w:ilvl w:val="0"/>
          <w:numId w:val="90"/>
        </w:numPr>
      </w:pPr>
      <w:r w:rsidRPr="008F3458">
        <w:t>la m</w:t>
      </w:r>
      <w:r w:rsidR="005267E2" w:rsidRPr="008F3458">
        <w:t>obilisation de ses ressources internes, R&amp;D et marketing permettant de se</w:t>
      </w:r>
      <w:r w:rsidRPr="008F3458">
        <w:t xml:space="preserve"> différencier de la concurrence ;</w:t>
      </w:r>
    </w:p>
    <w:p w14:paraId="5D664486" w14:textId="5668AA61" w:rsidR="005267E2" w:rsidRPr="006746E8" w:rsidRDefault="006746E8" w:rsidP="006746E8">
      <w:pPr>
        <w:pStyle w:val="Paragraphedeliste"/>
        <w:numPr>
          <w:ilvl w:val="0"/>
          <w:numId w:val="90"/>
        </w:numPr>
      </w:pPr>
      <w:r w:rsidRPr="008F3458">
        <w:t xml:space="preserve">le </w:t>
      </w:r>
      <w:r w:rsidR="005267E2" w:rsidRPr="008F3458">
        <w:t>développement de partenariat</w:t>
      </w:r>
      <w:r w:rsidR="008A7DBD">
        <w:t>s</w:t>
      </w:r>
      <w:r w:rsidR="005267E2" w:rsidRPr="008A7DBD">
        <w:t xml:space="preserve"> avec des acteurs du marché, industriels ou commerciaux,</w:t>
      </w:r>
      <w:r w:rsidR="00270A44">
        <w:t xml:space="preserve"> notamment européens (dans une logique de RSE),</w:t>
      </w:r>
      <w:r w:rsidR="005267E2" w:rsidRPr="008A7DBD">
        <w:t xml:space="preserve"> afin d’accélérer</w:t>
      </w:r>
      <w:r w:rsidR="005267E2" w:rsidRPr="006746E8">
        <w:t xml:space="preserve"> la mise sur le marché de produits </w:t>
      </w:r>
      <w:r w:rsidR="005267E2" w:rsidRPr="005B42F0">
        <w:rPr>
          <w:i/>
        </w:rPr>
        <w:t>premium</w:t>
      </w:r>
      <w:r w:rsidR="005267E2" w:rsidRPr="006746E8">
        <w:t xml:space="preserve"> dans un univers contraint par l’économie, la concurrence et les évolutions règlementaires.</w:t>
      </w:r>
    </w:p>
    <w:p w14:paraId="3489CB39" w14:textId="77777777" w:rsidR="000050CE" w:rsidRPr="008A7DBD" w:rsidRDefault="000050CE" w:rsidP="008140D0"/>
    <w:p w14:paraId="7CB131DD" w14:textId="77777777" w:rsidR="006C6066" w:rsidRPr="008A7DBD" w:rsidRDefault="006C6066" w:rsidP="008140D0"/>
    <w:p w14:paraId="3226628E" w14:textId="635B4958" w:rsidR="00516762" w:rsidRPr="003C0FC4" w:rsidRDefault="00516762" w:rsidP="00C622C2">
      <w:pPr>
        <w:pStyle w:val="Paragraphedeliste"/>
        <w:numPr>
          <w:ilvl w:val="0"/>
          <w:numId w:val="50"/>
        </w:numPr>
        <w:ind w:left="0" w:firstLine="0"/>
        <w:rPr>
          <w:b/>
        </w:rPr>
      </w:pPr>
      <w:r w:rsidRPr="003C0FC4">
        <w:rPr>
          <w:b/>
        </w:rPr>
        <w:t xml:space="preserve">Une stratégie commerciale renforcée </w:t>
      </w:r>
      <w:r w:rsidR="002B2CBC" w:rsidRPr="003C0FC4">
        <w:rPr>
          <w:b/>
        </w:rPr>
        <w:t>visant le développement de marchés matures rentables</w:t>
      </w:r>
      <w:r w:rsidR="00D825EF" w:rsidRPr="003C0FC4">
        <w:rPr>
          <w:b/>
        </w:rPr>
        <w:t xml:space="preserve"> et le renforcement de la qualité du service clients</w:t>
      </w:r>
    </w:p>
    <w:p w14:paraId="059FB3A3" w14:textId="77777777" w:rsidR="00516762" w:rsidRPr="003C0FC4" w:rsidRDefault="00516762" w:rsidP="008F3458"/>
    <w:p w14:paraId="248CC8B9" w14:textId="75545ADB" w:rsidR="008F3458" w:rsidRDefault="008F3458" w:rsidP="008F3458">
      <w:pPr>
        <w:rPr>
          <w:rFonts w:asciiTheme="minorHAnsi" w:hAnsiTheme="minorHAnsi"/>
        </w:rPr>
      </w:pPr>
      <w:r w:rsidRPr="006B3490">
        <w:rPr>
          <w:rFonts w:asciiTheme="minorHAnsi" w:hAnsiTheme="minorHAnsi"/>
        </w:rPr>
        <w:t>Afin de maintenir l’innovation au cœur de son offre de produits et services,</w:t>
      </w:r>
      <w:r>
        <w:rPr>
          <w:rFonts w:asciiTheme="minorHAnsi" w:hAnsiTheme="minorHAnsi"/>
        </w:rPr>
        <w:t xml:space="preserve"> </w:t>
      </w:r>
      <w:r w:rsidRPr="006B3490">
        <w:rPr>
          <w:rFonts w:asciiTheme="minorHAnsi" w:hAnsiTheme="minorHAnsi"/>
        </w:rPr>
        <w:t xml:space="preserve">le Groupe </w:t>
      </w:r>
      <w:r>
        <w:rPr>
          <w:rFonts w:asciiTheme="minorHAnsi" w:hAnsiTheme="minorHAnsi"/>
        </w:rPr>
        <w:t>fait évoluer</w:t>
      </w:r>
      <w:r w:rsidRPr="006B3490">
        <w:rPr>
          <w:rFonts w:asciiTheme="minorHAnsi" w:hAnsiTheme="minorHAnsi"/>
        </w:rPr>
        <w:t xml:space="preserve"> sa politique commerciale</w:t>
      </w:r>
      <w:r>
        <w:rPr>
          <w:rFonts w:asciiTheme="minorHAnsi" w:hAnsiTheme="minorHAnsi"/>
        </w:rPr>
        <w:t>.</w:t>
      </w:r>
    </w:p>
    <w:p w14:paraId="402E80C4" w14:textId="77777777" w:rsidR="008F3458" w:rsidRPr="006B3490" w:rsidRDefault="008F3458" w:rsidP="008F3458">
      <w:pPr>
        <w:rPr>
          <w:rFonts w:asciiTheme="minorHAnsi" w:hAnsiTheme="minorHAnsi"/>
        </w:rPr>
      </w:pPr>
    </w:p>
    <w:p w14:paraId="0F29FCE9" w14:textId="77777777" w:rsidR="008F3458" w:rsidRDefault="008F3458" w:rsidP="008F3458">
      <w:pPr>
        <w:rPr>
          <w:rFonts w:asciiTheme="minorHAnsi" w:hAnsiTheme="minorHAnsi"/>
        </w:rPr>
      </w:pPr>
      <w:r>
        <w:rPr>
          <w:rFonts w:asciiTheme="minorHAnsi" w:hAnsiTheme="minorHAnsi"/>
        </w:rPr>
        <w:t>Ses</w:t>
      </w:r>
      <w:r w:rsidRPr="006B3490">
        <w:rPr>
          <w:rFonts w:asciiTheme="minorHAnsi" w:hAnsiTheme="minorHAnsi"/>
        </w:rPr>
        <w:t xml:space="preserve"> axes prioritaires sont</w:t>
      </w:r>
      <w:r>
        <w:rPr>
          <w:rFonts w:asciiTheme="minorHAnsi" w:hAnsiTheme="minorHAnsi"/>
        </w:rPr>
        <w:t> :</w:t>
      </w:r>
    </w:p>
    <w:p w14:paraId="51E06B1A" w14:textId="38D4C23D" w:rsidR="008F3458" w:rsidRPr="005B42F0" w:rsidRDefault="008F3458" w:rsidP="005B42F0">
      <w:pPr>
        <w:pStyle w:val="Paragraphedeliste"/>
        <w:numPr>
          <w:ilvl w:val="0"/>
          <w:numId w:val="28"/>
        </w:numPr>
        <w:rPr>
          <w:rFonts w:asciiTheme="minorHAnsi" w:hAnsiTheme="minorHAnsi"/>
        </w:rPr>
      </w:pPr>
      <w:r w:rsidRPr="005B42F0">
        <w:rPr>
          <w:rFonts w:asciiTheme="minorHAnsi" w:hAnsiTheme="minorHAnsi"/>
        </w:rPr>
        <w:t>croissance du chiffre d’affaire ; et</w:t>
      </w:r>
      <w:r>
        <w:rPr>
          <w:rFonts w:asciiTheme="minorHAnsi" w:hAnsiTheme="minorHAnsi"/>
        </w:rPr>
        <w:t>,</w:t>
      </w:r>
    </w:p>
    <w:p w14:paraId="47FD2983" w14:textId="0A3B0A20" w:rsidR="008F3458" w:rsidRPr="005B42F0" w:rsidRDefault="008F3458" w:rsidP="005B42F0">
      <w:pPr>
        <w:pStyle w:val="Paragraphedeliste"/>
        <w:numPr>
          <w:ilvl w:val="0"/>
          <w:numId w:val="28"/>
        </w:numPr>
        <w:rPr>
          <w:rFonts w:asciiTheme="minorHAnsi" w:hAnsiTheme="minorHAnsi"/>
        </w:rPr>
      </w:pPr>
      <w:r w:rsidRPr="005B42F0">
        <w:rPr>
          <w:rFonts w:asciiTheme="minorHAnsi" w:hAnsiTheme="minorHAnsi"/>
        </w:rPr>
        <w:t xml:space="preserve">augmentation de la rentabilité du </w:t>
      </w:r>
      <w:r>
        <w:rPr>
          <w:rFonts w:asciiTheme="minorHAnsi" w:hAnsiTheme="minorHAnsi"/>
        </w:rPr>
        <w:t>G</w:t>
      </w:r>
      <w:r w:rsidRPr="005B42F0">
        <w:rPr>
          <w:rFonts w:asciiTheme="minorHAnsi" w:hAnsiTheme="minorHAnsi"/>
        </w:rPr>
        <w:t>roupe</w:t>
      </w:r>
      <w:r>
        <w:rPr>
          <w:rFonts w:asciiTheme="minorHAnsi" w:hAnsiTheme="minorHAnsi"/>
        </w:rPr>
        <w:t>.</w:t>
      </w:r>
    </w:p>
    <w:p w14:paraId="6269A710" w14:textId="77777777" w:rsidR="008F3458" w:rsidRDefault="008F3458" w:rsidP="008F3458">
      <w:pPr>
        <w:rPr>
          <w:rFonts w:asciiTheme="minorHAnsi" w:hAnsiTheme="minorHAnsi"/>
        </w:rPr>
      </w:pPr>
    </w:p>
    <w:p w14:paraId="562E6B4B" w14:textId="0A8C955E" w:rsidR="008F3458" w:rsidRPr="006B3490" w:rsidRDefault="008F3458" w:rsidP="008F3458">
      <w:pPr>
        <w:rPr>
          <w:rFonts w:asciiTheme="minorHAnsi" w:hAnsiTheme="minorHAnsi"/>
        </w:rPr>
      </w:pPr>
      <w:r>
        <w:rPr>
          <w:rFonts w:asciiTheme="minorHAnsi" w:hAnsiTheme="minorHAnsi"/>
        </w:rPr>
        <w:t>Cette stratégie</w:t>
      </w:r>
      <w:r w:rsidRPr="006B3490">
        <w:rPr>
          <w:rFonts w:asciiTheme="minorHAnsi" w:hAnsiTheme="minorHAnsi"/>
        </w:rPr>
        <w:t xml:space="preserve"> se traduit</w:t>
      </w:r>
      <w:r>
        <w:rPr>
          <w:rFonts w:asciiTheme="minorHAnsi" w:hAnsiTheme="minorHAnsi"/>
        </w:rPr>
        <w:t>, pour Spineway,</w:t>
      </w:r>
      <w:r w:rsidRPr="006B3490">
        <w:rPr>
          <w:rFonts w:asciiTheme="minorHAnsi" w:hAnsiTheme="minorHAnsi"/>
        </w:rPr>
        <w:t xml:space="preserve"> par plusieurs types d’action</w:t>
      </w:r>
      <w:r>
        <w:rPr>
          <w:rFonts w:asciiTheme="minorHAnsi" w:hAnsiTheme="minorHAnsi"/>
        </w:rPr>
        <w:t>s</w:t>
      </w:r>
      <w:r w:rsidRPr="006B3490">
        <w:rPr>
          <w:rFonts w:asciiTheme="minorHAnsi" w:hAnsiTheme="minorHAnsi"/>
        </w:rPr>
        <w:t> :</w:t>
      </w:r>
    </w:p>
    <w:p w14:paraId="4DD6FAE1" w14:textId="69CEA3C6" w:rsidR="008F3458" w:rsidRPr="005B42F0" w:rsidRDefault="008F3458" w:rsidP="005B42F0">
      <w:pPr>
        <w:pStyle w:val="Paragraphedeliste"/>
        <w:numPr>
          <w:ilvl w:val="0"/>
          <w:numId w:val="92"/>
        </w:numPr>
        <w:rPr>
          <w:rFonts w:asciiTheme="minorHAnsi" w:hAnsiTheme="minorHAnsi"/>
        </w:rPr>
      </w:pPr>
      <w:r>
        <w:rPr>
          <w:rFonts w:asciiTheme="minorHAnsi" w:hAnsiTheme="minorHAnsi"/>
        </w:rPr>
        <w:t>un développement</w:t>
      </w:r>
      <w:r w:rsidRPr="005B42F0">
        <w:rPr>
          <w:rFonts w:asciiTheme="minorHAnsi" w:hAnsiTheme="minorHAnsi"/>
        </w:rPr>
        <w:t xml:space="preserve"> </w:t>
      </w:r>
      <w:r w:rsidRPr="008F3458">
        <w:rPr>
          <w:rFonts w:asciiTheme="minorHAnsi" w:hAnsiTheme="minorHAnsi"/>
        </w:rPr>
        <w:t>d</w:t>
      </w:r>
      <w:r w:rsidRPr="005B42F0">
        <w:rPr>
          <w:rFonts w:asciiTheme="minorHAnsi" w:hAnsiTheme="minorHAnsi"/>
        </w:rPr>
        <w:t xml:space="preserve">es ventes sur des marchés porteurs </w:t>
      </w:r>
      <w:r w:rsidR="00C825C0" w:rsidRPr="00886A28">
        <w:rPr>
          <w:rFonts w:asciiTheme="minorHAnsi" w:hAnsiTheme="minorHAnsi"/>
        </w:rPr>
        <w:t>en demande de produits </w:t>
      </w:r>
      <w:r w:rsidR="00C825C0" w:rsidRPr="00886A28">
        <w:rPr>
          <w:rFonts w:asciiTheme="minorHAnsi" w:hAnsiTheme="minorHAnsi"/>
          <w:i/>
        </w:rPr>
        <w:t>Premium</w:t>
      </w:r>
      <w:r w:rsidR="00C825C0">
        <w:rPr>
          <w:rFonts w:asciiTheme="minorHAnsi" w:hAnsiTheme="minorHAnsi"/>
        </w:rPr>
        <w:t xml:space="preserve"> et </w:t>
      </w:r>
      <w:r>
        <w:rPr>
          <w:rFonts w:asciiTheme="minorHAnsi" w:hAnsiTheme="minorHAnsi"/>
        </w:rPr>
        <w:t>proposant des</w:t>
      </w:r>
      <w:r w:rsidRPr="005B42F0">
        <w:rPr>
          <w:rFonts w:asciiTheme="minorHAnsi" w:hAnsiTheme="minorHAnsi"/>
        </w:rPr>
        <w:t xml:space="preserve"> marges attractives tels que le Japon, les Etats-Unis,</w:t>
      </w:r>
      <w:r w:rsidR="00C825C0" w:rsidRPr="00C825C0">
        <w:rPr>
          <w:rFonts w:asciiTheme="minorHAnsi" w:hAnsiTheme="minorHAnsi"/>
        </w:rPr>
        <w:t xml:space="preserve"> l’Australie ou encore l’Europe</w:t>
      </w:r>
      <w:r w:rsidRPr="005B42F0">
        <w:rPr>
          <w:rFonts w:asciiTheme="minorHAnsi" w:hAnsiTheme="minorHAnsi"/>
        </w:rPr>
        <w:t>. Le Groupe a d’ailleurs conclu, début 2020, un accord avec un distributeur acteur majeur au Japon ;</w:t>
      </w:r>
    </w:p>
    <w:p w14:paraId="414E7B26" w14:textId="3A0167C7" w:rsidR="008F3458" w:rsidRPr="005B42F0" w:rsidRDefault="00C825C0" w:rsidP="005B42F0">
      <w:pPr>
        <w:pStyle w:val="Paragraphedeliste"/>
        <w:numPr>
          <w:ilvl w:val="0"/>
          <w:numId w:val="92"/>
        </w:numPr>
        <w:rPr>
          <w:rFonts w:asciiTheme="minorHAnsi" w:hAnsiTheme="minorHAnsi"/>
        </w:rPr>
      </w:pPr>
      <w:r>
        <w:rPr>
          <w:rFonts w:asciiTheme="minorHAnsi" w:hAnsiTheme="minorHAnsi"/>
        </w:rPr>
        <w:t>une s</w:t>
      </w:r>
      <w:r w:rsidR="008F3458" w:rsidRPr="005B42F0">
        <w:rPr>
          <w:rFonts w:asciiTheme="minorHAnsi" w:hAnsiTheme="minorHAnsi"/>
        </w:rPr>
        <w:t>tabilisation du risque politique et économique en rééquilibrant le ratio de ventes par territoire</w:t>
      </w:r>
      <w:r>
        <w:rPr>
          <w:rFonts w:asciiTheme="minorHAnsi" w:hAnsiTheme="minorHAnsi"/>
        </w:rPr>
        <w:t xml:space="preserve">. A cette fin, le Groupe souhaite renforcer, </w:t>
      </w:r>
      <w:r w:rsidR="008F3458" w:rsidRPr="005B42F0">
        <w:rPr>
          <w:rFonts w:asciiTheme="minorHAnsi" w:hAnsiTheme="minorHAnsi"/>
        </w:rPr>
        <w:t>à court terme, ses implantations sur certains marchés historiques, notamment situés en Asie et dans la zone Pacifique</w:t>
      </w:r>
      <w:r>
        <w:rPr>
          <w:rFonts w:asciiTheme="minorHAnsi" w:hAnsiTheme="minorHAnsi"/>
        </w:rPr>
        <w:t xml:space="preserve">. </w:t>
      </w:r>
      <w:r w:rsidR="008F3458" w:rsidRPr="005B42F0">
        <w:rPr>
          <w:rFonts w:asciiTheme="minorHAnsi" w:hAnsiTheme="minorHAnsi"/>
        </w:rPr>
        <w:t xml:space="preserve">Spineway commence </w:t>
      </w:r>
      <w:r>
        <w:rPr>
          <w:rFonts w:asciiTheme="minorHAnsi" w:hAnsiTheme="minorHAnsi"/>
        </w:rPr>
        <w:t xml:space="preserve">d’ailleurs </w:t>
      </w:r>
      <w:r w:rsidR="008F3458" w:rsidRPr="005B42F0">
        <w:rPr>
          <w:rFonts w:asciiTheme="minorHAnsi" w:hAnsiTheme="minorHAnsi"/>
        </w:rPr>
        <w:t>à intervenir dans des pays asiatiques avancés en terme d’offre de soins</w:t>
      </w:r>
      <w:r>
        <w:rPr>
          <w:rFonts w:asciiTheme="minorHAnsi" w:hAnsiTheme="minorHAnsi"/>
        </w:rPr>
        <w:t xml:space="preserve"> </w:t>
      </w:r>
      <w:r w:rsidR="008F3458" w:rsidRPr="005B42F0">
        <w:rPr>
          <w:rFonts w:asciiTheme="minorHAnsi" w:hAnsiTheme="minorHAnsi"/>
        </w:rPr>
        <w:t xml:space="preserve">comme la Thailande ou </w:t>
      </w:r>
      <w:r>
        <w:rPr>
          <w:rFonts w:asciiTheme="minorHAnsi" w:hAnsiTheme="minorHAnsi"/>
        </w:rPr>
        <w:t xml:space="preserve">encore </w:t>
      </w:r>
      <w:r w:rsidR="008F3458" w:rsidRPr="005B42F0">
        <w:rPr>
          <w:rFonts w:asciiTheme="minorHAnsi" w:hAnsiTheme="minorHAnsi"/>
        </w:rPr>
        <w:t>la Malaisie</w:t>
      </w:r>
      <w:r>
        <w:rPr>
          <w:rFonts w:asciiTheme="minorHAnsi" w:hAnsiTheme="minorHAnsi"/>
        </w:rPr>
        <w:t xml:space="preserve"> (</w:t>
      </w:r>
      <w:r w:rsidR="008F3458" w:rsidRPr="005B42F0">
        <w:rPr>
          <w:rFonts w:asciiTheme="minorHAnsi" w:hAnsiTheme="minorHAnsi"/>
        </w:rPr>
        <w:t>pays avec lequel le Groupe a signé en février 2021 un accord de distribution national</w:t>
      </w:r>
      <w:r>
        <w:rPr>
          <w:rFonts w:asciiTheme="minorHAnsi" w:hAnsiTheme="minorHAnsi"/>
        </w:rPr>
        <w:t>) ;</w:t>
      </w:r>
    </w:p>
    <w:p w14:paraId="1435EB3D" w14:textId="7D866106" w:rsidR="00C825C0" w:rsidRDefault="00C825C0" w:rsidP="005B42F0">
      <w:pPr>
        <w:pStyle w:val="Paragraphedeliste"/>
        <w:numPr>
          <w:ilvl w:val="0"/>
          <w:numId w:val="92"/>
        </w:numPr>
        <w:rPr>
          <w:rFonts w:asciiTheme="minorHAnsi" w:hAnsiTheme="minorHAnsi"/>
        </w:rPr>
      </w:pPr>
      <w:r>
        <w:rPr>
          <w:rFonts w:asciiTheme="minorHAnsi" w:hAnsiTheme="minorHAnsi"/>
        </w:rPr>
        <w:t xml:space="preserve">la réduction de </w:t>
      </w:r>
      <w:r w:rsidRPr="00D333E9">
        <w:rPr>
          <w:rFonts w:asciiTheme="minorHAnsi" w:hAnsiTheme="minorHAnsi"/>
        </w:rPr>
        <w:t>ses coûts de production</w:t>
      </w:r>
      <w:r w:rsidRPr="00C825C0">
        <w:rPr>
          <w:rFonts w:asciiTheme="minorHAnsi" w:hAnsiTheme="minorHAnsi"/>
        </w:rPr>
        <w:t xml:space="preserve"> </w:t>
      </w:r>
      <w:r>
        <w:rPr>
          <w:rFonts w:asciiTheme="minorHAnsi" w:hAnsiTheme="minorHAnsi"/>
        </w:rPr>
        <w:t>en adressant</w:t>
      </w:r>
      <w:r w:rsidR="008F3458" w:rsidRPr="005B42F0">
        <w:rPr>
          <w:rFonts w:asciiTheme="minorHAnsi" w:hAnsiTheme="minorHAnsi"/>
        </w:rPr>
        <w:t xml:space="preserve"> des marchés </w:t>
      </w:r>
      <w:r>
        <w:rPr>
          <w:rFonts w:asciiTheme="minorHAnsi" w:hAnsiTheme="minorHAnsi"/>
        </w:rPr>
        <w:t xml:space="preserve">qui offrent </w:t>
      </w:r>
      <w:r w:rsidR="008F3458" w:rsidRPr="005B42F0">
        <w:rPr>
          <w:rFonts w:asciiTheme="minorHAnsi" w:hAnsiTheme="minorHAnsi"/>
        </w:rPr>
        <w:t>d’imp</w:t>
      </w:r>
      <w:r w:rsidRPr="00C825C0">
        <w:rPr>
          <w:rFonts w:asciiTheme="minorHAnsi" w:hAnsiTheme="minorHAnsi"/>
        </w:rPr>
        <w:t>ortantes perspectives de volume</w:t>
      </w:r>
      <w:r>
        <w:rPr>
          <w:rFonts w:asciiTheme="minorHAnsi" w:hAnsiTheme="minorHAnsi"/>
        </w:rPr>
        <w:t> ;</w:t>
      </w:r>
    </w:p>
    <w:p w14:paraId="4E40E0FD" w14:textId="59BF9A38" w:rsidR="00F604A1" w:rsidRDefault="00C825C0" w:rsidP="005B42F0">
      <w:pPr>
        <w:pStyle w:val="Paragraphedeliste"/>
        <w:rPr>
          <w:rFonts w:ascii="Helvetica" w:eastAsia="Times New Roman" w:hAnsi="Helvetica"/>
          <w:color w:val="000000"/>
          <w:sz w:val="17"/>
          <w:szCs w:val="17"/>
        </w:rPr>
      </w:pPr>
      <w:r w:rsidRPr="005B42F0">
        <w:rPr>
          <w:rFonts w:asciiTheme="minorHAnsi" w:hAnsiTheme="minorHAnsi"/>
        </w:rPr>
        <w:t xml:space="preserve">Présente </w:t>
      </w:r>
      <w:r w:rsidR="008F3458" w:rsidRPr="005B42F0">
        <w:rPr>
          <w:rFonts w:asciiTheme="minorHAnsi" w:hAnsiTheme="minorHAnsi"/>
        </w:rPr>
        <w:t xml:space="preserve">en Chine depuis 2011, Spineway a vu ses ventes baisser depuis 2015, </w:t>
      </w:r>
      <w:r w:rsidRPr="005B42F0">
        <w:rPr>
          <w:rFonts w:asciiTheme="minorHAnsi" w:hAnsiTheme="minorHAnsi"/>
        </w:rPr>
        <w:t>en raison</w:t>
      </w:r>
      <w:r w:rsidR="008F3458" w:rsidRPr="005B42F0">
        <w:rPr>
          <w:rFonts w:asciiTheme="minorHAnsi" w:hAnsiTheme="minorHAnsi"/>
        </w:rPr>
        <w:t xml:space="preserve"> des barrières à l’entrée du marché qui n’ont cessé</w:t>
      </w:r>
      <w:r w:rsidRPr="005B42F0">
        <w:rPr>
          <w:rFonts w:asciiTheme="minorHAnsi" w:hAnsiTheme="minorHAnsi"/>
        </w:rPr>
        <w:t xml:space="preserve">es de se renforcer. Spineway </w:t>
      </w:r>
      <w:r w:rsidR="008F3458" w:rsidRPr="005B42F0">
        <w:rPr>
          <w:rFonts w:asciiTheme="minorHAnsi" w:hAnsiTheme="minorHAnsi"/>
        </w:rPr>
        <w:t>dispose</w:t>
      </w:r>
      <w:r w:rsidRPr="005B42F0">
        <w:rPr>
          <w:rFonts w:asciiTheme="minorHAnsi" w:hAnsiTheme="minorHAnsi"/>
        </w:rPr>
        <w:t>, en Chine,</w:t>
      </w:r>
      <w:r w:rsidR="008F3458" w:rsidRPr="005B42F0">
        <w:rPr>
          <w:rFonts w:asciiTheme="minorHAnsi" w:hAnsiTheme="minorHAnsi"/>
        </w:rPr>
        <w:t xml:space="preserve"> d’homologations pour ses produits, </w:t>
      </w:r>
      <w:r w:rsidRPr="005B42F0">
        <w:rPr>
          <w:rFonts w:asciiTheme="minorHAnsi" w:hAnsiTheme="minorHAnsi"/>
        </w:rPr>
        <w:t xml:space="preserve">et </w:t>
      </w:r>
      <w:r w:rsidR="008F3458" w:rsidRPr="005B42F0">
        <w:rPr>
          <w:rFonts w:asciiTheme="minorHAnsi" w:hAnsiTheme="minorHAnsi"/>
        </w:rPr>
        <w:t xml:space="preserve">peut s’appuyer sur d’historiques relations d’affaires </w:t>
      </w:r>
      <w:r w:rsidRPr="005B42F0">
        <w:rPr>
          <w:rFonts w:asciiTheme="minorHAnsi" w:hAnsiTheme="minorHAnsi"/>
        </w:rPr>
        <w:t>(Tinavi, partenaire commercial chinois , actionnaire et administrateur de Spineway) </w:t>
      </w:r>
      <w:r w:rsidR="008F3458" w:rsidRPr="005B42F0">
        <w:rPr>
          <w:rFonts w:asciiTheme="minorHAnsi" w:hAnsiTheme="minorHAnsi"/>
        </w:rPr>
        <w:t xml:space="preserve">pour retrouver </w:t>
      </w:r>
      <w:r w:rsidRPr="005B42F0">
        <w:rPr>
          <w:rFonts w:asciiTheme="minorHAnsi" w:hAnsiTheme="minorHAnsi"/>
        </w:rPr>
        <w:t>un niveau de ventes profitable</w:t>
      </w:r>
    </w:p>
    <w:p w14:paraId="36A03ACB" w14:textId="77777777" w:rsidR="00292B6C" w:rsidRPr="00877039" w:rsidRDefault="00292B6C" w:rsidP="008140D0">
      <w:pPr>
        <w:rPr>
          <w:szCs w:val="20"/>
        </w:rPr>
      </w:pPr>
    </w:p>
    <w:p w14:paraId="076B56B9" w14:textId="44CC1FC7" w:rsidR="00516762" w:rsidRPr="00877039" w:rsidRDefault="002B2CBC" w:rsidP="008140D0">
      <w:r w:rsidRPr="00877039">
        <w:t xml:space="preserve">Cette nouvelle </w:t>
      </w:r>
      <w:r w:rsidR="00516762" w:rsidRPr="00877039">
        <w:t>politique commerciale confirme la stratégie de Spineway reposant sur :</w:t>
      </w:r>
    </w:p>
    <w:p w14:paraId="3A00AD87" w14:textId="17C9E79C" w:rsidR="000D20A8" w:rsidRPr="00877039" w:rsidRDefault="00F71128" w:rsidP="000F6707">
      <w:pPr>
        <w:pStyle w:val="Paragraphedeliste"/>
        <w:numPr>
          <w:ilvl w:val="0"/>
          <w:numId w:val="67"/>
        </w:numPr>
      </w:pPr>
      <w:r>
        <w:t>u</w:t>
      </w:r>
      <w:r w:rsidR="54FDD3F0" w:rsidRPr="00877039">
        <w:t>ne</w:t>
      </w:r>
      <w:r w:rsidR="009B14F5">
        <w:t xml:space="preserve"> </w:t>
      </w:r>
      <w:r w:rsidR="54FDD3F0" w:rsidRPr="00877039">
        <w:t>recherche de diversification des canaux de distribution notamment par le biais de nouveaux partenariats en adéquation avec les logiques et réalités pays.</w:t>
      </w:r>
      <w:r w:rsidR="009B14F5">
        <w:t xml:space="preserve"> </w:t>
      </w:r>
      <w:r w:rsidR="54FDD3F0" w:rsidRPr="00877039">
        <w:t xml:space="preserve">La présence mondiale du </w:t>
      </w:r>
      <w:r w:rsidR="003C0FC4" w:rsidRPr="00877039">
        <w:t>Gr</w:t>
      </w:r>
      <w:r w:rsidR="54FDD3F0" w:rsidRPr="00877039">
        <w:t>oupe sera complétée et optimisée via des opérations de rapprochement génératrices de complémentarité territoriale pertinente</w:t>
      </w:r>
      <w:r>
        <w:t>,</w:t>
      </w:r>
    </w:p>
    <w:p w14:paraId="6BF3BE44" w14:textId="268C42B1" w:rsidR="000D20A8" w:rsidRDefault="000D20A8" w:rsidP="00C622C2">
      <w:pPr>
        <w:pStyle w:val="Paragraphedeliste"/>
        <w:numPr>
          <w:ilvl w:val="0"/>
          <w:numId w:val="67"/>
        </w:numPr>
      </w:pPr>
      <w:r>
        <w:t xml:space="preserve">une fidélisation des clients </w:t>
      </w:r>
      <w:r w:rsidR="00992B76" w:rsidRPr="00055312">
        <w:rPr>
          <w:i/>
          <w:iCs/>
          <w:color w:val="000000"/>
          <w:szCs w:val="18"/>
        </w:rPr>
        <w:t>Premium</w:t>
      </w:r>
      <w:r>
        <w:t>,</w:t>
      </w:r>
    </w:p>
    <w:p w14:paraId="2EB643CF" w14:textId="77777777" w:rsidR="000D20A8" w:rsidRDefault="000D20A8" w:rsidP="00C622C2">
      <w:pPr>
        <w:pStyle w:val="Paragraphedeliste"/>
        <w:numPr>
          <w:ilvl w:val="0"/>
          <w:numId w:val="67"/>
        </w:numPr>
      </w:pPr>
      <w:r>
        <w:t xml:space="preserve">une amélioration la qualité du service clients : </w:t>
      </w:r>
    </w:p>
    <w:p w14:paraId="13B2FBEF" w14:textId="77777777" w:rsidR="008F3458" w:rsidRDefault="008F3458" w:rsidP="005B42F0">
      <w:pPr>
        <w:pStyle w:val="Paragraphedeliste"/>
      </w:pPr>
      <w:r>
        <w:t xml:space="preserve">. améliorer la formation des clients, </w:t>
      </w:r>
    </w:p>
    <w:p w14:paraId="170EF7EB" w14:textId="77777777" w:rsidR="008F3458" w:rsidRPr="000D20A8" w:rsidRDefault="008F3458" w:rsidP="008F3458">
      <w:pPr>
        <w:pStyle w:val="Paragraphedeliste"/>
        <w:ind w:left="0" w:firstLine="709"/>
      </w:pPr>
      <w:r>
        <w:t>. acquérir des références cliniques et scientifiques,</w:t>
      </w:r>
    </w:p>
    <w:p w14:paraId="32E13AE3" w14:textId="5D7A3FC5" w:rsidR="000D20A8" w:rsidRDefault="000D20A8" w:rsidP="008140D0">
      <w:pPr>
        <w:pStyle w:val="Paragraphedeliste"/>
        <w:ind w:left="0" w:firstLine="709"/>
      </w:pPr>
      <w:r>
        <w:t xml:space="preserve">. favoriser les </w:t>
      </w:r>
      <w:r w:rsidR="008F3458">
        <w:t xml:space="preserve">délais de livraison </w:t>
      </w:r>
      <w:r>
        <w:t xml:space="preserve">courts et sans rupture, </w:t>
      </w:r>
    </w:p>
    <w:p w14:paraId="71D28576" w14:textId="35ED469A" w:rsidR="000D20A8" w:rsidRDefault="000D20A8" w:rsidP="008140D0">
      <w:pPr>
        <w:ind w:firstLine="709"/>
      </w:pPr>
      <w:r>
        <w:t xml:space="preserve">. </w:t>
      </w:r>
      <w:r w:rsidR="004221D0">
        <w:t>favoriser la</w:t>
      </w:r>
      <w:r>
        <w:t xml:space="preserve"> proximité terrain et clients</w:t>
      </w:r>
      <w:r w:rsidR="008F3458">
        <w:t>.</w:t>
      </w:r>
    </w:p>
    <w:p w14:paraId="6334A812" w14:textId="6DE74CCD" w:rsidR="008A4D90" w:rsidRDefault="008F3458" w:rsidP="00C622C2">
      <w:pPr>
        <w:pStyle w:val="Paragraphedeliste"/>
        <w:numPr>
          <w:ilvl w:val="0"/>
          <w:numId w:val="68"/>
        </w:numPr>
      </w:pPr>
      <w:r w:rsidDel="008F3458">
        <w:t xml:space="preserve"> </w:t>
      </w:r>
      <w:r w:rsidR="00D825EF">
        <w:t>u</w:t>
      </w:r>
      <w:r w:rsidR="008A4D90">
        <w:t>ne augmentation du volume des ventes par une présence accrue :</w:t>
      </w:r>
    </w:p>
    <w:p w14:paraId="1DF9988D" w14:textId="096AC702" w:rsidR="008A4D90" w:rsidRDefault="008A4D90" w:rsidP="008140D0">
      <w:pPr>
        <w:pStyle w:val="Paragraphedeliste"/>
        <w:ind w:left="0" w:firstLine="709"/>
      </w:pPr>
      <w:r>
        <w:t>. actions commerciales</w:t>
      </w:r>
      <w:r w:rsidR="004221D0">
        <w:t>,</w:t>
      </w:r>
    </w:p>
    <w:p w14:paraId="4028064E" w14:textId="74D65CE9" w:rsidR="008A4D90" w:rsidRDefault="008A4D90" w:rsidP="008140D0">
      <w:pPr>
        <w:pStyle w:val="Paragraphedeliste"/>
        <w:ind w:left="0" w:firstLine="709"/>
      </w:pPr>
      <w:r>
        <w:t>. outils marketing</w:t>
      </w:r>
      <w:r w:rsidR="004221D0">
        <w:t>,</w:t>
      </w:r>
    </w:p>
    <w:p w14:paraId="6EFFFCC3" w14:textId="141A52FD" w:rsidR="008F3458" w:rsidRPr="005B42F0" w:rsidRDefault="000D20A8" w:rsidP="005B42F0">
      <w:pPr>
        <w:pStyle w:val="Paragraphedeliste"/>
        <w:numPr>
          <w:ilvl w:val="0"/>
          <w:numId w:val="68"/>
        </w:numPr>
      </w:pPr>
      <w:r w:rsidRPr="008F3458">
        <w:t>une politique commerciale</w:t>
      </w:r>
      <w:r w:rsidR="008F3458">
        <w:t xml:space="preserve"> </w:t>
      </w:r>
      <w:r w:rsidR="008F3458" w:rsidRPr="005B42F0">
        <w:t xml:space="preserve">plus efficiente </w:t>
      </w:r>
      <w:r w:rsidR="008F3458">
        <w:t xml:space="preserve">mise en place </w:t>
      </w:r>
      <w:r w:rsidR="008F3458" w:rsidRPr="005B42F0">
        <w:t>aupr</w:t>
      </w:r>
      <w:r w:rsidR="008F3458" w:rsidRPr="005B42F0">
        <w:rPr>
          <w:rFonts w:hint="eastAsia"/>
        </w:rPr>
        <w:t>è</w:t>
      </w:r>
      <w:r w:rsidR="008F3458" w:rsidRPr="005B42F0">
        <w:t>s de ses partenaires commerciaux (tr</w:t>
      </w:r>
      <w:r w:rsidR="008F3458" w:rsidRPr="005B42F0">
        <w:rPr>
          <w:rFonts w:hint="eastAsia"/>
        </w:rPr>
        <w:t>è</w:t>
      </w:r>
      <w:r w:rsidR="008F3458" w:rsidRPr="005B42F0">
        <w:t>s majoritairement importateurs</w:t>
      </w:r>
      <w:r w:rsidR="008F3458">
        <w:t xml:space="preserve"> </w:t>
      </w:r>
      <w:r w:rsidR="008F3458" w:rsidRPr="005B42F0">
        <w:t>/</w:t>
      </w:r>
      <w:r w:rsidR="008F3458">
        <w:t xml:space="preserve"> </w:t>
      </w:r>
      <w:r w:rsidR="008F3458" w:rsidRPr="005B42F0">
        <w:t>distributeurs au plan international).</w:t>
      </w:r>
    </w:p>
    <w:p w14:paraId="03C9681E" w14:textId="77777777" w:rsidR="00D825EF" w:rsidRDefault="00D825EF" w:rsidP="008140D0"/>
    <w:p w14:paraId="3C301E5A" w14:textId="77777777" w:rsidR="00516762" w:rsidRPr="00516762" w:rsidRDefault="00516762" w:rsidP="008140D0">
      <w:pPr>
        <w:rPr>
          <w:szCs w:val="20"/>
        </w:rPr>
      </w:pPr>
    </w:p>
    <w:p w14:paraId="1D092622" w14:textId="6061461B" w:rsidR="00516762" w:rsidRPr="00516762" w:rsidRDefault="00516762" w:rsidP="00C622C2">
      <w:pPr>
        <w:pStyle w:val="Paragraphedeliste"/>
        <w:numPr>
          <w:ilvl w:val="0"/>
          <w:numId w:val="50"/>
        </w:numPr>
        <w:ind w:left="0" w:firstLine="0"/>
        <w:rPr>
          <w:b/>
        </w:rPr>
      </w:pPr>
      <w:r w:rsidRPr="00516762">
        <w:rPr>
          <w:b/>
        </w:rPr>
        <w:t xml:space="preserve">Une optimisation de </w:t>
      </w:r>
      <w:r w:rsidR="00D825EF">
        <w:rPr>
          <w:b/>
        </w:rPr>
        <w:t>l’</w:t>
      </w:r>
      <w:r w:rsidRPr="00516762">
        <w:rPr>
          <w:b/>
        </w:rPr>
        <w:t xml:space="preserve">organisation </w:t>
      </w:r>
      <w:r w:rsidR="00D825EF">
        <w:rPr>
          <w:b/>
        </w:rPr>
        <w:t>du Groupe</w:t>
      </w:r>
    </w:p>
    <w:p w14:paraId="0308AC1D" w14:textId="77777777" w:rsidR="00516762" w:rsidRPr="00516762" w:rsidRDefault="00516762" w:rsidP="008140D0">
      <w:pPr>
        <w:rPr>
          <w:szCs w:val="20"/>
        </w:rPr>
      </w:pPr>
    </w:p>
    <w:p w14:paraId="697DEF1B" w14:textId="20485F65" w:rsidR="00516762" w:rsidRPr="00516762" w:rsidRDefault="00516762" w:rsidP="008140D0">
      <w:pPr>
        <w:rPr>
          <w:szCs w:val="20"/>
        </w:rPr>
      </w:pPr>
      <w:r w:rsidRPr="00516762">
        <w:rPr>
          <w:szCs w:val="20"/>
        </w:rPr>
        <w:t xml:space="preserve">Le Groupe a </w:t>
      </w:r>
      <w:r w:rsidR="001D2A07">
        <w:rPr>
          <w:szCs w:val="20"/>
        </w:rPr>
        <w:t xml:space="preserve">pour </w:t>
      </w:r>
      <w:r w:rsidRPr="00516762">
        <w:rPr>
          <w:szCs w:val="20"/>
        </w:rPr>
        <w:t xml:space="preserve">objectif de mener à bien des projets structurants afin de mettre en </w:t>
      </w:r>
      <w:r w:rsidR="00FB72AA">
        <w:rPr>
          <w:szCs w:val="20"/>
        </w:rPr>
        <w:t>œuvre</w:t>
      </w:r>
      <w:r w:rsidRPr="00516762">
        <w:rPr>
          <w:szCs w:val="20"/>
        </w:rPr>
        <w:t xml:space="preserve"> cette stratégie au plus vite et de s’assurer d’avoir les moyens adaptés de manière à :</w:t>
      </w:r>
    </w:p>
    <w:p w14:paraId="1F4AD007" w14:textId="46F64F02" w:rsidR="00516762" w:rsidRPr="008140D0" w:rsidRDefault="00516762" w:rsidP="00C622C2">
      <w:pPr>
        <w:pStyle w:val="Paragraphedeliste"/>
        <w:numPr>
          <w:ilvl w:val="0"/>
          <w:numId w:val="68"/>
        </w:numPr>
        <w:rPr>
          <w:szCs w:val="20"/>
        </w:rPr>
      </w:pPr>
      <w:r w:rsidRPr="008140D0">
        <w:rPr>
          <w:szCs w:val="20"/>
        </w:rPr>
        <w:lastRenderedPageBreak/>
        <w:t>garantir les moyens financiers nécessaires à la croissance organique,</w:t>
      </w:r>
    </w:p>
    <w:p w14:paraId="141B61A1" w14:textId="5503C864" w:rsidR="00516762" w:rsidRPr="008140D0" w:rsidRDefault="00516762" w:rsidP="00C622C2">
      <w:pPr>
        <w:pStyle w:val="Paragraphedeliste"/>
        <w:numPr>
          <w:ilvl w:val="0"/>
          <w:numId w:val="68"/>
        </w:numPr>
        <w:rPr>
          <w:szCs w:val="20"/>
        </w:rPr>
      </w:pPr>
      <w:r w:rsidRPr="008140D0">
        <w:rPr>
          <w:szCs w:val="20"/>
        </w:rPr>
        <w:t>chercher des leviers de croissance externe</w:t>
      </w:r>
      <w:r w:rsidR="001D2A07" w:rsidRPr="008140D0">
        <w:rPr>
          <w:szCs w:val="20"/>
        </w:rPr>
        <w:t xml:space="preserve"> et les financements associés</w:t>
      </w:r>
      <w:r w:rsidRPr="008140D0">
        <w:rPr>
          <w:szCs w:val="20"/>
        </w:rPr>
        <w:t>,</w:t>
      </w:r>
    </w:p>
    <w:p w14:paraId="5888103D" w14:textId="67D5720B" w:rsidR="001D2A07" w:rsidRPr="00DC6E98" w:rsidRDefault="00516762" w:rsidP="00DC6E98">
      <w:pPr>
        <w:pStyle w:val="Paragraphedeliste"/>
        <w:numPr>
          <w:ilvl w:val="0"/>
          <w:numId w:val="68"/>
        </w:numPr>
        <w:rPr>
          <w:szCs w:val="20"/>
        </w:rPr>
      </w:pPr>
      <w:r w:rsidRPr="008140D0">
        <w:rPr>
          <w:szCs w:val="20"/>
        </w:rPr>
        <w:t>adapter l’or</w:t>
      </w:r>
      <w:r w:rsidR="0052434A" w:rsidRPr="008140D0">
        <w:rPr>
          <w:szCs w:val="20"/>
        </w:rPr>
        <w:t>ga</w:t>
      </w:r>
      <w:r w:rsidRPr="008140D0">
        <w:rPr>
          <w:szCs w:val="20"/>
        </w:rPr>
        <w:t>nisation humaine et accompagn</w:t>
      </w:r>
      <w:r w:rsidR="00DC6E98">
        <w:rPr>
          <w:szCs w:val="20"/>
        </w:rPr>
        <w:t xml:space="preserve">er les évolutions individuelle, </w:t>
      </w:r>
      <w:r w:rsidR="001D2A07" w:rsidRPr="00DC6E98">
        <w:rPr>
          <w:szCs w:val="20"/>
        </w:rPr>
        <w:t>assurer les obligations réglementaires et les process qualité, notamment dans un contexte d’</w:t>
      </w:r>
      <w:r w:rsidR="003B137B" w:rsidRPr="00DC6E98">
        <w:rPr>
          <w:szCs w:val="20"/>
        </w:rPr>
        <w:t>entrée</w:t>
      </w:r>
      <w:r w:rsidR="001D2A07" w:rsidRPr="00DC6E98">
        <w:rPr>
          <w:szCs w:val="20"/>
        </w:rPr>
        <w:t xml:space="preserve"> en vigueur </w:t>
      </w:r>
      <w:r w:rsidR="008F3458">
        <w:rPr>
          <w:szCs w:val="20"/>
        </w:rPr>
        <w:t>de la</w:t>
      </w:r>
      <w:r w:rsidR="008F3458" w:rsidRPr="00DC6E98">
        <w:rPr>
          <w:szCs w:val="20"/>
        </w:rPr>
        <w:t xml:space="preserve"> </w:t>
      </w:r>
      <w:r w:rsidR="001D2A07" w:rsidRPr="00DC6E98">
        <w:rPr>
          <w:szCs w:val="20"/>
        </w:rPr>
        <w:t>nouvelle réglementation européenne </w:t>
      </w:r>
      <w:r w:rsidR="008F3458">
        <w:rPr>
          <w:szCs w:val="20"/>
        </w:rPr>
        <w:t>RMD.</w:t>
      </w:r>
    </w:p>
    <w:p w14:paraId="242D62E6" w14:textId="5832D49F" w:rsidR="001D2A07" w:rsidRDefault="001D2A07" w:rsidP="008140D0">
      <w:pPr>
        <w:ind w:firstLine="709"/>
        <w:rPr>
          <w:szCs w:val="20"/>
        </w:rPr>
      </w:pPr>
      <w:r>
        <w:rPr>
          <w:szCs w:val="20"/>
        </w:rPr>
        <w:t>. mise à jour des normes et process</w:t>
      </w:r>
      <w:r w:rsidR="00510EFE">
        <w:rPr>
          <w:szCs w:val="20"/>
        </w:rPr>
        <w:t>,</w:t>
      </w:r>
    </w:p>
    <w:p w14:paraId="6256E19F" w14:textId="3666F7B8" w:rsidR="001D2A07" w:rsidRPr="008140D0" w:rsidRDefault="001D2A07" w:rsidP="008140D0">
      <w:pPr>
        <w:ind w:firstLine="709"/>
        <w:rPr>
          <w:szCs w:val="20"/>
        </w:rPr>
      </w:pPr>
      <w:r w:rsidRPr="008140D0">
        <w:rPr>
          <w:szCs w:val="20"/>
        </w:rPr>
        <w:t>. mise à jour documentaire et technique</w:t>
      </w:r>
      <w:r w:rsidR="00C03606">
        <w:rPr>
          <w:szCs w:val="20"/>
        </w:rPr>
        <w:t>,</w:t>
      </w:r>
    </w:p>
    <w:p w14:paraId="24C305BF" w14:textId="77777777" w:rsidR="00516762" w:rsidRPr="00516762" w:rsidRDefault="00516762" w:rsidP="00516762">
      <w:pPr>
        <w:ind w:left="567"/>
        <w:rPr>
          <w:szCs w:val="20"/>
        </w:rPr>
      </w:pPr>
    </w:p>
    <w:p w14:paraId="1AE69055" w14:textId="663D0902" w:rsidR="00516762" w:rsidRPr="001D2A07" w:rsidRDefault="54FDD3F0" w:rsidP="008140D0">
      <w:r w:rsidRPr="008140D0">
        <w:t xml:space="preserve">La crise sanitaire complexifie la </w:t>
      </w:r>
      <w:r w:rsidR="008140D0">
        <w:t>mise en œuvre</w:t>
      </w:r>
      <w:r w:rsidRPr="008140D0">
        <w:t xml:space="preserve"> de certains ax</w:t>
      </w:r>
      <w:r w:rsidRPr="54FDD3F0">
        <w:t>e</w:t>
      </w:r>
      <w:r w:rsidRPr="008140D0">
        <w:t xml:space="preserve">s stratégiques mais </w:t>
      </w:r>
      <w:r w:rsidR="00C03606">
        <w:t xml:space="preserve">accélère </w:t>
      </w:r>
      <w:r w:rsidRPr="54FDD3F0">
        <w:t xml:space="preserve">la transformation de </w:t>
      </w:r>
      <w:r w:rsidRPr="008140D0">
        <w:t xml:space="preserve">la </w:t>
      </w:r>
      <w:r w:rsidR="008140D0">
        <w:t>S</w:t>
      </w:r>
      <w:r w:rsidRPr="008140D0">
        <w:t xml:space="preserve">ociété </w:t>
      </w:r>
      <w:r w:rsidRPr="54FDD3F0">
        <w:t xml:space="preserve">et </w:t>
      </w:r>
      <w:r w:rsidR="008140D0">
        <w:t>renforc</w:t>
      </w:r>
      <w:r w:rsidR="00C03606">
        <w:t>e</w:t>
      </w:r>
      <w:r w:rsidRPr="54FDD3F0">
        <w:t xml:space="preserve"> son</w:t>
      </w:r>
      <w:r w:rsidRPr="008140D0">
        <w:t xml:space="preserve"> agilité,</w:t>
      </w:r>
      <w:r w:rsidRPr="54FDD3F0">
        <w:t xml:space="preserve"> le déploiement</w:t>
      </w:r>
      <w:r w:rsidRPr="008140D0">
        <w:t xml:space="preserve"> de nouvelles méthodes d’organisation et relations avec </w:t>
      </w:r>
      <w:r w:rsidRPr="54FDD3F0">
        <w:t>l</w:t>
      </w:r>
      <w:r w:rsidRPr="008140D0">
        <w:t xml:space="preserve">es chirurgiens référents et clients notamment via la mise en place d’outils numériques (formations produits à distance, web conférence, digitalisation de </w:t>
      </w:r>
      <w:r w:rsidRPr="54FDD3F0">
        <w:t>catalogues…</w:t>
      </w:r>
      <w:r w:rsidRPr="008140D0">
        <w:t xml:space="preserve">). </w:t>
      </w:r>
    </w:p>
    <w:p w14:paraId="10C6381D" w14:textId="0D92A784" w:rsidR="54FDD3F0" w:rsidRDefault="54FDD3F0" w:rsidP="008140D0"/>
    <w:p w14:paraId="4DB3F604" w14:textId="0AC38C84" w:rsidR="00104566" w:rsidRPr="00DC6E98" w:rsidRDefault="54FDD3F0" w:rsidP="008140D0">
      <w:pPr>
        <w:rPr>
          <w:szCs w:val="20"/>
        </w:rPr>
      </w:pPr>
      <w:r w:rsidRPr="54FDD3F0">
        <w:t>La pandémie a également accéléré la pris</w:t>
      </w:r>
      <w:r w:rsidR="00EC12A0">
        <w:t>e</w:t>
      </w:r>
      <w:r w:rsidRPr="54FDD3F0">
        <w:t xml:space="preserve"> en compte d’enjeux sociétaux et écologiques en ayant recours au </w:t>
      </w:r>
      <w:r w:rsidR="00EC12A0" w:rsidRPr="54FDD3F0">
        <w:t>télétravail</w:t>
      </w:r>
      <w:r w:rsidRPr="54FDD3F0">
        <w:t xml:space="preserve"> alors que ce dispositif n’existait pas jusqu’à présent au sein de la </w:t>
      </w:r>
      <w:r w:rsidR="00F84270">
        <w:t>S</w:t>
      </w:r>
      <w:r w:rsidRPr="54FDD3F0">
        <w:t xml:space="preserve">ociété. Des besoins accrus en système d’information et connexions ont </w:t>
      </w:r>
      <w:r w:rsidR="00EC12A0" w:rsidRPr="54FDD3F0">
        <w:t xml:space="preserve">également </w:t>
      </w:r>
      <w:r w:rsidRPr="54FDD3F0">
        <w:t xml:space="preserve">permis de lancer un chantier de sécurisation et optimisation </w:t>
      </w:r>
      <w:r w:rsidRPr="00DC6E98">
        <w:t>informatique.</w:t>
      </w:r>
    </w:p>
    <w:p w14:paraId="0BF1D14C" w14:textId="59054535" w:rsidR="00104566" w:rsidRPr="00DC6E98" w:rsidRDefault="00104566" w:rsidP="00516762">
      <w:pPr>
        <w:rPr>
          <w:b/>
          <w:i/>
          <w:color w:val="FF0000"/>
          <w:szCs w:val="20"/>
        </w:rPr>
      </w:pPr>
    </w:p>
    <w:p w14:paraId="51809BA3" w14:textId="77777777" w:rsidR="00516762" w:rsidRPr="00DC6E98" w:rsidRDefault="00516762" w:rsidP="00B627DF">
      <w:pPr>
        <w:rPr>
          <w:szCs w:val="20"/>
        </w:rPr>
      </w:pPr>
    </w:p>
    <w:p w14:paraId="206F1B31" w14:textId="6A77F424" w:rsidR="00D1755C" w:rsidRPr="00DC6E98" w:rsidRDefault="00D1755C" w:rsidP="00D1755C">
      <w:pPr>
        <w:pStyle w:val="Titre2"/>
      </w:pPr>
      <w:bookmarkStart w:id="136" w:name="_Toc475033192"/>
      <w:r w:rsidRPr="00DC6E98">
        <w:t xml:space="preserve">5.5. Dépendance de </w:t>
      </w:r>
      <w:r w:rsidR="00F80590" w:rsidRPr="00DC6E98">
        <w:t>Spineway</w:t>
      </w:r>
      <w:r w:rsidRPr="00DC6E98">
        <w:t xml:space="preserve"> à l’égard de</w:t>
      </w:r>
      <w:r w:rsidR="00676C25" w:rsidRPr="00DC6E98">
        <w:t>s droits de propriété intellectuelle</w:t>
      </w:r>
      <w:r w:rsidRPr="00DC6E98">
        <w:t xml:space="preserve">, </w:t>
      </w:r>
      <w:r w:rsidR="00676C25" w:rsidRPr="00DC6E98">
        <w:t xml:space="preserve">de </w:t>
      </w:r>
      <w:r w:rsidR="00F80590" w:rsidRPr="00DC6E98">
        <w:t>contrats commerciaux ou financiers ou de nouveaux procédés de fabrication</w:t>
      </w:r>
      <w:bookmarkEnd w:id="136"/>
      <w:r w:rsidRPr="00DC6E98">
        <w:t xml:space="preserve"> </w:t>
      </w:r>
    </w:p>
    <w:p w14:paraId="5B427AD5" w14:textId="77777777" w:rsidR="00D1755C" w:rsidRPr="00DC6E98" w:rsidRDefault="00D1755C" w:rsidP="00B627DF">
      <w:pPr>
        <w:rPr>
          <w:szCs w:val="20"/>
        </w:rPr>
      </w:pPr>
    </w:p>
    <w:p w14:paraId="3D595687" w14:textId="207F6B52" w:rsidR="00676C25" w:rsidRPr="00676C25" w:rsidRDefault="00676C25" w:rsidP="00676C25">
      <w:pPr>
        <w:pStyle w:val="Titre3"/>
      </w:pPr>
      <w:bookmarkStart w:id="137" w:name="_Ref474572021"/>
      <w:bookmarkStart w:id="138" w:name="_Toc475033193"/>
      <w:r w:rsidRPr="00DC6E98">
        <w:t>5.5.1. Dépendance de Spineway à l’égard de droits de propriété intellectuelle</w:t>
      </w:r>
      <w:bookmarkEnd w:id="137"/>
      <w:bookmarkEnd w:id="138"/>
    </w:p>
    <w:p w14:paraId="27594300" w14:textId="77777777" w:rsidR="00676C25" w:rsidRDefault="00676C25" w:rsidP="00120CBA">
      <w:pPr>
        <w:rPr>
          <w:color w:val="FF0000"/>
        </w:rPr>
      </w:pPr>
    </w:p>
    <w:p w14:paraId="4E44F06B" w14:textId="77777777" w:rsidR="00676C25" w:rsidRDefault="00676C25" w:rsidP="00676C25">
      <w:r w:rsidRPr="00852617">
        <w:t xml:space="preserve">Le succès </w:t>
      </w:r>
      <w:r>
        <w:t>du Groupe</w:t>
      </w:r>
      <w:r w:rsidRPr="00852617">
        <w:t xml:space="preserve"> dépend </w:t>
      </w:r>
      <w:r>
        <w:t xml:space="preserve">en partie </w:t>
      </w:r>
      <w:r w:rsidRPr="00852617">
        <w:t xml:space="preserve">de sa capacité à </w:t>
      </w:r>
      <w:r>
        <w:t xml:space="preserve">innover mais également à </w:t>
      </w:r>
      <w:r w:rsidRPr="00852617">
        <w:t xml:space="preserve">protéger ses propres procédés et produits contre les utilisations illicites qui pourraient en être faites par des tiers. </w:t>
      </w:r>
    </w:p>
    <w:p w14:paraId="45C8219F" w14:textId="77777777" w:rsidR="00676C25" w:rsidRDefault="00676C25" w:rsidP="00676C25">
      <w:r>
        <w:t>Or, pour protéger ses droits, S</w:t>
      </w:r>
      <w:r w:rsidRPr="00852617">
        <w:t>pineway s’app</w:t>
      </w:r>
      <w:r>
        <w:t xml:space="preserve">uie </w:t>
      </w:r>
      <w:r w:rsidRPr="00852617">
        <w:t>sur la protection offerte par les brevets</w:t>
      </w:r>
      <w:r>
        <w:t xml:space="preserve">, </w:t>
      </w:r>
      <w:r w:rsidRPr="00852617">
        <w:t xml:space="preserve">les marques, les secrets commerciaux, le savoir-faire, les accords de confidentialité et </w:t>
      </w:r>
      <w:r>
        <w:t>d’</w:t>
      </w:r>
      <w:r w:rsidRPr="00852617">
        <w:t xml:space="preserve">autres restrictions contractuelles. </w:t>
      </w:r>
    </w:p>
    <w:p w14:paraId="29BEA80E" w14:textId="77777777" w:rsidR="00676C25" w:rsidRPr="001076D1" w:rsidRDefault="00676C25" w:rsidP="00676C25"/>
    <w:p w14:paraId="1241EC04" w14:textId="77777777" w:rsidR="00676C25" w:rsidRPr="001076D1" w:rsidRDefault="00676C25" w:rsidP="00676C25">
      <w:r w:rsidRPr="001076D1">
        <w:t>S’agissant de la titularité des droits et par là-même des découvertes qui pourraient être faites par des salariés, la législation française prévoit que toute découverte appartient à l’employeur. Les contrats de travail signés par Spineway avec ses collaborateurs prévoient le versement aux salariés concernés d’une prime d’inventivité.</w:t>
      </w:r>
    </w:p>
    <w:p w14:paraId="44D7EB7C" w14:textId="0D6A3023" w:rsidR="001076D1" w:rsidRPr="001076D1" w:rsidRDefault="001076D1" w:rsidP="001076D1">
      <w:pPr>
        <w:rPr>
          <w:szCs w:val="20"/>
        </w:rPr>
      </w:pPr>
      <w:r w:rsidRPr="001076D1">
        <w:rPr>
          <w:szCs w:val="20"/>
        </w:rPr>
        <w:t>En cas de dépôt, par Spineway, de brevets co-développés avec des chirurgiens (dans le cadre de coopérations scientifiques et/ou technologiques), un contrat est signé et prévoit le versement de royalties calculés en fonction d’un chiffre d’affaires. </w:t>
      </w:r>
    </w:p>
    <w:p w14:paraId="06082182" w14:textId="4647A028" w:rsidR="00676C25" w:rsidRPr="001076D1" w:rsidRDefault="00676C25" w:rsidP="00676C25">
      <w:pPr>
        <w:pStyle w:val="Commentaire"/>
      </w:pPr>
      <w:r w:rsidRPr="001076D1">
        <w:t>Ces royalties sont calculés en fonction d’un chiffre d’affaires. Le montant des versements correspondant à des royalties s’élève, pour Spineway, à un montant variable de l’ordre de 70 K€ par an.</w:t>
      </w:r>
    </w:p>
    <w:p w14:paraId="00FA39B8" w14:textId="77777777" w:rsidR="00676C25" w:rsidRPr="00CC11D4" w:rsidRDefault="00676C25" w:rsidP="00676C25"/>
    <w:p w14:paraId="1A84F1E2" w14:textId="4E63488A" w:rsidR="00676C25" w:rsidRDefault="00676C25" w:rsidP="00676C25">
      <w:pPr>
        <w:pStyle w:val="Titre4"/>
      </w:pPr>
      <w:r>
        <w:t xml:space="preserve">5.5.1.1 </w:t>
      </w:r>
      <w:r w:rsidRPr="009C781E">
        <w:t xml:space="preserve">Politique d’innovation </w:t>
      </w:r>
    </w:p>
    <w:p w14:paraId="79401AC1" w14:textId="77777777" w:rsidR="00676C25" w:rsidRDefault="00676C25" w:rsidP="00676C25"/>
    <w:p w14:paraId="2B4F5789" w14:textId="77777777" w:rsidR="00676C25" w:rsidRPr="0084661C" w:rsidRDefault="00676C25" w:rsidP="00676C25">
      <w:r w:rsidRPr="009C4380">
        <w:t xml:space="preserve">L’effort en innovation est primordial pour Spineway </w:t>
      </w:r>
      <w:r w:rsidRPr="0084661C">
        <w:t xml:space="preserve">dont le succès dépend en partie de sa capacité à innover technologiquement, à développer et lancer de nouveaux produits et à améliorer la performance de ses produits existants. En effet, les besoins et pratiques des chirurgiens (clients finaux) évoluent constamment et peuvent aussi différer d’un pays à l’autre. </w:t>
      </w:r>
    </w:p>
    <w:p w14:paraId="1DDDF6EB" w14:textId="77777777" w:rsidR="00676C25" w:rsidRPr="0084661C" w:rsidRDefault="00676C25" w:rsidP="00676C25"/>
    <w:p w14:paraId="6756482C" w14:textId="77777777" w:rsidR="00676C25" w:rsidRPr="0084661C" w:rsidRDefault="00676C25" w:rsidP="00676C25">
      <w:r w:rsidRPr="0084661C">
        <w:t xml:space="preserve">Spineway cherche donc en permanence à développer de nouveaux produits, à améliorer ses produits existants et à compléter ses gammes. Et, afin de favoriser le succès du lancement des nouveaux produits développés, Spineway s’appuie sur son réseau de chirurgiens partenaires (conception et évaluation de ces nouveaux produits). </w:t>
      </w:r>
    </w:p>
    <w:p w14:paraId="741B9FAA" w14:textId="77777777" w:rsidR="00676C25" w:rsidRPr="0084661C" w:rsidRDefault="00676C25" w:rsidP="00676C25"/>
    <w:p w14:paraId="62C93B3C" w14:textId="7EBFB160" w:rsidR="00676C25" w:rsidRPr="0084661C" w:rsidRDefault="00676C25" w:rsidP="00676C25">
      <w:pPr>
        <w:rPr>
          <w:rFonts w:eastAsiaTheme="majorEastAsia" w:cstheme="majorBidi"/>
        </w:rPr>
      </w:pPr>
      <w:r w:rsidRPr="0084661C">
        <w:rPr>
          <w:rFonts w:eastAsiaTheme="majorEastAsia" w:cstheme="majorBidi"/>
        </w:rPr>
        <w:t>Dans le cadre du lancement du nouveau plan stratégique 2020-2022, une attention particulière est d’ailleurs portée sur les projets d’innovation et de recherche afin de pouvoir déposer et lancer de nouveaux produits dès 2021 (la plateforme MISTI présentée à l’automne 2020 faisait partie intégrante de la mise en œuvre du nouveau plan stratégique en matière d’innovation).</w:t>
      </w:r>
      <w:r w:rsidRPr="0084661C">
        <w:rPr>
          <w:i/>
          <w:szCs w:val="20"/>
        </w:rPr>
        <w:t xml:space="preserve"> </w:t>
      </w:r>
    </w:p>
    <w:p w14:paraId="5CF25E03" w14:textId="3DC56A95" w:rsidR="00676C25" w:rsidRPr="0084661C" w:rsidRDefault="00676C25" w:rsidP="00676C25">
      <w:pPr>
        <w:rPr>
          <w:szCs w:val="20"/>
        </w:rPr>
      </w:pPr>
      <w:r w:rsidRPr="0084661C">
        <w:rPr>
          <w:szCs w:val="20"/>
        </w:rPr>
        <w:lastRenderedPageBreak/>
        <w:t xml:space="preserve">Spineway travaille en parallèle sur plusieurs projets d’innovation et souhaite poursuivre ses efforts en </w:t>
      </w:r>
      <w:r w:rsidR="00740ED6">
        <w:rPr>
          <w:rFonts w:eastAsia="Times New Roman" w:cs="Segoe UI"/>
          <w:szCs w:val="20"/>
        </w:rPr>
        <w:t>R&amp;D</w:t>
      </w:r>
      <w:r w:rsidRPr="00283D1D">
        <w:rPr>
          <w:rFonts w:eastAsia="Times New Roman" w:cs="Segoe UI"/>
          <w:szCs w:val="20"/>
        </w:rPr>
        <w:t xml:space="preserve"> </w:t>
      </w:r>
      <w:r w:rsidRPr="009C4380">
        <w:rPr>
          <w:szCs w:val="20"/>
        </w:rPr>
        <w:t>en vue de renforcer ses gammes.</w:t>
      </w:r>
      <w:r w:rsidRPr="009C4380">
        <w:t xml:space="preserve"> Un planning </w:t>
      </w:r>
      <w:r w:rsidRPr="0084661C">
        <w:t>est défini par la Société pour les trois années à venir.</w:t>
      </w:r>
    </w:p>
    <w:p w14:paraId="62824120" w14:textId="77777777" w:rsidR="004B7C45" w:rsidRDefault="004B7C45" w:rsidP="004B7C45"/>
    <w:p w14:paraId="2527C95B" w14:textId="77777777" w:rsidR="004B7C45" w:rsidRPr="0084661C" w:rsidRDefault="004B7C45" w:rsidP="004B7C45">
      <w:r w:rsidRPr="0084661C">
        <w:t>La société, depuis le second semestre 2019, remplit l'ensemble des critères d'activation des projets de développement.</w:t>
      </w:r>
    </w:p>
    <w:p w14:paraId="590D8489" w14:textId="77777777" w:rsidR="00676C25" w:rsidRPr="0084661C" w:rsidRDefault="00676C25" w:rsidP="00676C25">
      <w:pPr>
        <w:rPr>
          <w:szCs w:val="20"/>
        </w:rPr>
      </w:pPr>
    </w:p>
    <w:p w14:paraId="10738DFF" w14:textId="77777777" w:rsidR="004B7C45" w:rsidRPr="0084661C" w:rsidRDefault="004B7C45" w:rsidP="004B7C45">
      <w:pPr>
        <w:rPr>
          <w:rFonts w:eastAsiaTheme="majorEastAsia" w:cstheme="majorBidi"/>
        </w:rPr>
      </w:pPr>
      <w:r w:rsidRPr="0084661C">
        <w:rPr>
          <w:rFonts w:eastAsiaTheme="majorEastAsia" w:cstheme="majorBidi"/>
        </w:rPr>
        <w:t xml:space="preserve">Les </w:t>
      </w:r>
      <w:r>
        <w:rPr>
          <w:rFonts w:eastAsiaTheme="majorEastAsia" w:cstheme="majorBidi"/>
        </w:rPr>
        <w:t>coûts de développement</w:t>
      </w:r>
      <w:r w:rsidRPr="0084661C">
        <w:rPr>
          <w:rFonts w:eastAsiaTheme="majorEastAsia" w:cstheme="majorBidi"/>
        </w:rPr>
        <w:t xml:space="preserve"> activés au cours de l’exercice clos au 31 décembre 2020 s’établissent à 902 K€ (contre </w:t>
      </w:r>
      <w:r>
        <w:rPr>
          <w:rFonts w:eastAsiaTheme="majorEastAsia" w:cstheme="majorBidi"/>
        </w:rPr>
        <w:t>358</w:t>
      </w:r>
      <w:r w:rsidRPr="009C4380">
        <w:rPr>
          <w:rFonts w:eastAsiaTheme="majorEastAsia" w:cstheme="majorBidi"/>
        </w:rPr>
        <w:t xml:space="preserve"> K€ au 31 décembre 2019), ce qui représente 27% du chiffre d’affaires réalisé au 31 décembre 2020 (contre 13% du chiffre d’affaires dégagé au 31 décembre 2019).</w:t>
      </w:r>
    </w:p>
    <w:p w14:paraId="3C1B261C" w14:textId="77777777" w:rsidR="004B7C45" w:rsidRPr="0084661C" w:rsidRDefault="004B7C45" w:rsidP="004B7C45">
      <w:pPr>
        <w:rPr>
          <w:szCs w:val="20"/>
        </w:rPr>
      </w:pPr>
    </w:p>
    <w:p w14:paraId="30D98E81" w14:textId="2665C8FA" w:rsidR="00676C25" w:rsidRPr="0084661C" w:rsidRDefault="00676C25" w:rsidP="00676C25">
      <w:pPr>
        <w:rPr>
          <w:szCs w:val="20"/>
        </w:rPr>
      </w:pPr>
      <w:r w:rsidRPr="0084661C">
        <w:rPr>
          <w:szCs w:val="20"/>
        </w:rPr>
        <w:t>Ces dépenses de R&amp;D ont donné droit à un Crédit Impôt Recherche</w:t>
      </w:r>
      <w:r w:rsidR="00F84270">
        <w:rPr>
          <w:szCs w:val="20"/>
        </w:rPr>
        <w:t xml:space="preserve"> (CIR)</w:t>
      </w:r>
      <w:r w:rsidRPr="0084661C">
        <w:rPr>
          <w:szCs w:val="20"/>
        </w:rPr>
        <w:t xml:space="preserve"> de 204 K€ au titre de l’exercice clos le 31 décembre 2019 et de 220 K€ au 31 décembre 2020.</w:t>
      </w:r>
    </w:p>
    <w:p w14:paraId="27757D83" w14:textId="7C6D6032" w:rsidR="00676C25" w:rsidRPr="0084661C" w:rsidRDefault="00676C25" w:rsidP="00676C25">
      <w:r w:rsidRPr="0084661C">
        <w:t xml:space="preserve">Spineway dispose du statut de PME communautaire. Elle peut demander le remboursement immédiat des créances de CIR à l’Etat. Dans le cadre des mesures votées en faveur des entreprises pour faire face à la crise sanitaire, Spineway a d’ailleurs demandé un remboursement anticipé dès avril 2020 de ses </w:t>
      </w:r>
      <w:r w:rsidR="00F84270">
        <w:t>CIR</w:t>
      </w:r>
      <w:r w:rsidRPr="0084661C">
        <w:t xml:space="preserve">. </w:t>
      </w:r>
    </w:p>
    <w:p w14:paraId="615CD8E3" w14:textId="77777777" w:rsidR="00676C25" w:rsidRPr="009045B2" w:rsidRDefault="00676C25" w:rsidP="00676C25"/>
    <w:p w14:paraId="41F9758D" w14:textId="1B04B39A" w:rsidR="00676C25" w:rsidRDefault="00676C25" w:rsidP="00676C25">
      <w:pPr>
        <w:pStyle w:val="Titre4"/>
      </w:pPr>
      <w:bookmarkStart w:id="139" w:name="_Ref367969020"/>
      <w:r>
        <w:t>5.5.1.2</w:t>
      </w:r>
      <w:r w:rsidRPr="009C781E">
        <w:t xml:space="preserve"> Brevets</w:t>
      </w:r>
      <w:bookmarkEnd w:id="139"/>
      <w:r w:rsidRPr="009C781E">
        <w:t xml:space="preserve"> </w:t>
      </w:r>
      <w:r w:rsidRPr="009C781E">
        <w:tab/>
      </w:r>
    </w:p>
    <w:p w14:paraId="1A1F6A15" w14:textId="77777777" w:rsidR="00676C25" w:rsidRDefault="00676C25" w:rsidP="00676C25"/>
    <w:p w14:paraId="42356286" w14:textId="77777777" w:rsidR="00676C25" w:rsidRDefault="00676C25" w:rsidP="00676C25">
      <w:r w:rsidRPr="00D318BE">
        <w:t>Spineway</w:t>
      </w:r>
      <w:r>
        <w:t xml:space="preserve"> a une politique très active en matière de dépôt de brevets. Cette politique avait d’ailleurs permis à Spineway d’être labellisé « talent INPI » en 2015.</w:t>
      </w:r>
    </w:p>
    <w:p w14:paraId="15117FAE" w14:textId="77777777" w:rsidR="00676C25" w:rsidRDefault="00676C25" w:rsidP="00676C25">
      <w:pPr>
        <w:rPr>
          <w:color w:val="FF0000"/>
        </w:rPr>
      </w:pPr>
    </w:p>
    <w:p w14:paraId="5B5BF73F" w14:textId="77777777" w:rsidR="00676C25" w:rsidRPr="00FA09F4" w:rsidRDefault="00676C25" w:rsidP="00676C25">
      <w:pPr>
        <w:rPr>
          <w:color w:val="000000"/>
          <w:szCs w:val="18"/>
        </w:rPr>
      </w:pPr>
      <w:r>
        <w:rPr>
          <w:color w:val="000000"/>
          <w:szCs w:val="18"/>
        </w:rPr>
        <w:t>D</w:t>
      </w:r>
      <w:r w:rsidRPr="00FA09F4">
        <w:rPr>
          <w:color w:val="000000"/>
          <w:szCs w:val="18"/>
        </w:rPr>
        <w:t xml:space="preserve">es brevets sont déposés </w:t>
      </w:r>
      <w:r>
        <w:rPr>
          <w:color w:val="000000"/>
          <w:szCs w:val="18"/>
        </w:rPr>
        <w:t xml:space="preserve">dès </w:t>
      </w:r>
      <w:r w:rsidRPr="00FA09F4">
        <w:rPr>
          <w:color w:val="000000"/>
          <w:szCs w:val="18"/>
        </w:rPr>
        <w:t>lors</w:t>
      </w:r>
      <w:r>
        <w:rPr>
          <w:color w:val="000000"/>
          <w:szCs w:val="18"/>
        </w:rPr>
        <w:t xml:space="preserve"> </w:t>
      </w:r>
      <w:r w:rsidRPr="00FA09F4">
        <w:rPr>
          <w:color w:val="000000"/>
          <w:szCs w:val="18"/>
        </w:rPr>
        <w:t>qu’il apparait qu’un nouveau procédé ou produit mis au point par Spineway (avec ou sans l’aide de chirurgiens concepteurs partenaires) peut faire l’objet d’une protection à ce titre et que ce nouveau procédé ou produit n’a</w:t>
      </w:r>
      <w:r>
        <w:rPr>
          <w:color w:val="000000"/>
          <w:szCs w:val="18"/>
        </w:rPr>
        <w:t>, à la connaissance de la Société,</w:t>
      </w:r>
      <w:r w:rsidRPr="00FA09F4">
        <w:rPr>
          <w:color w:val="000000"/>
          <w:szCs w:val="18"/>
        </w:rPr>
        <w:t xml:space="preserve"> pas déjà fait l’objet d’un dépôt de brevet par des tiers.</w:t>
      </w:r>
    </w:p>
    <w:p w14:paraId="72291F33" w14:textId="77777777" w:rsidR="00676C25" w:rsidRPr="00FA09F4" w:rsidRDefault="00676C25" w:rsidP="00676C25">
      <w:pPr>
        <w:rPr>
          <w:color w:val="000000"/>
          <w:szCs w:val="18"/>
        </w:rPr>
      </w:pPr>
    </w:p>
    <w:p w14:paraId="2E9ED646" w14:textId="0B106BB5" w:rsidR="00676C25" w:rsidRDefault="00676C25" w:rsidP="00676C25">
      <w:pPr>
        <w:rPr>
          <w:color w:val="000000"/>
          <w:szCs w:val="18"/>
        </w:rPr>
      </w:pPr>
      <w:r w:rsidRPr="00FA09F4">
        <w:rPr>
          <w:color w:val="000000"/>
          <w:szCs w:val="18"/>
        </w:rPr>
        <w:t>Néanmoins, compte tenu du nombre de pays dans lesquels les produits de Spineway sont commercialisés</w:t>
      </w:r>
      <w:r w:rsidR="00F84270">
        <w:rPr>
          <w:color w:val="000000"/>
          <w:szCs w:val="18"/>
        </w:rPr>
        <w:t xml:space="preserve"> et des </w:t>
      </w:r>
      <w:r w:rsidRPr="00FA09F4">
        <w:rPr>
          <w:color w:val="000000"/>
          <w:szCs w:val="18"/>
        </w:rPr>
        <w:t xml:space="preserve">coûts induits, </w:t>
      </w:r>
      <w:r w:rsidR="00F84270">
        <w:rPr>
          <w:color w:val="000000"/>
          <w:szCs w:val="18"/>
        </w:rPr>
        <w:t xml:space="preserve">la Société </w:t>
      </w:r>
      <w:r w:rsidRPr="00FA09F4">
        <w:rPr>
          <w:color w:val="000000"/>
          <w:szCs w:val="18"/>
        </w:rPr>
        <w:t xml:space="preserve">ne procède pas systématiquement au dépôt d’un brevet d’invention dans l’ensemble de ces pays. </w:t>
      </w:r>
    </w:p>
    <w:p w14:paraId="1E8F00E4" w14:textId="77777777" w:rsidR="00676C25" w:rsidRDefault="00676C25" w:rsidP="00676C25">
      <w:pPr>
        <w:rPr>
          <w:color w:val="000000"/>
          <w:szCs w:val="18"/>
        </w:rPr>
      </w:pPr>
      <w:r w:rsidRPr="00FA09F4">
        <w:rPr>
          <w:color w:val="000000"/>
          <w:szCs w:val="18"/>
        </w:rPr>
        <w:t xml:space="preserve">L’opportunité du dépôt de brevets à l’étranger, dans les pays dans lesquels les produits Spineway sont commercialisés, est mesurée en fonction du degré d’inventivité dudit brevet et de la faculté de la Société d’agir contre les éventuels contrefaisants. </w:t>
      </w:r>
    </w:p>
    <w:p w14:paraId="6F21ECEA" w14:textId="77777777" w:rsidR="00676C25" w:rsidRPr="00E82577" w:rsidRDefault="00676C25" w:rsidP="00676C25">
      <w:pPr>
        <w:rPr>
          <w:color w:val="000000"/>
          <w:szCs w:val="18"/>
        </w:rPr>
      </w:pPr>
      <w:r>
        <w:rPr>
          <w:color w:val="000000"/>
          <w:szCs w:val="18"/>
        </w:rPr>
        <w:t>Les</w:t>
      </w:r>
      <w:r w:rsidRPr="00FA09F4">
        <w:rPr>
          <w:color w:val="000000"/>
          <w:szCs w:val="18"/>
        </w:rPr>
        <w:t xml:space="preserve"> disparités </w:t>
      </w:r>
      <w:r>
        <w:rPr>
          <w:color w:val="000000"/>
          <w:szCs w:val="18"/>
        </w:rPr>
        <w:t>législatives entre les pays peuvent</w:t>
      </w:r>
      <w:r w:rsidRPr="00FA09F4">
        <w:rPr>
          <w:color w:val="000000"/>
          <w:szCs w:val="18"/>
        </w:rPr>
        <w:t xml:space="preserve"> empêcher la Société de protéger de manière satisfaisante ses produits, dans un ou plusieurs pays, ou d’assurer un niveau de protection équivalent dans les différents pays. </w:t>
      </w:r>
    </w:p>
    <w:p w14:paraId="038AAECB" w14:textId="77777777" w:rsidR="00676C25" w:rsidRDefault="00676C25" w:rsidP="00676C25">
      <w:pPr>
        <w:rPr>
          <w:color w:val="FF0000"/>
        </w:rPr>
      </w:pPr>
    </w:p>
    <w:p w14:paraId="7A6056DE" w14:textId="77777777" w:rsidR="00676C25" w:rsidRPr="002C431B" w:rsidRDefault="00676C25" w:rsidP="00676C25">
      <w:r w:rsidRPr="00010CE7">
        <w:t>Spineway n’a pas à signaler de litige s’agissant de</w:t>
      </w:r>
      <w:r>
        <w:t xml:space="preserve"> ses</w:t>
      </w:r>
      <w:r w:rsidRPr="00010CE7">
        <w:t xml:space="preserve"> bre</w:t>
      </w:r>
      <w:r>
        <w:t>vets.</w:t>
      </w:r>
    </w:p>
    <w:p w14:paraId="5CF17A88" w14:textId="77777777" w:rsidR="00676C25" w:rsidRDefault="00676C25" w:rsidP="00676C25">
      <w:pPr>
        <w:pStyle w:val="Titre2"/>
        <w:sectPr w:rsidR="00676C25" w:rsidSect="00DB5FDD">
          <w:headerReference w:type="default" r:id="rId68"/>
          <w:footerReference w:type="even" r:id="rId69"/>
          <w:footerReference w:type="default" r:id="rId70"/>
          <w:pgSz w:w="11906" w:h="16838"/>
          <w:pgMar w:top="1388" w:right="1274" w:bottom="899" w:left="1418" w:header="426" w:footer="709" w:gutter="0"/>
          <w:cols w:space="708"/>
          <w:docGrid w:linePitch="360"/>
        </w:sectPr>
      </w:pPr>
    </w:p>
    <w:tbl>
      <w:tblPr>
        <w:tblW w:w="15594" w:type="dxa"/>
        <w:tblInd w:w="-72" w:type="dxa"/>
        <w:tblCellMar>
          <w:left w:w="70" w:type="dxa"/>
          <w:right w:w="70" w:type="dxa"/>
        </w:tblCellMar>
        <w:tblLook w:val="04A0" w:firstRow="1" w:lastRow="0" w:firstColumn="1" w:lastColumn="0" w:noHBand="0" w:noVBand="1"/>
      </w:tblPr>
      <w:tblGrid>
        <w:gridCol w:w="1960"/>
        <w:gridCol w:w="1300"/>
        <w:gridCol w:w="2100"/>
        <w:gridCol w:w="1300"/>
        <w:gridCol w:w="1840"/>
        <w:gridCol w:w="1960"/>
        <w:gridCol w:w="1300"/>
        <w:gridCol w:w="2280"/>
        <w:gridCol w:w="1554"/>
      </w:tblGrid>
      <w:tr w:rsidR="00676C25" w:rsidRPr="00D35C6A" w14:paraId="43134CA5" w14:textId="77777777" w:rsidTr="00676C25">
        <w:trPr>
          <w:trHeight w:val="580"/>
        </w:trPr>
        <w:tc>
          <w:tcPr>
            <w:tcW w:w="1960" w:type="dxa"/>
            <w:tcBorders>
              <w:top w:val="single" w:sz="8" w:space="0" w:color="FFFFFF"/>
              <w:left w:val="single" w:sz="8" w:space="0" w:color="FFFFFF"/>
              <w:bottom w:val="single" w:sz="8" w:space="0" w:color="FFFFFF"/>
              <w:right w:val="single" w:sz="8" w:space="0" w:color="FFFFFF"/>
            </w:tcBorders>
            <w:shd w:val="clear" w:color="000000" w:fill="366092"/>
            <w:vAlign w:val="center"/>
            <w:hideMark/>
          </w:tcPr>
          <w:p w14:paraId="36F6A539" w14:textId="77777777" w:rsidR="00676C25" w:rsidRPr="00D35C6A" w:rsidRDefault="00676C25" w:rsidP="00676C25">
            <w:pPr>
              <w:jc w:val="center"/>
              <w:rPr>
                <w:rFonts w:ascii="Calibri" w:eastAsia="Times New Roman" w:hAnsi="Calibri" w:cs="Times New Roman"/>
                <w:b/>
                <w:bCs/>
                <w:color w:val="FFFFFF"/>
                <w:szCs w:val="20"/>
              </w:rPr>
            </w:pPr>
            <w:r w:rsidRPr="00D35C6A">
              <w:rPr>
                <w:rFonts w:ascii="Calibri" w:eastAsia="Times New Roman" w:hAnsi="Calibri" w:cs="Times New Roman"/>
                <w:b/>
                <w:bCs/>
                <w:color w:val="FFFFFF"/>
                <w:szCs w:val="20"/>
              </w:rPr>
              <w:lastRenderedPageBreak/>
              <w:t>Intitulé</w:t>
            </w:r>
          </w:p>
        </w:tc>
        <w:tc>
          <w:tcPr>
            <w:tcW w:w="1300" w:type="dxa"/>
            <w:tcBorders>
              <w:top w:val="single" w:sz="8" w:space="0" w:color="FFFFFF"/>
              <w:left w:val="nil"/>
              <w:bottom w:val="single" w:sz="8" w:space="0" w:color="FFFFFF"/>
              <w:right w:val="single" w:sz="8" w:space="0" w:color="FFFFFF"/>
            </w:tcBorders>
            <w:shd w:val="clear" w:color="000000" w:fill="366092"/>
            <w:vAlign w:val="center"/>
            <w:hideMark/>
          </w:tcPr>
          <w:p w14:paraId="2F2D522D" w14:textId="77777777" w:rsidR="00676C25" w:rsidRPr="00D35C6A" w:rsidRDefault="00676C25" w:rsidP="00676C25">
            <w:pPr>
              <w:jc w:val="center"/>
              <w:rPr>
                <w:rFonts w:ascii="Calibri" w:eastAsia="Times New Roman" w:hAnsi="Calibri" w:cs="Times New Roman"/>
                <w:b/>
                <w:bCs/>
                <w:color w:val="FFFFFF"/>
                <w:szCs w:val="20"/>
              </w:rPr>
            </w:pPr>
            <w:r w:rsidRPr="00D35C6A">
              <w:rPr>
                <w:rFonts w:ascii="Calibri" w:eastAsia="Times New Roman" w:hAnsi="Calibri" w:cs="Times New Roman"/>
                <w:b/>
                <w:bCs/>
                <w:color w:val="FFFFFF"/>
                <w:szCs w:val="20"/>
              </w:rPr>
              <w:t>Détenteur du brevet</w:t>
            </w:r>
          </w:p>
        </w:tc>
        <w:tc>
          <w:tcPr>
            <w:tcW w:w="2100" w:type="dxa"/>
            <w:tcBorders>
              <w:top w:val="single" w:sz="8" w:space="0" w:color="FFFFFF"/>
              <w:left w:val="nil"/>
              <w:bottom w:val="single" w:sz="8" w:space="0" w:color="FFFFFF"/>
              <w:right w:val="single" w:sz="8" w:space="0" w:color="FFFFFF"/>
            </w:tcBorders>
            <w:shd w:val="clear" w:color="000000" w:fill="366092"/>
            <w:vAlign w:val="center"/>
            <w:hideMark/>
          </w:tcPr>
          <w:p w14:paraId="78B65359" w14:textId="77777777" w:rsidR="00676C25" w:rsidRPr="00D35C6A" w:rsidRDefault="00676C25" w:rsidP="00676C25">
            <w:pPr>
              <w:jc w:val="center"/>
              <w:rPr>
                <w:rFonts w:ascii="Calibri" w:eastAsia="Times New Roman" w:hAnsi="Calibri" w:cs="Times New Roman"/>
                <w:b/>
                <w:bCs/>
                <w:color w:val="FFFFFF"/>
                <w:szCs w:val="20"/>
              </w:rPr>
            </w:pPr>
            <w:r w:rsidRPr="00D35C6A">
              <w:rPr>
                <w:rFonts w:ascii="Calibri" w:eastAsia="Times New Roman" w:hAnsi="Calibri" w:cs="Times New Roman"/>
                <w:b/>
                <w:bCs/>
                <w:color w:val="FFFFFF"/>
                <w:szCs w:val="20"/>
              </w:rPr>
              <w:t>Couverture géographique</w:t>
            </w:r>
          </w:p>
        </w:tc>
        <w:tc>
          <w:tcPr>
            <w:tcW w:w="1300" w:type="dxa"/>
            <w:tcBorders>
              <w:top w:val="single" w:sz="8" w:space="0" w:color="FFFFFF"/>
              <w:left w:val="nil"/>
              <w:bottom w:val="single" w:sz="8" w:space="0" w:color="FFFFFF"/>
              <w:right w:val="single" w:sz="8" w:space="0" w:color="FFFFFF"/>
            </w:tcBorders>
            <w:shd w:val="clear" w:color="000000" w:fill="366092"/>
            <w:vAlign w:val="center"/>
            <w:hideMark/>
          </w:tcPr>
          <w:p w14:paraId="05A876B8" w14:textId="77777777" w:rsidR="00676C25" w:rsidRPr="00D35C6A" w:rsidRDefault="00676C25" w:rsidP="00676C25">
            <w:pPr>
              <w:jc w:val="center"/>
              <w:rPr>
                <w:rFonts w:ascii="Calibri" w:eastAsia="Times New Roman" w:hAnsi="Calibri" w:cs="Times New Roman"/>
                <w:b/>
                <w:bCs/>
                <w:color w:val="FFFFFF"/>
                <w:szCs w:val="20"/>
              </w:rPr>
            </w:pPr>
            <w:r w:rsidRPr="00D35C6A">
              <w:rPr>
                <w:rFonts w:ascii="Calibri" w:eastAsia="Times New Roman" w:hAnsi="Calibri" w:cs="Times New Roman"/>
                <w:b/>
                <w:bCs/>
                <w:color w:val="FFFFFF"/>
                <w:szCs w:val="20"/>
              </w:rPr>
              <w:t>Date de dépôt</w:t>
            </w:r>
          </w:p>
        </w:tc>
        <w:tc>
          <w:tcPr>
            <w:tcW w:w="1840" w:type="dxa"/>
            <w:tcBorders>
              <w:top w:val="single" w:sz="8" w:space="0" w:color="FFFFFF"/>
              <w:left w:val="nil"/>
              <w:bottom w:val="single" w:sz="8" w:space="0" w:color="FFFFFF"/>
              <w:right w:val="single" w:sz="8" w:space="0" w:color="FFFFFF"/>
            </w:tcBorders>
            <w:shd w:val="clear" w:color="000000" w:fill="366092"/>
            <w:vAlign w:val="center"/>
            <w:hideMark/>
          </w:tcPr>
          <w:p w14:paraId="2ADF2E36" w14:textId="77777777" w:rsidR="00676C25" w:rsidRPr="00D35C6A" w:rsidRDefault="00676C25" w:rsidP="00676C25">
            <w:pPr>
              <w:jc w:val="center"/>
              <w:rPr>
                <w:rFonts w:ascii="Calibri" w:eastAsia="Times New Roman" w:hAnsi="Calibri" w:cs="Times New Roman"/>
                <w:b/>
                <w:bCs/>
                <w:color w:val="FFFFFF"/>
                <w:szCs w:val="20"/>
              </w:rPr>
            </w:pPr>
            <w:r w:rsidRPr="00D35C6A">
              <w:rPr>
                <w:rFonts w:ascii="Calibri" w:eastAsia="Times New Roman" w:hAnsi="Calibri" w:cs="Times New Roman"/>
                <w:b/>
                <w:bCs/>
                <w:color w:val="FFFFFF"/>
                <w:szCs w:val="20"/>
              </w:rPr>
              <w:t>N° de dépôt</w:t>
            </w:r>
          </w:p>
        </w:tc>
        <w:tc>
          <w:tcPr>
            <w:tcW w:w="1960" w:type="dxa"/>
            <w:tcBorders>
              <w:top w:val="single" w:sz="8" w:space="0" w:color="FFFFFF"/>
              <w:left w:val="nil"/>
              <w:bottom w:val="single" w:sz="8" w:space="0" w:color="FFFFFF"/>
              <w:right w:val="single" w:sz="8" w:space="0" w:color="FFFFFF"/>
            </w:tcBorders>
            <w:shd w:val="clear" w:color="000000" w:fill="366092"/>
            <w:vAlign w:val="center"/>
            <w:hideMark/>
          </w:tcPr>
          <w:p w14:paraId="4EFC9E64" w14:textId="77777777" w:rsidR="00676C25" w:rsidRPr="00D35C6A" w:rsidRDefault="00676C25" w:rsidP="00676C25">
            <w:pPr>
              <w:jc w:val="center"/>
              <w:rPr>
                <w:rFonts w:ascii="Calibri" w:eastAsia="Times New Roman" w:hAnsi="Calibri" w:cs="Times New Roman"/>
                <w:b/>
                <w:bCs/>
                <w:color w:val="FFFFFF"/>
                <w:szCs w:val="20"/>
              </w:rPr>
            </w:pPr>
            <w:r w:rsidRPr="00D35C6A">
              <w:rPr>
                <w:rFonts w:ascii="Calibri" w:eastAsia="Times New Roman" w:hAnsi="Calibri" w:cs="Times New Roman"/>
                <w:b/>
                <w:bCs/>
                <w:color w:val="FFFFFF"/>
                <w:szCs w:val="20"/>
              </w:rPr>
              <w:t>N° de publication</w:t>
            </w:r>
          </w:p>
        </w:tc>
        <w:tc>
          <w:tcPr>
            <w:tcW w:w="1300" w:type="dxa"/>
            <w:tcBorders>
              <w:top w:val="single" w:sz="8" w:space="0" w:color="FFFFFF"/>
              <w:left w:val="nil"/>
              <w:bottom w:val="single" w:sz="8" w:space="0" w:color="FFFFFF"/>
              <w:right w:val="single" w:sz="8" w:space="0" w:color="FFFFFF"/>
            </w:tcBorders>
            <w:shd w:val="clear" w:color="000000" w:fill="366092"/>
            <w:vAlign w:val="center"/>
            <w:hideMark/>
          </w:tcPr>
          <w:p w14:paraId="4C5534D3" w14:textId="77777777" w:rsidR="00676C25" w:rsidRPr="00D35C6A" w:rsidRDefault="00676C25" w:rsidP="00676C25">
            <w:pPr>
              <w:jc w:val="center"/>
              <w:rPr>
                <w:rFonts w:ascii="Calibri" w:eastAsia="Times New Roman" w:hAnsi="Calibri" w:cs="Times New Roman"/>
                <w:b/>
                <w:bCs/>
                <w:color w:val="FFFFFF"/>
                <w:szCs w:val="20"/>
              </w:rPr>
            </w:pPr>
            <w:r w:rsidRPr="00D35C6A">
              <w:rPr>
                <w:rFonts w:ascii="Calibri" w:eastAsia="Times New Roman" w:hAnsi="Calibri" w:cs="Times New Roman"/>
                <w:b/>
                <w:bCs/>
                <w:color w:val="FFFFFF"/>
                <w:szCs w:val="20"/>
              </w:rPr>
              <w:t>Date de Délivrance</w:t>
            </w:r>
          </w:p>
        </w:tc>
        <w:tc>
          <w:tcPr>
            <w:tcW w:w="2280" w:type="dxa"/>
            <w:tcBorders>
              <w:top w:val="single" w:sz="8" w:space="0" w:color="FFFFFF"/>
              <w:left w:val="nil"/>
              <w:bottom w:val="single" w:sz="8" w:space="0" w:color="FFFFFF"/>
              <w:right w:val="single" w:sz="8" w:space="0" w:color="FFFFFF"/>
            </w:tcBorders>
            <w:shd w:val="clear" w:color="000000" w:fill="366092"/>
            <w:vAlign w:val="center"/>
            <w:hideMark/>
          </w:tcPr>
          <w:p w14:paraId="7BD85BF7" w14:textId="77777777" w:rsidR="00676C25" w:rsidRPr="00D35C6A" w:rsidRDefault="00676C25" w:rsidP="00676C25">
            <w:pPr>
              <w:jc w:val="center"/>
              <w:rPr>
                <w:rFonts w:ascii="Calibri" w:eastAsia="Times New Roman" w:hAnsi="Calibri" w:cs="Times New Roman"/>
                <w:b/>
                <w:bCs/>
                <w:color w:val="FFFFFF"/>
                <w:szCs w:val="20"/>
              </w:rPr>
            </w:pPr>
            <w:r w:rsidRPr="00D35C6A">
              <w:rPr>
                <w:rFonts w:ascii="Calibri" w:eastAsia="Times New Roman" w:hAnsi="Calibri" w:cs="Times New Roman"/>
                <w:b/>
                <w:bCs/>
                <w:color w:val="FFFFFF"/>
                <w:szCs w:val="20"/>
              </w:rPr>
              <w:t>N° de Délivrance</w:t>
            </w:r>
          </w:p>
        </w:tc>
        <w:tc>
          <w:tcPr>
            <w:tcW w:w="1554" w:type="dxa"/>
            <w:tcBorders>
              <w:top w:val="single" w:sz="8" w:space="0" w:color="FFFFFF"/>
              <w:left w:val="nil"/>
              <w:bottom w:val="single" w:sz="8" w:space="0" w:color="FFFFFF"/>
              <w:right w:val="single" w:sz="8" w:space="0" w:color="FFFFFF"/>
            </w:tcBorders>
            <w:shd w:val="clear" w:color="000000" w:fill="366092"/>
            <w:vAlign w:val="center"/>
            <w:hideMark/>
          </w:tcPr>
          <w:p w14:paraId="364D005A" w14:textId="77777777" w:rsidR="00676C25" w:rsidRPr="00D35C6A" w:rsidRDefault="00676C25" w:rsidP="00676C25">
            <w:pPr>
              <w:jc w:val="center"/>
              <w:rPr>
                <w:rFonts w:ascii="Calibri" w:eastAsia="Times New Roman" w:hAnsi="Calibri" w:cs="Times New Roman"/>
                <w:b/>
                <w:bCs/>
                <w:color w:val="FFFFFF"/>
                <w:szCs w:val="20"/>
              </w:rPr>
            </w:pPr>
            <w:r w:rsidRPr="00D35C6A">
              <w:rPr>
                <w:rFonts w:ascii="Calibri" w:eastAsia="Times New Roman" w:hAnsi="Calibri" w:cs="Times New Roman"/>
                <w:b/>
                <w:bCs/>
                <w:color w:val="FFFFFF"/>
                <w:szCs w:val="20"/>
              </w:rPr>
              <w:t>Statuts</w:t>
            </w:r>
          </w:p>
        </w:tc>
      </w:tr>
      <w:tr w:rsidR="00676C25" w:rsidRPr="00D35C6A" w14:paraId="57E03F6B" w14:textId="77777777" w:rsidTr="00676C25">
        <w:trPr>
          <w:trHeight w:val="580"/>
        </w:trPr>
        <w:tc>
          <w:tcPr>
            <w:tcW w:w="1960" w:type="dxa"/>
            <w:tcBorders>
              <w:top w:val="nil"/>
              <w:left w:val="single" w:sz="8" w:space="0" w:color="FFFFFF"/>
              <w:bottom w:val="single" w:sz="8" w:space="0" w:color="FFFFFF"/>
              <w:right w:val="single" w:sz="8" w:space="0" w:color="FFFFFF"/>
            </w:tcBorders>
            <w:shd w:val="clear" w:color="000000" w:fill="DCE6F1"/>
            <w:vAlign w:val="center"/>
            <w:hideMark/>
          </w:tcPr>
          <w:p w14:paraId="56702883" w14:textId="77777777" w:rsidR="00676C25" w:rsidRPr="00D35C6A" w:rsidRDefault="00676C25" w:rsidP="00676C25">
            <w:pPr>
              <w:jc w:val="center"/>
              <w:rPr>
                <w:rFonts w:ascii="Calibri" w:eastAsia="Times New Roman" w:hAnsi="Calibri" w:cs="Times New Roman"/>
                <w:color w:val="000000"/>
                <w:szCs w:val="20"/>
              </w:rPr>
            </w:pPr>
            <w:r w:rsidRPr="00D35C6A">
              <w:rPr>
                <w:rFonts w:ascii="Calibri" w:eastAsia="Times New Roman" w:hAnsi="Calibri" w:cs="Times New Roman"/>
                <w:color w:val="000000"/>
                <w:szCs w:val="20"/>
              </w:rPr>
              <w:t>CONNECTEUR TRANSVERSE</w:t>
            </w:r>
          </w:p>
        </w:tc>
        <w:tc>
          <w:tcPr>
            <w:tcW w:w="1300" w:type="dxa"/>
            <w:tcBorders>
              <w:top w:val="nil"/>
              <w:left w:val="nil"/>
              <w:bottom w:val="single" w:sz="8" w:space="0" w:color="FFFFFF"/>
              <w:right w:val="single" w:sz="8" w:space="0" w:color="FFFFFF"/>
            </w:tcBorders>
            <w:shd w:val="clear" w:color="000000" w:fill="DCE6F1"/>
            <w:vAlign w:val="center"/>
            <w:hideMark/>
          </w:tcPr>
          <w:p w14:paraId="27CF09E0" w14:textId="77777777" w:rsidR="00676C25" w:rsidRPr="00D35C6A" w:rsidRDefault="00676C25" w:rsidP="00676C25">
            <w:pPr>
              <w:jc w:val="center"/>
              <w:rPr>
                <w:rFonts w:ascii="Calibri" w:eastAsia="Times New Roman" w:hAnsi="Calibri" w:cs="Times New Roman"/>
                <w:color w:val="000000"/>
                <w:szCs w:val="20"/>
              </w:rPr>
            </w:pPr>
            <w:r w:rsidRPr="00D35C6A">
              <w:rPr>
                <w:rFonts w:ascii="Calibri" w:eastAsia="Times New Roman" w:hAnsi="Calibri" w:cs="Times New Roman"/>
                <w:color w:val="000000"/>
                <w:szCs w:val="20"/>
              </w:rPr>
              <w:t>Spineway</w:t>
            </w:r>
          </w:p>
        </w:tc>
        <w:tc>
          <w:tcPr>
            <w:tcW w:w="2100" w:type="dxa"/>
            <w:tcBorders>
              <w:top w:val="nil"/>
              <w:left w:val="nil"/>
              <w:bottom w:val="single" w:sz="8" w:space="0" w:color="FFFFFF"/>
              <w:right w:val="single" w:sz="8" w:space="0" w:color="FFFFFF"/>
            </w:tcBorders>
            <w:shd w:val="clear" w:color="000000" w:fill="DCE6F1"/>
            <w:vAlign w:val="center"/>
            <w:hideMark/>
          </w:tcPr>
          <w:p w14:paraId="4CBA9983" w14:textId="77777777" w:rsidR="00676C25" w:rsidRPr="00D35C6A" w:rsidRDefault="00676C25" w:rsidP="00676C25">
            <w:pPr>
              <w:jc w:val="center"/>
              <w:rPr>
                <w:rFonts w:ascii="Calibri" w:eastAsia="Times New Roman" w:hAnsi="Calibri" w:cs="Times New Roman"/>
                <w:color w:val="000000"/>
                <w:szCs w:val="20"/>
              </w:rPr>
            </w:pPr>
            <w:r w:rsidRPr="00D35C6A">
              <w:rPr>
                <w:rFonts w:ascii="Calibri" w:eastAsia="Times New Roman" w:hAnsi="Calibri" w:cs="Times New Roman"/>
                <w:color w:val="000000"/>
                <w:szCs w:val="20"/>
              </w:rPr>
              <w:t>France</w:t>
            </w:r>
          </w:p>
        </w:tc>
        <w:tc>
          <w:tcPr>
            <w:tcW w:w="1300" w:type="dxa"/>
            <w:tcBorders>
              <w:top w:val="nil"/>
              <w:left w:val="nil"/>
              <w:bottom w:val="single" w:sz="8" w:space="0" w:color="FFFFFF"/>
              <w:right w:val="single" w:sz="8" w:space="0" w:color="FFFFFF"/>
            </w:tcBorders>
            <w:shd w:val="clear" w:color="000000" w:fill="DCE6F1"/>
            <w:vAlign w:val="center"/>
            <w:hideMark/>
          </w:tcPr>
          <w:p w14:paraId="2DA006D7" w14:textId="77777777" w:rsidR="00676C25" w:rsidRPr="00D35C6A" w:rsidRDefault="00676C25" w:rsidP="00676C25">
            <w:pPr>
              <w:jc w:val="center"/>
              <w:rPr>
                <w:rFonts w:ascii="Calibri" w:eastAsia="Times New Roman" w:hAnsi="Calibri" w:cs="Times New Roman"/>
                <w:color w:val="000000"/>
                <w:szCs w:val="20"/>
              </w:rPr>
            </w:pPr>
            <w:r w:rsidRPr="00D35C6A">
              <w:rPr>
                <w:rFonts w:ascii="Calibri" w:eastAsia="Times New Roman" w:hAnsi="Calibri" w:cs="Times New Roman"/>
                <w:color w:val="000000"/>
                <w:szCs w:val="20"/>
              </w:rPr>
              <w:t>28/09/07</w:t>
            </w:r>
          </w:p>
        </w:tc>
        <w:tc>
          <w:tcPr>
            <w:tcW w:w="1840" w:type="dxa"/>
            <w:tcBorders>
              <w:top w:val="nil"/>
              <w:left w:val="nil"/>
              <w:bottom w:val="single" w:sz="8" w:space="0" w:color="FFFFFF"/>
              <w:right w:val="single" w:sz="8" w:space="0" w:color="FFFFFF"/>
            </w:tcBorders>
            <w:shd w:val="clear" w:color="000000" w:fill="DCE6F1"/>
            <w:vAlign w:val="center"/>
            <w:hideMark/>
          </w:tcPr>
          <w:p w14:paraId="6F332E2F" w14:textId="77777777" w:rsidR="00676C25" w:rsidRPr="00D35C6A" w:rsidRDefault="00676C25" w:rsidP="00676C25">
            <w:pPr>
              <w:jc w:val="center"/>
              <w:rPr>
                <w:rFonts w:ascii="Calibri" w:eastAsia="Times New Roman" w:hAnsi="Calibri" w:cs="Times New Roman"/>
                <w:color w:val="000000"/>
                <w:szCs w:val="20"/>
              </w:rPr>
            </w:pPr>
            <w:r w:rsidRPr="00D35C6A">
              <w:rPr>
                <w:rFonts w:ascii="Calibri" w:eastAsia="Times New Roman" w:hAnsi="Calibri" w:cs="Times New Roman"/>
                <w:color w:val="000000"/>
                <w:szCs w:val="20"/>
              </w:rPr>
              <w:t>0757954</w:t>
            </w:r>
          </w:p>
        </w:tc>
        <w:tc>
          <w:tcPr>
            <w:tcW w:w="1960" w:type="dxa"/>
            <w:tcBorders>
              <w:top w:val="nil"/>
              <w:left w:val="nil"/>
              <w:bottom w:val="single" w:sz="8" w:space="0" w:color="FFFFFF"/>
              <w:right w:val="single" w:sz="8" w:space="0" w:color="FFFFFF"/>
            </w:tcBorders>
            <w:shd w:val="clear" w:color="000000" w:fill="DCE6F1"/>
            <w:vAlign w:val="center"/>
            <w:hideMark/>
          </w:tcPr>
          <w:p w14:paraId="197FB73D" w14:textId="77777777" w:rsidR="00676C25" w:rsidRPr="00D35C6A" w:rsidRDefault="00676C25" w:rsidP="00676C25">
            <w:pPr>
              <w:jc w:val="center"/>
              <w:rPr>
                <w:rFonts w:ascii="Calibri" w:eastAsia="Times New Roman" w:hAnsi="Calibri" w:cs="Times New Roman"/>
                <w:color w:val="000000"/>
                <w:szCs w:val="20"/>
              </w:rPr>
            </w:pPr>
            <w:r w:rsidRPr="00D35C6A">
              <w:rPr>
                <w:rFonts w:ascii="Calibri" w:eastAsia="Times New Roman" w:hAnsi="Calibri" w:cs="Times New Roman"/>
                <w:color w:val="000000"/>
                <w:szCs w:val="20"/>
              </w:rPr>
              <w:t>2921556</w:t>
            </w:r>
          </w:p>
        </w:tc>
        <w:tc>
          <w:tcPr>
            <w:tcW w:w="1300" w:type="dxa"/>
            <w:tcBorders>
              <w:top w:val="nil"/>
              <w:left w:val="nil"/>
              <w:bottom w:val="single" w:sz="8" w:space="0" w:color="FFFFFF"/>
              <w:right w:val="single" w:sz="8" w:space="0" w:color="FFFFFF"/>
            </w:tcBorders>
            <w:shd w:val="clear" w:color="000000" w:fill="DCE6F1"/>
            <w:vAlign w:val="center"/>
            <w:hideMark/>
          </w:tcPr>
          <w:p w14:paraId="53A563DE" w14:textId="77777777" w:rsidR="00676C25" w:rsidRPr="00D35C6A" w:rsidRDefault="00676C25" w:rsidP="00676C25">
            <w:pPr>
              <w:jc w:val="center"/>
              <w:rPr>
                <w:rFonts w:ascii="Calibri" w:eastAsia="Times New Roman" w:hAnsi="Calibri" w:cs="Times New Roman"/>
                <w:color w:val="000000"/>
                <w:szCs w:val="20"/>
              </w:rPr>
            </w:pPr>
            <w:r w:rsidRPr="00D35C6A">
              <w:rPr>
                <w:rFonts w:ascii="Calibri" w:eastAsia="Times New Roman" w:hAnsi="Calibri" w:cs="Times New Roman"/>
                <w:color w:val="000000"/>
                <w:szCs w:val="20"/>
              </w:rPr>
              <w:t>31/12/10</w:t>
            </w:r>
          </w:p>
        </w:tc>
        <w:tc>
          <w:tcPr>
            <w:tcW w:w="2280" w:type="dxa"/>
            <w:tcBorders>
              <w:top w:val="nil"/>
              <w:left w:val="nil"/>
              <w:bottom w:val="single" w:sz="8" w:space="0" w:color="FFFFFF"/>
              <w:right w:val="single" w:sz="8" w:space="0" w:color="FFFFFF"/>
            </w:tcBorders>
            <w:shd w:val="clear" w:color="000000" w:fill="DCE6F1"/>
            <w:vAlign w:val="center"/>
            <w:hideMark/>
          </w:tcPr>
          <w:p w14:paraId="0AF52B25" w14:textId="77777777" w:rsidR="00676C25" w:rsidRPr="00D35C6A" w:rsidRDefault="00676C25" w:rsidP="00676C25">
            <w:pPr>
              <w:jc w:val="center"/>
              <w:rPr>
                <w:rFonts w:ascii="Calibri" w:eastAsia="Times New Roman" w:hAnsi="Calibri" w:cs="Times New Roman"/>
                <w:color w:val="000000"/>
                <w:szCs w:val="20"/>
              </w:rPr>
            </w:pPr>
            <w:r w:rsidRPr="00D35C6A">
              <w:rPr>
                <w:rFonts w:ascii="Calibri" w:eastAsia="Times New Roman" w:hAnsi="Calibri" w:cs="Times New Roman"/>
                <w:color w:val="000000"/>
                <w:szCs w:val="20"/>
              </w:rPr>
              <w:t>757954</w:t>
            </w:r>
          </w:p>
        </w:tc>
        <w:tc>
          <w:tcPr>
            <w:tcW w:w="1554" w:type="dxa"/>
            <w:tcBorders>
              <w:top w:val="nil"/>
              <w:left w:val="nil"/>
              <w:bottom w:val="single" w:sz="8" w:space="0" w:color="FFFFFF"/>
              <w:right w:val="single" w:sz="8" w:space="0" w:color="FFFFFF"/>
            </w:tcBorders>
            <w:shd w:val="clear" w:color="000000" w:fill="DCE6F1"/>
            <w:vAlign w:val="center"/>
            <w:hideMark/>
          </w:tcPr>
          <w:p w14:paraId="7A84E8B4" w14:textId="77777777" w:rsidR="00676C25" w:rsidRPr="00D35C6A" w:rsidRDefault="00676C25" w:rsidP="00676C25">
            <w:pPr>
              <w:jc w:val="center"/>
              <w:rPr>
                <w:rFonts w:ascii="Calibri" w:eastAsia="Times New Roman" w:hAnsi="Calibri" w:cs="Times New Roman"/>
                <w:color w:val="000000"/>
                <w:szCs w:val="20"/>
              </w:rPr>
            </w:pPr>
            <w:r w:rsidRPr="00D35C6A">
              <w:rPr>
                <w:rFonts w:ascii="Calibri" w:eastAsia="Times New Roman" w:hAnsi="Calibri" w:cs="Times New Roman"/>
                <w:color w:val="000000"/>
                <w:szCs w:val="20"/>
              </w:rPr>
              <w:t>En application</w:t>
            </w:r>
          </w:p>
        </w:tc>
      </w:tr>
      <w:tr w:rsidR="00676C25" w:rsidRPr="00D35C6A" w14:paraId="3DA09E6F" w14:textId="77777777" w:rsidTr="00676C25">
        <w:trPr>
          <w:trHeight w:val="320"/>
        </w:trPr>
        <w:tc>
          <w:tcPr>
            <w:tcW w:w="1960" w:type="dxa"/>
            <w:tcBorders>
              <w:top w:val="nil"/>
              <w:left w:val="single" w:sz="8" w:space="0" w:color="FFFFFF"/>
              <w:bottom w:val="single" w:sz="8" w:space="0" w:color="FFFFFF"/>
              <w:right w:val="single" w:sz="8" w:space="0" w:color="FFFFFF"/>
            </w:tcBorders>
            <w:shd w:val="clear" w:color="000000" w:fill="DCE6F1"/>
            <w:vAlign w:val="center"/>
            <w:hideMark/>
          </w:tcPr>
          <w:p w14:paraId="50EDD9CA" w14:textId="77777777" w:rsidR="00676C25" w:rsidRPr="00D35C6A" w:rsidRDefault="00676C25" w:rsidP="00676C25">
            <w:pPr>
              <w:jc w:val="center"/>
              <w:rPr>
                <w:rFonts w:ascii="Calibri" w:eastAsia="Times New Roman" w:hAnsi="Calibri" w:cs="Times New Roman"/>
                <w:color w:val="000000"/>
                <w:szCs w:val="20"/>
              </w:rPr>
            </w:pPr>
            <w:r w:rsidRPr="00D35C6A">
              <w:rPr>
                <w:rFonts w:ascii="Calibri" w:eastAsia="Times New Roman" w:hAnsi="Calibri" w:cs="Times New Roman"/>
                <w:color w:val="000000"/>
                <w:szCs w:val="20"/>
              </w:rPr>
              <w:t>PLAQUE ANTÉRIEURE</w:t>
            </w:r>
          </w:p>
        </w:tc>
        <w:tc>
          <w:tcPr>
            <w:tcW w:w="1300" w:type="dxa"/>
            <w:tcBorders>
              <w:top w:val="nil"/>
              <w:left w:val="nil"/>
              <w:bottom w:val="single" w:sz="8" w:space="0" w:color="FFFFFF"/>
              <w:right w:val="single" w:sz="8" w:space="0" w:color="FFFFFF"/>
            </w:tcBorders>
            <w:shd w:val="clear" w:color="000000" w:fill="DCE6F1"/>
            <w:vAlign w:val="center"/>
            <w:hideMark/>
          </w:tcPr>
          <w:p w14:paraId="4FC90621" w14:textId="77777777" w:rsidR="00676C25" w:rsidRPr="00D35C6A" w:rsidRDefault="00676C25" w:rsidP="00676C25">
            <w:pPr>
              <w:jc w:val="center"/>
              <w:rPr>
                <w:rFonts w:ascii="Calibri" w:eastAsia="Times New Roman" w:hAnsi="Calibri" w:cs="Times New Roman"/>
                <w:color w:val="000000"/>
                <w:szCs w:val="20"/>
              </w:rPr>
            </w:pPr>
            <w:r w:rsidRPr="00D35C6A">
              <w:rPr>
                <w:rFonts w:ascii="Calibri" w:eastAsia="Times New Roman" w:hAnsi="Calibri" w:cs="Times New Roman"/>
                <w:color w:val="000000"/>
                <w:szCs w:val="20"/>
              </w:rPr>
              <w:t>Spineway</w:t>
            </w:r>
          </w:p>
        </w:tc>
        <w:tc>
          <w:tcPr>
            <w:tcW w:w="2100" w:type="dxa"/>
            <w:tcBorders>
              <w:top w:val="nil"/>
              <w:left w:val="nil"/>
              <w:bottom w:val="single" w:sz="8" w:space="0" w:color="FFFFFF"/>
              <w:right w:val="single" w:sz="8" w:space="0" w:color="FFFFFF"/>
            </w:tcBorders>
            <w:shd w:val="clear" w:color="000000" w:fill="DCE6F1"/>
            <w:vAlign w:val="center"/>
            <w:hideMark/>
          </w:tcPr>
          <w:p w14:paraId="6DFD0178" w14:textId="77777777" w:rsidR="00676C25" w:rsidRPr="00D35C6A" w:rsidRDefault="00676C25" w:rsidP="00676C25">
            <w:pPr>
              <w:jc w:val="center"/>
              <w:rPr>
                <w:rFonts w:ascii="Calibri" w:eastAsia="Times New Roman" w:hAnsi="Calibri" w:cs="Times New Roman"/>
                <w:color w:val="000000"/>
                <w:szCs w:val="20"/>
              </w:rPr>
            </w:pPr>
            <w:r w:rsidRPr="00D35C6A">
              <w:rPr>
                <w:rFonts w:ascii="Calibri" w:eastAsia="Times New Roman" w:hAnsi="Calibri" w:cs="Times New Roman"/>
                <w:color w:val="000000"/>
                <w:szCs w:val="20"/>
              </w:rPr>
              <w:t>France</w:t>
            </w:r>
          </w:p>
        </w:tc>
        <w:tc>
          <w:tcPr>
            <w:tcW w:w="1300" w:type="dxa"/>
            <w:tcBorders>
              <w:top w:val="nil"/>
              <w:left w:val="nil"/>
              <w:bottom w:val="single" w:sz="8" w:space="0" w:color="FFFFFF"/>
              <w:right w:val="single" w:sz="8" w:space="0" w:color="FFFFFF"/>
            </w:tcBorders>
            <w:shd w:val="clear" w:color="000000" w:fill="DCE6F1"/>
            <w:vAlign w:val="center"/>
            <w:hideMark/>
          </w:tcPr>
          <w:p w14:paraId="1E2E3E80" w14:textId="77777777" w:rsidR="00676C25" w:rsidRPr="00D35C6A" w:rsidRDefault="00676C25" w:rsidP="00676C25">
            <w:pPr>
              <w:jc w:val="center"/>
              <w:rPr>
                <w:rFonts w:ascii="Calibri" w:eastAsia="Times New Roman" w:hAnsi="Calibri" w:cs="Times New Roman"/>
                <w:color w:val="000000"/>
                <w:szCs w:val="20"/>
              </w:rPr>
            </w:pPr>
            <w:r w:rsidRPr="00D35C6A">
              <w:rPr>
                <w:rFonts w:ascii="Calibri" w:eastAsia="Times New Roman" w:hAnsi="Calibri" w:cs="Times New Roman"/>
                <w:color w:val="000000"/>
                <w:szCs w:val="20"/>
              </w:rPr>
              <w:t>09/10/09</w:t>
            </w:r>
          </w:p>
        </w:tc>
        <w:tc>
          <w:tcPr>
            <w:tcW w:w="1840" w:type="dxa"/>
            <w:tcBorders>
              <w:top w:val="nil"/>
              <w:left w:val="nil"/>
              <w:bottom w:val="single" w:sz="8" w:space="0" w:color="FFFFFF"/>
              <w:right w:val="single" w:sz="8" w:space="0" w:color="FFFFFF"/>
            </w:tcBorders>
            <w:shd w:val="clear" w:color="000000" w:fill="DCE6F1"/>
            <w:vAlign w:val="center"/>
            <w:hideMark/>
          </w:tcPr>
          <w:p w14:paraId="6F20692C" w14:textId="77777777" w:rsidR="00676C25" w:rsidRPr="00D35C6A" w:rsidRDefault="00676C25" w:rsidP="00676C25">
            <w:pPr>
              <w:jc w:val="center"/>
              <w:rPr>
                <w:rFonts w:ascii="Calibri" w:eastAsia="Times New Roman" w:hAnsi="Calibri" w:cs="Times New Roman"/>
                <w:color w:val="000000"/>
                <w:szCs w:val="20"/>
              </w:rPr>
            </w:pPr>
            <w:r w:rsidRPr="00D35C6A">
              <w:rPr>
                <w:rFonts w:ascii="Calibri" w:eastAsia="Times New Roman" w:hAnsi="Calibri" w:cs="Times New Roman"/>
                <w:color w:val="000000"/>
                <w:szCs w:val="20"/>
              </w:rPr>
              <w:t>0957071</w:t>
            </w:r>
          </w:p>
        </w:tc>
        <w:tc>
          <w:tcPr>
            <w:tcW w:w="1960" w:type="dxa"/>
            <w:tcBorders>
              <w:top w:val="nil"/>
              <w:left w:val="nil"/>
              <w:bottom w:val="single" w:sz="8" w:space="0" w:color="FFFFFF"/>
              <w:right w:val="single" w:sz="8" w:space="0" w:color="FFFFFF"/>
            </w:tcBorders>
            <w:shd w:val="clear" w:color="000000" w:fill="DCE6F1"/>
            <w:vAlign w:val="center"/>
            <w:hideMark/>
          </w:tcPr>
          <w:p w14:paraId="496FB16C" w14:textId="77777777" w:rsidR="00676C25" w:rsidRPr="00D35C6A" w:rsidRDefault="00676C25" w:rsidP="00676C25">
            <w:pPr>
              <w:jc w:val="center"/>
              <w:rPr>
                <w:rFonts w:ascii="Calibri" w:eastAsia="Times New Roman" w:hAnsi="Calibri" w:cs="Times New Roman"/>
                <w:color w:val="000000"/>
                <w:szCs w:val="20"/>
              </w:rPr>
            </w:pPr>
            <w:r w:rsidRPr="00D35C6A">
              <w:rPr>
                <w:rFonts w:ascii="Calibri" w:eastAsia="Times New Roman" w:hAnsi="Calibri" w:cs="Times New Roman"/>
                <w:color w:val="000000"/>
                <w:szCs w:val="20"/>
              </w:rPr>
              <w:t>2951064</w:t>
            </w:r>
          </w:p>
        </w:tc>
        <w:tc>
          <w:tcPr>
            <w:tcW w:w="1300" w:type="dxa"/>
            <w:tcBorders>
              <w:top w:val="nil"/>
              <w:left w:val="nil"/>
              <w:bottom w:val="single" w:sz="8" w:space="0" w:color="FFFFFF"/>
              <w:right w:val="single" w:sz="8" w:space="0" w:color="FFFFFF"/>
            </w:tcBorders>
            <w:shd w:val="clear" w:color="000000" w:fill="DCE6F1"/>
            <w:vAlign w:val="center"/>
            <w:hideMark/>
          </w:tcPr>
          <w:p w14:paraId="5CF66090" w14:textId="77777777" w:rsidR="00676C25" w:rsidRPr="00D35C6A" w:rsidRDefault="00676C25" w:rsidP="00676C25">
            <w:pPr>
              <w:jc w:val="center"/>
              <w:rPr>
                <w:rFonts w:ascii="Calibri" w:eastAsia="Times New Roman" w:hAnsi="Calibri" w:cs="Times New Roman"/>
                <w:color w:val="000000"/>
                <w:szCs w:val="20"/>
              </w:rPr>
            </w:pPr>
            <w:r w:rsidRPr="00D35C6A">
              <w:rPr>
                <w:rFonts w:ascii="Calibri" w:eastAsia="Times New Roman" w:hAnsi="Calibri" w:cs="Times New Roman"/>
                <w:color w:val="000000"/>
                <w:szCs w:val="20"/>
              </w:rPr>
              <w:t>09/12/11</w:t>
            </w:r>
          </w:p>
        </w:tc>
        <w:tc>
          <w:tcPr>
            <w:tcW w:w="2280" w:type="dxa"/>
            <w:tcBorders>
              <w:top w:val="nil"/>
              <w:left w:val="nil"/>
              <w:bottom w:val="single" w:sz="8" w:space="0" w:color="FFFFFF"/>
              <w:right w:val="single" w:sz="8" w:space="0" w:color="FFFFFF"/>
            </w:tcBorders>
            <w:shd w:val="clear" w:color="000000" w:fill="DCE6F1"/>
            <w:vAlign w:val="center"/>
            <w:hideMark/>
          </w:tcPr>
          <w:p w14:paraId="72E35677" w14:textId="77777777" w:rsidR="00676C25" w:rsidRPr="00D35C6A" w:rsidRDefault="00676C25" w:rsidP="00676C25">
            <w:pPr>
              <w:jc w:val="center"/>
              <w:rPr>
                <w:rFonts w:ascii="Calibri" w:eastAsia="Times New Roman" w:hAnsi="Calibri" w:cs="Times New Roman"/>
                <w:color w:val="000000"/>
                <w:szCs w:val="20"/>
              </w:rPr>
            </w:pPr>
            <w:r w:rsidRPr="00D35C6A">
              <w:rPr>
                <w:rFonts w:ascii="Calibri" w:eastAsia="Times New Roman" w:hAnsi="Calibri" w:cs="Times New Roman"/>
                <w:color w:val="000000"/>
                <w:szCs w:val="20"/>
              </w:rPr>
              <w:t>957071</w:t>
            </w:r>
          </w:p>
        </w:tc>
        <w:tc>
          <w:tcPr>
            <w:tcW w:w="1554" w:type="dxa"/>
            <w:tcBorders>
              <w:top w:val="nil"/>
              <w:left w:val="nil"/>
              <w:bottom w:val="single" w:sz="8" w:space="0" w:color="FFFFFF"/>
              <w:right w:val="single" w:sz="8" w:space="0" w:color="FFFFFF"/>
            </w:tcBorders>
            <w:shd w:val="clear" w:color="000000" w:fill="DCE6F1"/>
            <w:vAlign w:val="center"/>
            <w:hideMark/>
          </w:tcPr>
          <w:p w14:paraId="1679117D" w14:textId="77777777" w:rsidR="00676C25" w:rsidRPr="00D35C6A" w:rsidRDefault="00676C25" w:rsidP="00676C25">
            <w:pPr>
              <w:jc w:val="center"/>
              <w:rPr>
                <w:rFonts w:ascii="Calibri" w:eastAsia="Times New Roman" w:hAnsi="Calibri" w:cs="Times New Roman"/>
                <w:color w:val="000000"/>
                <w:szCs w:val="20"/>
              </w:rPr>
            </w:pPr>
            <w:r w:rsidRPr="00D35C6A">
              <w:rPr>
                <w:rFonts w:ascii="Calibri" w:eastAsia="Times New Roman" w:hAnsi="Calibri" w:cs="Times New Roman"/>
                <w:color w:val="000000"/>
                <w:szCs w:val="20"/>
              </w:rPr>
              <w:t>En application</w:t>
            </w:r>
          </w:p>
        </w:tc>
      </w:tr>
      <w:tr w:rsidR="00676C25" w:rsidRPr="00D35C6A" w14:paraId="20158627" w14:textId="77777777" w:rsidTr="00676C25">
        <w:trPr>
          <w:trHeight w:val="320"/>
        </w:trPr>
        <w:tc>
          <w:tcPr>
            <w:tcW w:w="1960" w:type="dxa"/>
            <w:tcBorders>
              <w:top w:val="nil"/>
              <w:left w:val="single" w:sz="8" w:space="0" w:color="FFFFFF"/>
              <w:bottom w:val="single" w:sz="8" w:space="0" w:color="FFFFFF"/>
              <w:right w:val="single" w:sz="8" w:space="0" w:color="FFFFFF"/>
            </w:tcBorders>
            <w:shd w:val="clear" w:color="000000" w:fill="DCE6F1"/>
            <w:vAlign w:val="center"/>
            <w:hideMark/>
          </w:tcPr>
          <w:p w14:paraId="55EAE0BD" w14:textId="77777777" w:rsidR="00676C25" w:rsidRPr="00D35C6A" w:rsidRDefault="00676C25" w:rsidP="00676C25">
            <w:pPr>
              <w:jc w:val="center"/>
              <w:rPr>
                <w:rFonts w:ascii="Calibri" w:eastAsia="Times New Roman" w:hAnsi="Calibri" w:cs="Times New Roman"/>
                <w:szCs w:val="20"/>
              </w:rPr>
            </w:pPr>
            <w:r w:rsidRPr="00D35C6A">
              <w:rPr>
                <w:rFonts w:ascii="Calibri" w:eastAsia="Times New Roman" w:hAnsi="Calibri" w:cs="Times New Roman"/>
                <w:szCs w:val="20"/>
              </w:rPr>
              <w:t>PROTHÈSE DISCALE</w:t>
            </w:r>
          </w:p>
        </w:tc>
        <w:tc>
          <w:tcPr>
            <w:tcW w:w="1300" w:type="dxa"/>
            <w:tcBorders>
              <w:top w:val="nil"/>
              <w:left w:val="nil"/>
              <w:bottom w:val="single" w:sz="8" w:space="0" w:color="FFFFFF"/>
              <w:right w:val="single" w:sz="8" w:space="0" w:color="FFFFFF"/>
            </w:tcBorders>
            <w:shd w:val="clear" w:color="000000" w:fill="DCE6F1"/>
            <w:vAlign w:val="center"/>
            <w:hideMark/>
          </w:tcPr>
          <w:p w14:paraId="2EBC9963" w14:textId="77777777" w:rsidR="00676C25" w:rsidRPr="00D35C6A" w:rsidRDefault="00676C25" w:rsidP="00676C25">
            <w:pPr>
              <w:jc w:val="center"/>
              <w:rPr>
                <w:rFonts w:ascii="Calibri" w:eastAsia="Times New Roman" w:hAnsi="Calibri" w:cs="Times New Roman"/>
                <w:szCs w:val="20"/>
              </w:rPr>
            </w:pPr>
            <w:r w:rsidRPr="00D35C6A">
              <w:rPr>
                <w:rFonts w:ascii="Calibri" w:eastAsia="Times New Roman" w:hAnsi="Calibri" w:cs="Times New Roman"/>
                <w:szCs w:val="20"/>
              </w:rPr>
              <w:t>Spineway</w:t>
            </w:r>
          </w:p>
        </w:tc>
        <w:tc>
          <w:tcPr>
            <w:tcW w:w="2100" w:type="dxa"/>
            <w:tcBorders>
              <w:top w:val="nil"/>
              <w:left w:val="nil"/>
              <w:bottom w:val="single" w:sz="8" w:space="0" w:color="FFFFFF"/>
              <w:right w:val="single" w:sz="8" w:space="0" w:color="FFFFFF"/>
            </w:tcBorders>
            <w:shd w:val="clear" w:color="000000" w:fill="DCE6F1"/>
            <w:vAlign w:val="center"/>
            <w:hideMark/>
          </w:tcPr>
          <w:p w14:paraId="145545EE" w14:textId="77777777" w:rsidR="00676C25" w:rsidRPr="00D35C6A" w:rsidRDefault="00676C25" w:rsidP="00676C25">
            <w:pPr>
              <w:jc w:val="center"/>
              <w:rPr>
                <w:rFonts w:ascii="Calibri" w:eastAsia="Times New Roman" w:hAnsi="Calibri" w:cs="Times New Roman"/>
                <w:szCs w:val="20"/>
              </w:rPr>
            </w:pPr>
            <w:r w:rsidRPr="00D35C6A">
              <w:rPr>
                <w:rFonts w:ascii="Calibri" w:eastAsia="Times New Roman" w:hAnsi="Calibri" w:cs="Times New Roman"/>
                <w:szCs w:val="20"/>
              </w:rPr>
              <w:t>France</w:t>
            </w:r>
          </w:p>
        </w:tc>
        <w:tc>
          <w:tcPr>
            <w:tcW w:w="1300" w:type="dxa"/>
            <w:tcBorders>
              <w:top w:val="nil"/>
              <w:left w:val="nil"/>
              <w:bottom w:val="single" w:sz="8" w:space="0" w:color="FFFFFF"/>
              <w:right w:val="single" w:sz="8" w:space="0" w:color="FFFFFF"/>
            </w:tcBorders>
            <w:shd w:val="clear" w:color="000000" w:fill="DCE6F1"/>
            <w:vAlign w:val="center"/>
            <w:hideMark/>
          </w:tcPr>
          <w:p w14:paraId="26688292" w14:textId="77777777" w:rsidR="00676C25" w:rsidRPr="00D35C6A" w:rsidRDefault="00676C25" w:rsidP="00676C25">
            <w:pPr>
              <w:jc w:val="center"/>
              <w:rPr>
                <w:rFonts w:ascii="Calibri" w:eastAsia="Times New Roman" w:hAnsi="Calibri" w:cs="Times New Roman"/>
                <w:szCs w:val="20"/>
              </w:rPr>
            </w:pPr>
            <w:r w:rsidRPr="00D35C6A">
              <w:rPr>
                <w:rFonts w:ascii="Calibri" w:eastAsia="Times New Roman" w:hAnsi="Calibri" w:cs="Times New Roman"/>
                <w:szCs w:val="20"/>
              </w:rPr>
              <w:t>13/12/06</w:t>
            </w:r>
          </w:p>
        </w:tc>
        <w:tc>
          <w:tcPr>
            <w:tcW w:w="1840" w:type="dxa"/>
            <w:tcBorders>
              <w:top w:val="nil"/>
              <w:left w:val="nil"/>
              <w:bottom w:val="single" w:sz="8" w:space="0" w:color="FFFFFF"/>
              <w:right w:val="single" w:sz="8" w:space="0" w:color="FFFFFF"/>
            </w:tcBorders>
            <w:shd w:val="clear" w:color="000000" w:fill="DCE6F1"/>
            <w:vAlign w:val="center"/>
            <w:hideMark/>
          </w:tcPr>
          <w:p w14:paraId="1265DCFB" w14:textId="77777777" w:rsidR="00676C25" w:rsidRPr="00D35C6A" w:rsidRDefault="00676C25" w:rsidP="00676C25">
            <w:pPr>
              <w:jc w:val="center"/>
              <w:rPr>
                <w:rFonts w:ascii="Calibri" w:eastAsia="Times New Roman" w:hAnsi="Calibri" w:cs="Times New Roman"/>
                <w:szCs w:val="20"/>
              </w:rPr>
            </w:pPr>
            <w:r w:rsidRPr="00D35C6A">
              <w:rPr>
                <w:rFonts w:ascii="Calibri" w:eastAsia="Times New Roman" w:hAnsi="Calibri" w:cs="Times New Roman"/>
                <w:szCs w:val="20"/>
              </w:rPr>
              <w:t>0610852</w:t>
            </w:r>
          </w:p>
        </w:tc>
        <w:tc>
          <w:tcPr>
            <w:tcW w:w="1960" w:type="dxa"/>
            <w:tcBorders>
              <w:top w:val="nil"/>
              <w:left w:val="nil"/>
              <w:bottom w:val="single" w:sz="8" w:space="0" w:color="FFFFFF"/>
              <w:right w:val="single" w:sz="8" w:space="0" w:color="FFFFFF"/>
            </w:tcBorders>
            <w:shd w:val="clear" w:color="000000" w:fill="DCE6F1"/>
            <w:vAlign w:val="center"/>
            <w:hideMark/>
          </w:tcPr>
          <w:p w14:paraId="68DB36AA" w14:textId="77777777" w:rsidR="00676C25" w:rsidRPr="00D35C6A" w:rsidRDefault="00676C25" w:rsidP="00676C25">
            <w:pPr>
              <w:jc w:val="center"/>
              <w:rPr>
                <w:rFonts w:ascii="Calibri" w:eastAsia="Times New Roman" w:hAnsi="Calibri" w:cs="Times New Roman"/>
                <w:szCs w:val="20"/>
              </w:rPr>
            </w:pPr>
            <w:r w:rsidRPr="00D35C6A">
              <w:rPr>
                <w:rFonts w:ascii="Calibri" w:eastAsia="Times New Roman" w:hAnsi="Calibri" w:cs="Times New Roman"/>
                <w:szCs w:val="20"/>
              </w:rPr>
              <w:t>2909859</w:t>
            </w:r>
          </w:p>
        </w:tc>
        <w:tc>
          <w:tcPr>
            <w:tcW w:w="1300" w:type="dxa"/>
            <w:tcBorders>
              <w:top w:val="nil"/>
              <w:left w:val="nil"/>
              <w:bottom w:val="single" w:sz="8" w:space="0" w:color="FFFFFF"/>
              <w:right w:val="single" w:sz="8" w:space="0" w:color="FFFFFF"/>
            </w:tcBorders>
            <w:shd w:val="clear" w:color="000000" w:fill="DCE6F1"/>
            <w:vAlign w:val="center"/>
            <w:hideMark/>
          </w:tcPr>
          <w:p w14:paraId="3CCCFB6A" w14:textId="77777777" w:rsidR="00676C25" w:rsidRPr="00D35C6A" w:rsidRDefault="00676C25" w:rsidP="00676C25">
            <w:pPr>
              <w:jc w:val="center"/>
              <w:rPr>
                <w:rFonts w:ascii="Calibri" w:eastAsia="Times New Roman" w:hAnsi="Calibri" w:cs="Times New Roman"/>
                <w:szCs w:val="20"/>
              </w:rPr>
            </w:pPr>
            <w:r w:rsidRPr="00D35C6A">
              <w:rPr>
                <w:rFonts w:ascii="Calibri" w:eastAsia="Times New Roman" w:hAnsi="Calibri" w:cs="Times New Roman"/>
                <w:szCs w:val="20"/>
              </w:rPr>
              <w:t>11/02/11</w:t>
            </w:r>
          </w:p>
        </w:tc>
        <w:tc>
          <w:tcPr>
            <w:tcW w:w="2280" w:type="dxa"/>
            <w:tcBorders>
              <w:top w:val="nil"/>
              <w:left w:val="nil"/>
              <w:bottom w:val="single" w:sz="8" w:space="0" w:color="FFFFFF"/>
              <w:right w:val="single" w:sz="8" w:space="0" w:color="FFFFFF"/>
            </w:tcBorders>
            <w:shd w:val="clear" w:color="000000" w:fill="DCE6F1"/>
            <w:vAlign w:val="center"/>
            <w:hideMark/>
          </w:tcPr>
          <w:p w14:paraId="1ED5DB51" w14:textId="77777777" w:rsidR="00676C25" w:rsidRPr="00D35C6A" w:rsidRDefault="00676C25" w:rsidP="00676C25">
            <w:pPr>
              <w:jc w:val="center"/>
              <w:rPr>
                <w:rFonts w:ascii="Calibri" w:eastAsia="Times New Roman" w:hAnsi="Calibri" w:cs="Times New Roman"/>
                <w:szCs w:val="20"/>
              </w:rPr>
            </w:pPr>
            <w:r w:rsidRPr="00D35C6A">
              <w:rPr>
                <w:rFonts w:ascii="Calibri" w:eastAsia="Times New Roman" w:hAnsi="Calibri" w:cs="Times New Roman"/>
                <w:szCs w:val="20"/>
              </w:rPr>
              <w:t>610852</w:t>
            </w:r>
          </w:p>
        </w:tc>
        <w:tc>
          <w:tcPr>
            <w:tcW w:w="1554" w:type="dxa"/>
            <w:tcBorders>
              <w:top w:val="nil"/>
              <w:left w:val="nil"/>
              <w:bottom w:val="single" w:sz="8" w:space="0" w:color="FFFFFF"/>
              <w:right w:val="single" w:sz="8" w:space="0" w:color="FFFFFF"/>
            </w:tcBorders>
            <w:shd w:val="clear" w:color="000000" w:fill="DCE6F1"/>
            <w:vAlign w:val="center"/>
            <w:hideMark/>
          </w:tcPr>
          <w:p w14:paraId="0D4B62AF" w14:textId="77777777" w:rsidR="00676C25" w:rsidRPr="00D35C6A" w:rsidRDefault="00676C25" w:rsidP="00676C25">
            <w:pPr>
              <w:jc w:val="center"/>
              <w:rPr>
                <w:rFonts w:ascii="Calibri" w:eastAsia="Times New Roman" w:hAnsi="Calibri" w:cs="Times New Roman"/>
                <w:szCs w:val="20"/>
              </w:rPr>
            </w:pPr>
            <w:r w:rsidRPr="00D35C6A">
              <w:rPr>
                <w:rFonts w:ascii="Calibri" w:eastAsia="Times New Roman" w:hAnsi="Calibri" w:cs="Times New Roman"/>
                <w:szCs w:val="20"/>
              </w:rPr>
              <w:t>En application</w:t>
            </w:r>
          </w:p>
        </w:tc>
      </w:tr>
      <w:tr w:rsidR="00676C25" w:rsidRPr="00D35C6A" w14:paraId="2279839B" w14:textId="77777777" w:rsidTr="00676C25">
        <w:trPr>
          <w:trHeight w:val="320"/>
        </w:trPr>
        <w:tc>
          <w:tcPr>
            <w:tcW w:w="1960" w:type="dxa"/>
            <w:vMerge w:val="restart"/>
            <w:tcBorders>
              <w:top w:val="nil"/>
              <w:left w:val="single" w:sz="8" w:space="0" w:color="FFFFFF"/>
              <w:bottom w:val="single" w:sz="8" w:space="0" w:color="FFFFFF"/>
              <w:right w:val="single" w:sz="8" w:space="0" w:color="FFFFFF"/>
            </w:tcBorders>
            <w:shd w:val="clear" w:color="000000" w:fill="DCE6F1"/>
            <w:vAlign w:val="center"/>
            <w:hideMark/>
          </w:tcPr>
          <w:p w14:paraId="74C850F2" w14:textId="77777777" w:rsidR="00676C25" w:rsidRPr="00D35C6A" w:rsidRDefault="00676C25" w:rsidP="00676C25">
            <w:pPr>
              <w:jc w:val="center"/>
              <w:rPr>
                <w:rFonts w:ascii="Calibri" w:eastAsia="Times New Roman" w:hAnsi="Calibri" w:cs="Times New Roman"/>
                <w:szCs w:val="20"/>
              </w:rPr>
            </w:pPr>
            <w:r w:rsidRPr="00D35C6A">
              <w:rPr>
                <w:rFonts w:ascii="Calibri" w:eastAsia="Times New Roman" w:hAnsi="Calibri" w:cs="Times New Roman"/>
                <w:szCs w:val="20"/>
              </w:rPr>
              <w:t>CAGE ANTÉRIEURE LOMBAIRE</w:t>
            </w:r>
          </w:p>
        </w:tc>
        <w:tc>
          <w:tcPr>
            <w:tcW w:w="1300" w:type="dxa"/>
            <w:vMerge w:val="restart"/>
            <w:tcBorders>
              <w:top w:val="nil"/>
              <w:left w:val="single" w:sz="8" w:space="0" w:color="FFFFFF"/>
              <w:bottom w:val="single" w:sz="8" w:space="0" w:color="FFFFFF"/>
              <w:right w:val="single" w:sz="8" w:space="0" w:color="FFFFFF"/>
            </w:tcBorders>
            <w:shd w:val="clear" w:color="000000" w:fill="DCE6F1"/>
            <w:vAlign w:val="center"/>
            <w:hideMark/>
          </w:tcPr>
          <w:p w14:paraId="43D63865" w14:textId="77777777" w:rsidR="00676C25" w:rsidRPr="00D35C6A" w:rsidRDefault="00676C25" w:rsidP="00676C25">
            <w:pPr>
              <w:jc w:val="center"/>
              <w:rPr>
                <w:rFonts w:ascii="Calibri" w:eastAsia="Times New Roman" w:hAnsi="Calibri" w:cs="Times New Roman"/>
                <w:szCs w:val="20"/>
              </w:rPr>
            </w:pPr>
            <w:r w:rsidRPr="00D35C6A">
              <w:rPr>
                <w:rFonts w:ascii="Calibri" w:eastAsia="Times New Roman" w:hAnsi="Calibri" w:cs="Times New Roman"/>
                <w:szCs w:val="20"/>
              </w:rPr>
              <w:t>Spineway</w:t>
            </w:r>
          </w:p>
        </w:tc>
        <w:tc>
          <w:tcPr>
            <w:tcW w:w="2100" w:type="dxa"/>
            <w:tcBorders>
              <w:top w:val="nil"/>
              <w:left w:val="nil"/>
              <w:bottom w:val="single" w:sz="8" w:space="0" w:color="FFFFFF"/>
              <w:right w:val="single" w:sz="8" w:space="0" w:color="FFFFFF"/>
            </w:tcBorders>
            <w:shd w:val="clear" w:color="000000" w:fill="DCE6F1"/>
            <w:vAlign w:val="center"/>
            <w:hideMark/>
          </w:tcPr>
          <w:p w14:paraId="0C3E4480" w14:textId="77777777" w:rsidR="00676C25" w:rsidRPr="00D35C6A" w:rsidRDefault="00676C25" w:rsidP="00676C25">
            <w:pPr>
              <w:jc w:val="center"/>
              <w:rPr>
                <w:rFonts w:ascii="Calibri" w:eastAsia="Times New Roman" w:hAnsi="Calibri" w:cs="Times New Roman"/>
                <w:color w:val="000000"/>
                <w:szCs w:val="20"/>
              </w:rPr>
            </w:pPr>
            <w:r w:rsidRPr="00D35C6A">
              <w:rPr>
                <w:rFonts w:ascii="Calibri" w:eastAsia="Times New Roman" w:hAnsi="Calibri" w:cs="Times New Roman"/>
                <w:color w:val="000000"/>
                <w:szCs w:val="20"/>
              </w:rPr>
              <w:t>France</w:t>
            </w:r>
          </w:p>
        </w:tc>
        <w:tc>
          <w:tcPr>
            <w:tcW w:w="1300" w:type="dxa"/>
            <w:tcBorders>
              <w:top w:val="nil"/>
              <w:left w:val="nil"/>
              <w:bottom w:val="single" w:sz="8" w:space="0" w:color="FFFFFF"/>
              <w:right w:val="single" w:sz="8" w:space="0" w:color="FFFFFF"/>
            </w:tcBorders>
            <w:shd w:val="clear" w:color="000000" w:fill="DCE6F1"/>
            <w:vAlign w:val="center"/>
            <w:hideMark/>
          </w:tcPr>
          <w:p w14:paraId="4BD692C1" w14:textId="77777777" w:rsidR="00676C25" w:rsidRPr="00D35C6A" w:rsidRDefault="00676C25" w:rsidP="00676C25">
            <w:pPr>
              <w:jc w:val="center"/>
              <w:rPr>
                <w:rFonts w:ascii="Calibri" w:eastAsia="Times New Roman" w:hAnsi="Calibri" w:cs="Times New Roman"/>
                <w:szCs w:val="20"/>
              </w:rPr>
            </w:pPr>
            <w:r w:rsidRPr="00D35C6A">
              <w:rPr>
                <w:rFonts w:ascii="Calibri" w:eastAsia="Times New Roman" w:hAnsi="Calibri" w:cs="Times New Roman"/>
                <w:szCs w:val="20"/>
              </w:rPr>
              <w:t>25/03/10</w:t>
            </w:r>
          </w:p>
        </w:tc>
        <w:tc>
          <w:tcPr>
            <w:tcW w:w="1840" w:type="dxa"/>
            <w:tcBorders>
              <w:top w:val="nil"/>
              <w:left w:val="nil"/>
              <w:bottom w:val="single" w:sz="8" w:space="0" w:color="FFFFFF"/>
              <w:right w:val="single" w:sz="8" w:space="0" w:color="FFFFFF"/>
            </w:tcBorders>
            <w:shd w:val="clear" w:color="000000" w:fill="DCE6F1"/>
            <w:vAlign w:val="center"/>
            <w:hideMark/>
          </w:tcPr>
          <w:p w14:paraId="01C8CF0F" w14:textId="77777777" w:rsidR="00676C25" w:rsidRPr="00D35C6A" w:rsidRDefault="00676C25" w:rsidP="00676C25">
            <w:pPr>
              <w:jc w:val="center"/>
              <w:rPr>
                <w:rFonts w:ascii="Calibri" w:eastAsia="Times New Roman" w:hAnsi="Calibri" w:cs="Times New Roman"/>
                <w:szCs w:val="20"/>
              </w:rPr>
            </w:pPr>
            <w:r w:rsidRPr="00D35C6A">
              <w:rPr>
                <w:rFonts w:ascii="Calibri" w:eastAsia="Times New Roman" w:hAnsi="Calibri" w:cs="Times New Roman"/>
                <w:szCs w:val="20"/>
              </w:rPr>
              <w:t>1052188</w:t>
            </w:r>
          </w:p>
        </w:tc>
        <w:tc>
          <w:tcPr>
            <w:tcW w:w="1960" w:type="dxa"/>
            <w:tcBorders>
              <w:top w:val="nil"/>
              <w:left w:val="nil"/>
              <w:bottom w:val="single" w:sz="8" w:space="0" w:color="FFFFFF"/>
              <w:right w:val="single" w:sz="8" w:space="0" w:color="FFFFFF"/>
            </w:tcBorders>
            <w:shd w:val="clear" w:color="000000" w:fill="DCE6F1"/>
            <w:vAlign w:val="center"/>
            <w:hideMark/>
          </w:tcPr>
          <w:p w14:paraId="0FBC16DE" w14:textId="77777777" w:rsidR="00676C25" w:rsidRPr="00D35C6A" w:rsidRDefault="00676C25" w:rsidP="00676C25">
            <w:pPr>
              <w:jc w:val="center"/>
              <w:rPr>
                <w:rFonts w:ascii="Calibri" w:eastAsia="Times New Roman" w:hAnsi="Calibri" w:cs="Times New Roman"/>
                <w:szCs w:val="20"/>
              </w:rPr>
            </w:pPr>
            <w:r w:rsidRPr="00D35C6A">
              <w:rPr>
                <w:rFonts w:ascii="Calibri" w:eastAsia="Times New Roman" w:hAnsi="Calibri" w:cs="Times New Roman"/>
                <w:szCs w:val="20"/>
              </w:rPr>
              <w:t>2957781</w:t>
            </w:r>
          </w:p>
        </w:tc>
        <w:tc>
          <w:tcPr>
            <w:tcW w:w="1300" w:type="dxa"/>
            <w:tcBorders>
              <w:top w:val="nil"/>
              <w:left w:val="nil"/>
              <w:bottom w:val="single" w:sz="8" w:space="0" w:color="FFFFFF"/>
              <w:right w:val="single" w:sz="8" w:space="0" w:color="FFFFFF"/>
            </w:tcBorders>
            <w:shd w:val="clear" w:color="000000" w:fill="DCE6F1"/>
            <w:vAlign w:val="center"/>
            <w:hideMark/>
          </w:tcPr>
          <w:p w14:paraId="3DC600C4" w14:textId="77777777" w:rsidR="00676C25" w:rsidRPr="00D35C6A" w:rsidRDefault="00676C25" w:rsidP="00676C25">
            <w:pPr>
              <w:jc w:val="center"/>
              <w:rPr>
                <w:rFonts w:ascii="Calibri" w:eastAsia="Times New Roman" w:hAnsi="Calibri" w:cs="Times New Roman"/>
                <w:szCs w:val="20"/>
              </w:rPr>
            </w:pPr>
            <w:r w:rsidRPr="00D35C6A">
              <w:rPr>
                <w:rFonts w:ascii="Calibri" w:eastAsia="Times New Roman" w:hAnsi="Calibri" w:cs="Times New Roman"/>
                <w:szCs w:val="20"/>
              </w:rPr>
              <w:t>04/05/12</w:t>
            </w:r>
          </w:p>
        </w:tc>
        <w:tc>
          <w:tcPr>
            <w:tcW w:w="2280" w:type="dxa"/>
            <w:tcBorders>
              <w:top w:val="nil"/>
              <w:left w:val="nil"/>
              <w:bottom w:val="single" w:sz="8" w:space="0" w:color="FFFFFF"/>
              <w:right w:val="single" w:sz="8" w:space="0" w:color="FFFFFF"/>
            </w:tcBorders>
            <w:shd w:val="clear" w:color="000000" w:fill="DCE6F1"/>
            <w:vAlign w:val="center"/>
            <w:hideMark/>
          </w:tcPr>
          <w:p w14:paraId="70183FEF" w14:textId="77777777" w:rsidR="00676C25" w:rsidRPr="00D35C6A" w:rsidRDefault="00676C25" w:rsidP="00676C25">
            <w:pPr>
              <w:jc w:val="center"/>
              <w:rPr>
                <w:rFonts w:ascii="Calibri" w:eastAsia="Times New Roman" w:hAnsi="Calibri" w:cs="Times New Roman"/>
                <w:szCs w:val="20"/>
              </w:rPr>
            </w:pPr>
            <w:r w:rsidRPr="00D35C6A">
              <w:rPr>
                <w:rFonts w:ascii="Calibri" w:eastAsia="Times New Roman" w:hAnsi="Calibri" w:cs="Times New Roman"/>
                <w:szCs w:val="20"/>
              </w:rPr>
              <w:t>1052188</w:t>
            </w:r>
          </w:p>
        </w:tc>
        <w:tc>
          <w:tcPr>
            <w:tcW w:w="1554" w:type="dxa"/>
            <w:tcBorders>
              <w:top w:val="nil"/>
              <w:left w:val="nil"/>
              <w:bottom w:val="single" w:sz="8" w:space="0" w:color="FFFFFF"/>
              <w:right w:val="single" w:sz="8" w:space="0" w:color="FFFFFF"/>
            </w:tcBorders>
            <w:shd w:val="clear" w:color="000000" w:fill="DCE6F1"/>
            <w:vAlign w:val="center"/>
            <w:hideMark/>
          </w:tcPr>
          <w:p w14:paraId="6D59A0C4" w14:textId="77777777" w:rsidR="00676C25" w:rsidRPr="00D35C6A" w:rsidRDefault="00676C25" w:rsidP="00676C25">
            <w:pPr>
              <w:jc w:val="center"/>
              <w:rPr>
                <w:rFonts w:ascii="Calibri" w:eastAsia="Times New Roman" w:hAnsi="Calibri" w:cs="Times New Roman"/>
                <w:szCs w:val="20"/>
              </w:rPr>
            </w:pPr>
            <w:r w:rsidRPr="00D35C6A">
              <w:rPr>
                <w:rFonts w:ascii="Calibri" w:eastAsia="Times New Roman" w:hAnsi="Calibri" w:cs="Times New Roman"/>
                <w:szCs w:val="20"/>
              </w:rPr>
              <w:t>En application</w:t>
            </w:r>
          </w:p>
        </w:tc>
      </w:tr>
      <w:tr w:rsidR="00676C25" w:rsidRPr="00D35C6A" w14:paraId="0FE3408E" w14:textId="77777777" w:rsidTr="00676C25">
        <w:trPr>
          <w:trHeight w:val="860"/>
        </w:trPr>
        <w:tc>
          <w:tcPr>
            <w:tcW w:w="1960" w:type="dxa"/>
            <w:vMerge/>
            <w:tcBorders>
              <w:top w:val="nil"/>
              <w:left w:val="single" w:sz="8" w:space="0" w:color="FFFFFF"/>
              <w:bottom w:val="single" w:sz="8" w:space="0" w:color="FFFFFF"/>
              <w:right w:val="single" w:sz="8" w:space="0" w:color="FFFFFF"/>
            </w:tcBorders>
            <w:vAlign w:val="center"/>
            <w:hideMark/>
          </w:tcPr>
          <w:p w14:paraId="2ABA834A" w14:textId="77777777" w:rsidR="00676C25" w:rsidRPr="00D35C6A" w:rsidRDefault="00676C25" w:rsidP="00676C25">
            <w:pPr>
              <w:jc w:val="left"/>
              <w:rPr>
                <w:rFonts w:ascii="Calibri" w:eastAsia="Times New Roman" w:hAnsi="Calibri" w:cs="Times New Roman"/>
                <w:szCs w:val="20"/>
              </w:rPr>
            </w:pPr>
          </w:p>
        </w:tc>
        <w:tc>
          <w:tcPr>
            <w:tcW w:w="1300" w:type="dxa"/>
            <w:vMerge/>
            <w:tcBorders>
              <w:top w:val="nil"/>
              <w:left w:val="single" w:sz="8" w:space="0" w:color="FFFFFF"/>
              <w:bottom w:val="single" w:sz="8" w:space="0" w:color="FFFFFF"/>
              <w:right w:val="single" w:sz="8" w:space="0" w:color="FFFFFF"/>
            </w:tcBorders>
            <w:vAlign w:val="center"/>
            <w:hideMark/>
          </w:tcPr>
          <w:p w14:paraId="504B6747" w14:textId="77777777" w:rsidR="00676C25" w:rsidRPr="00D35C6A" w:rsidRDefault="00676C25" w:rsidP="00676C25">
            <w:pPr>
              <w:jc w:val="left"/>
              <w:rPr>
                <w:rFonts w:ascii="Calibri" w:eastAsia="Times New Roman" w:hAnsi="Calibri" w:cs="Times New Roman"/>
                <w:szCs w:val="20"/>
              </w:rPr>
            </w:pPr>
          </w:p>
        </w:tc>
        <w:tc>
          <w:tcPr>
            <w:tcW w:w="2100" w:type="dxa"/>
            <w:tcBorders>
              <w:top w:val="nil"/>
              <w:left w:val="nil"/>
              <w:bottom w:val="single" w:sz="8" w:space="0" w:color="FFFFFF"/>
              <w:right w:val="single" w:sz="8" w:space="0" w:color="FFFFFF"/>
            </w:tcBorders>
            <w:shd w:val="clear" w:color="000000" w:fill="DCE6F1"/>
            <w:vAlign w:val="center"/>
            <w:hideMark/>
          </w:tcPr>
          <w:p w14:paraId="77C5EDE0" w14:textId="77777777" w:rsidR="00676C25" w:rsidRPr="00D35C6A" w:rsidRDefault="00676C25" w:rsidP="00676C25">
            <w:pPr>
              <w:jc w:val="center"/>
              <w:rPr>
                <w:rFonts w:ascii="Calibri" w:eastAsia="Times New Roman" w:hAnsi="Calibri" w:cs="Times New Roman"/>
                <w:szCs w:val="20"/>
              </w:rPr>
            </w:pPr>
            <w:r w:rsidRPr="00D35C6A">
              <w:rPr>
                <w:rFonts w:ascii="Calibri" w:eastAsia="Times New Roman" w:hAnsi="Calibri" w:cs="Times New Roman"/>
                <w:szCs w:val="20"/>
              </w:rPr>
              <w:t>Europe (Allemagne, Belgique, Irlande, Royaume-Uni, Suisse)</w:t>
            </w:r>
          </w:p>
        </w:tc>
        <w:tc>
          <w:tcPr>
            <w:tcW w:w="1300" w:type="dxa"/>
            <w:tcBorders>
              <w:top w:val="nil"/>
              <w:left w:val="nil"/>
              <w:bottom w:val="single" w:sz="8" w:space="0" w:color="FFFFFF"/>
              <w:right w:val="single" w:sz="8" w:space="0" w:color="FFFFFF"/>
            </w:tcBorders>
            <w:shd w:val="clear" w:color="000000" w:fill="DCE6F1"/>
            <w:vAlign w:val="center"/>
            <w:hideMark/>
          </w:tcPr>
          <w:p w14:paraId="7F439778" w14:textId="77777777" w:rsidR="00676C25" w:rsidRPr="00D35C6A" w:rsidRDefault="00676C25" w:rsidP="00676C25">
            <w:pPr>
              <w:jc w:val="center"/>
              <w:rPr>
                <w:rFonts w:ascii="Calibri" w:eastAsia="Times New Roman" w:hAnsi="Calibri" w:cs="Times New Roman"/>
                <w:szCs w:val="20"/>
              </w:rPr>
            </w:pPr>
            <w:r w:rsidRPr="00D35C6A">
              <w:rPr>
                <w:rFonts w:ascii="Calibri" w:eastAsia="Times New Roman" w:hAnsi="Calibri" w:cs="Times New Roman"/>
                <w:szCs w:val="20"/>
              </w:rPr>
              <w:t>25/03/11</w:t>
            </w:r>
          </w:p>
        </w:tc>
        <w:tc>
          <w:tcPr>
            <w:tcW w:w="1840" w:type="dxa"/>
            <w:tcBorders>
              <w:top w:val="nil"/>
              <w:left w:val="nil"/>
              <w:bottom w:val="single" w:sz="8" w:space="0" w:color="FFFFFF"/>
              <w:right w:val="single" w:sz="8" w:space="0" w:color="FFFFFF"/>
            </w:tcBorders>
            <w:shd w:val="clear" w:color="000000" w:fill="DCE6F1"/>
            <w:vAlign w:val="center"/>
            <w:hideMark/>
          </w:tcPr>
          <w:p w14:paraId="5F16C26A" w14:textId="77777777" w:rsidR="00676C25" w:rsidRPr="00D35C6A" w:rsidRDefault="00676C25" w:rsidP="00676C25">
            <w:pPr>
              <w:jc w:val="center"/>
              <w:rPr>
                <w:rFonts w:ascii="Calibri" w:eastAsia="Times New Roman" w:hAnsi="Calibri" w:cs="Times New Roman"/>
                <w:szCs w:val="20"/>
              </w:rPr>
            </w:pPr>
            <w:r w:rsidRPr="00D35C6A">
              <w:rPr>
                <w:rFonts w:ascii="Calibri" w:eastAsia="Times New Roman" w:hAnsi="Calibri" w:cs="Times New Roman"/>
                <w:szCs w:val="20"/>
              </w:rPr>
              <w:t>EP11305335.9</w:t>
            </w:r>
          </w:p>
        </w:tc>
        <w:tc>
          <w:tcPr>
            <w:tcW w:w="1960" w:type="dxa"/>
            <w:tcBorders>
              <w:top w:val="nil"/>
              <w:left w:val="nil"/>
              <w:bottom w:val="single" w:sz="8" w:space="0" w:color="FFFFFF"/>
              <w:right w:val="single" w:sz="8" w:space="0" w:color="FFFFFF"/>
            </w:tcBorders>
            <w:shd w:val="clear" w:color="000000" w:fill="DCE6F1"/>
            <w:vAlign w:val="center"/>
            <w:hideMark/>
          </w:tcPr>
          <w:p w14:paraId="072D4509" w14:textId="77777777" w:rsidR="00676C25" w:rsidRPr="00D35C6A" w:rsidRDefault="00676C25" w:rsidP="00676C25">
            <w:pPr>
              <w:jc w:val="center"/>
              <w:rPr>
                <w:rFonts w:ascii="Calibri" w:eastAsia="Times New Roman" w:hAnsi="Calibri" w:cs="Times New Roman"/>
                <w:szCs w:val="20"/>
              </w:rPr>
            </w:pPr>
            <w:r w:rsidRPr="00D35C6A">
              <w:rPr>
                <w:rFonts w:ascii="Calibri" w:eastAsia="Times New Roman" w:hAnsi="Calibri" w:cs="Times New Roman"/>
                <w:szCs w:val="20"/>
              </w:rPr>
              <w:t>2368528</w:t>
            </w:r>
          </w:p>
        </w:tc>
        <w:tc>
          <w:tcPr>
            <w:tcW w:w="1300" w:type="dxa"/>
            <w:tcBorders>
              <w:top w:val="nil"/>
              <w:left w:val="nil"/>
              <w:bottom w:val="single" w:sz="8" w:space="0" w:color="FFFFFF"/>
              <w:right w:val="single" w:sz="8" w:space="0" w:color="FFFFFF"/>
            </w:tcBorders>
            <w:shd w:val="clear" w:color="000000" w:fill="DCE6F1"/>
            <w:vAlign w:val="center"/>
            <w:hideMark/>
          </w:tcPr>
          <w:p w14:paraId="6EBE2CA7" w14:textId="77777777" w:rsidR="00676C25" w:rsidRPr="00D35C6A" w:rsidRDefault="00676C25" w:rsidP="00676C25">
            <w:pPr>
              <w:jc w:val="center"/>
              <w:rPr>
                <w:rFonts w:ascii="Calibri" w:eastAsia="Times New Roman" w:hAnsi="Calibri" w:cs="Times New Roman"/>
                <w:szCs w:val="20"/>
              </w:rPr>
            </w:pPr>
            <w:r w:rsidRPr="00D35C6A">
              <w:rPr>
                <w:rFonts w:ascii="Calibri" w:eastAsia="Times New Roman" w:hAnsi="Calibri" w:cs="Times New Roman"/>
                <w:szCs w:val="20"/>
              </w:rPr>
              <w:t>08/07/15</w:t>
            </w:r>
          </w:p>
        </w:tc>
        <w:tc>
          <w:tcPr>
            <w:tcW w:w="2280" w:type="dxa"/>
            <w:tcBorders>
              <w:top w:val="nil"/>
              <w:left w:val="nil"/>
              <w:bottom w:val="single" w:sz="8" w:space="0" w:color="FFFFFF"/>
              <w:right w:val="single" w:sz="8" w:space="0" w:color="FFFFFF"/>
            </w:tcBorders>
            <w:shd w:val="clear" w:color="000000" w:fill="DCE6F1"/>
            <w:vAlign w:val="center"/>
            <w:hideMark/>
          </w:tcPr>
          <w:p w14:paraId="10C40053" w14:textId="77777777" w:rsidR="00676C25" w:rsidRPr="00D35C6A" w:rsidRDefault="00676C25" w:rsidP="00676C25">
            <w:pPr>
              <w:jc w:val="center"/>
              <w:rPr>
                <w:rFonts w:ascii="Calibri" w:eastAsia="Times New Roman" w:hAnsi="Calibri" w:cs="Times New Roman"/>
                <w:szCs w:val="20"/>
              </w:rPr>
            </w:pPr>
            <w:r w:rsidRPr="00D35C6A">
              <w:rPr>
                <w:rFonts w:ascii="Calibri" w:eastAsia="Times New Roman" w:hAnsi="Calibri" w:cs="Times New Roman"/>
                <w:szCs w:val="20"/>
              </w:rPr>
              <w:t>2368528</w:t>
            </w:r>
          </w:p>
        </w:tc>
        <w:tc>
          <w:tcPr>
            <w:tcW w:w="1554" w:type="dxa"/>
            <w:tcBorders>
              <w:top w:val="nil"/>
              <w:left w:val="nil"/>
              <w:bottom w:val="single" w:sz="8" w:space="0" w:color="FFFFFF"/>
              <w:right w:val="single" w:sz="8" w:space="0" w:color="FFFFFF"/>
            </w:tcBorders>
            <w:shd w:val="clear" w:color="000000" w:fill="DCE6F1"/>
            <w:vAlign w:val="center"/>
            <w:hideMark/>
          </w:tcPr>
          <w:p w14:paraId="4A4D3B28" w14:textId="77777777" w:rsidR="00676C25" w:rsidRPr="00D35C6A" w:rsidRDefault="00676C25" w:rsidP="00676C25">
            <w:pPr>
              <w:jc w:val="center"/>
              <w:rPr>
                <w:rFonts w:ascii="Calibri" w:eastAsia="Times New Roman" w:hAnsi="Calibri" w:cs="Times New Roman"/>
                <w:szCs w:val="20"/>
              </w:rPr>
            </w:pPr>
            <w:r w:rsidRPr="00D35C6A">
              <w:rPr>
                <w:rFonts w:ascii="Calibri" w:eastAsia="Times New Roman" w:hAnsi="Calibri" w:cs="Times New Roman"/>
                <w:szCs w:val="20"/>
              </w:rPr>
              <w:t>En application</w:t>
            </w:r>
          </w:p>
        </w:tc>
      </w:tr>
      <w:tr w:rsidR="00676C25" w:rsidRPr="00D35C6A" w14:paraId="4A645685" w14:textId="77777777" w:rsidTr="00676C25">
        <w:trPr>
          <w:trHeight w:val="320"/>
        </w:trPr>
        <w:tc>
          <w:tcPr>
            <w:tcW w:w="1960" w:type="dxa"/>
            <w:vMerge w:val="restart"/>
            <w:tcBorders>
              <w:top w:val="nil"/>
              <w:left w:val="single" w:sz="8" w:space="0" w:color="FFFFFF"/>
              <w:bottom w:val="single" w:sz="8" w:space="0" w:color="FFFFFF"/>
              <w:right w:val="single" w:sz="8" w:space="0" w:color="FFFFFF"/>
            </w:tcBorders>
            <w:shd w:val="clear" w:color="000000" w:fill="DCE6F1"/>
            <w:vAlign w:val="center"/>
            <w:hideMark/>
          </w:tcPr>
          <w:p w14:paraId="1C3044F4" w14:textId="77777777" w:rsidR="00676C25" w:rsidRPr="00D35C6A" w:rsidRDefault="00676C25" w:rsidP="00676C25">
            <w:pPr>
              <w:jc w:val="center"/>
              <w:rPr>
                <w:rFonts w:ascii="Calibri" w:eastAsia="Times New Roman" w:hAnsi="Calibri" w:cs="Times New Roman"/>
                <w:szCs w:val="20"/>
              </w:rPr>
            </w:pPr>
            <w:r w:rsidRPr="00D35C6A">
              <w:rPr>
                <w:rFonts w:ascii="Calibri" w:eastAsia="Times New Roman" w:hAnsi="Calibri" w:cs="Times New Roman"/>
                <w:szCs w:val="20"/>
              </w:rPr>
              <w:t>CORRECTION DE COLONNE (MONT BLANC 3D+)</w:t>
            </w:r>
          </w:p>
        </w:tc>
        <w:tc>
          <w:tcPr>
            <w:tcW w:w="1300" w:type="dxa"/>
            <w:vMerge w:val="restart"/>
            <w:tcBorders>
              <w:top w:val="nil"/>
              <w:left w:val="single" w:sz="8" w:space="0" w:color="FFFFFF"/>
              <w:bottom w:val="single" w:sz="8" w:space="0" w:color="FFFFFF"/>
              <w:right w:val="single" w:sz="8" w:space="0" w:color="FFFFFF"/>
            </w:tcBorders>
            <w:shd w:val="clear" w:color="000000" w:fill="DCE6F1"/>
            <w:vAlign w:val="center"/>
            <w:hideMark/>
          </w:tcPr>
          <w:p w14:paraId="02D2156B" w14:textId="77777777" w:rsidR="00676C25" w:rsidRPr="00D35C6A" w:rsidRDefault="00676C25" w:rsidP="00676C25">
            <w:pPr>
              <w:jc w:val="center"/>
              <w:rPr>
                <w:rFonts w:ascii="Calibri" w:eastAsia="Times New Roman" w:hAnsi="Calibri" w:cs="Times New Roman"/>
                <w:szCs w:val="20"/>
              </w:rPr>
            </w:pPr>
            <w:r w:rsidRPr="00D35C6A">
              <w:rPr>
                <w:rFonts w:ascii="Calibri" w:eastAsia="Times New Roman" w:hAnsi="Calibri" w:cs="Times New Roman"/>
                <w:szCs w:val="20"/>
              </w:rPr>
              <w:t>Spineway</w:t>
            </w:r>
          </w:p>
        </w:tc>
        <w:tc>
          <w:tcPr>
            <w:tcW w:w="2100" w:type="dxa"/>
            <w:tcBorders>
              <w:top w:val="nil"/>
              <w:left w:val="nil"/>
              <w:bottom w:val="single" w:sz="8" w:space="0" w:color="FFFFFF"/>
              <w:right w:val="single" w:sz="8" w:space="0" w:color="FFFFFF"/>
            </w:tcBorders>
            <w:shd w:val="clear" w:color="000000" w:fill="DCE6F1"/>
            <w:vAlign w:val="center"/>
            <w:hideMark/>
          </w:tcPr>
          <w:p w14:paraId="508C5601" w14:textId="77777777" w:rsidR="00676C25" w:rsidRPr="00D35C6A" w:rsidRDefault="00676C25" w:rsidP="00676C25">
            <w:pPr>
              <w:jc w:val="center"/>
              <w:rPr>
                <w:rFonts w:ascii="Calibri" w:eastAsia="Times New Roman" w:hAnsi="Calibri" w:cs="Times New Roman"/>
                <w:color w:val="000000"/>
                <w:szCs w:val="20"/>
              </w:rPr>
            </w:pPr>
            <w:r w:rsidRPr="00D35C6A">
              <w:rPr>
                <w:rFonts w:ascii="Calibri" w:eastAsia="Times New Roman" w:hAnsi="Calibri" w:cs="Times New Roman"/>
                <w:color w:val="000000"/>
                <w:szCs w:val="20"/>
              </w:rPr>
              <w:t>France</w:t>
            </w:r>
          </w:p>
        </w:tc>
        <w:tc>
          <w:tcPr>
            <w:tcW w:w="1300" w:type="dxa"/>
            <w:tcBorders>
              <w:top w:val="nil"/>
              <w:left w:val="nil"/>
              <w:bottom w:val="single" w:sz="8" w:space="0" w:color="FFFFFF"/>
              <w:right w:val="single" w:sz="8" w:space="0" w:color="FFFFFF"/>
            </w:tcBorders>
            <w:shd w:val="clear" w:color="000000" w:fill="DCE6F1"/>
            <w:vAlign w:val="center"/>
            <w:hideMark/>
          </w:tcPr>
          <w:p w14:paraId="32CC3DAE" w14:textId="77777777" w:rsidR="00676C25" w:rsidRPr="00D35C6A" w:rsidRDefault="00676C25" w:rsidP="00676C25">
            <w:pPr>
              <w:jc w:val="center"/>
              <w:rPr>
                <w:rFonts w:ascii="Calibri" w:eastAsia="Times New Roman" w:hAnsi="Calibri" w:cs="Times New Roman"/>
                <w:szCs w:val="20"/>
              </w:rPr>
            </w:pPr>
            <w:r w:rsidRPr="00D35C6A">
              <w:rPr>
                <w:rFonts w:ascii="Calibri" w:eastAsia="Times New Roman" w:hAnsi="Calibri" w:cs="Times New Roman"/>
                <w:szCs w:val="20"/>
              </w:rPr>
              <w:t>18/02/11</w:t>
            </w:r>
          </w:p>
        </w:tc>
        <w:tc>
          <w:tcPr>
            <w:tcW w:w="1840" w:type="dxa"/>
            <w:tcBorders>
              <w:top w:val="nil"/>
              <w:left w:val="nil"/>
              <w:bottom w:val="single" w:sz="8" w:space="0" w:color="FFFFFF"/>
              <w:right w:val="single" w:sz="8" w:space="0" w:color="FFFFFF"/>
            </w:tcBorders>
            <w:shd w:val="clear" w:color="000000" w:fill="DCE6F1"/>
            <w:vAlign w:val="center"/>
            <w:hideMark/>
          </w:tcPr>
          <w:p w14:paraId="60671A78" w14:textId="77777777" w:rsidR="00676C25" w:rsidRPr="00D35C6A" w:rsidRDefault="00676C25" w:rsidP="00676C25">
            <w:pPr>
              <w:jc w:val="center"/>
              <w:rPr>
                <w:rFonts w:ascii="Calibri" w:eastAsia="Times New Roman" w:hAnsi="Calibri" w:cs="Times New Roman"/>
                <w:szCs w:val="20"/>
              </w:rPr>
            </w:pPr>
            <w:r w:rsidRPr="00D35C6A">
              <w:rPr>
                <w:rFonts w:ascii="Calibri" w:eastAsia="Times New Roman" w:hAnsi="Calibri" w:cs="Times New Roman"/>
                <w:szCs w:val="20"/>
              </w:rPr>
              <w:t>1151331</w:t>
            </w:r>
          </w:p>
        </w:tc>
        <w:tc>
          <w:tcPr>
            <w:tcW w:w="1960" w:type="dxa"/>
            <w:tcBorders>
              <w:top w:val="nil"/>
              <w:left w:val="nil"/>
              <w:bottom w:val="single" w:sz="8" w:space="0" w:color="FFFFFF"/>
              <w:right w:val="single" w:sz="8" w:space="0" w:color="FFFFFF"/>
            </w:tcBorders>
            <w:shd w:val="clear" w:color="000000" w:fill="DCE6F1"/>
            <w:vAlign w:val="center"/>
            <w:hideMark/>
          </w:tcPr>
          <w:p w14:paraId="6E6F5AC3" w14:textId="77777777" w:rsidR="00676C25" w:rsidRPr="00D35C6A" w:rsidRDefault="00676C25" w:rsidP="00676C25">
            <w:pPr>
              <w:jc w:val="center"/>
              <w:rPr>
                <w:rFonts w:ascii="Calibri" w:eastAsia="Times New Roman" w:hAnsi="Calibri" w:cs="Times New Roman"/>
                <w:szCs w:val="20"/>
              </w:rPr>
            </w:pPr>
            <w:r w:rsidRPr="00D35C6A">
              <w:rPr>
                <w:rFonts w:ascii="Calibri" w:eastAsia="Times New Roman" w:hAnsi="Calibri" w:cs="Times New Roman"/>
                <w:szCs w:val="20"/>
              </w:rPr>
              <w:t>2971698</w:t>
            </w:r>
          </w:p>
        </w:tc>
        <w:tc>
          <w:tcPr>
            <w:tcW w:w="1300" w:type="dxa"/>
            <w:tcBorders>
              <w:top w:val="nil"/>
              <w:left w:val="nil"/>
              <w:bottom w:val="single" w:sz="8" w:space="0" w:color="FFFFFF"/>
              <w:right w:val="single" w:sz="8" w:space="0" w:color="FFFFFF"/>
            </w:tcBorders>
            <w:shd w:val="clear" w:color="000000" w:fill="DCE6F1"/>
            <w:vAlign w:val="center"/>
            <w:hideMark/>
          </w:tcPr>
          <w:p w14:paraId="40F9DDA1" w14:textId="77777777" w:rsidR="00676C25" w:rsidRPr="00D35C6A" w:rsidRDefault="00676C25" w:rsidP="00676C25">
            <w:pPr>
              <w:jc w:val="center"/>
              <w:rPr>
                <w:rFonts w:ascii="Calibri" w:eastAsia="Times New Roman" w:hAnsi="Calibri" w:cs="Times New Roman"/>
                <w:szCs w:val="20"/>
              </w:rPr>
            </w:pPr>
            <w:r w:rsidRPr="00D35C6A">
              <w:rPr>
                <w:rFonts w:ascii="Calibri" w:eastAsia="Times New Roman" w:hAnsi="Calibri" w:cs="Times New Roman"/>
                <w:szCs w:val="20"/>
              </w:rPr>
              <w:t>24/01/14</w:t>
            </w:r>
          </w:p>
        </w:tc>
        <w:tc>
          <w:tcPr>
            <w:tcW w:w="2280" w:type="dxa"/>
            <w:tcBorders>
              <w:top w:val="nil"/>
              <w:left w:val="nil"/>
              <w:bottom w:val="single" w:sz="8" w:space="0" w:color="FFFFFF"/>
              <w:right w:val="single" w:sz="8" w:space="0" w:color="FFFFFF"/>
            </w:tcBorders>
            <w:shd w:val="clear" w:color="000000" w:fill="DCE6F1"/>
            <w:vAlign w:val="center"/>
            <w:hideMark/>
          </w:tcPr>
          <w:p w14:paraId="4CB84DD1" w14:textId="77777777" w:rsidR="00676C25" w:rsidRPr="00D35C6A" w:rsidRDefault="00676C25" w:rsidP="00676C25">
            <w:pPr>
              <w:jc w:val="center"/>
              <w:rPr>
                <w:rFonts w:ascii="Calibri" w:eastAsia="Times New Roman" w:hAnsi="Calibri" w:cs="Times New Roman"/>
                <w:szCs w:val="20"/>
              </w:rPr>
            </w:pPr>
            <w:r w:rsidRPr="00D35C6A">
              <w:rPr>
                <w:rFonts w:ascii="Calibri" w:eastAsia="Times New Roman" w:hAnsi="Calibri" w:cs="Times New Roman"/>
                <w:szCs w:val="20"/>
              </w:rPr>
              <w:t>1151331</w:t>
            </w:r>
          </w:p>
        </w:tc>
        <w:tc>
          <w:tcPr>
            <w:tcW w:w="1554" w:type="dxa"/>
            <w:tcBorders>
              <w:top w:val="nil"/>
              <w:left w:val="nil"/>
              <w:bottom w:val="single" w:sz="8" w:space="0" w:color="FFFFFF"/>
              <w:right w:val="single" w:sz="8" w:space="0" w:color="FFFFFF"/>
            </w:tcBorders>
            <w:shd w:val="clear" w:color="000000" w:fill="DCE6F1"/>
            <w:vAlign w:val="center"/>
            <w:hideMark/>
          </w:tcPr>
          <w:p w14:paraId="558E2D15" w14:textId="77777777" w:rsidR="00676C25" w:rsidRPr="00D35C6A" w:rsidRDefault="00676C25" w:rsidP="00676C25">
            <w:pPr>
              <w:jc w:val="center"/>
              <w:rPr>
                <w:rFonts w:ascii="Calibri" w:eastAsia="Times New Roman" w:hAnsi="Calibri" w:cs="Times New Roman"/>
                <w:szCs w:val="20"/>
              </w:rPr>
            </w:pPr>
            <w:r w:rsidRPr="00D35C6A">
              <w:rPr>
                <w:rFonts w:ascii="Calibri" w:eastAsia="Times New Roman" w:hAnsi="Calibri" w:cs="Times New Roman"/>
                <w:szCs w:val="20"/>
              </w:rPr>
              <w:t>En application</w:t>
            </w:r>
          </w:p>
        </w:tc>
      </w:tr>
      <w:tr w:rsidR="00676C25" w:rsidRPr="00D35C6A" w14:paraId="69F7F234" w14:textId="77777777" w:rsidTr="00676C25">
        <w:trPr>
          <w:trHeight w:val="860"/>
        </w:trPr>
        <w:tc>
          <w:tcPr>
            <w:tcW w:w="1960" w:type="dxa"/>
            <w:vMerge/>
            <w:tcBorders>
              <w:top w:val="nil"/>
              <w:left w:val="single" w:sz="8" w:space="0" w:color="FFFFFF"/>
              <w:bottom w:val="single" w:sz="8" w:space="0" w:color="FFFFFF"/>
              <w:right w:val="single" w:sz="8" w:space="0" w:color="FFFFFF"/>
            </w:tcBorders>
            <w:vAlign w:val="center"/>
            <w:hideMark/>
          </w:tcPr>
          <w:p w14:paraId="065808A2" w14:textId="77777777" w:rsidR="00676C25" w:rsidRPr="00D35C6A" w:rsidRDefault="00676C25" w:rsidP="00676C25">
            <w:pPr>
              <w:jc w:val="left"/>
              <w:rPr>
                <w:rFonts w:ascii="Calibri" w:eastAsia="Times New Roman" w:hAnsi="Calibri" w:cs="Times New Roman"/>
                <w:szCs w:val="20"/>
              </w:rPr>
            </w:pPr>
          </w:p>
        </w:tc>
        <w:tc>
          <w:tcPr>
            <w:tcW w:w="1300" w:type="dxa"/>
            <w:vMerge/>
            <w:tcBorders>
              <w:top w:val="nil"/>
              <w:left w:val="single" w:sz="8" w:space="0" w:color="FFFFFF"/>
              <w:bottom w:val="single" w:sz="8" w:space="0" w:color="FFFFFF"/>
              <w:right w:val="single" w:sz="8" w:space="0" w:color="FFFFFF"/>
            </w:tcBorders>
            <w:vAlign w:val="center"/>
            <w:hideMark/>
          </w:tcPr>
          <w:p w14:paraId="7A4FD9EF" w14:textId="77777777" w:rsidR="00676C25" w:rsidRPr="00D35C6A" w:rsidRDefault="00676C25" w:rsidP="00676C25">
            <w:pPr>
              <w:jc w:val="left"/>
              <w:rPr>
                <w:rFonts w:ascii="Calibri" w:eastAsia="Times New Roman" w:hAnsi="Calibri" w:cs="Times New Roman"/>
                <w:szCs w:val="20"/>
              </w:rPr>
            </w:pPr>
          </w:p>
        </w:tc>
        <w:tc>
          <w:tcPr>
            <w:tcW w:w="2100" w:type="dxa"/>
            <w:tcBorders>
              <w:top w:val="nil"/>
              <w:left w:val="nil"/>
              <w:bottom w:val="single" w:sz="8" w:space="0" w:color="FFFFFF"/>
              <w:right w:val="single" w:sz="8" w:space="0" w:color="FFFFFF"/>
            </w:tcBorders>
            <w:shd w:val="clear" w:color="000000" w:fill="DCE6F1"/>
            <w:vAlign w:val="center"/>
            <w:hideMark/>
          </w:tcPr>
          <w:p w14:paraId="646890AC" w14:textId="77777777" w:rsidR="00676C25" w:rsidRPr="00D35C6A" w:rsidRDefault="00676C25" w:rsidP="00676C25">
            <w:pPr>
              <w:jc w:val="center"/>
              <w:rPr>
                <w:rFonts w:ascii="Calibri" w:eastAsia="Times New Roman" w:hAnsi="Calibri" w:cs="Times New Roman"/>
                <w:szCs w:val="20"/>
              </w:rPr>
            </w:pPr>
            <w:r w:rsidRPr="00D35C6A">
              <w:rPr>
                <w:rFonts w:ascii="Calibri" w:eastAsia="Times New Roman" w:hAnsi="Calibri" w:cs="Times New Roman"/>
                <w:szCs w:val="20"/>
              </w:rPr>
              <w:t>Europe (France, Allemagne, Espagne, Royaume-Uni)</w:t>
            </w:r>
          </w:p>
        </w:tc>
        <w:tc>
          <w:tcPr>
            <w:tcW w:w="1300" w:type="dxa"/>
            <w:tcBorders>
              <w:top w:val="nil"/>
              <w:left w:val="nil"/>
              <w:bottom w:val="single" w:sz="8" w:space="0" w:color="FFFFFF"/>
              <w:right w:val="single" w:sz="8" w:space="0" w:color="FFFFFF"/>
            </w:tcBorders>
            <w:shd w:val="clear" w:color="000000" w:fill="DCE6F1"/>
            <w:vAlign w:val="center"/>
            <w:hideMark/>
          </w:tcPr>
          <w:p w14:paraId="1A82F13A" w14:textId="77777777" w:rsidR="00676C25" w:rsidRPr="00D35C6A" w:rsidRDefault="00676C25" w:rsidP="00676C25">
            <w:pPr>
              <w:jc w:val="center"/>
              <w:rPr>
                <w:rFonts w:ascii="Calibri" w:eastAsia="Times New Roman" w:hAnsi="Calibri" w:cs="Times New Roman"/>
                <w:szCs w:val="20"/>
              </w:rPr>
            </w:pPr>
            <w:r w:rsidRPr="00D35C6A">
              <w:rPr>
                <w:rFonts w:ascii="Calibri" w:eastAsia="Times New Roman" w:hAnsi="Calibri" w:cs="Times New Roman"/>
                <w:szCs w:val="20"/>
              </w:rPr>
              <w:t>13/02/12</w:t>
            </w:r>
          </w:p>
        </w:tc>
        <w:tc>
          <w:tcPr>
            <w:tcW w:w="1840" w:type="dxa"/>
            <w:tcBorders>
              <w:top w:val="nil"/>
              <w:left w:val="nil"/>
              <w:bottom w:val="single" w:sz="8" w:space="0" w:color="FFFFFF"/>
              <w:right w:val="single" w:sz="8" w:space="0" w:color="FFFFFF"/>
            </w:tcBorders>
            <w:shd w:val="clear" w:color="000000" w:fill="DCE6F1"/>
            <w:vAlign w:val="center"/>
            <w:hideMark/>
          </w:tcPr>
          <w:p w14:paraId="2C6CF046" w14:textId="77777777" w:rsidR="00676C25" w:rsidRPr="00D35C6A" w:rsidRDefault="00676C25" w:rsidP="00676C25">
            <w:pPr>
              <w:jc w:val="center"/>
              <w:rPr>
                <w:rFonts w:ascii="Calibri" w:eastAsia="Times New Roman" w:hAnsi="Calibri" w:cs="Times New Roman"/>
                <w:szCs w:val="20"/>
              </w:rPr>
            </w:pPr>
            <w:r w:rsidRPr="00D35C6A">
              <w:rPr>
                <w:rFonts w:ascii="Calibri" w:eastAsia="Times New Roman" w:hAnsi="Calibri" w:cs="Times New Roman"/>
                <w:szCs w:val="20"/>
              </w:rPr>
              <w:t>12708913.4</w:t>
            </w:r>
          </w:p>
        </w:tc>
        <w:tc>
          <w:tcPr>
            <w:tcW w:w="1960" w:type="dxa"/>
            <w:tcBorders>
              <w:top w:val="nil"/>
              <w:left w:val="nil"/>
              <w:bottom w:val="single" w:sz="8" w:space="0" w:color="FFFFFF"/>
              <w:right w:val="single" w:sz="8" w:space="0" w:color="FFFFFF"/>
            </w:tcBorders>
            <w:shd w:val="clear" w:color="000000" w:fill="DCE6F1"/>
            <w:vAlign w:val="center"/>
            <w:hideMark/>
          </w:tcPr>
          <w:p w14:paraId="6A4A7BBA" w14:textId="77777777" w:rsidR="00676C25" w:rsidRPr="00D35C6A" w:rsidRDefault="00676C25" w:rsidP="00676C25">
            <w:pPr>
              <w:jc w:val="center"/>
              <w:rPr>
                <w:rFonts w:ascii="Calibri" w:eastAsia="Times New Roman" w:hAnsi="Calibri" w:cs="Times New Roman"/>
                <w:szCs w:val="20"/>
              </w:rPr>
            </w:pPr>
            <w:r w:rsidRPr="00D35C6A">
              <w:rPr>
                <w:rFonts w:ascii="Calibri" w:eastAsia="Times New Roman" w:hAnsi="Calibri" w:cs="Times New Roman"/>
                <w:szCs w:val="20"/>
              </w:rPr>
              <w:t>2675375</w:t>
            </w:r>
          </w:p>
        </w:tc>
        <w:tc>
          <w:tcPr>
            <w:tcW w:w="1300" w:type="dxa"/>
            <w:tcBorders>
              <w:top w:val="nil"/>
              <w:left w:val="nil"/>
              <w:bottom w:val="single" w:sz="8" w:space="0" w:color="FFFFFF"/>
              <w:right w:val="single" w:sz="8" w:space="0" w:color="FFFFFF"/>
            </w:tcBorders>
            <w:shd w:val="clear" w:color="000000" w:fill="DCE6F1"/>
            <w:vAlign w:val="center"/>
            <w:hideMark/>
          </w:tcPr>
          <w:p w14:paraId="467987A8" w14:textId="77777777" w:rsidR="00676C25" w:rsidRPr="00D35C6A" w:rsidRDefault="00676C25" w:rsidP="00676C25">
            <w:pPr>
              <w:jc w:val="center"/>
              <w:rPr>
                <w:rFonts w:ascii="Calibri" w:eastAsia="Times New Roman" w:hAnsi="Calibri" w:cs="Times New Roman"/>
                <w:szCs w:val="20"/>
              </w:rPr>
            </w:pPr>
            <w:r w:rsidRPr="00D35C6A">
              <w:rPr>
                <w:rFonts w:ascii="Calibri" w:eastAsia="Times New Roman" w:hAnsi="Calibri" w:cs="Times New Roman"/>
                <w:szCs w:val="20"/>
              </w:rPr>
              <w:t>08/06/16</w:t>
            </w:r>
          </w:p>
        </w:tc>
        <w:tc>
          <w:tcPr>
            <w:tcW w:w="2280" w:type="dxa"/>
            <w:tcBorders>
              <w:top w:val="nil"/>
              <w:left w:val="nil"/>
              <w:bottom w:val="single" w:sz="8" w:space="0" w:color="FFFFFF"/>
              <w:right w:val="single" w:sz="8" w:space="0" w:color="FFFFFF"/>
            </w:tcBorders>
            <w:shd w:val="clear" w:color="000000" w:fill="DCE6F1"/>
            <w:vAlign w:val="center"/>
            <w:hideMark/>
          </w:tcPr>
          <w:p w14:paraId="3F55FFE3" w14:textId="77777777" w:rsidR="00676C25" w:rsidRPr="00D35C6A" w:rsidRDefault="00676C25" w:rsidP="00676C25">
            <w:pPr>
              <w:jc w:val="center"/>
              <w:rPr>
                <w:rFonts w:ascii="Calibri" w:eastAsia="Times New Roman" w:hAnsi="Calibri" w:cs="Times New Roman"/>
                <w:szCs w:val="20"/>
              </w:rPr>
            </w:pPr>
            <w:r w:rsidRPr="00D35C6A">
              <w:rPr>
                <w:rFonts w:ascii="Calibri" w:eastAsia="Times New Roman" w:hAnsi="Calibri" w:cs="Times New Roman"/>
                <w:szCs w:val="20"/>
              </w:rPr>
              <w:t>2675375</w:t>
            </w:r>
          </w:p>
        </w:tc>
        <w:tc>
          <w:tcPr>
            <w:tcW w:w="1554" w:type="dxa"/>
            <w:tcBorders>
              <w:top w:val="nil"/>
              <w:left w:val="nil"/>
              <w:bottom w:val="single" w:sz="8" w:space="0" w:color="FFFFFF"/>
              <w:right w:val="single" w:sz="8" w:space="0" w:color="FFFFFF"/>
            </w:tcBorders>
            <w:shd w:val="clear" w:color="000000" w:fill="DCE6F1"/>
            <w:vAlign w:val="center"/>
            <w:hideMark/>
          </w:tcPr>
          <w:p w14:paraId="614688B8" w14:textId="77777777" w:rsidR="00676C25" w:rsidRPr="00D35C6A" w:rsidRDefault="00676C25" w:rsidP="00676C25">
            <w:pPr>
              <w:jc w:val="center"/>
              <w:rPr>
                <w:rFonts w:ascii="Calibri" w:eastAsia="Times New Roman" w:hAnsi="Calibri" w:cs="Times New Roman"/>
                <w:szCs w:val="20"/>
              </w:rPr>
            </w:pPr>
            <w:r w:rsidRPr="00D35C6A">
              <w:rPr>
                <w:rFonts w:ascii="Calibri" w:eastAsia="Times New Roman" w:hAnsi="Calibri" w:cs="Times New Roman"/>
                <w:szCs w:val="20"/>
              </w:rPr>
              <w:t>En application</w:t>
            </w:r>
          </w:p>
        </w:tc>
      </w:tr>
      <w:tr w:rsidR="00676C25" w:rsidRPr="00D35C6A" w14:paraId="481AA009" w14:textId="77777777" w:rsidTr="00676C25">
        <w:trPr>
          <w:trHeight w:val="320"/>
        </w:trPr>
        <w:tc>
          <w:tcPr>
            <w:tcW w:w="1960" w:type="dxa"/>
            <w:vMerge/>
            <w:tcBorders>
              <w:top w:val="nil"/>
              <w:left w:val="single" w:sz="8" w:space="0" w:color="FFFFFF"/>
              <w:bottom w:val="single" w:sz="8" w:space="0" w:color="FFFFFF"/>
              <w:right w:val="single" w:sz="8" w:space="0" w:color="FFFFFF"/>
            </w:tcBorders>
            <w:vAlign w:val="center"/>
            <w:hideMark/>
          </w:tcPr>
          <w:p w14:paraId="68139C4A" w14:textId="77777777" w:rsidR="00676C25" w:rsidRPr="00D35C6A" w:rsidRDefault="00676C25" w:rsidP="00676C25">
            <w:pPr>
              <w:jc w:val="left"/>
              <w:rPr>
                <w:rFonts w:ascii="Calibri" w:eastAsia="Times New Roman" w:hAnsi="Calibri" w:cs="Times New Roman"/>
                <w:szCs w:val="20"/>
              </w:rPr>
            </w:pPr>
          </w:p>
        </w:tc>
        <w:tc>
          <w:tcPr>
            <w:tcW w:w="1300" w:type="dxa"/>
            <w:vMerge/>
            <w:tcBorders>
              <w:top w:val="nil"/>
              <w:left w:val="single" w:sz="8" w:space="0" w:color="FFFFFF"/>
              <w:bottom w:val="single" w:sz="8" w:space="0" w:color="FFFFFF"/>
              <w:right w:val="single" w:sz="8" w:space="0" w:color="FFFFFF"/>
            </w:tcBorders>
            <w:vAlign w:val="center"/>
            <w:hideMark/>
          </w:tcPr>
          <w:p w14:paraId="535FB632" w14:textId="77777777" w:rsidR="00676C25" w:rsidRPr="00D35C6A" w:rsidRDefault="00676C25" w:rsidP="00676C25">
            <w:pPr>
              <w:jc w:val="left"/>
              <w:rPr>
                <w:rFonts w:ascii="Calibri" w:eastAsia="Times New Roman" w:hAnsi="Calibri" w:cs="Times New Roman"/>
                <w:szCs w:val="20"/>
              </w:rPr>
            </w:pPr>
          </w:p>
        </w:tc>
        <w:tc>
          <w:tcPr>
            <w:tcW w:w="2100" w:type="dxa"/>
            <w:tcBorders>
              <w:top w:val="nil"/>
              <w:left w:val="nil"/>
              <w:bottom w:val="single" w:sz="8" w:space="0" w:color="FFFFFF"/>
              <w:right w:val="single" w:sz="8" w:space="0" w:color="FFFFFF"/>
            </w:tcBorders>
            <w:shd w:val="clear" w:color="000000" w:fill="DCE6F1"/>
            <w:vAlign w:val="center"/>
            <w:hideMark/>
          </w:tcPr>
          <w:p w14:paraId="19DD8AE9" w14:textId="77777777" w:rsidR="00676C25" w:rsidRPr="00D35C6A" w:rsidRDefault="00676C25" w:rsidP="00676C25">
            <w:pPr>
              <w:jc w:val="center"/>
              <w:rPr>
                <w:rFonts w:ascii="Calibri" w:eastAsia="Times New Roman" w:hAnsi="Calibri" w:cs="Times New Roman"/>
                <w:szCs w:val="20"/>
              </w:rPr>
            </w:pPr>
            <w:r w:rsidRPr="00D35C6A">
              <w:rPr>
                <w:rFonts w:ascii="Calibri" w:eastAsia="Times New Roman" w:hAnsi="Calibri" w:cs="Times New Roman"/>
                <w:szCs w:val="20"/>
              </w:rPr>
              <w:t>Brésil</w:t>
            </w:r>
          </w:p>
        </w:tc>
        <w:tc>
          <w:tcPr>
            <w:tcW w:w="1300" w:type="dxa"/>
            <w:tcBorders>
              <w:top w:val="nil"/>
              <w:left w:val="nil"/>
              <w:bottom w:val="single" w:sz="8" w:space="0" w:color="FFFFFF"/>
              <w:right w:val="single" w:sz="8" w:space="0" w:color="FFFFFF"/>
            </w:tcBorders>
            <w:shd w:val="clear" w:color="000000" w:fill="DCE6F1"/>
            <w:vAlign w:val="center"/>
            <w:hideMark/>
          </w:tcPr>
          <w:p w14:paraId="6326D1F4" w14:textId="77777777" w:rsidR="00676C25" w:rsidRPr="00D35C6A" w:rsidRDefault="00676C25" w:rsidP="00676C25">
            <w:pPr>
              <w:jc w:val="center"/>
              <w:rPr>
                <w:rFonts w:ascii="Calibri" w:eastAsia="Times New Roman" w:hAnsi="Calibri" w:cs="Times New Roman"/>
                <w:szCs w:val="20"/>
              </w:rPr>
            </w:pPr>
            <w:r w:rsidRPr="00D35C6A">
              <w:rPr>
                <w:rFonts w:ascii="Calibri" w:eastAsia="Times New Roman" w:hAnsi="Calibri" w:cs="Times New Roman"/>
                <w:szCs w:val="20"/>
              </w:rPr>
              <w:t>13/02/12</w:t>
            </w:r>
          </w:p>
        </w:tc>
        <w:tc>
          <w:tcPr>
            <w:tcW w:w="1840" w:type="dxa"/>
            <w:tcBorders>
              <w:top w:val="nil"/>
              <w:left w:val="nil"/>
              <w:bottom w:val="single" w:sz="8" w:space="0" w:color="FFFFFF"/>
              <w:right w:val="single" w:sz="8" w:space="0" w:color="FFFFFF"/>
            </w:tcBorders>
            <w:shd w:val="clear" w:color="000000" w:fill="DCE6F1"/>
            <w:vAlign w:val="center"/>
            <w:hideMark/>
          </w:tcPr>
          <w:p w14:paraId="63515827" w14:textId="77777777" w:rsidR="00676C25" w:rsidRPr="00D35C6A" w:rsidRDefault="00676C25" w:rsidP="00676C25">
            <w:pPr>
              <w:jc w:val="center"/>
              <w:rPr>
                <w:rFonts w:ascii="Calibri" w:eastAsia="Times New Roman" w:hAnsi="Calibri" w:cs="Times New Roman"/>
                <w:szCs w:val="20"/>
              </w:rPr>
            </w:pPr>
            <w:r w:rsidRPr="00D35C6A">
              <w:rPr>
                <w:rFonts w:ascii="Calibri" w:eastAsia="Times New Roman" w:hAnsi="Calibri" w:cs="Times New Roman"/>
                <w:szCs w:val="20"/>
              </w:rPr>
              <w:t>BR1120130208823.6</w:t>
            </w:r>
          </w:p>
        </w:tc>
        <w:tc>
          <w:tcPr>
            <w:tcW w:w="1960" w:type="dxa"/>
            <w:tcBorders>
              <w:top w:val="nil"/>
              <w:left w:val="nil"/>
              <w:bottom w:val="single" w:sz="8" w:space="0" w:color="FFFFFF"/>
              <w:right w:val="single" w:sz="8" w:space="0" w:color="FFFFFF"/>
            </w:tcBorders>
            <w:shd w:val="clear" w:color="000000" w:fill="DCE6F1"/>
            <w:vAlign w:val="center"/>
            <w:hideMark/>
          </w:tcPr>
          <w:p w14:paraId="42AFBA31" w14:textId="77777777" w:rsidR="00676C25" w:rsidRPr="00D35C6A" w:rsidRDefault="00676C25" w:rsidP="00676C25">
            <w:pPr>
              <w:jc w:val="center"/>
              <w:rPr>
                <w:rFonts w:ascii="Calibri" w:eastAsia="Times New Roman" w:hAnsi="Calibri" w:cs="Times New Roman"/>
                <w:szCs w:val="20"/>
              </w:rPr>
            </w:pPr>
            <w:r w:rsidRPr="00D35C6A">
              <w:rPr>
                <w:rFonts w:ascii="Calibri" w:eastAsia="Times New Roman" w:hAnsi="Calibri" w:cs="Times New Roman"/>
                <w:szCs w:val="20"/>
              </w:rPr>
              <w:t>-</w:t>
            </w:r>
          </w:p>
        </w:tc>
        <w:tc>
          <w:tcPr>
            <w:tcW w:w="1300" w:type="dxa"/>
            <w:tcBorders>
              <w:top w:val="nil"/>
              <w:left w:val="nil"/>
              <w:bottom w:val="single" w:sz="8" w:space="0" w:color="FFFFFF"/>
              <w:right w:val="single" w:sz="8" w:space="0" w:color="FFFFFF"/>
            </w:tcBorders>
            <w:shd w:val="clear" w:color="000000" w:fill="DCE6F1"/>
            <w:vAlign w:val="center"/>
            <w:hideMark/>
          </w:tcPr>
          <w:p w14:paraId="6A86C476" w14:textId="77777777" w:rsidR="00676C25" w:rsidRPr="00D35C6A" w:rsidRDefault="00676C25" w:rsidP="00676C25">
            <w:pPr>
              <w:jc w:val="center"/>
              <w:rPr>
                <w:rFonts w:ascii="Calibri" w:eastAsia="Times New Roman" w:hAnsi="Calibri" w:cs="Times New Roman"/>
                <w:szCs w:val="20"/>
              </w:rPr>
            </w:pPr>
            <w:r w:rsidRPr="00D35C6A">
              <w:rPr>
                <w:rFonts w:ascii="Calibri" w:eastAsia="Times New Roman" w:hAnsi="Calibri" w:cs="Times New Roman"/>
                <w:szCs w:val="20"/>
              </w:rPr>
              <w:t>-</w:t>
            </w:r>
          </w:p>
        </w:tc>
        <w:tc>
          <w:tcPr>
            <w:tcW w:w="2280" w:type="dxa"/>
            <w:tcBorders>
              <w:top w:val="nil"/>
              <w:left w:val="nil"/>
              <w:bottom w:val="single" w:sz="8" w:space="0" w:color="FFFFFF"/>
              <w:right w:val="single" w:sz="8" w:space="0" w:color="FFFFFF"/>
            </w:tcBorders>
            <w:shd w:val="clear" w:color="000000" w:fill="DCE6F1"/>
            <w:vAlign w:val="center"/>
            <w:hideMark/>
          </w:tcPr>
          <w:p w14:paraId="4F2BDAD4" w14:textId="77777777" w:rsidR="00676C25" w:rsidRPr="00D35C6A" w:rsidRDefault="00676C25" w:rsidP="00676C25">
            <w:pPr>
              <w:jc w:val="center"/>
              <w:rPr>
                <w:rFonts w:ascii="Calibri" w:eastAsia="Times New Roman" w:hAnsi="Calibri" w:cs="Times New Roman"/>
                <w:szCs w:val="20"/>
              </w:rPr>
            </w:pPr>
            <w:r w:rsidRPr="00D35C6A">
              <w:rPr>
                <w:rFonts w:ascii="Calibri" w:eastAsia="Times New Roman" w:hAnsi="Calibri" w:cs="Times New Roman"/>
                <w:szCs w:val="20"/>
              </w:rPr>
              <w:t>-</w:t>
            </w:r>
          </w:p>
        </w:tc>
        <w:tc>
          <w:tcPr>
            <w:tcW w:w="1554" w:type="dxa"/>
            <w:tcBorders>
              <w:top w:val="nil"/>
              <w:left w:val="nil"/>
              <w:bottom w:val="single" w:sz="8" w:space="0" w:color="FFFFFF"/>
              <w:right w:val="single" w:sz="8" w:space="0" w:color="FFFFFF"/>
            </w:tcBorders>
            <w:shd w:val="clear" w:color="000000" w:fill="DCE6F1"/>
            <w:vAlign w:val="center"/>
            <w:hideMark/>
          </w:tcPr>
          <w:p w14:paraId="6076C96F" w14:textId="77777777" w:rsidR="00676C25" w:rsidRPr="00D35C6A" w:rsidRDefault="00676C25" w:rsidP="00676C25">
            <w:pPr>
              <w:jc w:val="center"/>
              <w:rPr>
                <w:rFonts w:ascii="Calibri" w:eastAsia="Times New Roman" w:hAnsi="Calibri" w:cs="Times New Roman"/>
                <w:szCs w:val="20"/>
              </w:rPr>
            </w:pPr>
            <w:r w:rsidRPr="00D35C6A">
              <w:rPr>
                <w:rFonts w:ascii="Calibri" w:eastAsia="Times New Roman" w:hAnsi="Calibri" w:cs="Times New Roman"/>
                <w:szCs w:val="20"/>
              </w:rPr>
              <w:t>En application</w:t>
            </w:r>
          </w:p>
        </w:tc>
      </w:tr>
      <w:tr w:rsidR="00676C25" w:rsidRPr="00D35C6A" w14:paraId="72F21054" w14:textId="77777777" w:rsidTr="00676C25">
        <w:trPr>
          <w:trHeight w:val="320"/>
        </w:trPr>
        <w:tc>
          <w:tcPr>
            <w:tcW w:w="1960" w:type="dxa"/>
            <w:vMerge/>
            <w:tcBorders>
              <w:top w:val="nil"/>
              <w:left w:val="single" w:sz="8" w:space="0" w:color="FFFFFF"/>
              <w:bottom w:val="single" w:sz="8" w:space="0" w:color="FFFFFF"/>
              <w:right w:val="single" w:sz="8" w:space="0" w:color="FFFFFF"/>
            </w:tcBorders>
            <w:vAlign w:val="center"/>
            <w:hideMark/>
          </w:tcPr>
          <w:p w14:paraId="407A44A6" w14:textId="77777777" w:rsidR="00676C25" w:rsidRPr="00D35C6A" w:rsidRDefault="00676C25" w:rsidP="00676C25">
            <w:pPr>
              <w:jc w:val="left"/>
              <w:rPr>
                <w:rFonts w:ascii="Calibri" w:eastAsia="Times New Roman" w:hAnsi="Calibri" w:cs="Times New Roman"/>
                <w:szCs w:val="20"/>
              </w:rPr>
            </w:pPr>
          </w:p>
        </w:tc>
        <w:tc>
          <w:tcPr>
            <w:tcW w:w="1300" w:type="dxa"/>
            <w:vMerge/>
            <w:tcBorders>
              <w:top w:val="nil"/>
              <w:left w:val="single" w:sz="8" w:space="0" w:color="FFFFFF"/>
              <w:bottom w:val="single" w:sz="8" w:space="0" w:color="FFFFFF"/>
              <w:right w:val="single" w:sz="8" w:space="0" w:color="FFFFFF"/>
            </w:tcBorders>
            <w:vAlign w:val="center"/>
            <w:hideMark/>
          </w:tcPr>
          <w:p w14:paraId="2DA863CE" w14:textId="77777777" w:rsidR="00676C25" w:rsidRPr="00D35C6A" w:rsidRDefault="00676C25" w:rsidP="00676C25">
            <w:pPr>
              <w:jc w:val="left"/>
              <w:rPr>
                <w:rFonts w:ascii="Calibri" w:eastAsia="Times New Roman" w:hAnsi="Calibri" w:cs="Times New Roman"/>
                <w:szCs w:val="20"/>
              </w:rPr>
            </w:pPr>
          </w:p>
        </w:tc>
        <w:tc>
          <w:tcPr>
            <w:tcW w:w="2100" w:type="dxa"/>
            <w:tcBorders>
              <w:top w:val="nil"/>
              <w:left w:val="nil"/>
              <w:bottom w:val="single" w:sz="8" w:space="0" w:color="FFFFFF"/>
              <w:right w:val="single" w:sz="8" w:space="0" w:color="FFFFFF"/>
            </w:tcBorders>
            <w:shd w:val="clear" w:color="000000" w:fill="DCE6F1"/>
            <w:vAlign w:val="center"/>
            <w:hideMark/>
          </w:tcPr>
          <w:p w14:paraId="3009A4F6" w14:textId="77777777" w:rsidR="00676C25" w:rsidRPr="00D35C6A" w:rsidRDefault="00676C25" w:rsidP="00676C25">
            <w:pPr>
              <w:jc w:val="center"/>
              <w:rPr>
                <w:rFonts w:ascii="Calibri" w:eastAsia="Times New Roman" w:hAnsi="Calibri" w:cs="Times New Roman"/>
                <w:szCs w:val="20"/>
              </w:rPr>
            </w:pPr>
            <w:r w:rsidRPr="00D35C6A">
              <w:rPr>
                <w:rFonts w:ascii="Calibri" w:eastAsia="Times New Roman" w:hAnsi="Calibri" w:cs="Times New Roman"/>
                <w:szCs w:val="20"/>
              </w:rPr>
              <w:t>Chine</w:t>
            </w:r>
          </w:p>
        </w:tc>
        <w:tc>
          <w:tcPr>
            <w:tcW w:w="1300" w:type="dxa"/>
            <w:tcBorders>
              <w:top w:val="nil"/>
              <w:left w:val="nil"/>
              <w:bottom w:val="single" w:sz="8" w:space="0" w:color="FFFFFF"/>
              <w:right w:val="single" w:sz="8" w:space="0" w:color="FFFFFF"/>
            </w:tcBorders>
            <w:shd w:val="clear" w:color="000000" w:fill="DCE6F1"/>
            <w:vAlign w:val="center"/>
            <w:hideMark/>
          </w:tcPr>
          <w:p w14:paraId="7D0A4402" w14:textId="77777777" w:rsidR="00676C25" w:rsidRPr="00D35C6A" w:rsidRDefault="00676C25" w:rsidP="00676C25">
            <w:pPr>
              <w:jc w:val="center"/>
              <w:rPr>
                <w:rFonts w:ascii="Calibri" w:eastAsia="Times New Roman" w:hAnsi="Calibri" w:cs="Times New Roman"/>
                <w:szCs w:val="20"/>
              </w:rPr>
            </w:pPr>
            <w:r w:rsidRPr="00D35C6A">
              <w:rPr>
                <w:rFonts w:ascii="Calibri" w:eastAsia="Times New Roman" w:hAnsi="Calibri" w:cs="Times New Roman"/>
                <w:szCs w:val="20"/>
              </w:rPr>
              <w:t>13/02/12</w:t>
            </w:r>
          </w:p>
        </w:tc>
        <w:tc>
          <w:tcPr>
            <w:tcW w:w="1840" w:type="dxa"/>
            <w:tcBorders>
              <w:top w:val="nil"/>
              <w:left w:val="nil"/>
              <w:bottom w:val="single" w:sz="8" w:space="0" w:color="FFFFFF"/>
              <w:right w:val="single" w:sz="8" w:space="0" w:color="FFFFFF"/>
            </w:tcBorders>
            <w:shd w:val="clear" w:color="000000" w:fill="DCE6F1"/>
            <w:vAlign w:val="center"/>
            <w:hideMark/>
          </w:tcPr>
          <w:p w14:paraId="0DE00E58" w14:textId="77777777" w:rsidR="00676C25" w:rsidRPr="00D35C6A" w:rsidRDefault="00676C25" w:rsidP="00676C25">
            <w:pPr>
              <w:jc w:val="center"/>
              <w:rPr>
                <w:rFonts w:ascii="Calibri" w:eastAsia="Times New Roman" w:hAnsi="Calibri" w:cs="Times New Roman"/>
                <w:szCs w:val="20"/>
              </w:rPr>
            </w:pPr>
            <w:r w:rsidRPr="00D35C6A">
              <w:rPr>
                <w:rFonts w:ascii="Calibri" w:eastAsia="Times New Roman" w:hAnsi="Calibri" w:cs="Times New Roman"/>
                <w:szCs w:val="20"/>
              </w:rPr>
              <w:t>CN201280009496.8</w:t>
            </w:r>
          </w:p>
        </w:tc>
        <w:tc>
          <w:tcPr>
            <w:tcW w:w="1960" w:type="dxa"/>
            <w:tcBorders>
              <w:top w:val="nil"/>
              <w:left w:val="nil"/>
              <w:bottom w:val="single" w:sz="8" w:space="0" w:color="FFFFFF"/>
              <w:right w:val="single" w:sz="8" w:space="0" w:color="FFFFFF"/>
            </w:tcBorders>
            <w:shd w:val="clear" w:color="000000" w:fill="DCE6F1"/>
            <w:vAlign w:val="center"/>
            <w:hideMark/>
          </w:tcPr>
          <w:p w14:paraId="67930522" w14:textId="77777777" w:rsidR="00676C25" w:rsidRPr="00D35C6A" w:rsidRDefault="00676C25" w:rsidP="00676C25">
            <w:pPr>
              <w:jc w:val="center"/>
              <w:rPr>
                <w:rFonts w:ascii="Calibri" w:eastAsia="Times New Roman" w:hAnsi="Calibri" w:cs="Times New Roman"/>
                <w:szCs w:val="20"/>
              </w:rPr>
            </w:pPr>
            <w:r w:rsidRPr="00D35C6A">
              <w:rPr>
                <w:rFonts w:ascii="Calibri" w:eastAsia="Times New Roman" w:hAnsi="Calibri" w:cs="Times New Roman"/>
                <w:szCs w:val="20"/>
              </w:rPr>
              <w:t>CN103442656A</w:t>
            </w:r>
          </w:p>
        </w:tc>
        <w:tc>
          <w:tcPr>
            <w:tcW w:w="1300" w:type="dxa"/>
            <w:tcBorders>
              <w:top w:val="nil"/>
              <w:left w:val="nil"/>
              <w:bottom w:val="single" w:sz="8" w:space="0" w:color="FFFFFF"/>
              <w:right w:val="single" w:sz="8" w:space="0" w:color="FFFFFF"/>
            </w:tcBorders>
            <w:shd w:val="clear" w:color="000000" w:fill="DCE6F1"/>
            <w:vAlign w:val="center"/>
            <w:hideMark/>
          </w:tcPr>
          <w:p w14:paraId="0E38C7EA" w14:textId="77777777" w:rsidR="00676C25" w:rsidRPr="00D35C6A" w:rsidRDefault="00676C25" w:rsidP="00676C25">
            <w:pPr>
              <w:jc w:val="center"/>
              <w:rPr>
                <w:rFonts w:ascii="Calibri" w:eastAsia="Times New Roman" w:hAnsi="Calibri" w:cs="Times New Roman"/>
                <w:szCs w:val="20"/>
              </w:rPr>
            </w:pPr>
            <w:r w:rsidRPr="00D35C6A">
              <w:rPr>
                <w:rFonts w:ascii="Calibri" w:eastAsia="Times New Roman" w:hAnsi="Calibri" w:cs="Times New Roman"/>
                <w:szCs w:val="20"/>
              </w:rPr>
              <w:t>20/04/16</w:t>
            </w:r>
          </w:p>
        </w:tc>
        <w:tc>
          <w:tcPr>
            <w:tcW w:w="2280" w:type="dxa"/>
            <w:tcBorders>
              <w:top w:val="nil"/>
              <w:left w:val="nil"/>
              <w:bottom w:val="single" w:sz="8" w:space="0" w:color="FFFFFF"/>
              <w:right w:val="single" w:sz="8" w:space="0" w:color="FFFFFF"/>
            </w:tcBorders>
            <w:shd w:val="clear" w:color="000000" w:fill="DCE6F1"/>
            <w:vAlign w:val="center"/>
            <w:hideMark/>
          </w:tcPr>
          <w:p w14:paraId="335A1854" w14:textId="77777777" w:rsidR="00676C25" w:rsidRPr="00D35C6A" w:rsidRDefault="00676C25" w:rsidP="00676C25">
            <w:pPr>
              <w:jc w:val="center"/>
              <w:rPr>
                <w:rFonts w:ascii="Calibri" w:eastAsia="Times New Roman" w:hAnsi="Calibri" w:cs="Times New Roman"/>
                <w:szCs w:val="20"/>
              </w:rPr>
            </w:pPr>
            <w:r w:rsidRPr="00D35C6A">
              <w:rPr>
                <w:rFonts w:ascii="Calibri" w:eastAsia="Times New Roman" w:hAnsi="Calibri" w:cs="Times New Roman"/>
                <w:szCs w:val="20"/>
              </w:rPr>
              <w:t>CN201280009496.8</w:t>
            </w:r>
          </w:p>
        </w:tc>
        <w:tc>
          <w:tcPr>
            <w:tcW w:w="1554" w:type="dxa"/>
            <w:tcBorders>
              <w:top w:val="nil"/>
              <w:left w:val="nil"/>
              <w:bottom w:val="single" w:sz="8" w:space="0" w:color="FFFFFF"/>
              <w:right w:val="single" w:sz="8" w:space="0" w:color="FFFFFF"/>
            </w:tcBorders>
            <w:shd w:val="clear" w:color="000000" w:fill="DCE6F1"/>
            <w:vAlign w:val="center"/>
            <w:hideMark/>
          </w:tcPr>
          <w:p w14:paraId="22640A76" w14:textId="77777777" w:rsidR="00676C25" w:rsidRPr="00D35C6A" w:rsidRDefault="00676C25" w:rsidP="00676C25">
            <w:pPr>
              <w:jc w:val="center"/>
              <w:rPr>
                <w:rFonts w:ascii="Calibri" w:eastAsia="Times New Roman" w:hAnsi="Calibri" w:cs="Times New Roman"/>
                <w:szCs w:val="20"/>
              </w:rPr>
            </w:pPr>
            <w:r w:rsidRPr="00D35C6A">
              <w:rPr>
                <w:rFonts w:ascii="Calibri" w:eastAsia="Times New Roman" w:hAnsi="Calibri" w:cs="Times New Roman"/>
                <w:szCs w:val="20"/>
              </w:rPr>
              <w:t>En application</w:t>
            </w:r>
          </w:p>
        </w:tc>
      </w:tr>
      <w:tr w:rsidR="00676C25" w:rsidRPr="00D35C6A" w14:paraId="317E4A6B" w14:textId="77777777" w:rsidTr="00676C25">
        <w:trPr>
          <w:trHeight w:val="320"/>
        </w:trPr>
        <w:tc>
          <w:tcPr>
            <w:tcW w:w="1960" w:type="dxa"/>
            <w:vMerge/>
            <w:tcBorders>
              <w:top w:val="nil"/>
              <w:left w:val="single" w:sz="8" w:space="0" w:color="FFFFFF"/>
              <w:bottom w:val="single" w:sz="8" w:space="0" w:color="FFFFFF"/>
              <w:right w:val="single" w:sz="8" w:space="0" w:color="FFFFFF"/>
            </w:tcBorders>
            <w:vAlign w:val="center"/>
            <w:hideMark/>
          </w:tcPr>
          <w:p w14:paraId="4B6960F3" w14:textId="77777777" w:rsidR="00676C25" w:rsidRPr="00D35C6A" w:rsidRDefault="00676C25" w:rsidP="00676C25">
            <w:pPr>
              <w:jc w:val="left"/>
              <w:rPr>
                <w:rFonts w:ascii="Calibri" w:eastAsia="Times New Roman" w:hAnsi="Calibri" w:cs="Times New Roman"/>
                <w:szCs w:val="20"/>
              </w:rPr>
            </w:pPr>
          </w:p>
        </w:tc>
        <w:tc>
          <w:tcPr>
            <w:tcW w:w="1300" w:type="dxa"/>
            <w:vMerge/>
            <w:tcBorders>
              <w:top w:val="nil"/>
              <w:left w:val="single" w:sz="8" w:space="0" w:color="FFFFFF"/>
              <w:bottom w:val="single" w:sz="8" w:space="0" w:color="FFFFFF"/>
              <w:right w:val="single" w:sz="8" w:space="0" w:color="FFFFFF"/>
            </w:tcBorders>
            <w:vAlign w:val="center"/>
            <w:hideMark/>
          </w:tcPr>
          <w:p w14:paraId="24B91CA0" w14:textId="77777777" w:rsidR="00676C25" w:rsidRPr="00D35C6A" w:rsidRDefault="00676C25" w:rsidP="00676C25">
            <w:pPr>
              <w:jc w:val="left"/>
              <w:rPr>
                <w:rFonts w:ascii="Calibri" w:eastAsia="Times New Roman" w:hAnsi="Calibri" w:cs="Times New Roman"/>
                <w:szCs w:val="20"/>
              </w:rPr>
            </w:pPr>
          </w:p>
        </w:tc>
        <w:tc>
          <w:tcPr>
            <w:tcW w:w="2100" w:type="dxa"/>
            <w:tcBorders>
              <w:top w:val="nil"/>
              <w:left w:val="nil"/>
              <w:bottom w:val="single" w:sz="8" w:space="0" w:color="FFFFFF"/>
              <w:right w:val="single" w:sz="8" w:space="0" w:color="FFFFFF"/>
            </w:tcBorders>
            <w:shd w:val="clear" w:color="000000" w:fill="DCE6F1"/>
            <w:vAlign w:val="center"/>
            <w:hideMark/>
          </w:tcPr>
          <w:p w14:paraId="6C8BF180" w14:textId="77777777" w:rsidR="00676C25" w:rsidRPr="00D35C6A" w:rsidRDefault="00676C25" w:rsidP="00676C25">
            <w:pPr>
              <w:jc w:val="center"/>
              <w:rPr>
                <w:rFonts w:ascii="Calibri" w:eastAsia="Times New Roman" w:hAnsi="Calibri" w:cs="Times New Roman"/>
                <w:szCs w:val="20"/>
              </w:rPr>
            </w:pPr>
            <w:r w:rsidRPr="00D35C6A">
              <w:rPr>
                <w:rFonts w:ascii="Calibri" w:eastAsia="Times New Roman" w:hAnsi="Calibri" w:cs="Times New Roman"/>
                <w:szCs w:val="20"/>
              </w:rPr>
              <w:t>Etats-Unis</w:t>
            </w:r>
          </w:p>
        </w:tc>
        <w:tc>
          <w:tcPr>
            <w:tcW w:w="1300" w:type="dxa"/>
            <w:tcBorders>
              <w:top w:val="nil"/>
              <w:left w:val="nil"/>
              <w:bottom w:val="single" w:sz="8" w:space="0" w:color="FFFFFF"/>
              <w:right w:val="single" w:sz="8" w:space="0" w:color="FFFFFF"/>
            </w:tcBorders>
            <w:shd w:val="clear" w:color="000000" w:fill="DCE6F1"/>
            <w:vAlign w:val="center"/>
            <w:hideMark/>
          </w:tcPr>
          <w:p w14:paraId="4FBCB15D" w14:textId="77777777" w:rsidR="00676C25" w:rsidRPr="00D35C6A" w:rsidRDefault="00676C25" w:rsidP="00676C25">
            <w:pPr>
              <w:jc w:val="center"/>
              <w:rPr>
                <w:rFonts w:ascii="Calibri" w:eastAsia="Times New Roman" w:hAnsi="Calibri" w:cs="Times New Roman"/>
                <w:szCs w:val="20"/>
              </w:rPr>
            </w:pPr>
            <w:r w:rsidRPr="00D35C6A">
              <w:rPr>
                <w:rFonts w:ascii="Calibri" w:eastAsia="Times New Roman" w:hAnsi="Calibri" w:cs="Times New Roman"/>
                <w:szCs w:val="20"/>
              </w:rPr>
              <w:t>13/02/12</w:t>
            </w:r>
          </w:p>
        </w:tc>
        <w:tc>
          <w:tcPr>
            <w:tcW w:w="1840" w:type="dxa"/>
            <w:tcBorders>
              <w:top w:val="nil"/>
              <w:left w:val="nil"/>
              <w:bottom w:val="single" w:sz="8" w:space="0" w:color="FFFFFF"/>
              <w:right w:val="single" w:sz="8" w:space="0" w:color="FFFFFF"/>
            </w:tcBorders>
            <w:shd w:val="clear" w:color="000000" w:fill="DCE6F1"/>
            <w:vAlign w:val="center"/>
            <w:hideMark/>
          </w:tcPr>
          <w:p w14:paraId="14ED0BFD" w14:textId="77777777" w:rsidR="00676C25" w:rsidRPr="00D35C6A" w:rsidRDefault="00676C25" w:rsidP="00676C25">
            <w:pPr>
              <w:jc w:val="center"/>
              <w:rPr>
                <w:rFonts w:ascii="Calibri" w:eastAsia="Times New Roman" w:hAnsi="Calibri" w:cs="Times New Roman"/>
                <w:szCs w:val="20"/>
              </w:rPr>
            </w:pPr>
            <w:r w:rsidRPr="00D35C6A">
              <w:rPr>
                <w:rFonts w:ascii="Calibri" w:eastAsia="Times New Roman" w:hAnsi="Calibri" w:cs="Times New Roman"/>
                <w:szCs w:val="20"/>
              </w:rPr>
              <w:t>13/987,100</w:t>
            </w:r>
          </w:p>
        </w:tc>
        <w:tc>
          <w:tcPr>
            <w:tcW w:w="1960" w:type="dxa"/>
            <w:tcBorders>
              <w:top w:val="nil"/>
              <w:left w:val="nil"/>
              <w:bottom w:val="single" w:sz="8" w:space="0" w:color="FFFFFF"/>
              <w:right w:val="single" w:sz="8" w:space="0" w:color="FFFFFF"/>
            </w:tcBorders>
            <w:shd w:val="clear" w:color="000000" w:fill="DCE6F1"/>
            <w:vAlign w:val="center"/>
            <w:hideMark/>
          </w:tcPr>
          <w:p w14:paraId="64F19C29" w14:textId="77777777" w:rsidR="00676C25" w:rsidRPr="00D35C6A" w:rsidRDefault="00676C25" w:rsidP="00676C25">
            <w:pPr>
              <w:jc w:val="center"/>
              <w:rPr>
                <w:rFonts w:ascii="Calibri" w:eastAsia="Times New Roman" w:hAnsi="Calibri" w:cs="Times New Roman"/>
                <w:szCs w:val="20"/>
              </w:rPr>
            </w:pPr>
            <w:r w:rsidRPr="00D35C6A">
              <w:rPr>
                <w:rFonts w:ascii="Calibri" w:eastAsia="Times New Roman" w:hAnsi="Calibri" w:cs="Times New Roman"/>
                <w:szCs w:val="20"/>
              </w:rPr>
              <w:t>US-2015-0127053-A</w:t>
            </w:r>
          </w:p>
        </w:tc>
        <w:tc>
          <w:tcPr>
            <w:tcW w:w="1300" w:type="dxa"/>
            <w:tcBorders>
              <w:top w:val="nil"/>
              <w:left w:val="nil"/>
              <w:bottom w:val="single" w:sz="8" w:space="0" w:color="FFFFFF"/>
              <w:right w:val="single" w:sz="8" w:space="0" w:color="FFFFFF"/>
            </w:tcBorders>
            <w:shd w:val="clear" w:color="000000" w:fill="DCE6F1"/>
            <w:vAlign w:val="center"/>
            <w:hideMark/>
          </w:tcPr>
          <w:p w14:paraId="2400B407" w14:textId="77777777" w:rsidR="00676C25" w:rsidRPr="00D35C6A" w:rsidRDefault="00676C25" w:rsidP="00676C25">
            <w:pPr>
              <w:jc w:val="center"/>
              <w:rPr>
                <w:rFonts w:ascii="Calibri" w:eastAsia="Times New Roman" w:hAnsi="Calibri" w:cs="Times New Roman"/>
                <w:szCs w:val="20"/>
              </w:rPr>
            </w:pPr>
            <w:r w:rsidRPr="00D35C6A">
              <w:rPr>
                <w:rFonts w:ascii="Calibri" w:eastAsia="Times New Roman" w:hAnsi="Calibri" w:cs="Times New Roman"/>
                <w:szCs w:val="20"/>
              </w:rPr>
              <w:t>16/02/16</w:t>
            </w:r>
          </w:p>
        </w:tc>
        <w:tc>
          <w:tcPr>
            <w:tcW w:w="2280" w:type="dxa"/>
            <w:tcBorders>
              <w:top w:val="nil"/>
              <w:left w:val="nil"/>
              <w:bottom w:val="single" w:sz="8" w:space="0" w:color="FFFFFF"/>
              <w:right w:val="single" w:sz="8" w:space="0" w:color="FFFFFF"/>
            </w:tcBorders>
            <w:shd w:val="clear" w:color="000000" w:fill="DCE6F1"/>
            <w:vAlign w:val="center"/>
            <w:hideMark/>
          </w:tcPr>
          <w:p w14:paraId="4A072FEF" w14:textId="77777777" w:rsidR="00676C25" w:rsidRPr="00D35C6A" w:rsidRDefault="00676C25" w:rsidP="00676C25">
            <w:pPr>
              <w:jc w:val="center"/>
              <w:rPr>
                <w:rFonts w:ascii="Calibri" w:eastAsia="Times New Roman" w:hAnsi="Calibri" w:cs="Times New Roman"/>
                <w:szCs w:val="20"/>
              </w:rPr>
            </w:pPr>
            <w:r w:rsidRPr="00D35C6A">
              <w:rPr>
                <w:rFonts w:ascii="Calibri" w:eastAsia="Times New Roman" w:hAnsi="Calibri" w:cs="Times New Roman"/>
                <w:szCs w:val="20"/>
              </w:rPr>
              <w:t>9.259.245</w:t>
            </w:r>
          </w:p>
        </w:tc>
        <w:tc>
          <w:tcPr>
            <w:tcW w:w="1554" w:type="dxa"/>
            <w:tcBorders>
              <w:top w:val="nil"/>
              <w:left w:val="nil"/>
              <w:bottom w:val="single" w:sz="8" w:space="0" w:color="FFFFFF"/>
              <w:right w:val="single" w:sz="8" w:space="0" w:color="FFFFFF"/>
            </w:tcBorders>
            <w:shd w:val="clear" w:color="000000" w:fill="DCE6F1"/>
            <w:vAlign w:val="center"/>
            <w:hideMark/>
          </w:tcPr>
          <w:p w14:paraId="10C6B0EE" w14:textId="77777777" w:rsidR="00676C25" w:rsidRPr="00D35C6A" w:rsidRDefault="00676C25" w:rsidP="00676C25">
            <w:pPr>
              <w:jc w:val="center"/>
              <w:rPr>
                <w:rFonts w:ascii="Calibri" w:eastAsia="Times New Roman" w:hAnsi="Calibri" w:cs="Times New Roman"/>
                <w:szCs w:val="20"/>
              </w:rPr>
            </w:pPr>
            <w:r w:rsidRPr="00D35C6A">
              <w:rPr>
                <w:rFonts w:ascii="Calibri" w:eastAsia="Times New Roman" w:hAnsi="Calibri" w:cs="Times New Roman"/>
                <w:szCs w:val="20"/>
              </w:rPr>
              <w:t>En application</w:t>
            </w:r>
          </w:p>
        </w:tc>
      </w:tr>
      <w:tr w:rsidR="00676C25" w:rsidRPr="00D35C6A" w14:paraId="317EBAFD" w14:textId="77777777" w:rsidTr="00676C25">
        <w:trPr>
          <w:trHeight w:val="320"/>
        </w:trPr>
        <w:tc>
          <w:tcPr>
            <w:tcW w:w="1960" w:type="dxa"/>
            <w:vMerge w:val="restart"/>
            <w:tcBorders>
              <w:top w:val="nil"/>
              <w:left w:val="single" w:sz="8" w:space="0" w:color="FFFFFF"/>
              <w:bottom w:val="single" w:sz="8" w:space="0" w:color="FFFFFF"/>
              <w:right w:val="single" w:sz="8" w:space="0" w:color="FFFFFF"/>
            </w:tcBorders>
            <w:shd w:val="clear" w:color="000000" w:fill="DCE6F1"/>
            <w:vAlign w:val="center"/>
            <w:hideMark/>
          </w:tcPr>
          <w:p w14:paraId="54F9A7F0" w14:textId="77777777" w:rsidR="00676C25" w:rsidRPr="00D35C6A" w:rsidRDefault="00676C25" w:rsidP="00676C25">
            <w:pPr>
              <w:jc w:val="center"/>
              <w:rPr>
                <w:rFonts w:ascii="Calibri" w:eastAsia="Times New Roman" w:hAnsi="Calibri" w:cs="Times New Roman"/>
                <w:szCs w:val="20"/>
              </w:rPr>
            </w:pPr>
            <w:r w:rsidRPr="00D35C6A">
              <w:rPr>
                <w:rFonts w:ascii="Calibri" w:eastAsia="Times New Roman" w:hAnsi="Calibri" w:cs="Times New Roman"/>
                <w:szCs w:val="20"/>
              </w:rPr>
              <w:t>CORRECTION DE COLONNE (MONT BLANC 3D+ BIS)</w:t>
            </w:r>
          </w:p>
        </w:tc>
        <w:tc>
          <w:tcPr>
            <w:tcW w:w="1300" w:type="dxa"/>
            <w:vMerge w:val="restart"/>
            <w:tcBorders>
              <w:top w:val="nil"/>
              <w:left w:val="single" w:sz="8" w:space="0" w:color="FFFFFF"/>
              <w:bottom w:val="single" w:sz="8" w:space="0" w:color="FFFFFF"/>
              <w:right w:val="single" w:sz="8" w:space="0" w:color="FFFFFF"/>
            </w:tcBorders>
            <w:shd w:val="clear" w:color="000000" w:fill="DCE6F1"/>
            <w:vAlign w:val="center"/>
            <w:hideMark/>
          </w:tcPr>
          <w:p w14:paraId="08AC7D74" w14:textId="77777777" w:rsidR="00676C25" w:rsidRPr="00D35C6A" w:rsidRDefault="00676C25" w:rsidP="00676C25">
            <w:pPr>
              <w:jc w:val="center"/>
              <w:rPr>
                <w:rFonts w:ascii="Calibri" w:eastAsia="Times New Roman" w:hAnsi="Calibri" w:cs="Times New Roman"/>
                <w:szCs w:val="20"/>
              </w:rPr>
            </w:pPr>
            <w:r w:rsidRPr="00D35C6A">
              <w:rPr>
                <w:rFonts w:ascii="Calibri" w:eastAsia="Times New Roman" w:hAnsi="Calibri" w:cs="Times New Roman"/>
                <w:szCs w:val="20"/>
              </w:rPr>
              <w:t>Spineway</w:t>
            </w:r>
          </w:p>
        </w:tc>
        <w:tc>
          <w:tcPr>
            <w:tcW w:w="2100" w:type="dxa"/>
            <w:tcBorders>
              <w:top w:val="nil"/>
              <w:left w:val="nil"/>
              <w:bottom w:val="single" w:sz="8" w:space="0" w:color="FFFFFF"/>
              <w:right w:val="single" w:sz="8" w:space="0" w:color="FFFFFF"/>
            </w:tcBorders>
            <w:shd w:val="clear" w:color="000000" w:fill="DCE6F1"/>
            <w:vAlign w:val="center"/>
            <w:hideMark/>
          </w:tcPr>
          <w:p w14:paraId="5C5587C2" w14:textId="77777777" w:rsidR="00676C25" w:rsidRPr="00D35C6A" w:rsidRDefault="00676C25" w:rsidP="00676C25">
            <w:pPr>
              <w:jc w:val="center"/>
              <w:rPr>
                <w:rFonts w:ascii="Calibri" w:eastAsia="Times New Roman" w:hAnsi="Calibri" w:cs="Times New Roman"/>
                <w:color w:val="000000"/>
                <w:szCs w:val="20"/>
              </w:rPr>
            </w:pPr>
            <w:r w:rsidRPr="00D35C6A">
              <w:rPr>
                <w:rFonts w:ascii="Calibri" w:eastAsia="Times New Roman" w:hAnsi="Calibri" w:cs="Times New Roman"/>
                <w:color w:val="000000"/>
                <w:szCs w:val="20"/>
              </w:rPr>
              <w:t>France</w:t>
            </w:r>
          </w:p>
        </w:tc>
        <w:tc>
          <w:tcPr>
            <w:tcW w:w="1300" w:type="dxa"/>
            <w:tcBorders>
              <w:top w:val="nil"/>
              <w:left w:val="nil"/>
              <w:bottom w:val="single" w:sz="8" w:space="0" w:color="FFFFFF"/>
              <w:right w:val="single" w:sz="8" w:space="0" w:color="FFFFFF"/>
            </w:tcBorders>
            <w:shd w:val="clear" w:color="000000" w:fill="DCE6F1"/>
            <w:vAlign w:val="center"/>
            <w:hideMark/>
          </w:tcPr>
          <w:p w14:paraId="5845F54B" w14:textId="77777777" w:rsidR="00676C25" w:rsidRPr="00D35C6A" w:rsidRDefault="00676C25" w:rsidP="00676C25">
            <w:pPr>
              <w:jc w:val="center"/>
              <w:rPr>
                <w:rFonts w:ascii="Calibri" w:eastAsia="Times New Roman" w:hAnsi="Calibri" w:cs="Times New Roman"/>
                <w:szCs w:val="20"/>
              </w:rPr>
            </w:pPr>
            <w:r w:rsidRPr="00D35C6A">
              <w:rPr>
                <w:rFonts w:ascii="Calibri" w:eastAsia="Times New Roman" w:hAnsi="Calibri" w:cs="Times New Roman"/>
                <w:szCs w:val="20"/>
              </w:rPr>
              <w:t>23/06/11</w:t>
            </w:r>
          </w:p>
        </w:tc>
        <w:tc>
          <w:tcPr>
            <w:tcW w:w="1840" w:type="dxa"/>
            <w:tcBorders>
              <w:top w:val="nil"/>
              <w:left w:val="nil"/>
              <w:bottom w:val="single" w:sz="8" w:space="0" w:color="FFFFFF"/>
              <w:right w:val="single" w:sz="8" w:space="0" w:color="FFFFFF"/>
            </w:tcBorders>
            <w:shd w:val="clear" w:color="000000" w:fill="DCE6F1"/>
            <w:vAlign w:val="center"/>
            <w:hideMark/>
          </w:tcPr>
          <w:p w14:paraId="0EE01398" w14:textId="77777777" w:rsidR="00676C25" w:rsidRPr="00D35C6A" w:rsidRDefault="00676C25" w:rsidP="00676C25">
            <w:pPr>
              <w:jc w:val="center"/>
              <w:rPr>
                <w:rFonts w:ascii="Calibri" w:eastAsia="Times New Roman" w:hAnsi="Calibri" w:cs="Times New Roman"/>
                <w:szCs w:val="20"/>
              </w:rPr>
            </w:pPr>
            <w:r w:rsidRPr="00D35C6A">
              <w:rPr>
                <w:rFonts w:ascii="Calibri" w:eastAsia="Times New Roman" w:hAnsi="Calibri" w:cs="Times New Roman"/>
                <w:szCs w:val="20"/>
              </w:rPr>
              <w:t>1155563</w:t>
            </w:r>
          </w:p>
        </w:tc>
        <w:tc>
          <w:tcPr>
            <w:tcW w:w="1960" w:type="dxa"/>
            <w:tcBorders>
              <w:top w:val="nil"/>
              <w:left w:val="nil"/>
              <w:bottom w:val="single" w:sz="8" w:space="0" w:color="FFFFFF"/>
              <w:right w:val="single" w:sz="8" w:space="0" w:color="FFFFFF"/>
            </w:tcBorders>
            <w:shd w:val="clear" w:color="000000" w:fill="DCE6F1"/>
            <w:vAlign w:val="center"/>
            <w:hideMark/>
          </w:tcPr>
          <w:p w14:paraId="455C5D6C" w14:textId="77777777" w:rsidR="00676C25" w:rsidRPr="00D35C6A" w:rsidRDefault="00676C25" w:rsidP="00676C25">
            <w:pPr>
              <w:jc w:val="center"/>
              <w:rPr>
                <w:rFonts w:ascii="Calibri" w:eastAsia="Times New Roman" w:hAnsi="Calibri" w:cs="Times New Roman"/>
                <w:szCs w:val="20"/>
              </w:rPr>
            </w:pPr>
            <w:r w:rsidRPr="00D35C6A">
              <w:rPr>
                <w:rFonts w:ascii="Calibri" w:eastAsia="Times New Roman" w:hAnsi="Calibri" w:cs="Times New Roman"/>
                <w:szCs w:val="20"/>
              </w:rPr>
              <w:t>2976784</w:t>
            </w:r>
          </w:p>
        </w:tc>
        <w:tc>
          <w:tcPr>
            <w:tcW w:w="1300" w:type="dxa"/>
            <w:tcBorders>
              <w:top w:val="nil"/>
              <w:left w:val="nil"/>
              <w:bottom w:val="single" w:sz="8" w:space="0" w:color="FFFFFF"/>
              <w:right w:val="single" w:sz="8" w:space="0" w:color="FFFFFF"/>
            </w:tcBorders>
            <w:shd w:val="clear" w:color="000000" w:fill="DCE6F1"/>
            <w:vAlign w:val="center"/>
            <w:hideMark/>
          </w:tcPr>
          <w:p w14:paraId="0378E2B6" w14:textId="77777777" w:rsidR="00676C25" w:rsidRPr="00D35C6A" w:rsidRDefault="00676C25" w:rsidP="00676C25">
            <w:pPr>
              <w:jc w:val="center"/>
              <w:rPr>
                <w:rFonts w:ascii="Calibri" w:eastAsia="Times New Roman" w:hAnsi="Calibri" w:cs="Times New Roman"/>
                <w:szCs w:val="20"/>
              </w:rPr>
            </w:pPr>
            <w:r w:rsidRPr="00D35C6A">
              <w:rPr>
                <w:rFonts w:ascii="Calibri" w:eastAsia="Times New Roman" w:hAnsi="Calibri" w:cs="Times New Roman"/>
                <w:szCs w:val="20"/>
              </w:rPr>
              <w:t>05/07/13</w:t>
            </w:r>
          </w:p>
        </w:tc>
        <w:tc>
          <w:tcPr>
            <w:tcW w:w="2280" w:type="dxa"/>
            <w:tcBorders>
              <w:top w:val="nil"/>
              <w:left w:val="nil"/>
              <w:bottom w:val="single" w:sz="8" w:space="0" w:color="FFFFFF"/>
              <w:right w:val="single" w:sz="8" w:space="0" w:color="FFFFFF"/>
            </w:tcBorders>
            <w:shd w:val="clear" w:color="000000" w:fill="DCE6F1"/>
            <w:vAlign w:val="center"/>
            <w:hideMark/>
          </w:tcPr>
          <w:p w14:paraId="4F9E17DD" w14:textId="77777777" w:rsidR="00676C25" w:rsidRPr="00D35C6A" w:rsidRDefault="00676C25" w:rsidP="00676C25">
            <w:pPr>
              <w:jc w:val="center"/>
              <w:rPr>
                <w:rFonts w:ascii="Calibri" w:eastAsia="Times New Roman" w:hAnsi="Calibri" w:cs="Times New Roman"/>
                <w:szCs w:val="20"/>
              </w:rPr>
            </w:pPr>
            <w:r w:rsidRPr="00D35C6A">
              <w:rPr>
                <w:rFonts w:ascii="Calibri" w:eastAsia="Times New Roman" w:hAnsi="Calibri" w:cs="Times New Roman"/>
                <w:szCs w:val="20"/>
              </w:rPr>
              <w:t>1155563</w:t>
            </w:r>
          </w:p>
        </w:tc>
        <w:tc>
          <w:tcPr>
            <w:tcW w:w="1554" w:type="dxa"/>
            <w:tcBorders>
              <w:top w:val="nil"/>
              <w:left w:val="nil"/>
              <w:bottom w:val="single" w:sz="8" w:space="0" w:color="FFFFFF"/>
              <w:right w:val="single" w:sz="8" w:space="0" w:color="FFFFFF"/>
            </w:tcBorders>
            <w:shd w:val="clear" w:color="000000" w:fill="DCE6F1"/>
            <w:vAlign w:val="center"/>
            <w:hideMark/>
          </w:tcPr>
          <w:p w14:paraId="7F065884" w14:textId="77777777" w:rsidR="00676C25" w:rsidRPr="00D35C6A" w:rsidRDefault="00676C25" w:rsidP="00676C25">
            <w:pPr>
              <w:jc w:val="center"/>
              <w:rPr>
                <w:rFonts w:ascii="Calibri" w:eastAsia="Times New Roman" w:hAnsi="Calibri" w:cs="Times New Roman"/>
                <w:szCs w:val="20"/>
              </w:rPr>
            </w:pPr>
            <w:r w:rsidRPr="00D35C6A">
              <w:rPr>
                <w:rFonts w:ascii="Calibri" w:eastAsia="Times New Roman" w:hAnsi="Calibri" w:cs="Times New Roman"/>
                <w:szCs w:val="20"/>
              </w:rPr>
              <w:t>En application</w:t>
            </w:r>
          </w:p>
        </w:tc>
      </w:tr>
      <w:tr w:rsidR="00676C25" w:rsidRPr="00D35C6A" w14:paraId="60A6AEC5" w14:textId="77777777" w:rsidTr="00676C25">
        <w:trPr>
          <w:trHeight w:val="1420"/>
        </w:trPr>
        <w:tc>
          <w:tcPr>
            <w:tcW w:w="1960" w:type="dxa"/>
            <w:vMerge/>
            <w:tcBorders>
              <w:top w:val="nil"/>
              <w:left w:val="single" w:sz="8" w:space="0" w:color="FFFFFF"/>
              <w:bottom w:val="single" w:sz="8" w:space="0" w:color="FFFFFF"/>
              <w:right w:val="single" w:sz="8" w:space="0" w:color="FFFFFF"/>
            </w:tcBorders>
            <w:vAlign w:val="center"/>
            <w:hideMark/>
          </w:tcPr>
          <w:p w14:paraId="65D83946" w14:textId="77777777" w:rsidR="00676C25" w:rsidRPr="00D35C6A" w:rsidRDefault="00676C25" w:rsidP="00676C25">
            <w:pPr>
              <w:jc w:val="left"/>
              <w:rPr>
                <w:rFonts w:ascii="Calibri" w:eastAsia="Times New Roman" w:hAnsi="Calibri" w:cs="Times New Roman"/>
                <w:szCs w:val="20"/>
              </w:rPr>
            </w:pPr>
          </w:p>
        </w:tc>
        <w:tc>
          <w:tcPr>
            <w:tcW w:w="1300" w:type="dxa"/>
            <w:vMerge/>
            <w:tcBorders>
              <w:top w:val="nil"/>
              <w:left w:val="single" w:sz="8" w:space="0" w:color="FFFFFF"/>
              <w:bottom w:val="single" w:sz="8" w:space="0" w:color="FFFFFF"/>
              <w:right w:val="single" w:sz="8" w:space="0" w:color="FFFFFF"/>
            </w:tcBorders>
            <w:vAlign w:val="center"/>
            <w:hideMark/>
          </w:tcPr>
          <w:p w14:paraId="331A2991" w14:textId="77777777" w:rsidR="00676C25" w:rsidRPr="00D35C6A" w:rsidRDefault="00676C25" w:rsidP="00676C25">
            <w:pPr>
              <w:jc w:val="left"/>
              <w:rPr>
                <w:rFonts w:ascii="Calibri" w:eastAsia="Times New Roman" w:hAnsi="Calibri" w:cs="Times New Roman"/>
                <w:szCs w:val="20"/>
              </w:rPr>
            </w:pPr>
          </w:p>
        </w:tc>
        <w:tc>
          <w:tcPr>
            <w:tcW w:w="2100" w:type="dxa"/>
            <w:tcBorders>
              <w:top w:val="nil"/>
              <w:left w:val="nil"/>
              <w:bottom w:val="single" w:sz="8" w:space="0" w:color="FFFFFF"/>
              <w:right w:val="single" w:sz="8" w:space="0" w:color="FFFFFF"/>
            </w:tcBorders>
            <w:shd w:val="clear" w:color="000000" w:fill="DCE6F1"/>
            <w:vAlign w:val="center"/>
            <w:hideMark/>
          </w:tcPr>
          <w:p w14:paraId="0DB9722D" w14:textId="77777777" w:rsidR="00676C25" w:rsidRPr="00D35C6A" w:rsidRDefault="00676C25" w:rsidP="00676C25">
            <w:pPr>
              <w:jc w:val="center"/>
              <w:rPr>
                <w:rFonts w:ascii="Calibri" w:eastAsia="Times New Roman" w:hAnsi="Calibri" w:cs="Times New Roman"/>
                <w:szCs w:val="20"/>
              </w:rPr>
            </w:pPr>
            <w:r w:rsidRPr="00D35C6A">
              <w:rPr>
                <w:rFonts w:ascii="Calibri" w:eastAsia="Times New Roman" w:hAnsi="Calibri" w:cs="Times New Roman"/>
                <w:szCs w:val="20"/>
              </w:rPr>
              <w:t>Europe (France, Allemagne, Belgique, Espagne, Italie, Royaume-Uni, Suisse, Turquie)</w:t>
            </w:r>
          </w:p>
        </w:tc>
        <w:tc>
          <w:tcPr>
            <w:tcW w:w="1300" w:type="dxa"/>
            <w:tcBorders>
              <w:top w:val="nil"/>
              <w:left w:val="nil"/>
              <w:bottom w:val="single" w:sz="8" w:space="0" w:color="FFFFFF"/>
              <w:right w:val="single" w:sz="8" w:space="0" w:color="FFFFFF"/>
            </w:tcBorders>
            <w:shd w:val="clear" w:color="000000" w:fill="DCE6F1"/>
            <w:vAlign w:val="center"/>
            <w:hideMark/>
          </w:tcPr>
          <w:p w14:paraId="1E5DDB4D" w14:textId="77777777" w:rsidR="00676C25" w:rsidRPr="00D35C6A" w:rsidRDefault="00676C25" w:rsidP="00676C25">
            <w:pPr>
              <w:jc w:val="center"/>
              <w:rPr>
                <w:rFonts w:ascii="Calibri" w:eastAsia="Times New Roman" w:hAnsi="Calibri" w:cs="Times New Roman"/>
                <w:szCs w:val="20"/>
              </w:rPr>
            </w:pPr>
            <w:r w:rsidRPr="00D35C6A">
              <w:rPr>
                <w:rFonts w:ascii="Calibri" w:eastAsia="Times New Roman" w:hAnsi="Calibri" w:cs="Times New Roman"/>
                <w:szCs w:val="20"/>
              </w:rPr>
              <w:t>20/06/12</w:t>
            </w:r>
          </w:p>
        </w:tc>
        <w:tc>
          <w:tcPr>
            <w:tcW w:w="1840" w:type="dxa"/>
            <w:tcBorders>
              <w:top w:val="nil"/>
              <w:left w:val="nil"/>
              <w:bottom w:val="single" w:sz="8" w:space="0" w:color="FFFFFF"/>
              <w:right w:val="single" w:sz="8" w:space="0" w:color="FFFFFF"/>
            </w:tcBorders>
            <w:shd w:val="clear" w:color="000000" w:fill="DCE6F1"/>
            <w:vAlign w:val="center"/>
            <w:hideMark/>
          </w:tcPr>
          <w:p w14:paraId="11B2E03C" w14:textId="77777777" w:rsidR="00676C25" w:rsidRPr="00D35C6A" w:rsidRDefault="00676C25" w:rsidP="00676C25">
            <w:pPr>
              <w:jc w:val="center"/>
              <w:rPr>
                <w:rFonts w:ascii="Calibri" w:eastAsia="Times New Roman" w:hAnsi="Calibri" w:cs="Times New Roman"/>
                <w:szCs w:val="20"/>
              </w:rPr>
            </w:pPr>
            <w:r w:rsidRPr="00D35C6A">
              <w:rPr>
                <w:rFonts w:ascii="Calibri" w:eastAsia="Times New Roman" w:hAnsi="Calibri" w:cs="Times New Roman"/>
                <w:szCs w:val="20"/>
              </w:rPr>
              <w:t>12734975.1</w:t>
            </w:r>
          </w:p>
        </w:tc>
        <w:tc>
          <w:tcPr>
            <w:tcW w:w="1960" w:type="dxa"/>
            <w:tcBorders>
              <w:top w:val="nil"/>
              <w:left w:val="nil"/>
              <w:bottom w:val="single" w:sz="8" w:space="0" w:color="FFFFFF"/>
              <w:right w:val="single" w:sz="8" w:space="0" w:color="FFFFFF"/>
            </w:tcBorders>
            <w:shd w:val="clear" w:color="000000" w:fill="DCE6F1"/>
            <w:vAlign w:val="center"/>
            <w:hideMark/>
          </w:tcPr>
          <w:p w14:paraId="1651074F" w14:textId="77777777" w:rsidR="00676C25" w:rsidRPr="00D35C6A" w:rsidRDefault="00676C25" w:rsidP="00676C25">
            <w:pPr>
              <w:jc w:val="center"/>
              <w:rPr>
                <w:rFonts w:ascii="Calibri" w:eastAsia="Times New Roman" w:hAnsi="Calibri" w:cs="Times New Roman"/>
                <w:szCs w:val="20"/>
              </w:rPr>
            </w:pPr>
            <w:r w:rsidRPr="00D35C6A">
              <w:rPr>
                <w:rFonts w:ascii="Calibri" w:eastAsia="Times New Roman" w:hAnsi="Calibri" w:cs="Times New Roman"/>
                <w:szCs w:val="20"/>
              </w:rPr>
              <w:t>2723261</w:t>
            </w:r>
          </w:p>
        </w:tc>
        <w:tc>
          <w:tcPr>
            <w:tcW w:w="1300" w:type="dxa"/>
            <w:tcBorders>
              <w:top w:val="nil"/>
              <w:left w:val="nil"/>
              <w:bottom w:val="single" w:sz="8" w:space="0" w:color="FFFFFF"/>
              <w:right w:val="single" w:sz="8" w:space="0" w:color="FFFFFF"/>
            </w:tcBorders>
            <w:shd w:val="clear" w:color="000000" w:fill="DCE6F1"/>
            <w:vAlign w:val="center"/>
            <w:hideMark/>
          </w:tcPr>
          <w:p w14:paraId="3D922D4D" w14:textId="77777777" w:rsidR="00676C25" w:rsidRPr="00D35C6A" w:rsidRDefault="00676C25" w:rsidP="00676C25">
            <w:pPr>
              <w:jc w:val="center"/>
              <w:rPr>
                <w:rFonts w:ascii="Calibri" w:eastAsia="Times New Roman" w:hAnsi="Calibri" w:cs="Times New Roman"/>
                <w:szCs w:val="20"/>
              </w:rPr>
            </w:pPr>
            <w:r w:rsidRPr="00D35C6A">
              <w:rPr>
                <w:rFonts w:ascii="Calibri" w:eastAsia="Times New Roman" w:hAnsi="Calibri" w:cs="Times New Roman"/>
                <w:szCs w:val="20"/>
              </w:rPr>
              <w:t>02/05/18</w:t>
            </w:r>
          </w:p>
        </w:tc>
        <w:tc>
          <w:tcPr>
            <w:tcW w:w="2280" w:type="dxa"/>
            <w:tcBorders>
              <w:top w:val="nil"/>
              <w:left w:val="nil"/>
              <w:bottom w:val="single" w:sz="8" w:space="0" w:color="FFFFFF"/>
              <w:right w:val="single" w:sz="8" w:space="0" w:color="FFFFFF"/>
            </w:tcBorders>
            <w:shd w:val="clear" w:color="000000" w:fill="DCE6F1"/>
            <w:vAlign w:val="center"/>
            <w:hideMark/>
          </w:tcPr>
          <w:p w14:paraId="2BE0C761" w14:textId="77777777" w:rsidR="00676C25" w:rsidRPr="00D35C6A" w:rsidRDefault="00676C25" w:rsidP="00676C25">
            <w:pPr>
              <w:jc w:val="center"/>
              <w:rPr>
                <w:rFonts w:ascii="Calibri" w:eastAsia="Times New Roman" w:hAnsi="Calibri" w:cs="Times New Roman"/>
                <w:szCs w:val="20"/>
              </w:rPr>
            </w:pPr>
            <w:r w:rsidRPr="00D35C6A">
              <w:rPr>
                <w:rFonts w:ascii="Calibri" w:eastAsia="Times New Roman" w:hAnsi="Calibri" w:cs="Times New Roman"/>
                <w:szCs w:val="20"/>
              </w:rPr>
              <w:t>2723261</w:t>
            </w:r>
          </w:p>
        </w:tc>
        <w:tc>
          <w:tcPr>
            <w:tcW w:w="1554" w:type="dxa"/>
            <w:tcBorders>
              <w:top w:val="nil"/>
              <w:left w:val="nil"/>
              <w:bottom w:val="single" w:sz="8" w:space="0" w:color="FFFFFF"/>
              <w:right w:val="single" w:sz="8" w:space="0" w:color="FFFFFF"/>
            </w:tcBorders>
            <w:shd w:val="clear" w:color="000000" w:fill="DCE6F1"/>
            <w:vAlign w:val="center"/>
            <w:hideMark/>
          </w:tcPr>
          <w:p w14:paraId="694D96FF" w14:textId="77777777" w:rsidR="00676C25" w:rsidRPr="00D35C6A" w:rsidRDefault="00676C25" w:rsidP="00676C25">
            <w:pPr>
              <w:jc w:val="center"/>
              <w:rPr>
                <w:rFonts w:ascii="Calibri" w:eastAsia="Times New Roman" w:hAnsi="Calibri" w:cs="Times New Roman"/>
                <w:szCs w:val="20"/>
              </w:rPr>
            </w:pPr>
            <w:r w:rsidRPr="00D35C6A">
              <w:rPr>
                <w:rFonts w:ascii="Calibri" w:eastAsia="Times New Roman" w:hAnsi="Calibri" w:cs="Times New Roman"/>
                <w:szCs w:val="20"/>
              </w:rPr>
              <w:t>En application</w:t>
            </w:r>
          </w:p>
        </w:tc>
      </w:tr>
      <w:tr w:rsidR="00676C25" w:rsidRPr="00D35C6A" w14:paraId="68146285" w14:textId="77777777" w:rsidTr="00676C25">
        <w:trPr>
          <w:trHeight w:val="320"/>
        </w:trPr>
        <w:tc>
          <w:tcPr>
            <w:tcW w:w="1960" w:type="dxa"/>
            <w:vMerge/>
            <w:tcBorders>
              <w:top w:val="nil"/>
              <w:left w:val="single" w:sz="8" w:space="0" w:color="FFFFFF"/>
              <w:bottom w:val="single" w:sz="8" w:space="0" w:color="FFFFFF"/>
              <w:right w:val="single" w:sz="8" w:space="0" w:color="FFFFFF"/>
            </w:tcBorders>
            <w:vAlign w:val="center"/>
            <w:hideMark/>
          </w:tcPr>
          <w:p w14:paraId="758B9840" w14:textId="77777777" w:rsidR="00676C25" w:rsidRPr="00D35C6A" w:rsidRDefault="00676C25" w:rsidP="00676C25">
            <w:pPr>
              <w:jc w:val="left"/>
              <w:rPr>
                <w:rFonts w:ascii="Calibri" w:eastAsia="Times New Roman" w:hAnsi="Calibri" w:cs="Times New Roman"/>
                <w:szCs w:val="20"/>
              </w:rPr>
            </w:pPr>
          </w:p>
        </w:tc>
        <w:tc>
          <w:tcPr>
            <w:tcW w:w="1300" w:type="dxa"/>
            <w:vMerge/>
            <w:tcBorders>
              <w:top w:val="nil"/>
              <w:left w:val="single" w:sz="8" w:space="0" w:color="FFFFFF"/>
              <w:bottom w:val="single" w:sz="8" w:space="0" w:color="FFFFFF"/>
              <w:right w:val="single" w:sz="8" w:space="0" w:color="FFFFFF"/>
            </w:tcBorders>
            <w:vAlign w:val="center"/>
            <w:hideMark/>
          </w:tcPr>
          <w:p w14:paraId="075CC38B" w14:textId="77777777" w:rsidR="00676C25" w:rsidRPr="00D35C6A" w:rsidRDefault="00676C25" w:rsidP="00676C25">
            <w:pPr>
              <w:jc w:val="left"/>
              <w:rPr>
                <w:rFonts w:ascii="Calibri" w:eastAsia="Times New Roman" w:hAnsi="Calibri" w:cs="Times New Roman"/>
                <w:szCs w:val="20"/>
              </w:rPr>
            </w:pPr>
          </w:p>
        </w:tc>
        <w:tc>
          <w:tcPr>
            <w:tcW w:w="2100" w:type="dxa"/>
            <w:tcBorders>
              <w:top w:val="nil"/>
              <w:left w:val="nil"/>
              <w:bottom w:val="single" w:sz="8" w:space="0" w:color="FFFFFF"/>
              <w:right w:val="single" w:sz="8" w:space="0" w:color="FFFFFF"/>
            </w:tcBorders>
            <w:shd w:val="clear" w:color="000000" w:fill="DCE6F1"/>
            <w:vAlign w:val="center"/>
            <w:hideMark/>
          </w:tcPr>
          <w:p w14:paraId="0CC65B61" w14:textId="77777777" w:rsidR="00676C25" w:rsidRPr="00D35C6A" w:rsidRDefault="00676C25" w:rsidP="00676C25">
            <w:pPr>
              <w:jc w:val="center"/>
              <w:rPr>
                <w:rFonts w:ascii="Calibri" w:eastAsia="Times New Roman" w:hAnsi="Calibri" w:cs="Times New Roman"/>
                <w:szCs w:val="20"/>
              </w:rPr>
            </w:pPr>
            <w:r w:rsidRPr="00D35C6A">
              <w:rPr>
                <w:rFonts w:ascii="Calibri" w:eastAsia="Times New Roman" w:hAnsi="Calibri" w:cs="Times New Roman"/>
                <w:szCs w:val="20"/>
              </w:rPr>
              <w:t>Brésil</w:t>
            </w:r>
          </w:p>
        </w:tc>
        <w:tc>
          <w:tcPr>
            <w:tcW w:w="1300" w:type="dxa"/>
            <w:tcBorders>
              <w:top w:val="nil"/>
              <w:left w:val="nil"/>
              <w:bottom w:val="single" w:sz="8" w:space="0" w:color="FFFFFF"/>
              <w:right w:val="single" w:sz="8" w:space="0" w:color="FFFFFF"/>
            </w:tcBorders>
            <w:shd w:val="clear" w:color="000000" w:fill="DCE6F1"/>
            <w:vAlign w:val="center"/>
            <w:hideMark/>
          </w:tcPr>
          <w:p w14:paraId="30AC4E56" w14:textId="77777777" w:rsidR="00676C25" w:rsidRPr="00D35C6A" w:rsidRDefault="00676C25" w:rsidP="00676C25">
            <w:pPr>
              <w:jc w:val="center"/>
              <w:rPr>
                <w:rFonts w:ascii="Calibri" w:eastAsia="Times New Roman" w:hAnsi="Calibri" w:cs="Times New Roman"/>
                <w:szCs w:val="20"/>
              </w:rPr>
            </w:pPr>
            <w:r w:rsidRPr="00D35C6A">
              <w:rPr>
                <w:rFonts w:ascii="Calibri" w:eastAsia="Times New Roman" w:hAnsi="Calibri" w:cs="Times New Roman"/>
                <w:szCs w:val="20"/>
              </w:rPr>
              <w:t>20/06/12</w:t>
            </w:r>
          </w:p>
        </w:tc>
        <w:tc>
          <w:tcPr>
            <w:tcW w:w="1840" w:type="dxa"/>
            <w:tcBorders>
              <w:top w:val="nil"/>
              <w:left w:val="nil"/>
              <w:bottom w:val="single" w:sz="8" w:space="0" w:color="FFFFFF"/>
              <w:right w:val="single" w:sz="8" w:space="0" w:color="FFFFFF"/>
            </w:tcBorders>
            <w:shd w:val="clear" w:color="000000" w:fill="DCE6F1"/>
            <w:vAlign w:val="center"/>
            <w:hideMark/>
          </w:tcPr>
          <w:p w14:paraId="5D4618A0" w14:textId="77777777" w:rsidR="00676C25" w:rsidRPr="00D35C6A" w:rsidRDefault="00676C25" w:rsidP="00676C25">
            <w:pPr>
              <w:jc w:val="center"/>
              <w:rPr>
                <w:rFonts w:ascii="Calibri" w:eastAsia="Times New Roman" w:hAnsi="Calibri" w:cs="Times New Roman"/>
                <w:szCs w:val="20"/>
              </w:rPr>
            </w:pPr>
            <w:r w:rsidRPr="00D35C6A">
              <w:rPr>
                <w:rFonts w:ascii="Calibri" w:eastAsia="Times New Roman" w:hAnsi="Calibri" w:cs="Times New Roman"/>
                <w:szCs w:val="20"/>
              </w:rPr>
              <w:t>BR112013033351</w:t>
            </w:r>
          </w:p>
        </w:tc>
        <w:tc>
          <w:tcPr>
            <w:tcW w:w="1960" w:type="dxa"/>
            <w:tcBorders>
              <w:top w:val="nil"/>
              <w:left w:val="nil"/>
              <w:bottom w:val="single" w:sz="8" w:space="0" w:color="FFFFFF"/>
              <w:right w:val="single" w:sz="8" w:space="0" w:color="FFFFFF"/>
            </w:tcBorders>
            <w:shd w:val="clear" w:color="000000" w:fill="DCE6F1"/>
            <w:vAlign w:val="center"/>
            <w:hideMark/>
          </w:tcPr>
          <w:p w14:paraId="652B94BB" w14:textId="77777777" w:rsidR="00676C25" w:rsidRPr="00D35C6A" w:rsidRDefault="00676C25" w:rsidP="00676C25">
            <w:pPr>
              <w:jc w:val="center"/>
              <w:rPr>
                <w:rFonts w:ascii="Calibri" w:eastAsia="Times New Roman" w:hAnsi="Calibri" w:cs="Times New Roman"/>
                <w:szCs w:val="20"/>
              </w:rPr>
            </w:pPr>
            <w:r w:rsidRPr="00D35C6A">
              <w:rPr>
                <w:rFonts w:ascii="Calibri" w:eastAsia="Times New Roman" w:hAnsi="Calibri" w:cs="Times New Roman"/>
                <w:szCs w:val="20"/>
              </w:rPr>
              <w:t>BR112013033351</w:t>
            </w:r>
          </w:p>
        </w:tc>
        <w:tc>
          <w:tcPr>
            <w:tcW w:w="1300" w:type="dxa"/>
            <w:tcBorders>
              <w:top w:val="nil"/>
              <w:left w:val="nil"/>
              <w:bottom w:val="single" w:sz="8" w:space="0" w:color="FFFFFF"/>
              <w:right w:val="single" w:sz="8" w:space="0" w:color="FFFFFF"/>
            </w:tcBorders>
            <w:shd w:val="clear" w:color="000000" w:fill="DCE6F1"/>
            <w:vAlign w:val="center"/>
            <w:hideMark/>
          </w:tcPr>
          <w:p w14:paraId="53F5A545" w14:textId="77777777" w:rsidR="00676C25" w:rsidRPr="00D35C6A" w:rsidRDefault="00676C25" w:rsidP="00676C25">
            <w:pPr>
              <w:jc w:val="center"/>
              <w:rPr>
                <w:rFonts w:ascii="Calibri" w:eastAsia="Times New Roman" w:hAnsi="Calibri" w:cs="Times New Roman"/>
                <w:szCs w:val="20"/>
              </w:rPr>
            </w:pPr>
            <w:r w:rsidRPr="00D35C6A">
              <w:rPr>
                <w:rFonts w:ascii="Calibri" w:eastAsia="Times New Roman" w:hAnsi="Calibri" w:cs="Times New Roman"/>
                <w:szCs w:val="20"/>
              </w:rPr>
              <w:t>12/08/14</w:t>
            </w:r>
          </w:p>
        </w:tc>
        <w:tc>
          <w:tcPr>
            <w:tcW w:w="2280" w:type="dxa"/>
            <w:tcBorders>
              <w:top w:val="nil"/>
              <w:left w:val="nil"/>
              <w:bottom w:val="single" w:sz="8" w:space="0" w:color="FFFFFF"/>
              <w:right w:val="single" w:sz="8" w:space="0" w:color="FFFFFF"/>
            </w:tcBorders>
            <w:shd w:val="clear" w:color="000000" w:fill="DCE6F1"/>
            <w:vAlign w:val="center"/>
            <w:hideMark/>
          </w:tcPr>
          <w:p w14:paraId="11D23205" w14:textId="77777777" w:rsidR="00676C25" w:rsidRPr="00D35C6A" w:rsidRDefault="00676C25" w:rsidP="00676C25">
            <w:pPr>
              <w:jc w:val="center"/>
              <w:rPr>
                <w:rFonts w:ascii="Calibri" w:eastAsia="Times New Roman" w:hAnsi="Calibri" w:cs="Times New Roman"/>
                <w:szCs w:val="20"/>
              </w:rPr>
            </w:pPr>
            <w:r w:rsidRPr="00D35C6A">
              <w:rPr>
                <w:rFonts w:ascii="Calibri" w:eastAsia="Times New Roman" w:hAnsi="Calibri" w:cs="Times New Roman"/>
                <w:szCs w:val="20"/>
              </w:rPr>
              <w:t>-</w:t>
            </w:r>
          </w:p>
        </w:tc>
        <w:tc>
          <w:tcPr>
            <w:tcW w:w="1554" w:type="dxa"/>
            <w:tcBorders>
              <w:top w:val="nil"/>
              <w:left w:val="nil"/>
              <w:bottom w:val="single" w:sz="8" w:space="0" w:color="FFFFFF"/>
              <w:right w:val="single" w:sz="8" w:space="0" w:color="FFFFFF"/>
            </w:tcBorders>
            <w:shd w:val="clear" w:color="000000" w:fill="DCE6F1"/>
            <w:vAlign w:val="center"/>
            <w:hideMark/>
          </w:tcPr>
          <w:p w14:paraId="47D59726" w14:textId="77777777" w:rsidR="00676C25" w:rsidRPr="00D35C6A" w:rsidRDefault="00676C25" w:rsidP="00676C25">
            <w:pPr>
              <w:jc w:val="center"/>
              <w:rPr>
                <w:rFonts w:ascii="Calibri" w:eastAsia="Times New Roman" w:hAnsi="Calibri" w:cs="Times New Roman"/>
                <w:szCs w:val="20"/>
              </w:rPr>
            </w:pPr>
            <w:r w:rsidRPr="00D35C6A">
              <w:rPr>
                <w:rFonts w:ascii="Calibri" w:eastAsia="Times New Roman" w:hAnsi="Calibri" w:cs="Times New Roman"/>
                <w:szCs w:val="20"/>
              </w:rPr>
              <w:t>En application</w:t>
            </w:r>
          </w:p>
        </w:tc>
      </w:tr>
      <w:tr w:rsidR="00676C25" w:rsidRPr="00D35C6A" w14:paraId="7BB10FE6" w14:textId="77777777" w:rsidTr="00676C25">
        <w:trPr>
          <w:trHeight w:val="320"/>
        </w:trPr>
        <w:tc>
          <w:tcPr>
            <w:tcW w:w="1960" w:type="dxa"/>
            <w:vMerge/>
            <w:tcBorders>
              <w:top w:val="nil"/>
              <w:left w:val="single" w:sz="8" w:space="0" w:color="FFFFFF"/>
              <w:bottom w:val="single" w:sz="8" w:space="0" w:color="FFFFFF"/>
              <w:right w:val="single" w:sz="8" w:space="0" w:color="FFFFFF"/>
            </w:tcBorders>
            <w:vAlign w:val="center"/>
            <w:hideMark/>
          </w:tcPr>
          <w:p w14:paraId="711480B9" w14:textId="77777777" w:rsidR="00676C25" w:rsidRPr="00D35C6A" w:rsidRDefault="00676C25" w:rsidP="00676C25">
            <w:pPr>
              <w:jc w:val="left"/>
              <w:rPr>
                <w:rFonts w:ascii="Calibri" w:eastAsia="Times New Roman" w:hAnsi="Calibri" w:cs="Times New Roman"/>
                <w:szCs w:val="20"/>
              </w:rPr>
            </w:pPr>
          </w:p>
        </w:tc>
        <w:tc>
          <w:tcPr>
            <w:tcW w:w="1300" w:type="dxa"/>
            <w:vMerge/>
            <w:tcBorders>
              <w:top w:val="nil"/>
              <w:left w:val="single" w:sz="8" w:space="0" w:color="FFFFFF"/>
              <w:bottom w:val="single" w:sz="8" w:space="0" w:color="FFFFFF"/>
              <w:right w:val="single" w:sz="8" w:space="0" w:color="FFFFFF"/>
            </w:tcBorders>
            <w:vAlign w:val="center"/>
            <w:hideMark/>
          </w:tcPr>
          <w:p w14:paraId="3A9B3570" w14:textId="77777777" w:rsidR="00676C25" w:rsidRPr="00D35C6A" w:rsidRDefault="00676C25" w:rsidP="00676C25">
            <w:pPr>
              <w:jc w:val="left"/>
              <w:rPr>
                <w:rFonts w:ascii="Calibri" w:eastAsia="Times New Roman" w:hAnsi="Calibri" w:cs="Times New Roman"/>
                <w:szCs w:val="20"/>
              </w:rPr>
            </w:pPr>
          </w:p>
        </w:tc>
        <w:tc>
          <w:tcPr>
            <w:tcW w:w="2100" w:type="dxa"/>
            <w:tcBorders>
              <w:top w:val="nil"/>
              <w:left w:val="nil"/>
              <w:bottom w:val="single" w:sz="8" w:space="0" w:color="FFFFFF"/>
              <w:right w:val="single" w:sz="8" w:space="0" w:color="FFFFFF"/>
            </w:tcBorders>
            <w:shd w:val="clear" w:color="000000" w:fill="DCE6F1"/>
            <w:vAlign w:val="center"/>
            <w:hideMark/>
          </w:tcPr>
          <w:p w14:paraId="6F5DE9D1" w14:textId="77777777" w:rsidR="00676C25" w:rsidRPr="00D35C6A" w:rsidRDefault="00676C25" w:rsidP="00676C25">
            <w:pPr>
              <w:jc w:val="center"/>
              <w:rPr>
                <w:rFonts w:ascii="Calibri" w:eastAsia="Times New Roman" w:hAnsi="Calibri" w:cs="Times New Roman"/>
                <w:szCs w:val="20"/>
              </w:rPr>
            </w:pPr>
            <w:r w:rsidRPr="00D35C6A">
              <w:rPr>
                <w:rFonts w:ascii="Calibri" w:eastAsia="Times New Roman" w:hAnsi="Calibri" w:cs="Times New Roman"/>
                <w:szCs w:val="20"/>
              </w:rPr>
              <w:t>Chine</w:t>
            </w:r>
          </w:p>
        </w:tc>
        <w:tc>
          <w:tcPr>
            <w:tcW w:w="1300" w:type="dxa"/>
            <w:tcBorders>
              <w:top w:val="nil"/>
              <w:left w:val="nil"/>
              <w:bottom w:val="single" w:sz="8" w:space="0" w:color="FFFFFF"/>
              <w:right w:val="single" w:sz="8" w:space="0" w:color="FFFFFF"/>
            </w:tcBorders>
            <w:shd w:val="clear" w:color="000000" w:fill="DCE6F1"/>
            <w:vAlign w:val="center"/>
            <w:hideMark/>
          </w:tcPr>
          <w:p w14:paraId="00DFF8DB" w14:textId="77777777" w:rsidR="00676C25" w:rsidRPr="00D35C6A" w:rsidRDefault="00676C25" w:rsidP="00676C25">
            <w:pPr>
              <w:jc w:val="center"/>
              <w:rPr>
                <w:rFonts w:ascii="Calibri" w:eastAsia="Times New Roman" w:hAnsi="Calibri" w:cs="Times New Roman"/>
                <w:szCs w:val="20"/>
              </w:rPr>
            </w:pPr>
            <w:r w:rsidRPr="00D35C6A">
              <w:rPr>
                <w:rFonts w:ascii="Calibri" w:eastAsia="Times New Roman" w:hAnsi="Calibri" w:cs="Times New Roman"/>
                <w:szCs w:val="20"/>
              </w:rPr>
              <w:t>20/06/12</w:t>
            </w:r>
          </w:p>
        </w:tc>
        <w:tc>
          <w:tcPr>
            <w:tcW w:w="1840" w:type="dxa"/>
            <w:tcBorders>
              <w:top w:val="nil"/>
              <w:left w:val="nil"/>
              <w:bottom w:val="single" w:sz="8" w:space="0" w:color="FFFFFF"/>
              <w:right w:val="single" w:sz="8" w:space="0" w:color="FFFFFF"/>
            </w:tcBorders>
            <w:shd w:val="clear" w:color="000000" w:fill="DCE6F1"/>
            <w:vAlign w:val="center"/>
            <w:hideMark/>
          </w:tcPr>
          <w:p w14:paraId="2B5A9BD6" w14:textId="77777777" w:rsidR="00676C25" w:rsidRPr="00D35C6A" w:rsidRDefault="00676C25" w:rsidP="00676C25">
            <w:pPr>
              <w:jc w:val="center"/>
              <w:rPr>
                <w:rFonts w:ascii="Calibri" w:eastAsia="Times New Roman" w:hAnsi="Calibri" w:cs="Times New Roman"/>
                <w:szCs w:val="20"/>
              </w:rPr>
            </w:pPr>
            <w:r w:rsidRPr="00D35C6A">
              <w:rPr>
                <w:rFonts w:ascii="Calibri" w:eastAsia="Times New Roman" w:hAnsi="Calibri" w:cs="Times New Roman"/>
                <w:szCs w:val="20"/>
              </w:rPr>
              <w:t>201280030869.X</w:t>
            </w:r>
          </w:p>
        </w:tc>
        <w:tc>
          <w:tcPr>
            <w:tcW w:w="1960" w:type="dxa"/>
            <w:tcBorders>
              <w:top w:val="nil"/>
              <w:left w:val="nil"/>
              <w:bottom w:val="single" w:sz="8" w:space="0" w:color="FFFFFF"/>
              <w:right w:val="single" w:sz="8" w:space="0" w:color="FFFFFF"/>
            </w:tcBorders>
            <w:shd w:val="clear" w:color="000000" w:fill="DCE6F1"/>
            <w:vAlign w:val="center"/>
            <w:hideMark/>
          </w:tcPr>
          <w:p w14:paraId="4E193603" w14:textId="77777777" w:rsidR="00676C25" w:rsidRPr="00D35C6A" w:rsidRDefault="00676C25" w:rsidP="00676C25">
            <w:pPr>
              <w:jc w:val="center"/>
              <w:rPr>
                <w:rFonts w:ascii="Calibri" w:eastAsia="Times New Roman" w:hAnsi="Calibri" w:cs="Times New Roman"/>
                <w:szCs w:val="20"/>
              </w:rPr>
            </w:pPr>
            <w:r w:rsidRPr="00D35C6A">
              <w:rPr>
                <w:rFonts w:ascii="Calibri" w:eastAsia="Times New Roman" w:hAnsi="Calibri" w:cs="Times New Roman"/>
                <w:szCs w:val="20"/>
              </w:rPr>
              <w:t>CN103717157</w:t>
            </w:r>
          </w:p>
        </w:tc>
        <w:tc>
          <w:tcPr>
            <w:tcW w:w="1300" w:type="dxa"/>
            <w:tcBorders>
              <w:top w:val="nil"/>
              <w:left w:val="nil"/>
              <w:bottom w:val="single" w:sz="8" w:space="0" w:color="FFFFFF"/>
              <w:right w:val="single" w:sz="8" w:space="0" w:color="FFFFFF"/>
            </w:tcBorders>
            <w:shd w:val="clear" w:color="000000" w:fill="DCE6F1"/>
            <w:vAlign w:val="center"/>
            <w:hideMark/>
          </w:tcPr>
          <w:p w14:paraId="3839EB31" w14:textId="77777777" w:rsidR="00676C25" w:rsidRPr="00D35C6A" w:rsidRDefault="00676C25" w:rsidP="00676C25">
            <w:pPr>
              <w:jc w:val="center"/>
              <w:rPr>
                <w:rFonts w:ascii="Calibri" w:eastAsia="Times New Roman" w:hAnsi="Calibri" w:cs="Times New Roman"/>
                <w:szCs w:val="20"/>
              </w:rPr>
            </w:pPr>
            <w:r w:rsidRPr="00D35C6A">
              <w:rPr>
                <w:rFonts w:ascii="Calibri" w:eastAsia="Times New Roman" w:hAnsi="Calibri" w:cs="Times New Roman"/>
                <w:szCs w:val="20"/>
              </w:rPr>
              <w:t>05/08/16</w:t>
            </w:r>
          </w:p>
        </w:tc>
        <w:tc>
          <w:tcPr>
            <w:tcW w:w="2280" w:type="dxa"/>
            <w:tcBorders>
              <w:top w:val="nil"/>
              <w:left w:val="nil"/>
              <w:bottom w:val="single" w:sz="8" w:space="0" w:color="FFFFFF"/>
              <w:right w:val="single" w:sz="8" w:space="0" w:color="FFFFFF"/>
            </w:tcBorders>
            <w:shd w:val="clear" w:color="000000" w:fill="DCE6F1"/>
            <w:vAlign w:val="center"/>
            <w:hideMark/>
          </w:tcPr>
          <w:p w14:paraId="21008DB8" w14:textId="77777777" w:rsidR="00676C25" w:rsidRPr="00D35C6A" w:rsidRDefault="00676C25" w:rsidP="00676C25">
            <w:pPr>
              <w:jc w:val="center"/>
              <w:rPr>
                <w:rFonts w:ascii="Calibri" w:eastAsia="Times New Roman" w:hAnsi="Calibri" w:cs="Times New Roman"/>
                <w:szCs w:val="20"/>
              </w:rPr>
            </w:pPr>
            <w:r w:rsidRPr="00D35C6A">
              <w:rPr>
                <w:rFonts w:ascii="Calibri" w:eastAsia="Times New Roman" w:hAnsi="Calibri" w:cs="Times New Roman"/>
                <w:szCs w:val="20"/>
              </w:rPr>
              <w:t>201280030869.X</w:t>
            </w:r>
          </w:p>
        </w:tc>
        <w:tc>
          <w:tcPr>
            <w:tcW w:w="1554" w:type="dxa"/>
            <w:tcBorders>
              <w:top w:val="nil"/>
              <w:left w:val="nil"/>
              <w:bottom w:val="single" w:sz="8" w:space="0" w:color="FFFFFF"/>
              <w:right w:val="single" w:sz="8" w:space="0" w:color="FFFFFF"/>
            </w:tcBorders>
            <w:shd w:val="clear" w:color="000000" w:fill="DCE6F1"/>
            <w:vAlign w:val="center"/>
            <w:hideMark/>
          </w:tcPr>
          <w:p w14:paraId="2D499A4C" w14:textId="77777777" w:rsidR="00676C25" w:rsidRPr="00D35C6A" w:rsidRDefault="00676C25" w:rsidP="00676C25">
            <w:pPr>
              <w:jc w:val="center"/>
              <w:rPr>
                <w:rFonts w:ascii="Calibri" w:eastAsia="Times New Roman" w:hAnsi="Calibri" w:cs="Times New Roman"/>
                <w:szCs w:val="20"/>
              </w:rPr>
            </w:pPr>
            <w:r w:rsidRPr="00D35C6A">
              <w:rPr>
                <w:rFonts w:ascii="Calibri" w:eastAsia="Times New Roman" w:hAnsi="Calibri" w:cs="Times New Roman"/>
                <w:szCs w:val="20"/>
              </w:rPr>
              <w:t>En application</w:t>
            </w:r>
          </w:p>
        </w:tc>
      </w:tr>
      <w:tr w:rsidR="00676C25" w:rsidRPr="00D35C6A" w14:paraId="4A8D7037" w14:textId="77777777" w:rsidTr="00676C25">
        <w:trPr>
          <w:trHeight w:val="320"/>
        </w:trPr>
        <w:tc>
          <w:tcPr>
            <w:tcW w:w="1960" w:type="dxa"/>
            <w:vMerge/>
            <w:tcBorders>
              <w:top w:val="nil"/>
              <w:left w:val="single" w:sz="8" w:space="0" w:color="FFFFFF"/>
              <w:bottom w:val="single" w:sz="8" w:space="0" w:color="FFFFFF"/>
              <w:right w:val="single" w:sz="8" w:space="0" w:color="FFFFFF"/>
            </w:tcBorders>
            <w:vAlign w:val="center"/>
            <w:hideMark/>
          </w:tcPr>
          <w:p w14:paraId="52BBF6E5" w14:textId="77777777" w:rsidR="00676C25" w:rsidRPr="00D35C6A" w:rsidRDefault="00676C25" w:rsidP="00676C25">
            <w:pPr>
              <w:jc w:val="left"/>
              <w:rPr>
                <w:rFonts w:ascii="Calibri" w:eastAsia="Times New Roman" w:hAnsi="Calibri" w:cs="Times New Roman"/>
                <w:szCs w:val="20"/>
              </w:rPr>
            </w:pPr>
          </w:p>
        </w:tc>
        <w:tc>
          <w:tcPr>
            <w:tcW w:w="1300" w:type="dxa"/>
            <w:vMerge/>
            <w:tcBorders>
              <w:top w:val="nil"/>
              <w:left w:val="single" w:sz="8" w:space="0" w:color="FFFFFF"/>
              <w:bottom w:val="single" w:sz="8" w:space="0" w:color="FFFFFF"/>
              <w:right w:val="single" w:sz="8" w:space="0" w:color="FFFFFF"/>
            </w:tcBorders>
            <w:vAlign w:val="center"/>
            <w:hideMark/>
          </w:tcPr>
          <w:p w14:paraId="0FFB9147" w14:textId="77777777" w:rsidR="00676C25" w:rsidRPr="00D35C6A" w:rsidRDefault="00676C25" w:rsidP="00676C25">
            <w:pPr>
              <w:jc w:val="left"/>
              <w:rPr>
                <w:rFonts w:ascii="Calibri" w:eastAsia="Times New Roman" w:hAnsi="Calibri" w:cs="Times New Roman"/>
                <w:szCs w:val="20"/>
              </w:rPr>
            </w:pPr>
          </w:p>
        </w:tc>
        <w:tc>
          <w:tcPr>
            <w:tcW w:w="2100" w:type="dxa"/>
            <w:tcBorders>
              <w:top w:val="nil"/>
              <w:left w:val="nil"/>
              <w:bottom w:val="single" w:sz="8" w:space="0" w:color="FFFFFF"/>
              <w:right w:val="single" w:sz="8" w:space="0" w:color="FFFFFF"/>
            </w:tcBorders>
            <w:shd w:val="clear" w:color="000000" w:fill="DCE6F1"/>
            <w:vAlign w:val="center"/>
            <w:hideMark/>
          </w:tcPr>
          <w:p w14:paraId="4100FB5A" w14:textId="77777777" w:rsidR="00676C25" w:rsidRPr="00D35C6A" w:rsidRDefault="00676C25" w:rsidP="00676C25">
            <w:pPr>
              <w:jc w:val="center"/>
              <w:rPr>
                <w:rFonts w:ascii="Calibri" w:eastAsia="Times New Roman" w:hAnsi="Calibri" w:cs="Times New Roman"/>
                <w:szCs w:val="20"/>
              </w:rPr>
            </w:pPr>
            <w:r w:rsidRPr="00D35C6A">
              <w:rPr>
                <w:rFonts w:ascii="Calibri" w:eastAsia="Times New Roman" w:hAnsi="Calibri" w:cs="Times New Roman"/>
                <w:szCs w:val="20"/>
              </w:rPr>
              <w:t>Corée du sud</w:t>
            </w:r>
          </w:p>
        </w:tc>
        <w:tc>
          <w:tcPr>
            <w:tcW w:w="1300" w:type="dxa"/>
            <w:tcBorders>
              <w:top w:val="nil"/>
              <w:left w:val="nil"/>
              <w:bottom w:val="single" w:sz="8" w:space="0" w:color="FFFFFF"/>
              <w:right w:val="single" w:sz="8" w:space="0" w:color="FFFFFF"/>
            </w:tcBorders>
            <w:shd w:val="clear" w:color="000000" w:fill="DCE6F1"/>
            <w:vAlign w:val="center"/>
            <w:hideMark/>
          </w:tcPr>
          <w:p w14:paraId="5DB78C20" w14:textId="77777777" w:rsidR="00676C25" w:rsidRPr="00D35C6A" w:rsidRDefault="00676C25" w:rsidP="00676C25">
            <w:pPr>
              <w:jc w:val="center"/>
              <w:rPr>
                <w:rFonts w:ascii="Calibri" w:eastAsia="Times New Roman" w:hAnsi="Calibri" w:cs="Times New Roman"/>
                <w:szCs w:val="20"/>
              </w:rPr>
            </w:pPr>
            <w:r w:rsidRPr="00D35C6A">
              <w:rPr>
                <w:rFonts w:ascii="Calibri" w:eastAsia="Times New Roman" w:hAnsi="Calibri" w:cs="Times New Roman"/>
                <w:szCs w:val="20"/>
              </w:rPr>
              <w:t>20/06/12</w:t>
            </w:r>
          </w:p>
        </w:tc>
        <w:tc>
          <w:tcPr>
            <w:tcW w:w="1840" w:type="dxa"/>
            <w:tcBorders>
              <w:top w:val="nil"/>
              <w:left w:val="nil"/>
              <w:bottom w:val="single" w:sz="8" w:space="0" w:color="FFFFFF"/>
              <w:right w:val="single" w:sz="8" w:space="0" w:color="FFFFFF"/>
            </w:tcBorders>
            <w:shd w:val="clear" w:color="000000" w:fill="DCE6F1"/>
            <w:vAlign w:val="center"/>
            <w:hideMark/>
          </w:tcPr>
          <w:p w14:paraId="65879F0F" w14:textId="77777777" w:rsidR="00676C25" w:rsidRPr="00D35C6A" w:rsidRDefault="00676C25" w:rsidP="00676C25">
            <w:pPr>
              <w:jc w:val="center"/>
              <w:rPr>
                <w:rFonts w:ascii="Calibri" w:eastAsia="Times New Roman" w:hAnsi="Calibri" w:cs="Times New Roman"/>
                <w:szCs w:val="20"/>
              </w:rPr>
            </w:pPr>
            <w:r w:rsidRPr="00D35C6A">
              <w:rPr>
                <w:rFonts w:ascii="Calibri" w:eastAsia="Times New Roman" w:hAnsi="Calibri" w:cs="Times New Roman"/>
                <w:szCs w:val="20"/>
              </w:rPr>
              <w:t>10-2013-7033879</w:t>
            </w:r>
          </w:p>
        </w:tc>
        <w:tc>
          <w:tcPr>
            <w:tcW w:w="1960" w:type="dxa"/>
            <w:tcBorders>
              <w:top w:val="nil"/>
              <w:left w:val="nil"/>
              <w:bottom w:val="single" w:sz="8" w:space="0" w:color="FFFFFF"/>
              <w:right w:val="single" w:sz="8" w:space="0" w:color="FFFFFF"/>
            </w:tcBorders>
            <w:shd w:val="clear" w:color="000000" w:fill="DCE6F1"/>
            <w:vAlign w:val="center"/>
            <w:hideMark/>
          </w:tcPr>
          <w:p w14:paraId="1EEDF0D2" w14:textId="77777777" w:rsidR="00676C25" w:rsidRPr="00D35C6A" w:rsidRDefault="00676C25" w:rsidP="00676C25">
            <w:pPr>
              <w:jc w:val="center"/>
              <w:rPr>
                <w:rFonts w:ascii="Calibri" w:eastAsia="Times New Roman" w:hAnsi="Calibri" w:cs="Times New Roman"/>
                <w:szCs w:val="20"/>
              </w:rPr>
            </w:pPr>
            <w:r w:rsidRPr="00D35C6A">
              <w:rPr>
                <w:rFonts w:ascii="Calibri" w:eastAsia="Times New Roman" w:hAnsi="Calibri" w:cs="Times New Roman"/>
                <w:szCs w:val="20"/>
              </w:rPr>
              <w:t>KR20140037135</w:t>
            </w:r>
          </w:p>
        </w:tc>
        <w:tc>
          <w:tcPr>
            <w:tcW w:w="1300" w:type="dxa"/>
            <w:tcBorders>
              <w:top w:val="nil"/>
              <w:left w:val="nil"/>
              <w:bottom w:val="single" w:sz="8" w:space="0" w:color="FFFFFF"/>
              <w:right w:val="single" w:sz="8" w:space="0" w:color="FFFFFF"/>
            </w:tcBorders>
            <w:shd w:val="clear" w:color="000000" w:fill="DCE6F1"/>
            <w:vAlign w:val="center"/>
            <w:hideMark/>
          </w:tcPr>
          <w:p w14:paraId="293C711F" w14:textId="77777777" w:rsidR="00676C25" w:rsidRPr="00D35C6A" w:rsidRDefault="00676C25" w:rsidP="00676C25">
            <w:pPr>
              <w:jc w:val="center"/>
              <w:rPr>
                <w:rFonts w:ascii="Calibri" w:eastAsia="Times New Roman" w:hAnsi="Calibri" w:cs="Times New Roman"/>
                <w:szCs w:val="20"/>
              </w:rPr>
            </w:pPr>
            <w:r w:rsidRPr="00D35C6A">
              <w:rPr>
                <w:rFonts w:ascii="Calibri" w:eastAsia="Times New Roman" w:hAnsi="Calibri" w:cs="Times New Roman"/>
                <w:szCs w:val="20"/>
              </w:rPr>
              <w:t>04/10/18</w:t>
            </w:r>
          </w:p>
        </w:tc>
        <w:tc>
          <w:tcPr>
            <w:tcW w:w="2280" w:type="dxa"/>
            <w:tcBorders>
              <w:top w:val="nil"/>
              <w:left w:val="nil"/>
              <w:bottom w:val="single" w:sz="8" w:space="0" w:color="FFFFFF"/>
              <w:right w:val="single" w:sz="8" w:space="0" w:color="FFFFFF"/>
            </w:tcBorders>
            <w:shd w:val="clear" w:color="000000" w:fill="DCE6F1"/>
            <w:vAlign w:val="center"/>
            <w:hideMark/>
          </w:tcPr>
          <w:p w14:paraId="0ECC7B05" w14:textId="77777777" w:rsidR="00676C25" w:rsidRPr="00D35C6A" w:rsidRDefault="00676C25" w:rsidP="00676C25">
            <w:pPr>
              <w:jc w:val="center"/>
              <w:rPr>
                <w:rFonts w:ascii="Calibri" w:eastAsia="Times New Roman" w:hAnsi="Calibri" w:cs="Times New Roman"/>
                <w:szCs w:val="20"/>
              </w:rPr>
            </w:pPr>
            <w:r w:rsidRPr="00D35C6A">
              <w:rPr>
                <w:rFonts w:ascii="Calibri" w:eastAsia="Times New Roman" w:hAnsi="Calibri" w:cs="Times New Roman"/>
                <w:szCs w:val="20"/>
              </w:rPr>
              <w:t>10 1907092</w:t>
            </w:r>
          </w:p>
        </w:tc>
        <w:tc>
          <w:tcPr>
            <w:tcW w:w="1554" w:type="dxa"/>
            <w:tcBorders>
              <w:top w:val="nil"/>
              <w:left w:val="nil"/>
              <w:bottom w:val="single" w:sz="8" w:space="0" w:color="FFFFFF"/>
              <w:right w:val="single" w:sz="8" w:space="0" w:color="FFFFFF"/>
            </w:tcBorders>
            <w:shd w:val="clear" w:color="000000" w:fill="DCE6F1"/>
            <w:vAlign w:val="center"/>
            <w:hideMark/>
          </w:tcPr>
          <w:p w14:paraId="5598309A" w14:textId="77777777" w:rsidR="00676C25" w:rsidRPr="00D35C6A" w:rsidRDefault="00676C25" w:rsidP="00676C25">
            <w:pPr>
              <w:jc w:val="center"/>
              <w:rPr>
                <w:rFonts w:ascii="Calibri" w:eastAsia="Times New Roman" w:hAnsi="Calibri" w:cs="Times New Roman"/>
                <w:szCs w:val="20"/>
              </w:rPr>
            </w:pPr>
            <w:r w:rsidRPr="00D35C6A">
              <w:rPr>
                <w:rFonts w:ascii="Calibri" w:eastAsia="Times New Roman" w:hAnsi="Calibri" w:cs="Times New Roman"/>
                <w:szCs w:val="20"/>
              </w:rPr>
              <w:t>En application</w:t>
            </w:r>
          </w:p>
        </w:tc>
      </w:tr>
      <w:tr w:rsidR="00676C25" w:rsidRPr="00D35C6A" w14:paraId="06E0E8B9" w14:textId="77777777" w:rsidTr="00676C25">
        <w:trPr>
          <w:trHeight w:val="320"/>
        </w:trPr>
        <w:tc>
          <w:tcPr>
            <w:tcW w:w="1960" w:type="dxa"/>
            <w:vMerge/>
            <w:tcBorders>
              <w:top w:val="nil"/>
              <w:left w:val="single" w:sz="8" w:space="0" w:color="FFFFFF"/>
              <w:bottom w:val="single" w:sz="8" w:space="0" w:color="FFFFFF"/>
              <w:right w:val="single" w:sz="8" w:space="0" w:color="FFFFFF"/>
            </w:tcBorders>
            <w:vAlign w:val="center"/>
            <w:hideMark/>
          </w:tcPr>
          <w:p w14:paraId="2F16D9E1" w14:textId="77777777" w:rsidR="00676C25" w:rsidRPr="00D35C6A" w:rsidRDefault="00676C25" w:rsidP="00676C25">
            <w:pPr>
              <w:jc w:val="left"/>
              <w:rPr>
                <w:rFonts w:ascii="Calibri" w:eastAsia="Times New Roman" w:hAnsi="Calibri" w:cs="Times New Roman"/>
                <w:szCs w:val="20"/>
              </w:rPr>
            </w:pPr>
          </w:p>
        </w:tc>
        <w:tc>
          <w:tcPr>
            <w:tcW w:w="1300" w:type="dxa"/>
            <w:vMerge/>
            <w:tcBorders>
              <w:top w:val="nil"/>
              <w:left w:val="single" w:sz="8" w:space="0" w:color="FFFFFF"/>
              <w:bottom w:val="single" w:sz="8" w:space="0" w:color="FFFFFF"/>
              <w:right w:val="single" w:sz="8" w:space="0" w:color="FFFFFF"/>
            </w:tcBorders>
            <w:vAlign w:val="center"/>
            <w:hideMark/>
          </w:tcPr>
          <w:p w14:paraId="1AB155CC" w14:textId="77777777" w:rsidR="00676C25" w:rsidRPr="00D35C6A" w:rsidRDefault="00676C25" w:rsidP="00676C25">
            <w:pPr>
              <w:jc w:val="left"/>
              <w:rPr>
                <w:rFonts w:ascii="Calibri" w:eastAsia="Times New Roman" w:hAnsi="Calibri" w:cs="Times New Roman"/>
                <w:szCs w:val="20"/>
              </w:rPr>
            </w:pPr>
          </w:p>
        </w:tc>
        <w:tc>
          <w:tcPr>
            <w:tcW w:w="2100" w:type="dxa"/>
            <w:tcBorders>
              <w:top w:val="nil"/>
              <w:left w:val="nil"/>
              <w:bottom w:val="single" w:sz="8" w:space="0" w:color="FFFFFF"/>
              <w:right w:val="single" w:sz="8" w:space="0" w:color="FFFFFF"/>
            </w:tcBorders>
            <w:shd w:val="clear" w:color="000000" w:fill="DCE6F1"/>
            <w:vAlign w:val="center"/>
            <w:hideMark/>
          </w:tcPr>
          <w:p w14:paraId="20352A69" w14:textId="77777777" w:rsidR="00676C25" w:rsidRPr="00D35C6A" w:rsidRDefault="00676C25" w:rsidP="00676C25">
            <w:pPr>
              <w:jc w:val="center"/>
              <w:rPr>
                <w:rFonts w:ascii="Calibri" w:eastAsia="Times New Roman" w:hAnsi="Calibri" w:cs="Times New Roman"/>
                <w:szCs w:val="20"/>
              </w:rPr>
            </w:pPr>
            <w:r w:rsidRPr="00D35C6A">
              <w:rPr>
                <w:rFonts w:ascii="Calibri" w:eastAsia="Times New Roman" w:hAnsi="Calibri" w:cs="Times New Roman"/>
                <w:szCs w:val="20"/>
              </w:rPr>
              <w:t>Etats-Unis</w:t>
            </w:r>
          </w:p>
        </w:tc>
        <w:tc>
          <w:tcPr>
            <w:tcW w:w="1300" w:type="dxa"/>
            <w:tcBorders>
              <w:top w:val="nil"/>
              <w:left w:val="nil"/>
              <w:bottom w:val="single" w:sz="8" w:space="0" w:color="FFFFFF"/>
              <w:right w:val="single" w:sz="8" w:space="0" w:color="FFFFFF"/>
            </w:tcBorders>
            <w:shd w:val="clear" w:color="000000" w:fill="DCE6F1"/>
            <w:vAlign w:val="center"/>
            <w:hideMark/>
          </w:tcPr>
          <w:p w14:paraId="32A8B392" w14:textId="77777777" w:rsidR="00676C25" w:rsidRPr="00D35C6A" w:rsidRDefault="00676C25" w:rsidP="00676C25">
            <w:pPr>
              <w:jc w:val="center"/>
              <w:rPr>
                <w:rFonts w:ascii="Calibri" w:eastAsia="Times New Roman" w:hAnsi="Calibri" w:cs="Times New Roman"/>
                <w:szCs w:val="20"/>
              </w:rPr>
            </w:pPr>
            <w:r w:rsidRPr="00D35C6A">
              <w:rPr>
                <w:rFonts w:ascii="Calibri" w:eastAsia="Times New Roman" w:hAnsi="Calibri" w:cs="Times New Roman"/>
                <w:szCs w:val="20"/>
              </w:rPr>
              <w:t>20/06/12</w:t>
            </w:r>
          </w:p>
        </w:tc>
        <w:tc>
          <w:tcPr>
            <w:tcW w:w="1840" w:type="dxa"/>
            <w:tcBorders>
              <w:top w:val="nil"/>
              <w:left w:val="nil"/>
              <w:bottom w:val="single" w:sz="8" w:space="0" w:color="FFFFFF"/>
              <w:right w:val="single" w:sz="8" w:space="0" w:color="FFFFFF"/>
            </w:tcBorders>
            <w:shd w:val="clear" w:color="000000" w:fill="DCE6F1"/>
            <w:vAlign w:val="center"/>
            <w:hideMark/>
          </w:tcPr>
          <w:p w14:paraId="0CFDAF13" w14:textId="77777777" w:rsidR="00676C25" w:rsidRPr="00D35C6A" w:rsidRDefault="00676C25" w:rsidP="00676C25">
            <w:pPr>
              <w:jc w:val="center"/>
              <w:rPr>
                <w:rFonts w:ascii="Calibri" w:eastAsia="Times New Roman" w:hAnsi="Calibri" w:cs="Times New Roman"/>
                <w:szCs w:val="20"/>
              </w:rPr>
            </w:pPr>
            <w:r w:rsidRPr="00D35C6A">
              <w:rPr>
                <w:rFonts w:ascii="Calibri" w:eastAsia="Times New Roman" w:hAnsi="Calibri" w:cs="Times New Roman"/>
                <w:szCs w:val="20"/>
              </w:rPr>
              <w:t>14/128,814</w:t>
            </w:r>
          </w:p>
        </w:tc>
        <w:tc>
          <w:tcPr>
            <w:tcW w:w="1960" w:type="dxa"/>
            <w:tcBorders>
              <w:top w:val="nil"/>
              <w:left w:val="nil"/>
              <w:bottom w:val="single" w:sz="8" w:space="0" w:color="FFFFFF"/>
              <w:right w:val="single" w:sz="8" w:space="0" w:color="FFFFFF"/>
            </w:tcBorders>
            <w:shd w:val="clear" w:color="000000" w:fill="DCE6F1"/>
            <w:vAlign w:val="center"/>
            <w:hideMark/>
          </w:tcPr>
          <w:p w14:paraId="7B3226DE" w14:textId="77777777" w:rsidR="00676C25" w:rsidRPr="00D35C6A" w:rsidRDefault="00676C25" w:rsidP="00676C25">
            <w:pPr>
              <w:jc w:val="center"/>
              <w:rPr>
                <w:rFonts w:ascii="Calibri" w:eastAsia="Times New Roman" w:hAnsi="Calibri" w:cs="Times New Roman"/>
                <w:szCs w:val="20"/>
              </w:rPr>
            </w:pPr>
            <w:r w:rsidRPr="00D35C6A">
              <w:rPr>
                <w:rFonts w:ascii="Calibri" w:eastAsia="Times New Roman" w:hAnsi="Calibri" w:cs="Times New Roman"/>
                <w:szCs w:val="20"/>
              </w:rPr>
              <w:t>US-2014-0350612-A</w:t>
            </w:r>
          </w:p>
        </w:tc>
        <w:tc>
          <w:tcPr>
            <w:tcW w:w="1300" w:type="dxa"/>
            <w:tcBorders>
              <w:top w:val="nil"/>
              <w:left w:val="nil"/>
              <w:bottom w:val="single" w:sz="8" w:space="0" w:color="FFFFFF"/>
              <w:right w:val="single" w:sz="8" w:space="0" w:color="FFFFFF"/>
            </w:tcBorders>
            <w:shd w:val="clear" w:color="000000" w:fill="DCE6F1"/>
            <w:vAlign w:val="center"/>
            <w:hideMark/>
          </w:tcPr>
          <w:p w14:paraId="4E0A10FA" w14:textId="77777777" w:rsidR="00676C25" w:rsidRPr="00D35C6A" w:rsidRDefault="00676C25" w:rsidP="00676C25">
            <w:pPr>
              <w:jc w:val="center"/>
              <w:rPr>
                <w:rFonts w:ascii="Calibri" w:eastAsia="Times New Roman" w:hAnsi="Calibri" w:cs="Times New Roman"/>
                <w:szCs w:val="20"/>
              </w:rPr>
            </w:pPr>
            <w:r w:rsidRPr="00D35C6A">
              <w:rPr>
                <w:rFonts w:ascii="Calibri" w:eastAsia="Times New Roman" w:hAnsi="Calibri" w:cs="Times New Roman"/>
                <w:szCs w:val="20"/>
              </w:rPr>
              <w:t>23/03/16</w:t>
            </w:r>
          </w:p>
        </w:tc>
        <w:tc>
          <w:tcPr>
            <w:tcW w:w="2280" w:type="dxa"/>
            <w:tcBorders>
              <w:top w:val="nil"/>
              <w:left w:val="nil"/>
              <w:bottom w:val="single" w:sz="8" w:space="0" w:color="FFFFFF"/>
              <w:right w:val="single" w:sz="8" w:space="0" w:color="FFFFFF"/>
            </w:tcBorders>
            <w:shd w:val="clear" w:color="000000" w:fill="DCE6F1"/>
            <w:vAlign w:val="center"/>
            <w:hideMark/>
          </w:tcPr>
          <w:p w14:paraId="733A2A3F" w14:textId="77777777" w:rsidR="00676C25" w:rsidRPr="00D35C6A" w:rsidRDefault="00676C25" w:rsidP="00676C25">
            <w:pPr>
              <w:jc w:val="center"/>
              <w:rPr>
                <w:rFonts w:ascii="Calibri" w:eastAsia="Times New Roman" w:hAnsi="Calibri" w:cs="Times New Roman"/>
                <w:szCs w:val="20"/>
              </w:rPr>
            </w:pPr>
            <w:r w:rsidRPr="00D35C6A">
              <w:rPr>
                <w:rFonts w:ascii="Calibri" w:eastAsia="Times New Roman" w:hAnsi="Calibri" w:cs="Times New Roman"/>
                <w:szCs w:val="20"/>
              </w:rPr>
              <w:t>9.289.251</w:t>
            </w:r>
          </w:p>
        </w:tc>
        <w:tc>
          <w:tcPr>
            <w:tcW w:w="1554" w:type="dxa"/>
            <w:tcBorders>
              <w:top w:val="nil"/>
              <w:left w:val="nil"/>
              <w:bottom w:val="single" w:sz="8" w:space="0" w:color="FFFFFF"/>
              <w:right w:val="single" w:sz="8" w:space="0" w:color="FFFFFF"/>
            </w:tcBorders>
            <w:shd w:val="clear" w:color="000000" w:fill="DCE6F1"/>
            <w:vAlign w:val="center"/>
            <w:hideMark/>
          </w:tcPr>
          <w:p w14:paraId="1973B484" w14:textId="77777777" w:rsidR="00676C25" w:rsidRPr="00D35C6A" w:rsidRDefault="00676C25" w:rsidP="00676C25">
            <w:pPr>
              <w:jc w:val="center"/>
              <w:rPr>
                <w:rFonts w:ascii="Calibri" w:eastAsia="Times New Roman" w:hAnsi="Calibri" w:cs="Times New Roman"/>
                <w:szCs w:val="20"/>
              </w:rPr>
            </w:pPr>
            <w:r w:rsidRPr="00D35C6A">
              <w:rPr>
                <w:rFonts w:ascii="Calibri" w:eastAsia="Times New Roman" w:hAnsi="Calibri" w:cs="Times New Roman"/>
                <w:szCs w:val="20"/>
              </w:rPr>
              <w:t>En application</w:t>
            </w:r>
          </w:p>
        </w:tc>
      </w:tr>
      <w:tr w:rsidR="00676C25" w:rsidRPr="00D35C6A" w14:paraId="24798C88" w14:textId="77777777" w:rsidTr="00676C25">
        <w:trPr>
          <w:trHeight w:val="580"/>
        </w:trPr>
        <w:tc>
          <w:tcPr>
            <w:tcW w:w="1960" w:type="dxa"/>
            <w:tcBorders>
              <w:top w:val="nil"/>
              <w:left w:val="single" w:sz="8" w:space="0" w:color="FFFFFF"/>
              <w:bottom w:val="single" w:sz="8" w:space="0" w:color="FFFFFF"/>
              <w:right w:val="single" w:sz="8" w:space="0" w:color="FFFFFF"/>
            </w:tcBorders>
            <w:shd w:val="clear" w:color="000000" w:fill="DCE6F1"/>
            <w:vAlign w:val="center"/>
            <w:hideMark/>
          </w:tcPr>
          <w:p w14:paraId="7D4CC098" w14:textId="77777777" w:rsidR="00676C25" w:rsidRPr="00D35C6A" w:rsidRDefault="00676C25" w:rsidP="00676C25">
            <w:pPr>
              <w:jc w:val="center"/>
              <w:rPr>
                <w:rFonts w:ascii="Calibri" w:eastAsia="Times New Roman" w:hAnsi="Calibri" w:cs="Times New Roman"/>
                <w:szCs w:val="20"/>
              </w:rPr>
            </w:pPr>
            <w:r w:rsidRPr="00D35C6A">
              <w:rPr>
                <w:rFonts w:ascii="Calibri" w:eastAsia="Times New Roman" w:hAnsi="Calibri" w:cs="Times New Roman"/>
                <w:szCs w:val="20"/>
              </w:rPr>
              <w:t>CONNECTEUR TRANSVERSE</w:t>
            </w:r>
          </w:p>
        </w:tc>
        <w:tc>
          <w:tcPr>
            <w:tcW w:w="1300" w:type="dxa"/>
            <w:tcBorders>
              <w:top w:val="nil"/>
              <w:left w:val="nil"/>
              <w:bottom w:val="single" w:sz="8" w:space="0" w:color="FFFFFF"/>
              <w:right w:val="single" w:sz="8" w:space="0" w:color="FFFFFF"/>
            </w:tcBorders>
            <w:shd w:val="clear" w:color="000000" w:fill="DCE6F1"/>
            <w:vAlign w:val="center"/>
            <w:hideMark/>
          </w:tcPr>
          <w:p w14:paraId="04857AB0" w14:textId="77777777" w:rsidR="00676C25" w:rsidRPr="00D35C6A" w:rsidRDefault="00676C25" w:rsidP="00676C25">
            <w:pPr>
              <w:jc w:val="center"/>
              <w:rPr>
                <w:rFonts w:ascii="Calibri" w:eastAsia="Times New Roman" w:hAnsi="Calibri" w:cs="Times New Roman"/>
                <w:szCs w:val="20"/>
              </w:rPr>
            </w:pPr>
            <w:r w:rsidRPr="00D35C6A">
              <w:rPr>
                <w:rFonts w:ascii="Calibri" w:eastAsia="Times New Roman" w:hAnsi="Calibri" w:cs="Times New Roman"/>
                <w:szCs w:val="20"/>
              </w:rPr>
              <w:t>Spineway</w:t>
            </w:r>
          </w:p>
        </w:tc>
        <w:tc>
          <w:tcPr>
            <w:tcW w:w="2100" w:type="dxa"/>
            <w:tcBorders>
              <w:top w:val="nil"/>
              <w:left w:val="nil"/>
              <w:bottom w:val="single" w:sz="8" w:space="0" w:color="FFFFFF"/>
              <w:right w:val="single" w:sz="8" w:space="0" w:color="FFFFFF"/>
            </w:tcBorders>
            <w:shd w:val="clear" w:color="000000" w:fill="DCE6F1"/>
            <w:vAlign w:val="center"/>
            <w:hideMark/>
          </w:tcPr>
          <w:p w14:paraId="0FC061F8" w14:textId="77777777" w:rsidR="00676C25" w:rsidRPr="00D35C6A" w:rsidRDefault="00676C25" w:rsidP="00676C25">
            <w:pPr>
              <w:jc w:val="center"/>
              <w:rPr>
                <w:rFonts w:ascii="Calibri" w:eastAsia="Times New Roman" w:hAnsi="Calibri" w:cs="Times New Roman"/>
                <w:szCs w:val="20"/>
              </w:rPr>
            </w:pPr>
            <w:r w:rsidRPr="00D35C6A">
              <w:rPr>
                <w:rFonts w:ascii="Calibri" w:eastAsia="Times New Roman" w:hAnsi="Calibri" w:cs="Times New Roman"/>
                <w:szCs w:val="20"/>
              </w:rPr>
              <w:t>France</w:t>
            </w:r>
          </w:p>
        </w:tc>
        <w:tc>
          <w:tcPr>
            <w:tcW w:w="1300" w:type="dxa"/>
            <w:tcBorders>
              <w:top w:val="nil"/>
              <w:left w:val="nil"/>
              <w:bottom w:val="single" w:sz="8" w:space="0" w:color="FFFFFF"/>
              <w:right w:val="single" w:sz="8" w:space="0" w:color="FFFFFF"/>
            </w:tcBorders>
            <w:shd w:val="clear" w:color="000000" w:fill="DCE6F1"/>
            <w:vAlign w:val="center"/>
            <w:hideMark/>
          </w:tcPr>
          <w:p w14:paraId="627B2B20" w14:textId="77777777" w:rsidR="00676C25" w:rsidRPr="00D35C6A" w:rsidRDefault="00676C25" w:rsidP="00676C25">
            <w:pPr>
              <w:jc w:val="center"/>
              <w:rPr>
                <w:rFonts w:ascii="Calibri" w:eastAsia="Times New Roman" w:hAnsi="Calibri" w:cs="Times New Roman"/>
                <w:szCs w:val="20"/>
              </w:rPr>
            </w:pPr>
            <w:r w:rsidRPr="00D35C6A">
              <w:rPr>
                <w:rFonts w:ascii="Calibri" w:eastAsia="Times New Roman" w:hAnsi="Calibri" w:cs="Times New Roman"/>
                <w:szCs w:val="20"/>
              </w:rPr>
              <w:t>17/06/13</w:t>
            </w:r>
          </w:p>
        </w:tc>
        <w:tc>
          <w:tcPr>
            <w:tcW w:w="1840" w:type="dxa"/>
            <w:tcBorders>
              <w:top w:val="nil"/>
              <w:left w:val="nil"/>
              <w:bottom w:val="single" w:sz="8" w:space="0" w:color="FFFFFF"/>
              <w:right w:val="single" w:sz="8" w:space="0" w:color="FFFFFF"/>
            </w:tcBorders>
            <w:shd w:val="clear" w:color="000000" w:fill="DCE6F1"/>
            <w:vAlign w:val="center"/>
            <w:hideMark/>
          </w:tcPr>
          <w:p w14:paraId="2A326822" w14:textId="77777777" w:rsidR="00676C25" w:rsidRPr="00D35C6A" w:rsidRDefault="00676C25" w:rsidP="00676C25">
            <w:pPr>
              <w:jc w:val="center"/>
              <w:rPr>
                <w:rFonts w:ascii="Calibri" w:eastAsia="Times New Roman" w:hAnsi="Calibri" w:cs="Times New Roman"/>
                <w:szCs w:val="20"/>
              </w:rPr>
            </w:pPr>
            <w:r w:rsidRPr="00D35C6A">
              <w:rPr>
                <w:rFonts w:ascii="Calibri" w:eastAsia="Times New Roman" w:hAnsi="Calibri" w:cs="Times New Roman"/>
                <w:szCs w:val="20"/>
              </w:rPr>
              <w:t>1355618</w:t>
            </w:r>
          </w:p>
        </w:tc>
        <w:tc>
          <w:tcPr>
            <w:tcW w:w="1960" w:type="dxa"/>
            <w:tcBorders>
              <w:top w:val="nil"/>
              <w:left w:val="nil"/>
              <w:bottom w:val="single" w:sz="8" w:space="0" w:color="FFFFFF"/>
              <w:right w:val="single" w:sz="8" w:space="0" w:color="FFFFFF"/>
            </w:tcBorders>
            <w:shd w:val="clear" w:color="000000" w:fill="DCE6F1"/>
            <w:vAlign w:val="center"/>
            <w:hideMark/>
          </w:tcPr>
          <w:p w14:paraId="6AD19D57" w14:textId="77777777" w:rsidR="00676C25" w:rsidRPr="00D35C6A" w:rsidRDefault="00676C25" w:rsidP="00676C25">
            <w:pPr>
              <w:jc w:val="center"/>
              <w:rPr>
                <w:rFonts w:ascii="Calibri" w:eastAsia="Times New Roman" w:hAnsi="Calibri" w:cs="Times New Roman"/>
                <w:szCs w:val="20"/>
              </w:rPr>
            </w:pPr>
            <w:r w:rsidRPr="00D35C6A">
              <w:rPr>
                <w:rFonts w:ascii="Calibri" w:eastAsia="Times New Roman" w:hAnsi="Calibri" w:cs="Times New Roman"/>
                <w:szCs w:val="20"/>
              </w:rPr>
              <w:t>3006886</w:t>
            </w:r>
          </w:p>
        </w:tc>
        <w:tc>
          <w:tcPr>
            <w:tcW w:w="1300" w:type="dxa"/>
            <w:tcBorders>
              <w:top w:val="nil"/>
              <w:left w:val="nil"/>
              <w:bottom w:val="single" w:sz="8" w:space="0" w:color="FFFFFF"/>
              <w:right w:val="single" w:sz="8" w:space="0" w:color="FFFFFF"/>
            </w:tcBorders>
            <w:shd w:val="clear" w:color="000000" w:fill="DCE6F1"/>
            <w:vAlign w:val="center"/>
            <w:hideMark/>
          </w:tcPr>
          <w:p w14:paraId="068E0D44" w14:textId="77777777" w:rsidR="00676C25" w:rsidRPr="00D35C6A" w:rsidRDefault="00676C25" w:rsidP="00676C25">
            <w:pPr>
              <w:jc w:val="center"/>
              <w:rPr>
                <w:rFonts w:ascii="Calibri" w:eastAsia="Times New Roman" w:hAnsi="Calibri" w:cs="Times New Roman"/>
                <w:szCs w:val="20"/>
              </w:rPr>
            </w:pPr>
            <w:r w:rsidRPr="00D35C6A">
              <w:rPr>
                <w:rFonts w:ascii="Calibri" w:eastAsia="Times New Roman" w:hAnsi="Calibri" w:cs="Times New Roman"/>
                <w:szCs w:val="20"/>
              </w:rPr>
              <w:t>30/10/15</w:t>
            </w:r>
          </w:p>
        </w:tc>
        <w:tc>
          <w:tcPr>
            <w:tcW w:w="2280" w:type="dxa"/>
            <w:tcBorders>
              <w:top w:val="nil"/>
              <w:left w:val="nil"/>
              <w:bottom w:val="single" w:sz="8" w:space="0" w:color="FFFFFF"/>
              <w:right w:val="single" w:sz="8" w:space="0" w:color="FFFFFF"/>
            </w:tcBorders>
            <w:shd w:val="clear" w:color="000000" w:fill="DCE6F1"/>
            <w:vAlign w:val="center"/>
            <w:hideMark/>
          </w:tcPr>
          <w:p w14:paraId="129FAA85" w14:textId="77777777" w:rsidR="00676C25" w:rsidRPr="00D35C6A" w:rsidRDefault="00676C25" w:rsidP="00676C25">
            <w:pPr>
              <w:jc w:val="center"/>
              <w:rPr>
                <w:rFonts w:ascii="Calibri" w:eastAsia="Times New Roman" w:hAnsi="Calibri" w:cs="Times New Roman"/>
                <w:szCs w:val="20"/>
              </w:rPr>
            </w:pPr>
            <w:r w:rsidRPr="00D35C6A">
              <w:rPr>
                <w:rFonts w:ascii="Calibri" w:eastAsia="Times New Roman" w:hAnsi="Calibri" w:cs="Times New Roman"/>
                <w:szCs w:val="20"/>
              </w:rPr>
              <w:t>1355618</w:t>
            </w:r>
          </w:p>
        </w:tc>
        <w:tc>
          <w:tcPr>
            <w:tcW w:w="1554" w:type="dxa"/>
            <w:tcBorders>
              <w:top w:val="nil"/>
              <w:left w:val="nil"/>
              <w:bottom w:val="single" w:sz="8" w:space="0" w:color="FFFFFF"/>
              <w:right w:val="single" w:sz="8" w:space="0" w:color="FFFFFF"/>
            </w:tcBorders>
            <w:shd w:val="clear" w:color="000000" w:fill="DCE6F1"/>
            <w:vAlign w:val="center"/>
            <w:hideMark/>
          </w:tcPr>
          <w:p w14:paraId="125D685E" w14:textId="77777777" w:rsidR="00676C25" w:rsidRPr="00D35C6A" w:rsidRDefault="00676C25" w:rsidP="00676C25">
            <w:pPr>
              <w:jc w:val="center"/>
              <w:rPr>
                <w:rFonts w:ascii="Calibri" w:eastAsia="Times New Roman" w:hAnsi="Calibri" w:cs="Times New Roman"/>
                <w:szCs w:val="20"/>
              </w:rPr>
            </w:pPr>
            <w:r w:rsidRPr="00D35C6A">
              <w:rPr>
                <w:rFonts w:ascii="Calibri" w:eastAsia="Times New Roman" w:hAnsi="Calibri" w:cs="Times New Roman"/>
                <w:szCs w:val="20"/>
              </w:rPr>
              <w:t>En application</w:t>
            </w:r>
          </w:p>
        </w:tc>
      </w:tr>
      <w:tr w:rsidR="00676C25" w:rsidRPr="00D35C6A" w14:paraId="25174132" w14:textId="77777777" w:rsidTr="00676C25">
        <w:trPr>
          <w:trHeight w:val="1140"/>
        </w:trPr>
        <w:tc>
          <w:tcPr>
            <w:tcW w:w="1960" w:type="dxa"/>
            <w:tcBorders>
              <w:top w:val="nil"/>
              <w:left w:val="single" w:sz="8" w:space="0" w:color="FFFFFF"/>
              <w:bottom w:val="single" w:sz="8" w:space="0" w:color="FFFFFF"/>
              <w:right w:val="single" w:sz="8" w:space="0" w:color="FFFFFF"/>
            </w:tcBorders>
            <w:shd w:val="clear" w:color="000000" w:fill="DCE6F1"/>
            <w:vAlign w:val="center"/>
            <w:hideMark/>
          </w:tcPr>
          <w:p w14:paraId="66110197" w14:textId="77777777" w:rsidR="00676C25" w:rsidRPr="00D35C6A" w:rsidRDefault="00676C25" w:rsidP="00676C25">
            <w:pPr>
              <w:jc w:val="center"/>
              <w:rPr>
                <w:rFonts w:ascii="Calibri" w:eastAsia="Times New Roman" w:hAnsi="Calibri" w:cs="Times New Roman"/>
                <w:szCs w:val="20"/>
              </w:rPr>
            </w:pPr>
            <w:r w:rsidRPr="00D35C6A">
              <w:rPr>
                <w:rFonts w:ascii="Calibri" w:eastAsia="Times New Roman" w:hAnsi="Calibri" w:cs="Times New Roman"/>
                <w:szCs w:val="20"/>
              </w:rPr>
              <w:lastRenderedPageBreak/>
              <w:t>CONNEXION D'IMPLANTS RACHIDIENS (M FORCE)</w:t>
            </w:r>
          </w:p>
        </w:tc>
        <w:tc>
          <w:tcPr>
            <w:tcW w:w="1300" w:type="dxa"/>
            <w:tcBorders>
              <w:top w:val="nil"/>
              <w:left w:val="nil"/>
              <w:bottom w:val="single" w:sz="8" w:space="0" w:color="FFFFFF"/>
              <w:right w:val="single" w:sz="8" w:space="0" w:color="FFFFFF"/>
            </w:tcBorders>
            <w:shd w:val="clear" w:color="000000" w:fill="DCE6F1"/>
            <w:vAlign w:val="center"/>
            <w:hideMark/>
          </w:tcPr>
          <w:p w14:paraId="3576E2EF" w14:textId="77777777" w:rsidR="00676C25" w:rsidRPr="00D35C6A" w:rsidRDefault="00676C25" w:rsidP="00676C25">
            <w:pPr>
              <w:jc w:val="center"/>
              <w:rPr>
                <w:rFonts w:ascii="Calibri" w:eastAsia="Times New Roman" w:hAnsi="Calibri" w:cs="Times New Roman"/>
                <w:szCs w:val="20"/>
              </w:rPr>
            </w:pPr>
            <w:r w:rsidRPr="00D35C6A">
              <w:rPr>
                <w:rFonts w:ascii="Calibri" w:eastAsia="Times New Roman" w:hAnsi="Calibri" w:cs="Times New Roman"/>
                <w:szCs w:val="20"/>
              </w:rPr>
              <w:t>Spineway</w:t>
            </w:r>
          </w:p>
        </w:tc>
        <w:tc>
          <w:tcPr>
            <w:tcW w:w="2100" w:type="dxa"/>
            <w:tcBorders>
              <w:top w:val="nil"/>
              <w:left w:val="nil"/>
              <w:bottom w:val="single" w:sz="8" w:space="0" w:color="FFFFFF"/>
              <w:right w:val="single" w:sz="8" w:space="0" w:color="FFFFFF"/>
            </w:tcBorders>
            <w:shd w:val="clear" w:color="000000" w:fill="DCE6F1"/>
            <w:vAlign w:val="center"/>
            <w:hideMark/>
          </w:tcPr>
          <w:p w14:paraId="2CECC5F0" w14:textId="77777777" w:rsidR="00676C25" w:rsidRPr="00D35C6A" w:rsidRDefault="00676C25" w:rsidP="00676C25">
            <w:pPr>
              <w:jc w:val="center"/>
              <w:rPr>
                <w:rFonts w:ascii="Calibri" w:eastAsia="Times New Roman" w:hAnsi="Calibri" w:cs="Times New Roman"/>
                <w:szCs w:val="20"/>
              </w:rPr>
            </w:pPr>
            <w:r w:rsidRPr="00D35C6A">
              <w:rPr>
                <w:rFonts w:ascii="Calibri" w:eastAsia="Times New Roman" w:hAnsi="Calibri" w:cs="Times New Roman"/>
                <w:szCs w:val="20"/>
              </w:rPr>
              <w:t>France</w:t>
            </w:r>
          </w:p>
        </w:tc>
        <w:tc>
          <w:tcPr>
            <w:tcW w:w="1300" w:type="dxa"/>
            <w:tcBorders>
              <w:top w:val="nil"/>
              <w:left w:val="nil"/>
              <w:bottom w:val="single" w:sz="8" w:space="0" w:color="FFFFFF"/>
              <w:right w:val="single" w:sz="8" w:space="0" w:color="FFFFFF"/>
            </w:tcBorders>
            <w:shd w:val="clear" w:color="000000" w:fill="DCE6F1"/>
            <w:vAlign w:val="center"/>
            <w:hideMark/>
          </w:tcPr>
          <w:p w14:paraId="12725D3C" w14:textId="77777777" w:rsidR="00676C25" w:rsidRPr="00D35C6A" w:rsidRDefault="00676C25" w:rsidP="00676C25">
            <w:pPr>
              <w:jc w:val="center"/>
              <w:rPr>
                <w:rFonts w:ascii="Calibri" w:eastAsia="Times New Roman" w:hAnsi="Calibri" w:cs="Times New Roman"/>
                <w:szCs w:val="20"/>
              </w:rPr>
            </w:pPr>
            <w:r w:rsidRPr="00D35C6A">
              <w:rPr>
                <w:rFonts w:ascii="Calibri" w:eastAsia="Times New Roman" w:hAnsi="Calibri" w:cs="Times New Roman"/>
                <w:szCs w:val="20"/>
              </w:rPr>
              <w:t>24/09/13</w:t>
            </w:r>
          </w:p>
        </w:tc>
        <w:tc>
          <w:tcPr>
            <w:tcW w:w="1840" w:type="dxa"/>
            <w:tcBorders>
              <w:top w:val="nil"/>
              <w:left w:val="nil"/>
              <w:bottom w:val="single" w:sz="8" w:space="0" w:color="FFFFFF"/>
              <w:right w:val="single" w:sz="8" w:space="0" w:color="FFFFFF"/>
            </w:tcBorders>
            <w:shd w:val="clear" w:color="000000" w:fill="DCE6F1"/>
            <w:vAlign w:val="center"/>
            <w:hideMark/>
          </w:tcPr>
          <w:p w14:paraId="486F807E" w14:textId="77777777" w:rsidR="00676C25" w:rsidRPr="00D35C6A" w:rsidRDefault="00676C25" w:rsidP="00676C25">
            <w:pPr>
              <w:jc w:val="center"/>
              <w:rPr>
                <w:rFonts w:ascii="Calibri" w:eastAsia="Times New Roman" w:hAnsi="Calibri" w:cs="Times New Roman"/>
                <w:szCs w:val="20"/>
              </w:rPr>
            </w:pPr>
            <w:r w:rsidRPr="00D35C6A">
              <w:rPr>
                <w:rFonts w:ascii="Calibri" w:eastAsia="Times New Roman" w:hAnsi="Calibri" w:cs="Times New Roman"/>
                <w:szCs w:val="20"/>
              </w:rPr>
              <w:t>1359206</w:t>
            </w:r>
          </w:p>
        </w:tc>
        <w:tc>
          <w:tcPr>
            <w:tcW w:w="1960" w:type="dxa"/>
            <w:tcBorders>
              <w:top w:val="nil"/>
              <w:left w:val="nil"/>
              <w:bottom w:val="single" w:sz="8" w:space="0" w:color="FFFFFF"/>
              <w:right w:val="single" w:sz="8" w:space="0" w:color="FFFFFF"/>
            </w:tcBorders>
            <w:shd w:val="clear" w:color="000000" w:fill="DCE6F1"/>
            <w:vAlign w:val="center"/>
            <w:hideMark/>
          </w:tcPr>
          <w:p w14:paraId="78A1365D" w14:textId="77777777" w:rsidR="00676C25" w:rsidRPr="00D35C6A" w:rsidRDefault="00676C25" w:rsidP="00676C25">
            <w:pPr>
              <w:jc w:val="center"/>
              <w:rPr>
                <w:rFonts w:ascii="Calibri" w:eastAsia="Times New Roman" w:hAnsi="Calibri" w:cs="Times New Roman"/>
                <w:szCs w:val="20"/>
              </w:rPr>
            </w:pPr>
            <w:r w:rsidRPr="00D35C6A">
              <w:rPr>
                <w:rFonts w:ascii="Calibri" w:eastAsia="Times New Roman" w:hAnsi="Calibri" w:cs="Times New Roman"/>
                <w:szCs w:val="20"/>
              </w:rPr>
              <w:t>3010893</w:t>
            </w:r>
          </w:p>
        </w:tc>
        <w:tc>
          <w:tcPr>
            <w:tcW w:w="1300" w:type="dxa"/>
            <w:tcBorders>
              <w:top w:val="nil"/>
              <w:left w:val="nil"/>
              <w:bottom w:val="single" w:sz="8" w:space="0" w:color="FFFFFF"/>
              <w:right w:val="single" w:sz="8" w:space="0" w:color="FFFFFF"/>
            </w:tcBorders>
            <w:shd w:val="clear" w:color="000000" w:fill="DCE6F1"/>
            <w:vAlign w:val="center"/>
            <w:hideMark/>
          </w:tcPr>
          <w:p w14:paraId="5BAF90C2" w14:textId="77777777" w:rsidR="00676C25" w:rsidRPr="00D35C6A" w:rsidRDefault="00676C25" w:rsidP="00676C25">
            <w:pPr>
              <w:jc w:val="center"/>
              <w:rPr>
                <w:rFonts w:ascii="Calibri" w:eastAsia="Times New Roman" w:hAnsi="Calibri" w:cs="Times New Roman"/>
                <w:szCs w:val="20"/>
              </w:rPr>
            </w:pPr>
            <w:r w:rsidRPr="00D35C6A">
              <w:rPr>
                <w:rFonts w:ascii="Calibri" w:eastAsia="Times New Roman" w:hAnsi="Calibri" w:cs="Times New Roman"/>
                <w:szCs w:val="20"/>
              </w:rPr>
              <w:t>14/03/17</w:t>
            </w:r>
          </w:p>
        </w:tc>
        <w:tc>
          <w:tcPr>
            <w:tcW w:w="2280" w:type="dxa"/>
            <w:tcBorders>
              <w:top w:val="nil"/>
              <w:left w:val="nil"/>
              <w:bottom w:val="single" w:sz="8" w:space="0" w:color="FFFFFF"/>
              <w:right w:val="single" w:sz="8" w:space="0" w:color="FFFFFF"/>
            </w:tcBorders>
            <w:shd w:val="clear" w:color="000000" w:fill="DCE6F1"/>
            <w:vAlign w:val="center"/>
            <w:hideMark/>
          </w:tcPr>
          <w:p w14:paraId="79514FCB" w14:textId="77777777" w:rsidR="00676C25" w:rsidRPr="00D35C6A" w:rsidRDefault="00676C25" w:rsidP="00676C25">
            <w:pPr>
              <w:jc w:val="center"/>
              <w:rPr>
                <w:rFonts w:ascii="Calibri" w:eastAsia="Times New Roman" w:hAnsi="Calibri" w:cs="Times New Roman"/>
                <w:szCs w:val="20"/>
              </w:rPr>
            </w:pPr>
            <w:r w:rsidRPr="00D35C6A">
              <w:rPr>
                <w:rFonts w:ascii="Calibri" w:eastAsia="Times New Roman" w:hAnsi="Calibri" w:cs="Times New Roman"/>
                <w:szCs w:val="20"/>
              </w:rPr>
              <w:t>3010893</w:t>
            </w:r>
          </w:p>
        </w:tc>
        <w:tc>
          <w:tcPr>
            <w:tcW w:w="1554" w:type="dxa"/>
            <w:tcBorders>
              <w:top w:val="nil"/>
              <w:left w:val="nil"/>
              <w:bottom w:val="single" w:sz="8" w:space="0" w:color="FFFFFF"/>
              <w:right w:val="single" w:sz="8" w:space="0" w:color="FFFFFF"/>
            </w:tcBorders>
            <w:shd w:val="clear" w:color="000000" w:fill="DCE6F1"/>
            <w:vAlign w:val="center"/>
            <w:hideMark/>
          </w:tcPr>
          <w:p w14:paraId="3F6F1F79" w14:textId="77777777" w:rsidR="00676C25" w:rsidRPr="00D35C6A" w:rsidRDefault="00676C25" w:rsidP="00676C25">
            <w:pPr>
              <w:jc w:val="center"/>
              <w:rPr>
                <w:rFonts w:ascii="Calibri" w:eastAsia="Times New Roman" w:hAnsi="Calibri" w:cs="Times New Roman"/>
                <w:szCs w:val="20"/>
              </w:rPr>
            </w:pPr>
            <w:r w:rsidRPr="00D35C6A">
              <w:rPr>
                <w:rFonts w:ascii="Calibri" w:eastAsia="Times New Roman" w:hAnsi="Calibri" w:cs="Times New Roman"/>
                <w:szCs w:val="20"/>
              </w:rPr>
              <w:t>En application</w:t>
            </w:r>
          </w:p>
        </w:tc>
      </w:tr>
      <w:tr w:rsidR="00676C25" w:rsidRPr="00D35C6A" w14:paraId="765CCAD9" w14:textId="77777777" w:rsidTr="00676C25">
        <w:trPr>
          <w:trHeight w:val="1140"/>
        </w:trPr>
        <w:tc>
          <w:tcPr>
            <w:tcW w:w="1960" w:type="dxa"/>
            <w:vMerge w:val="restart"/>
            <w:tcBorders>
              <w:top w:val="nil"/>
              <w:left w:val="nil"/>
              <w:bottom w:val="single" w:sz="8" w:space="0" w:color="FFFFFF"/>
              <w:right w:val="single" w:sz="8" w:space="0" w:color="FFFFFF"/>
            </w:tcBorders>
            <w:shd w:val="clear" w:color="000000" w:fill="DCE6F1"/>
            <w:vAlign w:val="center"/>
            <w:hideMark/>
          </w:tcPr>
          <w:p w14:paraId="082CE5A6" w14:textId="77777777" w:rsidR="00676C25" w:rsidRPr="00D35C6A" w:rsidRDefault="00676C25" w:rsidP="00676C25">
            <w:pPr>
              <w:jc w:val="center"/>
              <w:rPr>
                <w:rFonts w:ascii="Calibri" w:eastAsia="Times New Roman" w:hAnsi="Calibri" w:cs="Times New Roman"/>
                <w:szCs w:val="20"/>
              </w:rPr>
            </w:pPr>
            <w:r w:rsidRPr="00D35C6A">
              <w:rPr>
                <w:rFonts w:ascii="Calibri" w:eastAsia="Times New Roman" w:hAnsi="Calibri" w:cs="Times New Roman"/>
                <w:szCs w:val="20"/>
              </w:rPr>
              <w:t>ANCRAGE OSSEUX ET DISPOSITIF D'EXTENSION - CONCEPT MIS</w:t>
            </w:r>
          </w:p>
        </w:tc>
        <w:tc>
          <w:tcPr>
            <w:tcW w:w="1300" w:type="dxa"/>
            <w:vMerge w:val="restart"/>
            <w:tcBorders>
              <w:top w:val="nil"/>
              <w:left w:val="single" w:sz="8" w:space="0" w:color="FFFFFF"/>
              <w:bottom w:val="single" w:sz="8" w:space="0" w:color="FFFFFF"/>
              <w:right w:val="single" w:sz="8" w:space="0" w:color="FFFFFF"/>
            </w:tcBorders>
            <w:shd w:val="clear" w:color="000000" w:fill="DCE6F1"/>
            <w:vAlign w:val="center"/>
            <w:hideMark/>
          </w:tcPr>
          <w:p w14:paraId="3D72B38C" w14:textId="77777777" w:rsidR="00676C25" w:rsidRPr="00D35C6A" w:rsidRDefault="00676C25" w:rsidP="00676C25">
            <w:pPr>
              <w:jc w:val="center"/>
              <w:rPr>
                <w:rFonts w:ascii="Calibri" w:eastAsia="Times New Roman" w:hAnsi="Calibri" w:cs="Times New Roman"/>
                <w:szCs w:val="20"/>
              </w:rPr>
            </w:pPr>
            <w:r w:rsidRPr="00D35C6A">
              <w:rPr>
                <w:rFonts w:ascii="Calibri" w:eastAsia="Times New Roman" w:hAnsi="Calibri" w:cs="Times New Roman"/>
                <w:szCs w:val="20"/>
              </w:rPr>
              <w:t>Spineway</w:t>
            </w:r>
          </w:p>
        </w:tc>
        <w:tc>
          <w:tcPr>
            <w:tcW w:w="2100" w:type="dxa"/>
            <w:tcBorders>
              <w:top w:val="nil"/>
              <w:left w:val="nil"/>
              <w:bottom w:val="single" w:sz="8" w:space="0" w:color="FFFFFF"/>
              <w:right w:val="single" w:sz="8" w:space="0" w:color="FFFFFF"/>
            </w:tcBorders>
            <w:shd w:val="clear" w:color="000000" w:fill="DCE6F1"/>
            <w:vAlign w:val="center"/>
            <w:hideMark/>
          </w:tcPr>
          <w:p w14:paraId="745EDC12" w14:textId="77777777" w:rsidR="00676C25" w:rsidRPr="00D35C6A" w:rsidRDefault="00676C25" w:rsidP="00676C25">
            <w:pPr>
              <w:jc w:val="center"/>
              <w:rPr>
                <w:rFonts w:ascii="Calibri" w:eastAsia="Times New Roman" w:hAnsi="Calibri" w:cs="Times New Roman"/>
                <w:szCs w:val="20"/>
              </w:rPr>
            </w:pPr>
            <w:r w:rsidRPr="00D35C6A">
              <w:rPr>
                <w:rFonts w:ascii="Calibri" w:eastAsia="Times New Roman" w:hAnsi="Calibri" w:cs="Times New Roman"/>
                <w:szCs w:val="20"/>
              </w:rPr>
              <w:t>Europe (France, Allemagne, Belgique, Italie, Suisse)</w:t>
            </w:r>
          </w:p>
        </w:tc>
        <w:tc>
          <w:tcPr>
            <w:tcW w:w="1300" w:type="dxa"/>
            <w:tcBorders>
              <w:top w:val="nil"/>
              <w:left w:val="nil"/>
              <w:bottom w:val="single" w:sz="8" w:space="0" w:color="FFFFFF"/>
              <w:right w:val="single" w:sz="8" w:space="0" w:color="FFFFFF"/>
            </w:tcBorders>
            <w:shd w:val="clear" w:color="000000" w:fill="DCE6F1"/>
            <w:vAlign w:val="center"/>
            <w:hideMark/>
          </w:tcPr>
          <w:p w14:paraId="762D930D" w14:textId="77777777" w:rsidR="00676C25" w:rsidRPr="00D35C6A" w:rsidRDefault="00676C25" w:rsidP="00676C25">
            <w:pPr>
              <w:jc w:val="center"/>
              <w:rPr>
                <w:rFonts w:ascii="Calibri" w:eastAsia="Times New Roman" w:hAnsi="Calibri" w:cs="Times New Roman"/>
                <w:szCs w:val="20"/>
              </w:rPr>
            </w:pPr>
            <w:r w:rsidRPr="00D35C6A">
              <w:rPr>
                <w:rFonts w:ascii="Calibri" w:eastAsia="Times New Roman" w:hAnsi="Calibri" w:cs="Times New Roman"/>
                <w:szCs w:val="20"/>
              </w:rPr>
              <w:t>04/03/15</w:t>
            </w:r>
          </w:p>
        </w:tc>
        <w:tc>
          <w:tcPr>
            <w:tcW w:w="1840" w:type="dxa"/>
            <w:tcBorders>
              <w:top w:val="nil"/>
              <w:left w:val="nil"/>
              <w:bottom w:val="single" w:sz="8" w:space="0" w:color="FFFFFF"/>
              <w:right w:val="single" w:sz="8" w:space="0" w:color="FFFFFF"/>
            </w:tcBorders>
            <w:shd w:val="clear" w:color="000000" w:fill="DCE6F1"/>
            <w:vAlign w:val="center"/>
            <w:hideMark/>
          </w:tcPr>
          <w:p w14:paraId="4D6F44F2" w14:textId="77777777" w:rsidR="00676C25" w:rsidRPr="00D35C6A" w:rsidRDefault="00676C25" w:rsidP="00676C25">
            <w:pPr>
              <w:jc w:val="center"/>
              <w:rPr>
                <w:rFonts w:ascii="Calibri" w:eastAsia="Times New Roman" w:hAnsi="Calibri" w:cs="Times New Roman"/>
                <w:szCs w:val="20"/>
              </w:rPr>
            </w:pPr>
            <w:r w:rsidRPr="00D35C6A">
              <w:rPr>
                <w:rFonts w:ascii="Calibri" w:eastAsia="Times New Roman" w:hAnsi="Calibri" w:cs="Times New Roman"/>
                <w:szCs w:val="20"/>
              </w:rPr>
              <w:t>15714571.5</w:t>
            </w:r>
          </w:p>
        </w:tc>
        <w:tc>
          <w:tcPr>
            <w:tcW w:w="1960" w:type="dxa"/>
            <w:tcBorders>
              <w:top w:val="nil"/>
              <w:left w:val="nil"/>
              <w:bottom w:val="single" w:sz="8" w:space="0" w:color="FFFFFF"/>
              <w:right w:val="single" w:sz="8" w:space="0" w:color="FFFFFF"/>
            </w:tcBorders>
            <w:shd w:val="clear" w:color="000000" w:fill="DCE6F1"/>
            <w:vAlign w:val="center"/>
            <w:hideMark/>
          </w:tcPr>
          <w:p w14:paraId="40B4CF0E" w14:textId="77777777" w:rsidR="00676C25" w:rsidRPr="00D35C6A" w:rsidRDefault="00676C25" w:rsidP="00676C25">
            <w:pPr>
              <w:jc w:val="center"/>
              <w:rPr>
                <w:rFonts w:ascii="Calibri" w:eastAsia="Times New Roman" w:hAnsi="Calibri" w:cs="Times New Roman"/>
                <w:szCs w:val="20"/>
              </w:rPr>
            </w:pPr>
            <w:r w:rsidRPr="00D35C6A">
              <w:rPr>
                <w:rFonts w:ascii="Calibri" w:eastAsia="Times New Roman" w:hAnsi="Calibri" w:cs="Times New Roman"/>
                <w:szCs w:val="20"/>
              </w:rPr>
              <w:t>3119298</w:t>
            </w:r>
          </w:p>
        </w:tc>
        <w:tc>
          <w:tcPr>
            <w:tcW w:w="1300" w:type="dxa"/>
            <w:tcBorders>
              <w:top w:val="nil"/>
              <w:left w:val="nil"/>
              <w:bottom w:val="single" w:sz="8" w:space="0" w:color="FFFFFF"/>
              <w:right w:val="single" w:sz="8" w:space="0" w:color="FFFFFF"/>
            </w:tcBorders>
            <w:shd w:val="clear" w:color="000000" w:fill="DCE6F1"/>
            <w:vAlign w:val="center"/>
            <w:hideMark/>
          </w:tcPr>
          <w:p w14:paraId="73782F70" w14:textId="77777777" w:rsidR="00676C25" w:rsidRPr="00D35C6A" w:rsidRDefault="00676C25" w:rsidP="00676C25">
            <w:pPr>
              <w:jc w:val="center"/>
              <w:rPr>
                <w:rFonts w:ascii="Calibri" w:eastAsia="Times New Roman" w:hAnsi="Calibri" w:cs="Times New Roman"/>
                <w:szCs w:val="20"/>
              </w:rPr>
            </w:pPr>
            <w:r w:rsidRPr="00D35C6A">
              <w:rPr>
                <w:rFonts w:ascii="Calibri" w:eastAsia="Times New Roman" w:hAnsi="Calibri" w:cs="Times New Roman"/>
                <w:szCs w:val="20"/>
              </w:rPr>
              <w:t>07/02/18</w:t>
            </w:r>
          </w:p>
        </w:tc>
        <w:tc>
          <w:tcPr>
            <w:tcW w:w="2280" w:type="dxa"/>
            <w:tcBorders>
              <w:top w:val="nil"/>
              <w:left w:val="nil"/>
              <w:bottom w:val="single" w:sz="8" w:space="0" w:color="FFFFFF"/>
              <w:right w:val="single" w:sz="8" w:space="0" w:color="FFFFFF"/>
            </w:tcBorders>
            <w:shd w:val="clear" w:color="000000" w:fill="DCE6F1"/>
            <w:vAlign w:val="center"/>
            <w:hideMark/>
          </w:tcPr>
          <w:p w14:paraId="64C0D658" w14:textId="77777777" w:rsidR="00676C25" w:rsidRPr="00D35C6A" w:rsidRDefault="00676C25" w:rsidP="00676C25">
            <w:pPr>
              <w:jc w:val="center"/>
              <w:rPr>
                <w:rFonts w:ascii="Calibri" w:eastAsia="Times New Roman" w:hAnsi="Calibri" w:cs="Times New Roman"/>
                <w:szCs w:val="20"/>
              </w:rPr>
            </w:pPr>
            <w:r w:rsidRPr="00D35C6A">
              <w:rPr>
                <w:rFonts w:ascii="Calibri" w:eastAsia="Times New Roman" w:hAnsi="Calibri" w:cs="Times New Roman"/>
                <w:szCs w:val="20"/>
              </w:rPr>
              <w:t>3119298</w:t>
            </w:r>
          </w:p>
        </w:tc>
        <w:tc>
          <w:tcPr>
            <w:tcW w:w="1554" w:type="dxa"/>
            <w:tcBorders>
              <w:top w:val="nil"/>
              <w:left w:val="nil"/>
              <w:bottom w:val="single" w:sz="8" w:space="0" w:color="FFFFFF"/>
              <w:right w:val="single" w:sz="8" w:space="0" w:color="FFFFFF"/>
            </w:tcBorders>
            <w:shd w:val="clear" w:color="000000" w:fill="DCE6F1"/>
            <w:vAlign w:val="center"/>
            <w:hideMark/>
          </w:tcPr>
          <w:p w14:paraId="54EBD525" w14:textId="77777777" w:rsidR="00676C25" w:rsidRPr="00D35C6A" w:rsidRDefault="00676C25" w:rsidP="00676C25">
            <w:pPr>
              <w:jc w:val="center"/>
              <w:rPr>
                <w:rFonts w:ascii="Calibri" w:eastAsia="Times New Roman" w:hAnsi="Calibri" w:cs="Times New Roman"/>
                <w:szCs w:val="20"/>
              </w:rPr>
            </w:pPr>
            <w:r w:rsidRPr="00D35C6A">
              <w:rPr>
                <w:rFonts w:ascii="Calibri" w:eastAsia="Times New Roman" w:hAnsi="Calibri" w:cs="Times New Roman"/>
                <w:szCs w:val="20"/>
              </w:rPr>
              <w:t>En application</w:t>
            </w:r>
          </w:p>
        </w:tc>
      </w:tr>
      <w:tr w:rsidR="00676C25" w:rsidRPr="00D35C6A" w14:paraId="1B40118B" w14:textId="77777777" w:rsidTr="00676C25">
        <w:trPr>
          <w:trHeight w:val="320"/>
        </w:trPr>
        <w:tc>
          <w:tcPr>
            <w:tcW w:w="1960" w:type="dxa"/>
            <w:vMerge/>
            <w:tcBorders>
              <w:top w:val="nil"/>
              <w:left w:val="nil"/>
              <w:bottom w:val="single" w:sz="8" w:space="0" w:color="FFFFFF"/>
              <w:right w:val="single" w:sz="8" w:space="0" w:color="FFFFFF"/>
            </w:tcBorders>
            <w:vAlign w:val="center"/>
            <w:hideMark/>
          </w:tcPr>
          <w:p w14:paraId="60DEE1F0" w14:textId="77777777" w:rsidR="00676C25" w:rsidRPr="00D35C6A" w:rsidRDefault="00676C25" w:rsidP="00676C25">
            <w:pPr>
              <w:jc w:val="left"/>
              <w:rPr>
                <w:rFonts w:ascii="Calibri" w:eastAsia="Times New Roman" w:hAnsi="Calibri" w:cs="Times New Roman"/>
                <w:szCs w:val="20"/>
              </w:rPr>
            </w:pPr>
          </w:p>
        </w:tc>
        <w:tc>
          <w:tcPr>
            <w:tcW w:w="1300" w:type="dxa"/>
            <w:vMerge/>
            <w:tcBorders>
              <w:top w:val="nil"/>
              <w:left w:val="single" w:sz="8" w:space="0" w:color="FFFFFF"/>
              <w:bottom w:val="single" w:sz="8" w:space="0" w:color="FFFFFF"/>
              <w:right w:val="single" w:sz="8" w:space="0" w:color="FFFFFF"/>
            </w:tcBorders>
            <w:vAlign w:val="center"/>
            <w:hideMark/>
          </w:tcPr>
          <w:p w14:paraId="618E9ECF" w14:textId="77777777" w:rsidR="00676C25" w:rsidRPr="00D35C6A" w:rsidRDefault="00676C25" w:rsidP="00676C25">
            <w:pPr>
              <w:jc w:val="left"/>
              <w:rPr>
                <w:rFonts w:ascii="Calibri" w:eastAsia="Times New Roman" w:hAnsi="Calibri" w:cs="Times New Roman"/>
                <w:szCs w:val="20"/>
              </w:rPr>
            </w:pPr>
          </w:p>
        </w:tc>
        <w:tc>
          <w:tcPr>
            <w:tcW w:w="2100" w:type="dxa"/>
            <w:tcBorders>
              <w:top w:val="nil"/>
              <w:left w:val="nil"/>
              <w:bottom w:val="single" w:sz="8" w:space="0" w:color="FFFFFF"/>
              <w:right w:val="single" w:sz="8" w:space="0" w:color="FFFFFF"/>
            </w:tcBorders>
            <w:shd w:val="clear" w:color="000000" w:fill="DCE6F1"/>
            <w:vAlign w:val="center"/>
            <w:hideMark/>
          </w:tcPr>
          <w:p w14:paraId="376F573F" w14:textId="77777777" w:rsidR="00676C25" w:rsidRPr="00D35C6A" w:rsidRDefault="00676C25" w:rsidP="00676C25">
            <w:pPr>
              <w:jc w:val="center"/>
              <w:rPr>
                <w:rFonts w:ascii="Calibri" w:eastAsia="Times New Roman" w:hAnsi="Calibri" w:cs="Times New Roman"/>
                <w:szCs w:val="20"/>
              </w:rPr>
            </w:pPr>
            <w:r w:rsidRPr="00D35C6A">
              <w:rPr>
                <w:rFonts w:ascii="Calibri" w:eastAsia="Times New Roman" w:hAnsi="Calibri" w:cs="Times New Roman"/>
                <w:szCs w:val="20"/>
              </w:rPr>
              <w:t>Etats-Unis</w:t>
            </w:r>
          </w:p>
        </w:tc>
        <w:tc>
          <w:tcPr>
            <w:tcW w:w="1300" w:type="dxa"/>
            <w:tcBorders>
              <w:top w:val="nil"/>
              <w:left w:val="nil"/>
              <w:bottom w:val="single" w:sz="8" w:space="0" w:color="FFFFFF"/>
              <w:right w:val="single" w:sz="8" w:space="0" w:color="FFFFFF"/>
            </w:tcBorders>
            <w:shd w:val="clear" w:color="000000" w:fill="DCE6F1"/>
            <w:vAlign w:val="center"/>
            <w:hideMark/>
          </w:tcPr>
          <w:p w14:paraId="4572E2E1" w14:textId="77777777" w:rsidR="00676C25" w:rsidRPr="00D35C6A" w:rsidRDefault="00676C25" w:rsidP="00676C25">
            <w:pPr>
              <w:jc w:val="center"/>
              <w:rPr>
                <w:rFonts w:ascii="Calibri" w:eastAsia="Times New Roman" w:hAnsi="Calibri" w:cs="Times New Roman"/>
                <w:szCs w:val="20"/>
              </w:rPr>
            </w:pPr>
            <w:r w:rsidRPr="00D35C6A">
              <w:rPr>
                <w:rFonts w:ascii="Calibri" w:eastAsia="Times New Roman" w:hAnsi="Calibri" w:cs="Times New Roman"/>
                <w:szCs w:val="20"/>
              </w:rPr>
              <w:t>04/03/15</w:t>
            </w:r>
          </w:p>
        </w:tc>
        <w:tc>
          <w:tcPr>
            <w:tcW w:w="1840" w:type="dxa"/>
            <w:tcBorders>
              <w:top w:val="nil"/>
              <w:left w:val="nil"/>
              <w:bottom w:val="single" w:sz="8" w:space="0" w:color="FFFFFF"/>
              <w:right w:val="single" w:sz="8" w:space="0" w:color="FFFFFF"/>
            </w:tcBorders>
            <w:shd w:val="clear" w:color="000000" w:fill="DCE6F1"/>
            <w:vAlign w:val="center"/>
            <w:hideMark/>
          </w:tcPr>
          <w:p w14:paraId="6376A728" w14:textId="77777777" w:rsidR="00676C25" w:rsidRPr="00D35C6A" w:rsidRDefault="00676C25" w:rsidP="00676C25">
            <w:pPr>
              <w:jc w:val="center"/>
              <w:rPr>
                <w:rFonts w:ascii="Calibri" w:eastAsia="Times New Roman" w:hAnsi="Calibri" w:cs="Times New Roman"/>
                <w:szCs w:val="20"/>
              </w:rPr>
            </w:pPr>
            <w:r w:rsidRPr="00D35C6A">
              <w:rPr>
                <w:rFonts w:ascii="Calibri" w:eastAsia="Times New Roman" w:hAnsi="Calibri" w:cs="Times New Roman"/>
                <w:szCs w:val="20"/>
              </w:rPr>
              <w:t>15/127.595</w:t>
            </w:r>
          </w:p>
        </w:tc>
        <w:tc>
          <w:tcPr>
            <w:tcW w:w="1960" w:type="dxa"/>
            <w:tcBorders>
              <w:top w:val="nil"/>
              <w:left w:val="nil"/>
              <w:bottom w:val="single" w:sz="8" w:space="0" w:color="FFFFFF"/>
              <w:right w:val="single" w:sz="8" w:space="0" w:color="FFFFFF"/>
            </w:tcBorders>
            <w:shd w:val="clear" w:color="000000" w:fill="DCE6F1"/>
            <w:vAlign w:val="center"/>
            <w:hideMark/>
          </w:tcPr>
          <w:p w14:paraId="59F78611" w14:textId="77777777" w:rsidR="00676C25" w:rsidRPr="00D35C6A" w:rsidRDefault="00676C25" w:rsidP="00676C25">
            <w:pPr>
              <w:jc w:val="center"/>
              <w:rPr>
                <w:rFonts w:ascii="Calibri" w:eastAsia="Times New Roman" w:hAnsi="Calibri" w:cs="Times New Roman"/>
                <w:szCs w:val="20"/>
              </w:rPr>
            </w:pPr>
            <w:r w:rsidRPr="00D35C6A">
              <w:rPr>
                <w:rFonts w:ascii="Calibri" w:eastAsia="Times New Roman" w:hAnsi="Calibri" w:cs="Times New Roman"/>
                <w:szCs w:val="20"/>
              </w:rPr>
              <w:t>US-2017-0164980-A1</w:t>
            </w:r>
          </w:p>
        </w:tc>
        <w:tc>
          <w:tcPr>
            <w:tcW w:w="1300" w:type="dxa"/>
            <w:tcBorders>
              <w:top w:val="nil"/>
              <w:left w:val="nil"/>
              <w:bottom w:val="single" w:sz="8" w:space="0" w:color="FFFFFF"/>
              <w:right w:val="single" w:sz="8" w:space="0" w:color="FFFFFF"/>
            </w:tcBorders>
            <w:shd w:val="clear" w:color="000000" w:fill="DCE6F1"/>
            <w:vAlign w:val="center"/>
            <w:hideMark/>
          </w:tcPr>
          <w:p w14:paraId="07DF2088" w14:textId="77777777" w:rsidR="00676C25" w:rsidRPr="00D35C6A" w:rsidRDefault="00676C25" w:rsidP="00676C25">
            <w:pPr>
              <w:jc w:val="center"/>
              <w:rPr>
                <w:rFonts w:ascii="Calibri" w:eastAsia="Times New Roman" w:hAnsi="Calibri" w:cs="Times New Roman"/>
                <w:szCs w:val="20"/>
              </w:rPr>
            </w:pPr>
            <w:r w:rsidRPr="00D35C6A">
              <w:rPr>
                <w:rFonts w:ascii="Calibri" w:eastAsia="Times New Roman" w:hAnsi="Calibri" w:cs="Times New Roman"/>
                <w:szCs w:val="20"/>
              </w:rPr>
              <w:t>23/04/19</w:t>
            </w:r>
          </w:p>
        </w:tc>
        <w:tc>
          <w:tcPr>
            <w:tcW w:w="2280" w:type="dxa"/>
            <w:tcBorders>
              <w:top w:val="nil"/>
              <w:left w:val="nil"/>
              <w:bottom w:val="single" w:sz="8" w:space="0" w:color="FFFFFF"/>
              <w:right w:val="single" w:sz="8" w:space="0" w:color="FFFFFF"/>
            </w:tcBorders>
            <w:shd w:val="clear" w:color="000000" w:fill="DCE6F1"/>
            <w:vAlign w:val="center"/>
            <w:hideMark/>
          </w:tcPr>
          <w:p w14:paraId="15EFB988" w14:textId="77777777" w:rsidR="00676C25" w:rsidRPr="00D35C6A" w:rsidRDefault="00676C25" w:rsidP="00676C25">
            <w:pPr>
              <w:jc w:val="center"/>
              <w:rPr>
                <w:rFonts w:ascii="Calibri" w:eastAsia="Times New Roman" w:hAnsi="Calibri" w:cs="Times New Roman"/>
                <w:szCs w:val="20"/>
              </w:rPr>
            </w:pPr>
            <w:r w:rsidRPr="00D35C6A">
              <w:rPr>
                <w:rFonts w:ascii="Calibri" w:eastAsia="Times New Roman" w:hAnsi="Calibri" w:cs="Times New Roman"/>
                <w:szCs w:val="20"/>
              </w:rPr>
              <w:t>10265105</w:t>
            </w:r>
          </w:p>
        </w:tc>
        <w:tc>
          <w:tcPr>
            <w:tcW w:w="1554" w:type="dxa"/>
            <w:tcBorders>
              <w:top w:val="nil"/>
              <w:left w:val="nil"/>
              <w:bottom w:val="single" w:sz="8" w:space="0" w:color="FFFFFF"/>
              <w:right w:val="single" w:sz="8" w:space="0" w:color="FFFFFF"/>
            </w:tcBorders>
            <w:shd w:val="clear" w:color="000000" w:fill="DCE6F1"/>
            <w:vAlign w:val="center"/>
            <w:hideMark/>
          </w:tcPr>
          <w:p w14:paraId="28AD4BC2" w14:textId="77777777" w:rsidR="00676C25" w:rsidRPr="00D35C6A" w:rsidRDefault="00676C25" w:rsidP="00676C25">
            <w:pPr>
              <w:jc w:val="center"/>
              <w:rPr>
                <w:rFonts w:ascii="Calibri" w:eastAsia="Times New Roman" w:hAnsi="Calibri" w:cs="Times New Roman"/>
                <w:szCs w:val="20"/>
              </w:rPr>
            </w:pPr>
            <w:r w:rsidRPr="00D35C6A">
              <w:rPr>
                <w:rFonts w:ascii="Calibri" w:eastAsia="Times New Roman" w:hAnsi="Calibri" w:cs="Times New Roman"/>
                <w:szCs w:val="20"/>
              </w:rPr>
              <w:t>En application</w:t>
            </w:r>
          </w:p>
        </w:tc>
      </w:tr>
      <w:tr w:rsidR="00676C25" w:rsidRPr="00D35C6A" w14:paraId="75B956E2" w14:textId="77777777" w:rsidTr="00676C25">
        <w:trPr>
          <w:trHeight w:val="580"/>
        </w:trPr>
        <w:tc>
          <w:tcPr>
            <w:tcW w:w="1960" w:type="dxa"/>
            <w:tcBorders>
              <w:top w:val="nil"/>
              <w:left w:val="single" w:sz="8" w:space="0" w:color="FFFFFF"/>
              <w:bottom w:val="single" w:sz="8" w:space="0" w:color="FFFFFF"/>
              <w:right w:val="single" w:sz="8" w:space="0" w:color="FFFFFF"/>
            </w:tcBorders>
            <w:shd w:val="clear" w:color="000000" w:fill="DCE6F1"/>
            <w:vAlign w:val="center"/>
            <w:hideMark/>
          </w:tcPr>
          <w:p w14:paraId="03EDC097" w14:textId="77777777" w:rsidR="00676C25" w:rsidRPr="00D35C6A" w:rsidRDefault="00676C25" w:rsidP="00676C25">
            <w:pPr>
              <w:jc w:val="center"/>
              <w:rPr>
                <w:rFonts w:ascii="Calibri" w:eastAsia="Times New Roman" w:hAnsi="Calibri" w:cs="Times New Roman"/>
                <w:szCs w:val="20"/>
              </w:rPr>
            </w:pPr>
            <w:r w:rsidRPr="00D35C6A">
              <w:rPr>
                <w:rFonts w:ascii="Calibri" w:eastAsia="Times New Roman" w:hAnsi="Calibri" w:cs="Times New Roman"/>
                <w:szCs w:val="20"/>
              </w:rPr>
              <w:t>CAGE DE FUSION INTER-VERTEBRALE</w:t>
            </w:r>
          </w:p>
        </w:tc>
        <w:tc>
          <w:tcPr>
            <w:tcW w:w="1300" w:type="dxa"/>
            <w:tcBorders>
              <w:top w:val="nil"/>
              <w:left w:val="nil"/>
              <w:bottom w:val="single" w:sz="8" w:space="0" w:color="FFFFFF"/>
              <w:right w:val="single" w:sz="8" w:space="0" w:color="FFFFFF"/>
            </w:tcBorders>
            <w:shd w:val="clear" w:color="000000" w:fill="DCE6F1"/>
            <w:vAlign w:val="center"/>
            <w:hideMark/>
          </w:tcPr>
          <w:p w14:paraId="53021215" w14:textId="77777777" w:rsidR="00676C25" w:rsidRPr="00D35C6A" w:rsidRDefault="00676C25" w:rsidP="00676C25">
            <w:pPr>
              <w:jc w:val="center"/>
              <w:rPr>
                <w:rFonts w:ascii="Calibri" w:eastAsia="Times New Roman" w:hAnsi="Calibri" w:cs="Times New Roman"/>
                <w:szCs w:val="20"/>
              </w:rPr>
            </w:pPr>
            <w:r w:rsidRPr="00D35C6A">
              <w:rPr>
                <w:rFonts w:ascii="Calibri" w:eastAsia="Times New Roman" w:hAnsi="Calibri" w:cs="Times New Roman"/>
                <w:szCs w:val="20"/>
              </w:rPr>
              <w:t>Spineway</w:t>
            </w:r>
          </w:p>
        </w:tc>
        <w:tc>
          <w:tcPr>
            <w:tcW w:w="2100" w:type="dxa"/>
            <w:tcBorders>
              <w:top w:val="nil"/>
              <w:left w:val="nil"/>
              <w:bottom w:val="single" w:sz="8" w:space="0" w:color="FFFFFF"/>
              <w:right w:val="single" w:sz="8" w:space="0" w:color="FFFFFF"/>
            </w:tcBorders>
            <w:shd w:val="clear" w:color="000000" w:fill="DCE6F1"/>
            <w:vAlign w:val="center"/>
            <w:hideMark/>
          </w:tcPr>
          <w:p w14:paraId="117C966F" w14:textId="77777777" w:rsidR="00676C25" w:rsidRPr="00D35C6A" w:rsidRDefault="00676C25" w:rsidP="00676C25">
            <w:pPr>
              <w:jc w:val="center"/>
              <w:rPr>
                <w:rFonts w:ascii="Calibri" w:eastAsia="Times New Roman" w:hAnsi="Calibri" w:cs="Times New Roman"/>
                <w:color w:val="000000"/>
                <w:szCs w:val="20"/>
              </w:rPr>
            </w:pPr>
            <w:r w:rsidRPr="00D35C6A">
              <w:rPr>
                <w:rFonts w:ascii="Calibri" w:eastAsia="Times New Roman" w:hAnsi="Calibri" w:cs="Times New Roman"/>
                <w:color w:val="000000"/>
                <w:szCs w:val="20"/>
              </w:rPr>
              <w:t>France</w:t>
            </w:r>
          </w:p>
        </w:tc>
        <w:tc>
          <w:tcPr>
            <w:tcW w:w="1300" w:type="dxa"/>
            <w:tcBorders>
              <w:top w:val="nil"/>
              <w:left w:val="nil"/>
              <w:bottom w:val="single" w:sz="8" w:space="0" w:color="FFFFFF"/>
              <w:right w:val="single" w:sz="8" w:space="0" w:color="FFFFFF"/>
            </w:tcBorders>
            <w:shd w:val="clear" w:color="000000" w:fill="DCE6F1"/>
            <w:vAlign w:val="center"/>
            <w:hideMark/>
          </w:tcPr>
          <w:p w14:paraId="73A3DBE4" w14:textId="77777777" w:rsidR="00676C25" w:rsidRPr="00D35C6A" w:rsidRDefault="00676C25" w:rsidP="00676C25">
            <w:pPr>
              <w:jc w:val="center"/>
              <w:rPr>
                <w:rFonts w:ascii="Calibri" w:eastAsia="Times New Roman" w:hAnsi="Calibri" w:cs="Times New Roman"/>
                <w:szCs w:val="20"/>
              </w:rPr>
            </w:pPr>
            <w:r w:rsidRPr="00D35C6A">
              <w:rPr>
                <w:rFonts w:ascii="Calibri" w:eastAsia="Times New Roman" w:hAnsi="Calibri" w:cs="Times New Roman"/>
                <w:szCs w:val="20"/>
              </w:rPr>
              <w:t>08/08/13</w:t>
            </w:r>
          </w:p>
        </w:tc>
        <w:tc>
          <w:tcPr>
            <w:tcW w:w="1840" w:type="dxa"/>
            <w:tcBorders>
              <w:top w:val="nil"/>
              <w:left w:val="nil"/>
              <w:bottom w:val="single" w:sz="8" w:space="0" w:color="FFFFFF"/>
              <w:right w:val="single" w:sz="8" w:space="0" w:color="FFFFFF"/>
            </w:tcBorders>
            <w:shd w:val="clear" w:color="000000" w:fill="DCE6F1"/>
            <w:vAlign w:val="center"/>
            <w:hideMark/>
          </w:tcPr>
          <w:p w14:paraId="7037A32D" w14:textId="77777777" w:rsidR="00676C25" w:rsidRPr="00D35C6A" w:rsidRDefault="00676C25" w:rsidP="00676C25">
            <w:pPr>
              <w:jc w:val="center"/>
              <w:rPr>
                <w:rFonts w:ascii="Calibri" w:eastAsia="Times New Roman" w:hAnsi="Calibri" w:cs="Times New Roman"/>
                <w:szCs w:val="20"/>
              </w:rPr>
            </w:pPr>
            <w:r w:rsidRPr="00D35C6A">
              <w:rPr>
                <w:rFonts w:ascii="Calibri" w:eastAsia="Times New Roman" w:hAnsi="Calibri" w:cs="Times New Roman"/>
                <w:szCs w:val="20"/>
              </w:rPr>
              <w:t>1357896</w:t>
            </w:r>
          </w:p>
        </w:tc>
        <w:tc>
          <w:tcPr>
            <w:tcW w:w="1960" w:type="dxa"/>
            <w:tcBorders>
              <w:top w:val="nil"/>
              <w:left w:val="nil"/>
              <w:bottom w:val="single" w:sz="8" w:space="0" w:color="FFFFFF"/>
              <w:right w:val="single" w:sz="8" w:space="0" w:color="FFFFFF"/>
            </w:tcBorders>
            <w:shd w:val="clear" w:color="000000" w:fill="DCE6F1"/>
            <w:vAlign w:val="center"/>
            <w:hideMark/>
          </w:tcPr>
          <w:p w14:paraId="217BDE2D" w14:textId="77777777" w:rsidR="00676C25" w:rsidRPr="00D35C6A" w:rsidRDefault="00676C25" w:rsidP="00676C25">
            <w:pPr>
              <w:jc w:val="center"/>
              <w:rPr>
                <w:rFonts w:ascii="Calibri" w:eastAsia="Times New Roman" w:hAnsi="Calibri" w:cs="Times New Roman"/>
                <w:szCs w:val="20"/>
              </w:rPr>
            </w:pPr>
            <w:r w:rsidRPr="00D35C6A">
              <w:rPr>
                <w:rFonts w:ascii="Calibri" w:eastAsia="Times New Roman" w:hAnsi="Calibri" w:cs="Times New Roman"/>
                <w:szCs w:val="20"/>
              </w:rPr>
              <w:t>3009493</w:t>
            </w:r>
          </w:p>
        </w:tc>
        <w:tc>
          <w:tcPr>
            <w:tcW w:w="1300" w:type="dxa"/>
            <w:tcBorders>
              <w:top w:val="nil"/>
              <w:left w:val="nil"/>
              <w:bottom w:val="single" w:sz="8" w:space="0" w:color="FFFFFF"/>
              <w:right w:val="single" w:sz="8" w:space="0" w:color="FFFFFF"/>
            </w:tcBorders>
            <w:shd w:val="clear" w:color="000000" w:fill="DCE6F1"/>
            <w:vAlign w:val="center"/>
            <w:hideMark/>
          </w:tcPr>
          <w:p w14:paraId="28071C52" w14:textId="77777777" w:rsidR="00676C25" w:rsidRPr="00D35C6A" w:rsidRDefault="00676C25" w:rsidP="00676C25">
            <w:pPr>
              <w:jc w:val="center"/>
              <w:rPr>
                <w:rFonts w:ascii="Calibri" w:eastAsia="Times New Roman" w:hAnsi="Calibri" w:cs="Times New Roman"/>
                <w:szCs w:val="20"/>
              </w:rPr>
            </w:pPr>
            <w:r w:rsidRPr="00D35C6A">
              <w:rPr>
                <w:rFonts w:ascii="Calibri" w:eastAsia="Times New Roman" w:hAnsi="Calibri" w:cs="Times New Roman"/>
                <w:szCs w:val="20"/>
              </w:rPr>
              <w:t>14/08/15</w:t>
            </w:r>
          </w:p>
        </w:tc>
        <w:tc>
          <w:tcPr>
            <w:tcW w:w="2280" w:type="dxa"/>
            <w:tcBorders>
              <w:top w:val="nil"/>
              <w:left w:val="nil"/>
              <w:bottom w:val="single" w:sz="8" w:space="0" w:color="FFFFFF"/>
              <w:right w:val="single" w:sz="8" w:space="0" w:color="FFFFFF"/>
            </w:tcBorders>
            <w:shd w:val="clear" w:color="000000" w:fill="DCE6F1"/>
            <w:vAlign w:val="center"/>
            <w:hideMark/>
          </w:tcPr>
          <w:p w14:paraId="33D64391" w14:textId="77777777" w:rsidR="00676C25" w:rsidRPr="00D35C6A" w:rsidRDefault="00676C25" w:rsidP="00676C25">
            <w:pPr>
              <w:jc w:val="center"/>
              <w:rPr>
                <w:rFonts w:ascii="Calibri" w:eastAsia="Times New Roman" w:hAnsi="Calibri" w:cs="Times New Roman"/>
                <w:szCs w:val="20"/>
              </w:rPr>
            </w:pPr>
            <w:r w:rsidRPr="00D35C6A">
              <w:rPr>
                <w:rFonts w:ascii="Calibri" w:eastAsia="Times New Roman" w:hAnsi="Calibri" w:cs="Times New Roman"/>
                <w:szCs w:val="20"/>
              </w:rPr>
              <w:t>1357896</w:t>
            </w:r>
          </w:p>
        </w:tc>
        <w:tc>
          <w:tcPr>
            <w:tcW w:w="1554" w:type="dxa"/>
            <w:tcBorders>
              <w:top w:val="nil"/>
              <w:left w:val="nil"/>
              <w:bottom w:val="single" w:sz="8" w:space="0" w:color="FFFFFF"/>
              <w:right w:val="single" w:sz="8" w:space="0" w:color="FFFFFF"/>
            </w:tcBorders>
            <w:shd w:val="clear" w:color="000000" w:fill="DCE6F1"/>
            <w:vAlign w:val="center"/>
            <w:hideMark/>
          </w:tcPr>
          <w:p w14:paraId="3DEAD9FB" w14:textId="77777777" w:rsidR="00676C25" w:rsidRPr="00D35C6A" w:rsidRDefault="00676C25" w:rsidP="00676C25">
            <w:pPr>
              <w:jc w:val="center"/>
              <w:rPr>
                <w:rFonts w:ascii="Calibri" w:eastAsia="Times New Roman" w:hAnsi="Calibri" w:cs="Times New Roman"/>
                <w:szCs w:val="20"/>
              </w:rPr>
            </w:pPr>
            <w:r w:rsidRPr="00D35C6A">
              <w:rPr>
                <w:rFonts w:ascii="Calibri" w:eastAsia="Times New Roman" w:hAnsi="Calibri" w:cs="Times New Roman"/>
                <w:szCs w:val="20"/>
              </w:rPr>
              <w:t>En application</w:t>
            </w:r>
          </w:p>
        </w:tc>
      </w:tr>
      <w:tr w:rsidR="00676C25" w:rsidRPr="00D35C6A" w14:paraId="42D25ADB" w14:textId="77777777" w:rsidTr="00676C25">
        <w:trPr>
          <w:trHeight w:val="860"/>
        </w:trPr>
        <w:tc>
          <w:tcPr>
            <w:tcW w:w="1960" w:type="dxa"/>
            <w:tcBorders>
              <w:top w:val="nil"/>
              <w:left w:val="single" w:sz="8" w:space="0" w:color="FFFFFF"/>
              <w:bottom w:val="single" w:sz="8" w:space="0" w:color="FFFFFF"/>
              <w:right w:val="single" w:sz="8" w:space="0" w:color="FFFFFF"/>
            </w:tcBorders>
            <w:shd w:val="clear" w:color="000000" w:fill="DCE6F1"/>
            <w:vAlign w:val="center"/>
            <w:hideMark/>
          </w:tcPr>
          <w:p w14:paraId="62472119" w14:textId="77777777" w:rsidR="00676C25" w:rsidRPr="00D35C6A" w:rsidRDefault="00676C25" w:rsidP="00676C25">
            <w:pPr>
              <w:jc w:val="center"/>
              <w:rPr>
                <w:rFonts w:ascii="Calibri" w:eastAsia="Times New Roman" w:hAnsi="Calibri" w:cs="Times New Roman"/>
                <w:szCs w:val="20"/>
              </w:rPr>
            </w:pPr>
            <w:r w:rsidRPr="00D35C6A">
              <w:rPr>
                <w:rFonts w:ascii="Calibri" w:eastAsia="Times New Roman" w:hAnsi="Calibri" w:cs="Times New Roman"/>
                <w:szCs w:val="20"/>
              </w:rPr>
              <w:t>PORTE-PROTHESE DISCALE ET INSTRUMENTATIONS</w:t>
            </w:r>
          </w:p>
        </w:tc>
        <w:tc>
          <w:tcPr>
            <w:tcW w:w="1300" w:type="dxa"/>
            <w:tcBorders>
              <w:top w:val="nil"/>
              <w:left w:val="nil"/>
              <w:bottom w:val="single" w:sz="8" w:space="0" w:color="FFFFFF"/>
              <w:right w:val="single" w:sz="8" w:space="0" w:color="FFFFFF"/>
            </w:tcBorders>
            <w:shd w:val="clear" w:color="000000" w:fill="DCE6F1"/>
            <w:vAlign w:val="center"/>
            <w:hideMark/>
          </w:tcPr>
          <w:p w14:paraId="5DCDA5CE" w14:textId="77777777" w:rsidR="00676C25" w:rsidRPr="00D35C6A" w:rsidRDefault="00676C25" w:rsidP="00676C25">
            <w:pPr>
              <w:jc w:val="center"/>
              <w:rPr>
                <w:rFonts w:ascii="Calibri" w:eastAsia="Times New Roman" w:hAnsi="Calibri" w:cs="Times New Roman"/>
                <w:szCs w:val="20"/>
              </w:rPr>
            </w:pPr>
            <w:r w:rsidRPr="00D35C6A">
              <w:rPr>
                <w:rFonts w:ascii="Calibri" w:eastAsia="Times New Roman" w:hAnsi="Calibri" w:cs="Times New Roman"/>
                <w:szCs w:val="20"/>
              </w:rPr>
              <w:t>Spineway</w:t>
            </w:r>
          </w:p>
        </w:tc>
        <w:tc>
          <w:tcPr>
            <w:tcW w:w="2100" w:type="dxa"/>
            <w:tcBorders>
              <w:top w:val="nil"/>
              <w:left w:val="nil"/>
              <w:bottom w:val="single" w:sz="8" w:space="0" w:color="FFFFFF"/>
              <w:right w:val="single" w:sz="8" w:space="0" w:color="FFFFFF"/>
            </w:tcBorders>
            <w:shd w:val="clear" w:color="000000" w:fill="DCE6F1"/>
            <w:vAlign w:val="center"/>
            <w:hideMark/>
          </w:tcPr>
          <w:p w14:paraId="355EB4FD" w14:textId="77777777" w:rsidR="00676C25" w:rsidRPr="00D35C6A" w:rsidRDefault="00676C25" w:rsidP="00676C25">
            <w:pPr>
              <w:jc w:val="center"/>
              <w:rPr>
                <w:rFonts w:ascii="Calibri" w:eastAsia="Times New Roman" w:hAnsi="Calibri" w:cs="Times New Roman"/>
                <w:color w:val="000000"/>
                <w:szCs w:val="20"/>
              </w:rPr>
            </w:pPr>
            <w:r w:rsidRPr="00D35C6A">
              <w:rPr>
                <w:rFonts w:ascii="Calibri" w:eastAsia="Times New Roman" w:hAnsi="Calibri" w:cs="Times New Roman"/>
                <w:color w:val="000000"/>
                <w:szCs w:val="20"/>
              </w:rPr>
              <w:t>France</w:t>
            </w:r>
          </w:p>
        </w:tc>
        <w:tc>
          <w:tcPr>
            <w:tcW w:w="1300" w:type="dxa"/>
            <w:tcBorders>
              <w:top w:val="nil"/>
              <w:left w:val="nil"/>
              <w:bottom w:val="single" w:sz="8" w:space="0" w:color="FFFFFF"/>
              <w:right w:val="single" w:sz="8" w:space="0" w:color="FFFFFF"/>
            </w:tcBorders>
            <w:shd w:val="clear" w:color="000000" w:fill="DCE6F1"/>
            <w:vAlign w:val="center"/>
            <w:hideMark/>
          </w:tcPr>
          <w:p w14:paraId="0D522FFF" w14:textId="77777777" w:rsidR="00676C25" w:rsidRPr="00D35C6A" w:rsidRDefault="00676C25" w:rsidP="00676C25">
            <w:pPr>
              <w:jc w:val="center"/>
              <w:rPr>
                <w:rFonts w:ascii="Calibri" w:eastAsia="Times New Roman" w:hAnsi="Calibri" w:cs="Times New Roman"/>
                <w:color w:val="000000"/>
                <w:szCs w:val="20"/>
              </w:rPr>
            </w:pPr>
            <w:r w:rsidRPr="00D35C6A">
              <w:rPr>
                <w:rFonts w:ascii="Calibri" w:eastAsia="Times New Roman" w:hAnsi="Calibri" w:cs="Times New Roman"/>
                <w:color w:val="000000"/>
                <w:szCs w:val="20"/>
              </w:rPr>
              <w:t>17/09/15</w:t>
            </w:r>
          </w:p>
        </w:tc>
        <w:tc>
          <w:tcPr>
            <w:tcW w:w="1840" w:type="dxa"/>
            <w:tcBorders>
              <w:top w:val="nil"/>
              <w:left w:val="nil"/>
              <w:bottom w:val="single" w:sz="8" w:space="0" w:color="FFFFFF"/>
              <w:right w:val="single" w:sz="8" w:space="0" w:color="FFFFFF"/>
            </w:tcBorders>
            <w:shd w:val="clear" w:color="000000" w:fill="DCE6F1"/>
            <w:vAlign w:val="center"/>
            <w:hideMark/>
          </w:tcPr>
          <w:p w14:paraId="2507F433" w14:textId="77777777" w:rsidR="00676C25" w:rsidRPr="00D35C6A" w:rsidRDefault="00676C25" w:rsidP="00676C25">
            <w:pPr>
              <w:jc w:val="center"/>
              <w:rPr>
                <w:rFonts w:ascii="Calibri" w:eastAsia="Times New Roman" w:hAnsi="Calibri" w:cs="Times New Roman"/>
                <w:color w:val="000000"/>
                <w:szCs w:val="20"/>
              </w:rPr>
            </w:pPr>
            <w:r w:rsidRPr="00D35C6A">
              <w:rPr>
                <w:rFonts w:ascii="Calibri" w:eastAsia="Times New Roman" w:hAnsi="Calibri" w:cs="Times New Roman"/>
                <w:color w:val="000000"/>
                <w:szCs w:val="20"/>
              </w:rPr>
              <w:t>1558722</w:t>
            </w:r>
          </w:p>
        </w:tc>
        <w:tc>
          <w:tcPr>
            <w:tcW w:w="1960" w:type="dxa"/>
            <w:tcBorders>
              <w:top w:val="nil"/>
              <w:left w:val="nil"/>
              <w:bottom w:val="single" w:sz="8" w:space="0" w:color="FFFFFF"/>
              <w:right w:val="single" w:sz="8" w:space="0" w:color="FFFFFF"/>
            </w:tcBorders>
            <w:shd w:val="clear" w:color="000000" w:fill="DCE6F1"/>
            <w:vAlign w:val="center"/>
            <w:hideMark/>
          </w:tcPr>
          <w:p w14:paraId="3D300299" w14:textId="77777777" w:rsidR="00676C25" w:rsidRPr="00D35C6A" w:rsidRDefault="00676C25" w:rsidP="00676C25">
            <w:pPr>
              <w:jc w:val="center"/>
              <w:rPr>
                <w:rFonts w:ascii="Calibri" w:eastAsia="Times New Roman" w:hAnsi="Calibri" w:cs="Times New Roman"/>
                <w:szCs w:val="20"/>
              </w:rPr>
            </w:pPr>
            <w:r w:rsidRPr="00D35C6A">
              <w:rPr>
                <w:rFonts w:ascii="Calibri" w:eastAsia="Times New Roman" w:hAnsi="Calibri" w:cs="Times New Roman"/>
                <w:szCs w:val="20"/>
              </w:rPr>
              <w:t>3041246</w:t>
            </w:r>
          </w:p>
        </w:tc>
        <w:tc>
          <w:tcPr>
            <w:tcW w:w="1300" w:type="dxa"/>
            <w:tcBorders>
              <w:top w:val="nil"/>
              <w:left w:val="nil"/>
              <w:bottom w:val="single" w:sz="8" w:space="0" w:color="FFFFFF"/>
              <w:right w:val="single" w:sz="8" w:space="0" w:color="FFFFFF"/>
            </w:tcBorders>
            <w:shd w:val="clear" w:color="000000" w:fill="DCE6F1"/>
            <w:vAlign w:val="center"/>
            <w:hideMark/>
          </w:tcPr>
          <w:p w14:paraId="75E078A7" w14:textId="77777777" w:rsidR="00676C25" w:rsidRPr="00D35C6A" w:rsidRDefault="00676C25" w:rsidP="00676C25">
            <w:pPr>
              <w:jc w:val="center"/>
              <w:rPr>
                <w:rFonts w:ascii="Calibri" w:eastAsia="Times New Roman" w:hAnsi="Calibri" w:cs="Times New Roman"/>
                <w:szCs w:val="20"/>
              </w:rPr>
            </w:pPr>
            <w:r w:rsidRPr="00D35C6A">
              <w:rPr>
                <w:rFonts w:ascii="Calibri" w:eastAsia="Times New Roman" w:hAnsi="Calibri" w:cs="Times New Roman"/>
                <w:szCs w:val="20"/>
              </w:rPr>
              <w:t>-</w:t>
            </w:r>
          </w:p>
        </w:tc>
        <w:tc>
          <w:tcPr>
            <w:tcW w:w="2280" w:type="dxa"/>
            <w:tcBorders>
              <w:top w:val="nil"/>
              <w:left w:val="nil"/>
              <w:bottom w:val="single" w:sz="8" w:space="0" w:color="FFFFFF"/>
              <w:right w:val="single" w:sz="8" w:space="0" w:color="FFFFFF"/>
            </w:tcBorders>
            <w:shd w:val="clear" w:color="000000" w:fill="DCE6F1"/>
            <w:vAlign w:val="center"/>
            <w:hideMark/>
          </w:tcPr>
          <w:p w14:paraId="3F818D0A" w14:textId="77777777" w:rsidR="00676C25" w:rsidRPr="00D35C6A" w:rsidRDefault="00676C25" w:rsidP="00676C25">
            <w:pPr>
              <w:jc w:val="center"/>
              <w:rPr>
                <w:rFonts w:ascii="Calibri" w:eastAsia="Times New Roman" w:hAnsi="Calibri" w:cs="Times New Roman"/>
                <w:szCs w:val="20"/>
              </w:rPr>
            </w:pPr>
            <w:r w:rsidRPr="00D35C6A">
              <w:rPr>
                <w:rFonts w:ascii="Calibri" w:eastAsia="Times New Roman" w:hAnsi="Calibri" w:cs="Times New Roman"/>
                <w:szCs w:val="20"/>
              </w:rPr>
              <w:t>27/10/17</w:t>
            </w:r>
          </w:p>
        </w:tc>
        <w:tc>
          <w:tcPr>
            <w:tcW w:w="1554" w:type="dxa"/>
            <w:tcBorders>
              <w:top w:val="nil"/>
              <w:left w:val="nil"/>
              <w:bottom w:val="single" w:sz="8" w:space="0" w:color="FFFFFF"/>
              <w:right w:val="single" w:sz="8" w:space="0" w:color="FFFFFF"/>
            </w:tcBorders>
            <w:shd w:val="clear" w:color="000000" w:fill="DCE6F1"/>
            <w:vAlign w:val="center"/>
            <w:hideMark/>
          </w:tcPr>
          <w:p w14:paraId="680C8189" w14:textId="77777777" w:rsidR="00676C25" w:rsidRPr="00D35C6A" w:rsidRDefault="00676C25" w:rsidP="00676C25">
            <w:pPr>
              <w:jc w:val="center"/>
              <w:rPr>
                <w:rFonts w:ascii="Calibri" w:eastAsia="Times New Roman" w:hAnsi="Calibri" w:cs="Times New Roman"/>
                <w:szCs w:val="20"/>
              </w:rPr>
            </w:pPr>
            <w:r w:rsidRPr="00D35C6A">
              <w:rPr>
                <w:rFonts w:ascii="Calibri" w:eastAsia="Times New Roman" w:hAnsi="Calibri" w:cs="Times New Roman"/>
                <w:szCs w:val="20"/>
              </w:rPr>
              <w:t>En application</w:t>
            </w:r>
          </w:p>
        </w:tc>
      </w:tr>
      <w:tr w:rsidR="00676C25" w:rsidRPr="00D35C6A" w14:paraId="418B2023" w14:textId="77777777" w:rsidTr="00676C25">
        <w:trPr>
          <w:trHeight w:val="320"/>
        </w:trPr>
        <w:tc>
          <w:tcPr>
            <w:tcW w:w="1960" w:type="dxa"/>
            <w:vMerge w:val="restart"/>
            <w:tcBorders>
              <w:top w:val="nil"/>
              <w:left w:val="single" w:sz="8" w:space="0" w:color="FFFFFF"/>
              <w:bottom w:val="single" w:sz="8" w:space="0" w:color="FFFFFF"/>
              <w:right w:val="single" w:sz="8" w:space="0" w:color="FFFFFF"/>
            </w:tcBorders>
            <w:shd w:val="clear" w:color="000000" w:fill="DCE6F1"/>
            <w:vAlign w:val="center"/>
            <w:hideMark/>
          </w:tcPr>
          <w:p w14:paraId="1AF46797" w14:textId="77777777" w:rsidR="00676C25" w:rsidRPr="00D35C6A" w:rsidRDefault="00676C25" w:rsidP="00676C25">
            <w:pPr>
              <w:jc w:val="center"/>
              <w:rPr>
                <w:rFonts w:ascii="Calibri" w:eastAsia="Times New Roman" w:hAnsi="Calibri" w:cs="Times New Roman"/>
                <w:szCs w:val="20"/>
              </w:rPr>
            </w:pPr>
            <w:r w:rsidRPr="00D35C6A">
              <w:rPr>
                <w:rFonts w:ascii="Calibri" w:eastAsia="Times New Roman" w:hAnsi="Calibri" w:cs="Times New Roman"/>
                <w:szCs w:val="20"/>
              </w:rPr>
              <w:t>CONNEXION BOUCHON MISV2</w:t>
            </w:r>
          </w:p>
        </w:tc>
        <w:tc>
          <w:tcPr>
            <w:tcW w:w="1300" w:type="dxa"/>
            <w:vMerge w:val="restart"/>
            <w:tcBorders>
              <w:top w:val="nil"/>
              <w:left w:val="single" w:sz="8" w:space="0" w:color="FFFFFF"/>
              <w:bottom w:val="single" w:sz="8" w:space="0" w:color="FFFFFF"/>
              <w:right w:val="single" w:sz="8" w:space="0" w:color="FFFFFF"/>
            </w:tcBorders>
            <w:shd w:val="clear" w:color="000000" w:fill="DCE6F1"/>
            <w:vAlign w:val="center"/>
            <w:hideMark/>
          </w:tcPr>
          <w:p w14:paraId="2D36D224" w14:textId="77777777" w:rsidR="00676C25" w:rsidRPr="00D35C6A" w:rsidRDefault="00676C25" w:rsidP="00676C25">
            <w:pPr>
              <w:jc w:val="center"/>
              <w:rPr>
                <w:rFonts w:ascii="Calibri" w:eastAsia="Times New Roman" w:hAnsi="Calibri" w:cs="Times New Roman"/>
                <w:szCs w:val="20"/>
              </w:rPr>
            </w:pPr>
            <w:r w:rsidRPr="00D35C6A">
              <w:rPr>
                <w:rFonts w:ascii="Calibri" w:eastAsia="Times New Roman" w:hAnsi="Calibri" w:cs="Times New Roman"/>
                <w:szCs w:val="20"/>
              </w:rPr>
              <w:t>Spineway</w:t>
            </w:r>
          </w:p>
        </w:tc>
        <w:tc>
          <w:tcPr>
            <w:tcW w:w="2100" w:type="dxa"/>
            <w:tcBorders>
              <w:top w:val="nil"/>
              <w:left w:val="nil"/>
              <w:bottom w:val="single" w:sz="8" w:space="0" w:color="FFFFFF"/>
              <w:right w:val="single" w:sz="8" w:space="0" w:color="FFFFFF"/>
            </w:tcBorders>
            <w:shd w:val="clear" w:color="000000" w:fill="DCE6F1"/>
            <w:vAlign w:val="center"/>
            <w:hideMark/>
          </w:tcPr>
          <w:p w14:paraId="2B287117" w14:textId="77777777" w:rsidR="00676C25" w:rsidRPr="00D35C6A" w:rsidRDefault="00676C25" w:rsidP="00676C25">
            <w:pPr>
              <w:jc w:val="center"/>
              <w:rPr>
                <w:rFonts w:ascii="Calibri" w:eastAsia="Times New Roman" w:hAnsi="Calibri" w:cs="Times New Roman"/>
                <w:color w:val="000000"/>
                <w:szCs w:val="20"/>
              </w:rPr>
            </w:pPr>
            <w:r w:rsidRPr="00D35C6A">
              <w:rPr>
                <w:rFonts w:ascii="Calibri" w:eastAsia="Times New Roman" w:hAnsi="Calibri" w:cs="Times New Roman"/>
                <w:color w:val="000000"/>
                <w:szCs w:val="20"/>
              </w:rPr>
              <w:t>France</w:t>
            </w:r>
          </w:p>
        </w:tc>
        <w:tc>
          <w:tcPr>
            <w:tcW w:w="1300" w:type="dxa"/>
            <w:tcBorders>
              <w:top w:val="nil"/>
              <w:left w:val="nil"/>
              <w:bottom w:val="single" w:sz="8" w:space="0" w:color="FFFFFF"/>
              <w:right w:val="single" w:sz="8" w:space="0" w:color="FFFFFF"/>
            </w:tcBorders>
            <w:shd w:val="clear" w:color="000000" w:fill="DCE6F1"/>
            <w:vAlign w:val="center"/>
            <w:hideMark/>
          </w:tcPr>
          <w:p w14:paraId="49875A2B" w14:textId="77777777" w:rsidR="00676C25" w:rsidRPr="00D35C6A" w:rsidRDefault="00676C25" w:rsidP="00676C25">
            <w:pPr>
              <w:jc w:val="center"/>
              <w:rPr>
                <w:rFonts w:ascii="Calibri" w:eastAsia="Times New Roman" w:hAnsi="Calibri" w:cs="Times New Roman"/>
                <w:color w:val="000000"/>
                <w:szCs w:val="20"/>
              </w:rPr>
            </w:pPr>
            <w:r w:rsidRPr="00D35C6A">
              <w:rPr>
                <w:rFonts w:ascii="Calibri" w:eastAsia="Times New Roman" w:hAnsi="Calibri" w:cs="Times New Roman"/>
                <w:color w:val="000000"/>
                <w:szCs w:val="20"/>
              </w:rPr>
              <w:t>27/08/15</w:t>
            </w:r>
          </w:p>
        </w:tc>
        <w:tc>
          <w:tcPr>
            <w:tcW w:w="1840" w:type="dxa"/>
            <w:tcBorders>
              <w:top w:val="nil"/>
              <w:left w:val="nil"/>
              <w:bottom w:val="single" w:sz="8" w:space="0" w:color="FFFFFF"/>
              <w:right w:val="single" w:sz="8" w:space="0" w:color="FFFFFF"/>
            </w:tcBorders>
            <w:shd w:val="clear" w:color="000000" w:fill="DCE6F1"/>
            <w:vAlign w:val="center"/>
            <w:hideMark/>
          </w:tcPr>
          <w:p w14:paraId="689B0327" w14:textId="77777777" w:rsidR="00676C25" w:rsidRPr="00D35C6A" w:rsidRDefault="00676C25" w:rsidP="00676C25">
            <w:pPr>
              <w:jc w:val="center"/>
              <w:rPr>
                <w:rFonts w:ascii="Calibri" w:eastAsia="Times New Roman" w:hAnsi="Calibri" w:cs="Times New Roman"/>
                <w:color w:val="000000"/>
                <w:szCs w:val="20"/>
              </w:rPr>
            </w:pPr>
            <w:r w:rsidRPr="00D35C6A">
              <w:rPr>
                <w:rFonts w:ascii="Calibri" w:eastAsia="Times New Roman" w:hAnsi="Calibri" w:cs="Times New Roman"/>
                <w:color w:val="000000"/>
                <w:szCs w:val="20"/>
              </w:rPr>
              <w:t>1557966</w:t>
            </w:r>
          </w:p>
        </w:tc>
        <w:tc>
          <w:tcPr>
            <w:tcW w:w="1960" w:type="dxa"/>
            <w:tcBorders>
              <w:top w:val="nil"/>
              <w:left w:val="nil"/>
              <w:bottom w:val="single" w:sz="8" w:space="0" w:color="FFFFFF"/>
              <w:right w:val="single" w:sz="8" w:space="0" w:color="FFFFFF"/>
            </w:tcBorders>
            <w:shd w:val="clear" w:color="000000" w:fill="DCE6F1"/>
            <w:vAlign w:val="center"/>
            <w:hideMark/>
          </w:tcPr>
          <w:p w14:paraId="1DD4DFB6" w14:textId="77777777" w:rsidR="00676C25" w:rsidRPr="00D35C6A" w:rsidRDefault="00676C25" w:rsidP="00676C25">
            <w:pPr>
              <w:jc w:val="center"/>
              <w:rPr>
                <w:rFonts w:ascii="Calibri" w:eastAsia="Times New Roman" w:hAnsi="Calibri" w:cs="Times New Roman"/>
                <w:szCs w:val="20"/>
              </w:rPr>
            </w:pPr>
            <w:r w:rsidRPr="00D35C6A">
              <w:rPr>
                <w:rFonts w:ascii="Calibri" w:eastAsia="Times New Roman" w:hAnsi="Calibri" w:cs="Times New Roman"/>
                <w:szCs w:val="20"/>
              </w:rPr>
              <w:t>3040284</w:t>
            </w:r>
          </w:p>
        </w:tc>
        <w:tc>
          <w:tcPr>
            <w:tcW w:w="1300" w:type="dxa"/>
            <w:tcBorders>
              <w:top w:val="nil"/>
              <w:left w:val="nil"/>
              <w:bottom w:val="single" w:sz="8" w:space="0" w:color="FFFFFF"/>
              <w:right w:val="single" w:sz="8" w:space="0" w:color="FFFFFF"/>
            </w:tcBorders>
            <w:shd w:val="clear" w:color="000000" w:fill="DCE6F1"/>
            <w:vAlign w:val="center"/>
            <w:hideMark/>
          </w:tcPr>
          <w:p w14:paraId="0A971C37" w14:textId="77777777" w:rsidR="00676C25" w:rsidRPr="00D35C6A" w:rsidRDefault="00676C25" w:rsidP="00676C25">
            <w:pPr>
              <w:jc w:val="center"/>
              <w:rPr>
                <w:rFonts w:ascii="Calibri" w:eastAsia="Times New Roman" w:hAnsi="Calibri" w:cs="Times New Roman"/>
                <w:szCs w:val="20"/>
              </w:rPr>
            </w:pPr>
            <w:r w:rsidRPr="00D35C6A">
              <w:rPr>
                <w:rFonts w:ascii="Calibri" w:eastAsia="Times New Roman" w:hAnsi="Calibri" w:cs="Times New Roman"/>
                <w:szCs w:val="20"/>
              </w:rPr>
              <w:t>11/08/17</w:t>
            </w:r>
          </w:p>
        </w:tc>
        <w:tc>
          <w:tcPr>
            <w:tcW w:w="2280" w:type="dxa"/>
            <w:tcBorders>
              <w:top w:val="nil"/>
              <w:left w:val="nil"/>
              <w:bottom w:val="single" w:sz="8" w:space="0" w:color="FFFFFF"/>
              <w:right w:val="single" w:sz="8" w:space="0" w:color="FFFFFF"/>
            </w:tcBorders>
            <w:shd w:val="clear" w:color="000000" w:fill="DCE6F1"/>
            <w:vAlign w:val="center"/>
            <w:hideMark/>
          </w:tcPr>
          <w:p w14:paraId="62222E50" w14:textId="77777777" w:rsidR="00676C25" w:rsidRPr="00D35C6A" w:rsidRDefault="00676C25" w:rsidP="00676C25">
            <w:pPr>
              <w:jc w:val="center"/>
              <w:rPr>
                <w:rFonts w:ascii="Calibri" w:eastAsia="Times New Roman" w:hAnsi="Calibri" w:cs="Times New Roman"/>
                <w:color w:val="000000"/>
                <w:szCs w:val="20"/>
              </w:rPr>
            </w:pPr>
            <w:r w:rsidRPr="00D35C6A">
              <w:rPr>
                <w:rFonts w:ascii="Calibri" w:eastAsia="Times New Roman" w:hAnsi="Calibri" w:cs="Times New Roman"/>
                <w:color w:val="000000"/>
                <w:szCs w:val="20"/>
              </w:rPr>
              <w:t>1557966</w:t>
            </w:r>
          </w:p>
        </w:tc>
        <w:tc>
          <w:tcPr>
            <w:tcW w:w="1554" w:type="dxa"/>
            <w:tcBorders>
              <w:top w:val="nil"/>
              <w:left w:val="nil"/>
              <w:bottom w:val="single" w:sz="8" w:space="0" w:color="FFFFFF"/>
              <w:right w:val="single" w:sz="8" w:space="0" w:color="FFFFFF"/>
            </w:tcBorders>
            <w:shd w:val="clear" w:color="000000" w:fill="DCE6F1"/>
            <w:vAlign w:val="center"/>
            <w:hideMark/>
          </w:tcPr>
          <w:p w14:paraId="5457A614" w14:textId="77777777" w:rsidR="00676C25" w:rsidRPr="00D35C6A" w:rsidRDefault="00676C25" w:rsidP="00676C25">
            <w:pPr>
              <w:jc w:val="center"/>
              <w:rPr>
                <w:rFonts w:ascii="Calibri" w:eastAsia="Times New Roman" w:hAnsi="Calibri" w:cs="Times New Roman"/>
                <w:szCs w:val="20"/>
              </w:rPr>
            </w:pPr>
            <w:r w:rsidRPr="00D35C6A">
              <w:rPr>
                <w:rFonts w:ascii="Calibri" w:eastAsia="Times New Roman" w:hAnsi="Calibri" w:cs="Times New Roman"/>
                <w:szCs w:val="20"/>
              </w:rPr>
              <w:t>En application</w:t>
            </w:r>
          </w:p>
        </w:tc>
      </w:tr>
      <w:tr w:rsidR="00676C25" w:rsidRPr="00D35C6A" w14:paraId="1C35A058" w14:textId="77777777" w:rsidTr="00676C25">
        <w:trPr>
          <w:trHeight w:val="1420"/>
        </w:trPr>
        <w:tc>
          <w:tcPr>
            <w:tcW w:w="1960" w:type="dxa"/>
            <w:vMerge/>
            <w:tcBorders>
              <w:top w:val="nil"/>
              <w:left w:val="single" w:sz="8" w:space="0" w:color="FFFFFF"/>
              <w:bottom w:val="single" w:sz="8" w:space="0" w:color="FFFFFF"/>
              <w:right w:val="single" w:sz="8" w:space="0" w:color="FFFFFF"/>
            </w:tcBorders>
            <w:vAlign w:val="center"/>
            <w:hideMark/>
          </w:tcPr>
          <w:p w14:paraId="115CB483" w14:textId="77777777" w:rsidR="00676C25" w:rsidRPr="00D35C6A" w:rsidRDefault="00676C25" w:rsidP="00676C25">
            <w:pPr>
              <w:jc w:val="left"/>
              <w:rPr>
                <w:rFonts w:ascii="Calibri" w:eastAsia="Times New Roman" w:hAnsi="Calibri" w:cs="Times New Roman"/>
                <w:szCs w:val="20"/>
              </w:rPr>
            </w:pPr>
          </w:p>
        </w:tc>
        <w:tc>
          <w:tcPr>
            <w:tcW w:w="1300" w:type="dxa"/>
            <w:vMerge/>
            <w:tcBorders>
              <w:top w:val="nil"/>
              <w:left w:val="single" w:sz="8" w:space="0" w:color="FFFFFF"/>
              <w:bottom w:val="single" w:sz="8" w:space="0" w:color="FFFFFF"/>
              <w:right w:val="single" w:sz="8" w:space="0" w:color="FFFFFF"/>
            </w:tcBorders>
            <w:vAlign w:val="center"/>
            <w:hideMark/>
          </w:tcPr>
          <w:p w14:paraId="2C85B83E" w14:textId="77777777" w:rsidR="00676C25" w:rsidRPr="00D35C6A" w:rsidRDefault="00676C25" w:rsidP="00676C25">
            <w:pPr>
              <w:jc w:val="left"/>
              <w:rPr>
                <w:rFonts w:ascii="Calibri" w:eastAsia="Times New Roman" w:hAnsi="Calibri" w:cs="Times New Roman"/>
                <w:szCs w:val="20"/>
              </w:rPr>
            </w:pPr>
          </w:p>
        </w:tc>
        <w:tc>
          <w:tcPr>
            <w:tcW w:w="2100" w:type="dxa"/>
            <w:tcBorders>
              <w:top w:val="nil"/>
              <w:left w:val="nil"/>
              <w:bottom w:val="single" w:sz="8" w:space="0" w:color="FFFFFF"/>
              <w:right w:val="single" w:sz="8" w:space="0" w:color="FFFFFF"/>
            </w:tcBorders>
            <w:shd w:val="clear" w:color="000000" w:fill="DCE6F1"/>
            <w:vAlign w:val="center"/>
            <w:hideMark/>
          </w:tcPr>
          <w:p w14:paraId="20F9F446" w14:textId="77777777" w:rsidR="00676C25" w:rsidRPr="00D35C6A" w:rsidRDefault="00676C25" w:rsidP="00676C25">
            <w:pPr>
              <w:jc w:val="center"/>
              <w:rPr>
                <w:rFonts w:ascii="Calibri" w:eastAsia="Times New Roman" w:hAnsi="Calibri" w:cs="Times New Roman"/>
                <w:szCs w:val="20"/>
              </w:rPr>
            </w:pPr>
            <w:r w:rsidRPr="00D35C6A">
              <w:rPr>
                <w:rFonts w:ascii="Calibri" w:eastAsia="Times New Roman" w:hAnsi="Calibri" w:cs="Times New Roman"/>
                <w:szCs w:val="20"/>
              </w:rPr>
              <w:t>Europe (France, Allemagne, Belgique, Espagne, Italie, Royaume-Uni, Suisse, Turquie)</w:t>
            </w:r>
          </w:p>
        </w:tc>
        <w:tc>
          <w:tcPr>
            <w:tcW w:w="1300" w:type="dxa"/>
            <w:tcBorders>
              <w:top w:val="nil"/>
              <w:left w:val="nil"/>
              <w:bottom w:val="single" w:sz="8" w:space="0" w:color="FFFFFF"/>
              <w:right w:val="single" w:sz="8" w:space="0" w:color="FFFFFF"/>
            </w:tcBorders>
            <w:shd w:val="clear" w:color="000000" w:fill="DCE6F1"/>
            <w:vAlign w:val="center"/>
            <w:hideMark/>
          </w:tcPr>
          <w:p w14:paraId="301CDB6D" w14:textId="77777777" w:rsidR="00676C25" w:rsidRPr="00D35C6A" w:rsidRDefault="00676C25" w:rsidP="00676C25">
            <w:pPr>
              <w:jc w:val="center"/>
              <w:rPr>
                <w:rFonts w:ascii="Calibri" w:eastAsia="Times New Roman" w:hAnsi="Calibri" w:cs="Times New Roman"/>
                <w:szCs w:val="20"/>
              </w:rPr>
            </w:pPr>
            <w:r w:rsidRPr="00D35C6A">
              <w:rPr>
                <w:rFonts w:ascii="Calibri" w:eastAsia="Times New Roman" w:hAnsi="Calibri" w:cs="Times New Roman"/>
                <w:szCs w:val="20"/>
              </w:rPr>
              <w:t>08/08/16</w:t>
            </w:r>
          </w:p>
        </w:tc>
        <w:tc>
          <w:tcPr>
            <w:tcW w:w="1840" w:type="dxa"/>
            <w:tcBorders>
              <w:top w:val="nil"/>
              <w:left w:val="nil"/>
              <w:bottom w:val="single" w:sz="8" w:space="0" w:color="FFFFFF"/>
              <w:right w:val="single" w:sz="8" w:space="0" w:color="FFFFFF"/>
            </w:tcBorders>
            <w:shd w:val="clear" w:color="000000" w:fill="DCE6F1"/>
            <w:vAlign w:val="center"/>
            <w:hideMark/>
          </w:tcPr>
          <w:p w14:paraId="5E1AAEB3" w14:textId="77777777" w:rsidR="00676C25" w:rsidRPr="00D35C6A" w:rsidRDefault="00676C25" w:rsidP="00676C25">
            <w:pPr>
              <w:jc w:val="center"/>
              <w:rPr>
                <w:rFonts w:ascii="Calibri" w:eastAsia="Times New Roman" w:hAnsi="Calibri" w:cs="Times New Roman"/>
                <w:szCs w:val="20"/>
              </w:rPr>
            </w:pPr>
            <w:r w:rsidRPr="00D35C6A">
              <w:rPr>
                <w:rFonts w:ascii="Calibri" w:eastAsia="Times New Roman" w:hAnsi="Calibri" w:cs="Times New Roman"/>
                <w:szCs w:val="20"/>
              </w:rPr>
              <w:t>16763894.9</w:t>
            </w:r>
          </w:p>
        </w:tc>
        <w:tc>
          <w:tcPr>
            <w:tcW w:w="1960" w:type="dxa"/>
            <w:tcBorders>
              <w:top w:val="nil"/>
              <w:left w:val="nil"/>
              <w:bottom w:val="single" w:sz="8" w:space="0" w:color="FFFFFF"/>
              <w:right w:val="single" w:sz="8" w:space="0" w:color="FFFFFF"/>
            </w:tcBorders>
            <w:shd w:val="clear" w:color="000000" w:fill="DCE6F1"/>
            <w:vAlign w:val="center"/>
            <w:hideMark/>
          </w:tcPr>
          <w:p w14:paraId="40ACFB85" w14:textId="77777777" w:rsidR="00676C25" w:rsidRPr="00D35C6A" w:rsidRDefault="00676C25" w:rsidP="00676C25">
            <w:pPr>
              <w:jc w:val="center"/>
              <w:rPr>
                <w:rFonts w:ascii="Calibri" w:eastAsia="Times New Roman" w:hAnsi="Calibri" w:cs="Times New Roman"/>
                <w:szCs w:val="20"/>
              </w:rPr>
            </w:pPr>
            <w:r w:rsidRPr="00D35C6A">
              <w:rPr>
                <w:rFonts w:ascii="Calibri" w:eastAsia="Times New Roman" w:hAnsi="Calibri" w:cs="Times New Roman"/>
                <w:szCs w:val="20"/>
              </w:rPr>
              <w:t>3340909</w:t>
            </w:r>
          </w:p>
        </w:tc>
        <w:tc>
          <w:tcPr>
            <w:tcW w:w="1300" w:type="dxa"/>
            <w:tcBorders>
              <w:top w:val="nil"/>
              <w:left w:val="nil"/>
              <w:bottom w:val="single" w:sz="8" w:space="0" w:color="FFFFFF"/>
              <w:right w:val="single" w:sz="8" w:space="0" w:color="FFFFFF"/>
            </w:tcBorders>
            <w:shd w:val="clear" w:color="000000" w:fill="DCE6F1"/>
            <w:vAlign w:val="center"/>
            <w:hideMark/>
          </w:tcPr>
          <w:p w14:paraId="4739E5C6" w14:textId="77777777" w:rsidR="00676C25" w:rsidRPr="00D35C6A" w:rsidRDefault="00676C25" w:rsidP="00676C25">
            <w:pPr>
              <w:jc w:val="center"/>
              <w:rPr>
                <w:rFonts w:ascii="Calibri" w:eastAsia="Times New Roman" w:hAnsi="Calibri" w:cs="Times New Roman"/>
                <w:szCs w:val="20"/>
              </w:rPr>
            </w:pPr>
            <w:r w:rsidRPr="00D35C6A">
              <w:rPr>
                <w:rFonts w:ascii="Calibri" w:eastAsia="Times New Roman" w:hAnsi="Calibri" w:cs="Times New Roman"/>
                <w:szCs w:val="20"/>
              </w:rPr>
              <w:t>31/07/19</w:t>
            </w:r>
          </w:p>
        </w:tc>
        <w:tc>
          <w:tcPr>
            <w:tcW w:w="2280" w:type="dxa"/>
            <w:tcBorders>
              <w:top w:val="nil"/>
              <w:left w:val="nil"/>
              <w:bottom w:val="single" w:sz="8" w:space="0" w:color="FFFFFF"/>
              <w:right w:val="single" w:sz="8" w:space="0" w:color="FFFFFF"/>
            </w:tcBorders>
            <w:shd w:val="clear" w:color="000000" w:fill="DCE6F1"/>
            <w:vAlign w:val="center"/>
            <w:hideMark/>
          </w:tcPr>
          <w:p w14:paraId="1330A936" w14:textId="77777777" w:rsidR="00676C25" w:rsidRPr="00D35C6A" w:rsidRDefault="00676C25" w:rsidP="00676C25">
            <w:pPr>
              <w:jc w:val="center"/>
              <w:rPr>
                <w:rFonts w:ascii="Calibri" w:eastAsia="Times New Roman" w:hAnsi="Calibri" w:cs="Times New Roman"/>
                <w:szCs w:val="20"/>
              </w:rPr>
            </w:pPr>
            <w:r w:rsidRPr="00D35C6A">
              <w:rPr>
                <w:rFonts w:ascii="Calibri" w:eastAsia="Times New Roman" w:hAnsi="Calibri" w:cs="Times New Roman"/>
                <w:szCs w:val="20"/>
              </w:rPr>
              <w:t>3340909</w:t>
            </w:r>
          </w:p>
        </w:tc>
        <w:tc>
          <w:tcPr>
            <w:tcW w:w="1554" w:type="dxa"/>
            <w:tcBorders>
              <w:top w:val="nil"/>
              <w:left w:val="nil"/>
              <w:bottom w:val="single" w:sz="8" w:space="0" w:color="FFFFFF"/>
              <w:right w:val="single" w:sz="8" w:space="0" w:color="FFFFFF"/>
            </w:tcBorders>
            <w:shd w:val="clear" w:color="000000" w:fill="DCE6F1"/>
            <w:vAlign w:val="center"/>
            <w:hideMark/>
          </w:tcPr>
          <w:p w14:paraId="4CD82CA5" w14:textId="77777777" w:rsidR="00676C25" w:rsidRPr="00D35C6A" w:rsidRDefault="00676C25" w:rsidP="00676C25">
            <w:pPr>
              <w:jc w:val="center"/>
              <w:rPr>
                <w:rFonts w:ascii="Calibri" w:eastAsia="Times New Roman" w:hAnsi="Calibri" w:cs="Times New Roman"/>
                <w:szCs w:val="20"/>
              </w:rPr>
            </w:pPr>
            <w:r w:rsidRPr="00D35C6A">
              <w:rPr>
                <w:rFonts w:ascii="Calibri" w:eastAsia="Times New Roman" w:hAnsi="Calibri" w:cs="Times New Roman"/>
                <w:szCs w:val="20"/>
              </w:rPr>
              <w:t>En application</w:t>
            </w:r>
          </w:p>
        </w:tc>
      </w:tr>
      <w:tr w:rsidR="00676C25" w:rsidRPr="00D35C6A" w14:paraId="7429F239" w14:textId="77777777" w:rsidTr="00676C25">
        <w:trPr>
          <w:trHeight w:val="320"/>
        </w:trPr>
        <w:tc>
          <w:tcPr>
            <w:tcW w:w="1960" w:type="dxa"/>
            <w:vMerge/>
            <w:tcBorders>
              <w:top w:val="nil"/>
              <w:left w:val="single" w:sz="8" w:space="0" w:color="FFFFFF"/>
              <w:bottom w:val="single" w:sz="8" w:space="0" w:color="FFFFFF"/>
              <w:right w:val="single" w:sz="8" w:space="0" w:color="FFFFFF"/>
            </w:tcBorders>
            <w:vAlign w:val="center"/>
            <w:hideMark/>
          </w:tcPr>
          <w:p w14:paraId="505500BF" w14:textId="77777777" w:rsidR="00676C25" w:rsidRPr="00D35C6A" w:rsidRDefault="00676C25" w:rsidP="00676C25">
            <w:pPr>
              <w:jc w:val="left"/>
              <w:rPr>
                <w:rFonts w:ascii="Calibri" w:eastAsia="Times New Roman" w:hAnsi="Calibri" w:cs="Times New Roman"/>
                <w:szCs w:val="20"/>
              </w:rPr>
            </w:pPr>
          </w:p>
        </w:tc>
        <w:tc>
          <w:tcPr>
            <w:tcW w:w="1300" w:type="dxa"/>
            <w:vMerge/>
            <w:tcBorders>
              <w:top w:val="nil"/>
              <w:left w:val="single" w:sz="8" w:space="0" w:color="FFFFFF"/>
              <w:bottom w:val="single" w:sz="8" w:space="0" w:color="FFFFFF"/>
              <w:right w:val="single" w:sz="8" w:space="0" w:color="FFFFFF"/>
            </w:tcBorders>
            <w:vAlign w:val="center"/>
            <w:hideMark/>
          </w:tcPr>
          <w:p w14:paraId="680A82BD" w14:textId="77777777" w:rsidR="00676C25" w:rsidRPr="00D35C6A" w:rsidRDefault="00676C25" w:rsidP="00676C25">
            <w:pPr>
              <w:jc w:val="left"/>
              <w:rPr>
                <w:rFonts w:ascii="Calibri" w:eastAsia="Times New Roman" w:hAnsi="Calibri" w:cs="Times New Roman"/>
                <w:szCs w:val="20"/>
              </w:rPr>
            </w:pPr>
          </w:p>
        </w:tc>
        <w:tc>
          <w:tcPr>
            <w:tcW w:w="2100" w:type="dxa"/>
            <w:tcBorders>
              <w:top w:val="nil"/>
              <w:left w:val="nil"/>
              <w:bottom w:val="single" w:sz="8" w:space="0" w:color="FFFFFF"/>
              <w:right w:val="single" w:sz="8" w:space="0" w:color="FFFFFF"/>
            </w:tcBorders>
            <w:shd w:val="clear" w:color="000000" w:fill="DCE6F1"/>
            <w:vAlign w:val="center"/>
            <w:hideMark/>
          </w:tcPr>
          <w:p w14:paraId="76468751" w14:textId="77777777" w:rsidR="00676C25" w:rsidRPr="00D35C6A" w:rsidRDefault="00676C25" w:rsidP="00676C25">
            <w:pPr>
              <w:jc w:val="center"/>
              <w:rPr>
                <w:rFonts w:ascii="Calibri" w:eastAsia="Times New Roman" w:hAnsi="Calibri" w:cs="Times New Roman"/>
                <w:szCs w:val="20"/>
              </w:rPr>
            </w:pPr>
            <w:r w:rsidRPr="00D35C6A">
              <w:rPr>
                <w:rFonts w:ascii="Calibri" w:eastAsia="Times New Roman" w:hAnsi="Calibri" w:cs="Times New Roman"/>
                <w:szCs w:val="20"/>
              </w:rPr>
              <w:t>Brésil</w:t>
            </w:r>
          </w:p>
        </w:tc>
        <w:tc>
          <w:tcPr>
            <w:tcW w:w="1300" w:type="dxa"/>
            <w:tcBorders>
              <w:top w:val="nil"/>
              <w:left w:val="nil"/>
              <w:bottom w:val="single" w:sz="8" w:space="0" w:color="FFFFFF"/>
              <w:right w:val="single" w:sz="8" w:space="0" w:color="FFFFFF"/>
            </w:tcBorders>
            <w:shd w:val="clear" w:color="000000" w:fill="DCE6F1"/>
            <w:vAlign w:val="center"/>
            <w:hideMark/>
          </w:tcPr>
          <w:p w14:paraId="0AC21588" w14:textId="77777777" w:rsidR="00676C25" w:rsidRPr="00D35C6A" w:rsidRDefault="00676C25" w:rsidP="00676C25">
            <w:pPr>
              <w:jc w:val="center"/>
              <w:rPr>
                <w:rFonts w:ascii="Calibri" w:eastAsia="Times New Roman" w:hAnsi="Calibri" w:cs="Times New Roman"/>
                <w:szCs w:val="20"/>
              </w:rPr>
            </w:pPr>
            <w:r w:rsidRPr="00D35C6A">
              <w:rPr>
                <w:rFonts w:ascii="Calibri" w:eastAsia="Times New Roman" w:hAnsi="Calibri" w:cs="Times New Roman"/>
                <w:szCs w:val="20"/>
              </w:rPr>
              <w:t>09/08/16</w:t>
            </w:r>
          </w:p>
        </w:tc>
        <w:tc>
          <w:tcPr>
            <w:tcW w:w="1840" w:type="dxa"/>
            <w:tcBorders>
              <w:top w:val="nil"/>
              <w:left w:val="nil"/>
              <w:bottom w:val="single" w:sz="8" w:space="0" w:color="FFFFFF"/>
              <w:right w:val="single" w:sz="8" w:space="0" w:color="FFFFFF"/>
            </w:tcBorders>
            <w:shd w:val="clear" w:color="000000" w:fill="DCE6F1"/>
            <w:vAlign w:val="center"/>
            <w:hideMark/>
          </w:tcPr>
          <w:p w14:paraId="52C0B37C" w14:textId="77777777" w:rsidR="00676C25" w:rsidRPr="00D35C6A" w:rsidRDefault="00676C25" w:rsidP="00676C25">
            <w:pPr>
              <w:jc w:val="center"/>
              <w:rPr>
                <w:rFonts w:ascii="Calibri" w:eastAsia="Times New Roman" w:hAnsi="Calibri" w:cs="Times New Roman"/>
                <w:szCs w:val="20"/>
              </w:rPr>
            </w:pPr>
            <w:r w:rsidRPr="00D35C6A">
              <w:rPr>
                <w:rFonts w:ascii="Calibri" w:eastAsia="Times New Roman" w:hAnsi="Calibri" w:cs="Times New Roman"/>
                <w:szCs w:val="20"/>
              </w:rPr>
              <w:t>BR1120180035432</w:t>
            </w:r>
          </w:p>
        </w:tc>
        <w:tc>
          <w:tcPr>
            <w:tcW w:w="1960" w:type="dxa"/>
            <w:tcBorders>
              <w:top w:val="nil"/>
              <w:left w:val="nil"/>
              <w:bottom w:val="single" w:sz="8" w:space="0" w:color="FFFFFF"/>
              <w:right w:val="single" w:sz="8" w:space="0" w:color="FFFFFF"/>
            </w:tcBorders>
            <w:shd w:val="clear" w:color="000000" w:fill="DCE6F1"/>
            <w:vAlign w:val="center"/>
            <w:hideMark/>
          </w:tcPr>
          <w:p w14:paraId="45B274E9" w14:textId="77777777" w:rsidR="00676C25" w:rsidRPr="00D35C6A" w:rsidRDefault="00676C25" w:rsidP="00676C25">
            <w:pPr>
              <w:jc w:val="center"/>
              <w:rPr>
                <w:rFonts w:ascii="Calibri" w:eastAsia="Times New Roman" w:hAnsi="Calibri" w:cs="Times New Roman"/>
                <w:szCs w:val="20"/>
              </w:rPr>
            </w:pPr>
            <w:r w:rsidRPr="00D35C6A">
              <w:rPr>
                <w:rFonts w:ascii="Calibri" w:eastAsia="Times New Roman" w:hAnsi="Calibri" w:cs="Times New Roman"/>
                <w:szCs w:val="20"/>
              </w:rPr>
              <w:t>BR1120180035432</w:t>
            </w:r>
          </w:p>
        </w:tc>
        <w:tc>
          <w:tcPr>
            <w:tcW w:w="1300" w:type="dxa"/>
            <w:tcBorders>
              <w:top w:val="nil"/>
              <w:left w:val="nil"/>
              <w:bottom w:val="single" w:sz="8" w:space="0" w:color="FFFFFF"/>
              <w:right w:val="single" w:sz="8" w:space="0" w:color="FFFFFF"/>
            </w:tcBorders>
            <w:shd w:val="clear" w:color="000000" w:fill="DCE6F1"/>
            <w:vAlign w:val="center"/>
            <w:hideMark/>
          </w:tcPr>
          <w:p w14:paraId="6A3BF8D1" w14:textId="77777777" w:rsidR="00676C25" w:rsidRPr="00D35C6A" w:rsidRDefault="00676C25" w:rsidP="00676C25">
            <w:pPr>
              <w:jc w:val="center"/>
              <w:rPr>
                <w:rFonts w:ascii="Calibri" w:eastAsia="Times New Roman" w:hAnsi="Calibri" w:cs="Times New Roman"/>
                <w:szCs w:val="20"/>
              </w:rPr>
            </w:pPr>
            <w:r w:rsidRPr="00D35C6A">
              <w:rPr>
                <w:rFonts w:ascii="Calibri" w:eastAsia="Times New Roman" w:hAnsi="Calibri" w:cs="Times New Roman"/>
                <w:szCs w:val="20"/>
              </w:rPr>
              <w:t>-</w:t>
            </w:r>
          </w:p>
        </w:tc>
        <w:tc>
          <w:tcPr>
            <w:tcW w:w="2280" w:type="dxa"/>
            <w:tcBorders>
              <w:top w:val="nil"/>
              <w:left w:val="nil"/>
              <w:bottom w:val="single" w:sz="8" w:space="0" w:color="FFFFFF"/>
              <w:right w:val="single" w:sz="8" w:space="0" w:color="FFFFFF"/>
            </w:tcBorders>
            <w:shd w:val="clear" w:color="000000" w:fill="DCE6F1"/>
            <w:vAlign w:val="center"/>
            <w:hideMark/>
          </w:tcPr>
          <w:p w14:paraId="19C55287" w14:textId="77777777" w:rsidR="00676C25" w:rsidRPr="00D35C6A" w:rsidRDefault="00676C25" w:rsidP="00676C25">
            <w:pPr>
              <w:jc w:val="center"/>
              <w:rPr>
                <w:rFonts w:ascii="Calibri" w:eastAsia="Times New Roman" w:hAnsi="Calibri" w:cs="Times New Roman"/>
                <w:szCs w:val="20"/>
              </w:rPr>
            </w:pPr>
            <w:r w:rsidRPr="00D35C6A">
              <w:rPr>
                <w:rFonts w:ascii="Calibri" w:eastAsia="Times New Roman" w:hAnsi="Calibri" w:cs="Times New Roman"/>
                <w:szCs w:val="20"/>
              </w:rPr>
              <w:t>-</w:t>
            </w:r>
          </w:p>
        </w:tc>
        <w:tc>
          <w:tcPr>
            <w:tcW w:w="1554" w:type="dxa"/>
            <w:tcBorders>
              <w:top w:val="nil"/>
              <w:left w:val="nil"/>
              <w:bottom w:val="single" w:sz="8" w:space="0" w:color="FFFFFF"/>
              <w:right w:val="single" w:sz="8" w:space="0" w:color="FFFFFF"/>
            </w:tcBorders>
            <w:shd w:val="clear" w:color="000000" w:fill="DCE6F1"/>
            <w:vAlign w:val="center"/>
            <w:hideMark/>
          </w:tcPr>
          <w:p w14:paraId="41FBCE66" w14:textId="77777777" w:rsidR="00676C25" w:rsidRPr="00D35C6A" w:rsidRDefault="00676C25" w:rsidP="00676C25">
            <w:pPr>
              <w:jc w:val="center"/>
              <w:rPr>
                <w:rFonts w:ascii="Calibri" w:eastAsia="Times New Roman" w:hAnsi="Calibri" w:cs="Times New Roman"/>
                <w:szCs w:val="20"/>
              </w:rPr>
            </w:pPr>
            <w:r w:rsidRPr="00D35C6A">
              <w:rPr>
                <w:rFonts w:ascii="Calibri" w:eastAsia="Times New Roman" w:hAnsi="Calibri" w:cs="Times New Roman"/>
                <w:szCs w:val="20"/>
              </w:rPr>
              <w:t>En application</w:t>
            </w:r>
          </w:p>
        </w:tc>
      </w:tr>
      <w:tr w:rsidR="00676C25" w:rsidRPr="00D35C6A" w14:paraId="4432A309" w14:textId="77777777" w:rsidTr="00676C25">
        <w:trPr>
          <w:trHeight w:val="320"/>
        </w:trPr>
        <w:tc>
          <w:tcPr>
            <w:tcW w:w="1960" w:type="dxa"/>
            <w:vMerge/>
            <w:tcBorders>
              <w:top w:val="nil"/>
              <w:left w:val="single" w:sz="8" w:space="0" w:color="FFFFFF"/>
              <w:bottom w:val="single" w:sz="8" w:space="0" w:color="FFFFFF"/>
              <w:right w:val="single" w:sz="8" w:space="0" w:color="FFFFFF"/>
            </w:tcBorders>
            <w:vAlign w:val="center"/>
            <w:hideMark/>
          </w:tcPr>
          <w:p w14:paraId="083E6661" w14:textId="77777777" w:rsidR="00676C25" w:rsidRPr="00D35C6A" w:rsidRDefault="00676C25" w:rsidP="00676C25">
            <w:pPr>
              <w:jc w:val="left"/>
              <w:rPr>
                <w:rFonts w:ascii="Calibri" w:eastAsia="Times New Roman" w:hAnsi="Calibri" w:cs="Times New Roman"/>
                <w:szCs w:val="20"/>
              </w:rPr>
            </w:pPr>
          </w:p>
        </w:tc>
        <w:tc>
          <w:tcPr>
            <w:tcW w:w="1300" w:type="dxa"/>
            <w:vMerge/>
            <w:tcBorders>
              <w:top w:val="nil"/>
              <w:left w:val="single" w:sz="8" w:space="0" w:color="FFFFFF"/>
              <w:bottom w:val="single" w:sz="8" w:space="0" w:color="FFFFFF"/>
              <w:right w:val="single" w:sz="8" w:space="0" w:color="FFFFFF"/>
            </w:tcBorders>
            <w:vAlign w:val="center"/>
            <w:hideMark/>
          </w:tcPr>
          <w:p w14:paraId="5CEA397B" w14:textId="77777777" w:rsidR="00676C25" w:rsidRPr="00D35C6A" w:rsidRDefault="00676C25" w:rsidP="00676C25">
            <w:pPr>
              <w:jc w:val="left"/>
              <w:rPr>
                <w:rFonts w:ascii="Calibri" w:eastAsia="Times New Roman" w:hAnsi="Calibri" w:cs="Times New Roman"/>
                <w:szCs w:val="20"/>
              </w:rPr>
            </w:pPr>
          </w:p>
        </w:tc>
        <w:tc>
          <w:tcPr>
            <w:tcW w:w="2100" w:type="dxa"/>
            <w:tcBorders>
              <w:top w:val="nil"/>
              <w:left w:val="nil"/>
              <w:bottom w:val="single" w:sz="8" w:space="0" w:color="FFFFFF"/>
              <w:right w:val="single" w:sz="8" w:space="0" w:color="FFFFFF"/>
            </w:tcBorders>
            <w:shd w:val="clear" w:color="000000" w:fill="DCE6F1"/>
            <w:vAlign w:val="center"/>
            <w:hideMark/>
          </w:tcPr>
          <w:p w14:paraId="20ABFDE6" w14:textId="77777777" w:rsidR="00676C25" w:rsidRPr="00D35C6A" w:rsidRDefault="00676C25" w:rsidP="00676C25">
            <w:pPr>
              <w:jc w:val="center"/>
              <w:rPr>
                <w:rFonts w:ascii="Calibri" w:eastAsia="Times New Roman" w:hAnsi="Calibri" w:cs="Times New Roman"/>
                <w:szCs w:val="20"/>
              </w:rPr>
            </w:pPr>
            <w:r w:rsidRPr="00D35C6A">
              <w:rPr>
                <w:rFonts w:ascii="Calibri" w:eastAsia="Times New Roman" w:hAnsi="Calibri" w:cs="Times New Roman"/>
                <w:szCs w:val="20"/>
              </w:rPr>
              <w:t>Chine</w:t>
            </w:r>
          </w:p>
        </w:tc>
        <w:tc>
          <w:tcPr>
            <w:tcW w:w="1300" w:type="dxa"/>
            <w:tcBorders>
              <w:top w:val="nil"/>
              <w:left w:val="nil"/>
              <w:bottom w:val="single" w:sz="8" w:space="0" w:color="FFFFFF"/>
              <w:right w:val="single" w:sz="8" w:space="0" w:color="FFFFFF"/>
            </w:tcBorders>
            <w:shd w:val="clear" w:color="000000" w:fill="DCE6F1"/>
            <w:vAlign w:val="center"/>
            <w:hideMark/>
          </w:tcPr>
          <w:p w14:paraId="01382EB6" w14:textId="77777777" w:rsidR="00676C25" w:rsidRPr="00D35C6A" w:rsidRDefault="00676C25" w:rsidP="00676C25">
            <w:pPr>
              <w:jc w:val="center"/>
              <w:rPr>
                <w:rFonts w:ascii="Calibri" w:eastAsia="Times New Roman" w:hAnsi="Calibri" w:cs="Times New Roman"/>
                <w:szCs w:val="20"/>
              </w:rPr>
            </w:pPr>
            <w:r w:rsidRPr="00D35C6A">
              <w:rPr>
                <w:rFonts w:ascii="Calibri" w:eastAsia="Times New Roman" w:hAnsi="Calibri" w:cs="Times New Roman"/>
                <w:szCs w:val="20"/>
              </w:rPr>
              <w:t>10/08/16</w:t>
            </w:r>
          </w:p>
        </w:tc>
        <w:tc>
          <w:tcPr>
            <w:tcW w:w="1840" w:type="dxa"/>
            <w:tcBorders>
              <w:top w:val="nil"/>
              <w:left w:val="nil"/>
              <w:bottom w:val="single" w:sz="8" w:space="0" w:color="FFFFFF"/>
              <w:right w:val="single" w:sz="8" w:space="0" w:color="FFFFFF"/>
            </w:tcBorders>
            <w:shd w:val="clear" w:color="000000" w:fill="DCE6F1"/>
            <w:vAlign w:val="center"/>
            <w:hideMark/>
          </w:tcPr>
          <w:p w14:paraId="63649A89" w14:textId="77777777" w:rsidR="00676C25" w:rsidRPr="00D35C6A" w:rsidRDefault="00676C25" w:rsidP="00676C25">
            <w:pPr>
              <w:jc w:val="center"/>
              <w:rPr>
                <w:rFonts w:ascii="Calibri" w:eastAsia="Times New Roman" w:hAnsi="Calibri" w:cs="Times New Roman"/>
                <w:szCs w:val="20"/>
              </w:rPr>
            </w:pPr>
            <w:r w:rsidRPr="00D35C6A">
              <w:rPr>
                <w:rFonts w:ascii="Calibri" w:eastAsia="Times New Roman" w:hAnsi="Calibri" w:cs="Times New Roman"/>
                <w:szCs w:val="20"/>
              </w:rPr>
              <w:t>201680046762.2</w:t>
            </w:r>
          </w:p>
        </w:tc>
        <w:tc>
          <w:tcPr>
            <w:tcW w:w="1960" w:type="dxa"/>
            <w:tcBorders>
              <w:top w:val="nil"/>
              <w:left w:val="nil"/>
              <w:bottom w:val="single" w:sz="8" w:space="0" w:color="FFFFFF"/>
              <w:right w:val="single" w:sz="8" w:space="0" w:color="FFFFFF"/>
            </w:tcBorders>
            <w:shd w:val="clear" w:color="000000" w:fill="DCE6F1"/>
            <w:vAlign w:val="center"/>
            <w:hideMark/>
          </w:tcPr>
          <w:p w14:paraId="2589703C" w14:textId="77777777" w:rsidR="00676C25" w:rsidRPr="00D35C6A" w:rsidRDefault="00676C25" w:rsidP="00676C25">
            <w:pPr>
              <w:jc w:val="center"/>
              <w:rPr>
                <w:rFonts w:ascii="Calibri" w:eastAsia="Times New Roman" w:hAnsi="Calibri" w:cs="Times New Roman"/>
                <w:szCs w:val="20"/>
              </w:rPr>
            </w:pPr>
            <w:r w:rsidRPr="00D35C6A">
              <w:rPr>
                <w:rFonts w:ascii="Calibri" w:eastAsia="Times New Roman" w:hAnsi="Calibri" w:cs="Times New Roman"/>
                <w:szCs w:val="20"/>
              </w:rPr>
              <w:t>CN107920847A</w:t>
            </w:r>
          </w:p>
        </w:tc>
        <w:tc>
          <w:tcPr>
            <w:tcW w:w="1300" w:type="dxa"/>
            <w:tcBorders>
              <w:top w:val="nil"/>
              <w:left w:val="nil"/>
              <w:bottom w:val="single" w:sz="8" w:space="0" w:color="FFFFFF"/>
              <w:right w:val="single" w:sz="8" w:space="0" w:color="FFFFFF"/>
            </w:tcBorders>
            <w:shd w:val="clear" w:color="000000" w:fill="DCE6F1"/>
            <w:vAlign w:val="center"/>
            <w:hideMark/>
          </w:tcPr>
          <w:p w14:paraId="24A37368" w14:textId="77777777" w:rsidR="00676C25" w:rsidRPr="00D35C6A" w:rsidRDefault="00676C25" w:rsidP="00676C25">
            <w:pPr>
              <w:jc w:val="center"/>
              <w:rPr>
                <w:rFonts w:ascii="Calibri" w:eastAsia="Times New Roman" w:hAnsi="Calibri" w:cs="Times New Roman"/>
                <w:szCs w:val="20"/>
              </w:rPr>
            </w:pPr>
            <w:r w:rsidRPr="00D35C6A">
              <w:rPr>
                <w:rFonts w:ascii="Calibri" w:eastAsia="Times New Roman" w:hAnsi="Calibri" w:cs="Times New Roman"/>
                <w:szCs w:val="20"/>
              </w:rPr>
              <w:t>-</w:t>
            </w:r>
          </w:p>
        </w:tc>
        <w:tc>
          <w:tcPr>
            <w:tcW w:w="2280" w:type="dxa"/>
            <w:tcBorders>
              <w:top w:val="nil"/>
              <w:left w:val="nil"/>
              <w:bottom w:val="single" w:sz="8" w:space="0" w:color="FFFFFF"/>
              <w:right w:val="single" w:sz="8" w:space="0" w:color="FFFFFF"/>
            </w:tcBorders>
            <w:shd w:val="clear" w:color="000000" w:fill="DCE6F1"/>
            <w:vAlign w:val="center"/>
            <w:hideMark/>
          </w:tcPr>
          <w:p w14:paraId="2D8F2CCE" w14:textId="77777777" w:rsidR="00676C25" w:rsidRPr="00D35C6A" w:rsidRDefault="00676C25" w:rsidP="00676C25">
            <w:pPr>
              <w:jc w:val="center"/>
              <w:rPr>
                <w:rFonts w:ascii="Calibri" w:eastAsia="Times New Roman" w:hAnsi="Calibri" w:cs="Times New Roman"/>
                <w:szCs w:val="20"/>
              </w:rPr>
            </w:pPr>
            <w:r w:rsidRPr="00D35C6A">
              <w:rPr>
                <w:rFonts w:ascii="Calibri" w:eastAsia="Times New Roman" w:hAnsi="Calibri" w:cs="Times New Roman"/>
                <w:szCs w:val="20"/>
              </w:rPr>
              <w:t>-</w:t>
            </w:r>
          </w:p>
        </w:tc>
        <w:tc>
          <w:tcPr>
            <w:tcW w:w="1554" w:type="dxa"/>
            <w:tcBorders>
              <w:top w:val="nil"/>
              <w:left w:val="nil"/>
              <w:bottom w:val="single" w:sz="8" w:space="0" w:color="FFFFFF"/>
              <w:right w:val="single" w:sz="8" w:space="0" w:color="FFFFFF"/>
            </w:tcBorders>
            <w:shd w:val="clear" w:color="000000" w:fill="DCE6F1"/>
            <w:vAlign w:val="center"/>
            <w:hideMark/>
          </w:tcPr>
          <w:p w14:paraId="68B6B460" w14:textId="77777777" w:rsidR="00676C25" w:rsidRPr="00D35C6A" w:rsidRDefault="00676C25" w:rsidP="00676C25">
            <w:pPr>
              <w:jc w:val="center"/>
              <w:rPr>
                <w:rFonts w:ascii="Calibri" w:eastAsia="Times New Roman" w:hAnsi="Calibri" w:cs="Times New Roman"/>
                <w:szCs w:val="20"/>
              </w:rPr>
            </w:pPr>
            <w:r w:rsidRPr="00D35C6A">
              <w:rPr>
                <w:rFonts w:ascii="Calibri" w:eastAsia="Times New Roman" w:hAnsi="Calibri" w:cs="Times New Roman"/>
                <w:szCs w:val="20"/>
              </w:rPr>
              <w:t>En application</w:t>
            </w:r>
          </w:p>
        </w:tc>
      </w:tr>
      <w:tr w:rsidR="00676C25" w:rsidRPr="00D35C6A" w14:paraId="60D4B215" w14:textId="77777777" w:rsidTr="00676C25">
        <w:trPr>
          <w:trHeight w:val="320"/>
        </w:trPr>
        <w:tc>
          <w:tcPr>
            <w:tcW w:w="1960" w:type="dxa"/>
            <w:vMerge/>
            <w:tcBorders>
              <w:top w:val="nil"/>
              <w:left w:val="single" w:sz="8" w:space="0" w:color="FFFFFF"/>
              <w:bottom w:val="single" w:sz="8" w:space="0" w:color="FFFFFF"/>
              <w:right w:val="single" w:sz="8" w:space="0" w:color="FFFFFF"/>
            </w:tcBorders>
            <w:vAlign w:val="center"/>
            <w:hideMark/>
          </w:tcPr>
          <w:p w14:paraId="65A57A24" w14:textId="77777777" w:rsidR="00676C25" w:rsidRPr="00D35C6A" w:rsidRDefault="00676C25" w:rsidP="00676C25">
            <w:pPr>
              <w:jc w:val="left"/>
              <w:rPr>
                <w:rFonts w:ascii="Calibri" w:eastAsia="Times New Roman" w:hAnsi="Calibri" w:cs="Times New Roman"/>
                <w:szCs w:val="20"/>
              </w:rPr>
            </w:pPr>
          </w:p>
        </w:tc>
        <w:tc>
          <w:tcPr>
            <w:tcW w:w="1300" w:type="dxa"/>
            <w:vMerge/>
            <w:tcBorders>
              <w:top w:val="nil"/>
              <w:left w:val="single" w:sz="8" w:space="0" w:color="FFFFFF"/>
              <w:bottom w:val="single" w:sz="8" w:space="0" w:color="FFFFFF"/>
              <w:right w:val="single" w:sz="8" w:space="0" w:color="FFFFFF"/>
            </w:tcBorders>
            <w:vAlign w:val="center"/>
            <w:hideMark/>
          </w:tcPr>
          <w:p w14:paraId="184BAA2C" w14:textId="77777777" w:rsidR="00676C25" w:rsidRPr="00D35C6A" w:rsidRDefault="00676C25" w:rsidP="00676C25">
            <w:pPr>
              <w:jc w:val="left"/>
              <w:rPr>
                <w:rFonts w:ascii="Calibri" w:eastAsia="Times New Roman" w:hAnsi="Calibri" w:cs="Times New Roman"/>
                <w:szCs w:val="20"/>
              </w:rPr>
            </w:pPr>
          </w:p>
        </w:tc>
        <w:tc>
          <w:tcPr>
            <w:tcW w:w="2100" w:type="dxa"/>
            <w:tcBorders>
              <w:top w:val="nil"/>
              <w:left w:val="nil"/>
              <w:bottom w:val="single" w:sz="8" w:space="0" w:color="FFFFFF"/>
              <w:right w:val="single" w:sz="8" w:space="0" w:color="FFFFFF"/>
            </w:tcBorders>
            <w:shd w:val="clear" w:color="000000" w:fill="DCE6F1"/>
            <w:vAlign w:val="center"/>
            <w:hideMark/>
          </w:tcPr>
          <w:p w14:paraId="29CC0D76" w14:textId="77777777" w:rsidR="00676C25" w:rsidRPr="00D35C6A" w:rsidRDefault="00676C25" w:rsidP="00676C25">
            <w:pPr>
              <w:jc w:val="center"/>
              <w:rPr>
                <w:rFonts w:ascii="Calibri" w:eastAsia="Times New Roman" w:hAnsi="Calibri" w:cs="Times New Roman"/>
                <w:szCs w:val="20"/>
              </w:rPr>
            </w:pPr>
            <w:r w:rsidRPr="00D35C6A">
              <w:rPr>
                <w:rFonts w:ascii="Calibri" w:eastAsia="Times New Roman" w:hAnsi="Calibri" w:cs="Times New Roman"/>
                <w:szCs w:val="20"/>
              </w:rPr>
              <w:t>Corée (Sud)</w:t>
            </w:r>
          </w:p>
        </w:tc>
        <w:tc>
          <w:tcPr>
            <w:tcW w:w="1300" w:type="dxa"/>
            <w:tcBorders>
              <w:top w:val="nil"/>
              <w:left w:val="nil"/>
              <w:bottom w:val="single" w:sz="8" w:space="0" w:color="FFFFFF"/>
              <w:right w:val="single" w:sz="8" w:space="0" w:color="FFFFFF"/>
            </w:tcBorders>
            <w:shd w:val="clear" w:color="000000" w:fill="DCE6F1"/>
            <w:vAlign w:val="center"/>
            <w:hideMark/>
          </w:tcPr>
          <w:p w14:paraId="142D398B" w14:textId="77777777" w:rsidR="00676C25" w:rsidRPr="00D35C6A" w:rsidRDefault="00676C25" w:rsidP="00676C25">
            <w:pPr>
              <w:jc w:val="center"/>
              <w:rPr>
                <w:rFonts w:ascii="Calibri" w:eastAsia="Times New Roman" w:hAnsi="Calibri" w:cs="Times New Roman"/>
                <w:szCs w:val="20"/>
              </w:rPr>
            </w:pPr>
            <w:r w:rsidRPr="00D35C6A">
              <w:rPr>
                <w:rFonts w:ascii="Calibri" w:eastAsia="Times New Roman" w:hAnsi="Calibri" w:cs="Times New Roman"/>
                <w:szCs w:val="20"/>
              </w:rPr>
              <w:t>11/08/16</w:t>
            </w:r>
          </w:p>
        </w:tc>
        <w:tc>
          <w:tcPr>
            <w:tcW w:w="1840" w:type="dxa"/>
            <w:tcBorders>
              <w:top w:val="nil"/>
              <w:left w:val="nil"/>
              <w:bottom w:val="single" w:sz="8" w:space="0" w:color="FFFFFF"/>
              <w:right w:val="single" w:sz="8" w:space="0" w:color="FFFFFF"/>
            </w:tcBorders>
            <w:shd w:val="clear" w:color="000000" w:fill="DCE6F1"/>
            <w:vAlign w:val="center"/>
            <w:hideMark/>
          </w:tcPr>
          <w:p w14:paraId="26053C86" w14:textId="77777777" w:rsidR="00676C25" w:rsidRPr="00D35C6A" w:rsidRDefault="00676C25" w:rsidP="00676C25">
            <w:pPr>
              <w:jc w:val="center"/>
              <w:rPr>
                <w:rFonts w:ascii="Calibri" w:eastAsia="Times New Roman" w:hAnsi="Calibri" w:cs="Times New Roman"/>
                <w:szCs w:val="20"/>
              </w:rPr>
            </w:pPr>
            <w:r w:rsidRPr="00D35C6A">
              <w:rPr>
                <w:rFonts w:ascii="Calibri" w:eastAsia="Times New Roman" w:hAnsi="Calibri" w:cs="Times New Roman"/>
                <w:szCs w:val="20"/>
              </w:rPr>
              <w:t>10-2018-7004046</w:t>
            </w:r>
          </w:p>
        </w:tc>
        <w:tc>
          <w:tcPr>
            <w:tcW w:w="1960" w:type="dxa"/>
            <w:tcBorders>
              <w:top w:val="nil"/>
              <w:left w:val="nil"/>
              <w:bottom w:val="single" w:sz="8" w:space="0" w:color="FFFFFF"/>
              <w:right w:val="single" w:sz="8" w:space="0" w:color="FFFFFF"/>
            </w:tcBorders>
            <w:shd w:val="clear" w:color="000000" w:fill="DCE6F1"/>
            <w:vAlign w:val="center"/>
            <w:hideMark/>
          </w:tcPr>
          <w:p w14:paraId="31EFAEE8" w14:textId="77777777" w:rsidR="00676C25" w:rsidRPr="00D35C6A" w:rsidRDefault="00676C25" w:rsidP="00676C25">
            <w:pPr>
              <w:jc w:val="center"/>
              <w:rPr>
                <w:rFonts w:ascii="Calibri" w:eastAsia="Times New Roman" w:hAnsi="Calibri" w:cs="Times New Roman"/>
                <w:szCs w:val="20"/>
              </w:rPr>
            </w:pPr>
            <w:r w:rsidRPr="00D35C6A">
              <w:rPr>
                <w:rFonts w:ascii="Calibri" w:eastAsia="Times New Roman" w:hAnsi="Calibri" w:cs="Times New Roman"/>
                <w:szCs w:val="20"/>
              </w:rPr>
              <w:t>KR20180050296</w:t>
            </w:r>
          </w:p>
        </w:tc>
        <w:tc>
          <w:tcPr>
            <w:tcW w:w="1300" w:type="dxa"/>
            <w:tcBorders>
              <w:top w:val="nil"/>
              <w:left w:val="nil"/>
              <w:bottom w:val="single" w:sz="8" w:space="0" w:color="FFFFFF"/>
              <w:right w:val="single" w:sz="8" w:space="0" w:color="FFFFFF"/>
            </w:tcBorders>
            <w:shd w:val="clear" w:color="000000" w:fill="DCE6F1"/>
            <w:vAlign w:val="center"/>
            <w:hideMark/>
          </w:tcPr>
          <w:p w14:paraId="5315C608" w14:textId="77777777" w:rsidR="00676C25" w:rsidRPr="00D35C6A" w:rsidRDefault="00676C25" w:rsidP="00676C25">
            <w:pPr>
              <w:jc w:val="center"/>
              <w:rPr>
                <w:rFonts w:ascii="Calibri" w:eastAsia="Times New Roman" w:hAnsi="Calibri" w:cs="Times New Roman"/>
                <w:szCs w:val="20"/>
              </w:rPr>
            </w:pPr>
            <w:r w:rsidRPr="00D35C6A">
              <w:rPr>
                <w:rFonts w:ascii="Calibri" w:eastAsia="Times New Roman" w:hAnsi="Calibri" w:cs="Times New Roman"/>
                <w:szCs w:val="20"/>
              </w:rPr>
              <w:t>-</w:t>
            </w:r>
          </w:p>
        </w:tc>
        <w:tc>
          <w:tcPr>
            <w:tcW w:w="2280" w:type="dxa"/>
            <w:tcBorders>
              <w:top w:val="nil"/>
              <w:left w:val="nil"/>
              <w:bottom w:val="single" w:sz="8" w:space="0" w:color="FFFFFF"/>
              <w:right w:val="single" w:sz="8" w:space="0" w:color="FFFFFF"/>
            </w:tcBorders>
            <w:shd w:val="clear" w:color="000000" w:fill="DCE6F1"/>
            <w:vAlign w:val="center"/>
            <w:hideMark/>
          </w:tcPr>
          <w:p w14:paraId="055B1340" w14:textId="77777777" w:rsidR="00676C25" w:rsidRPr="00D35C6A" w:rsidRDefault="00676C25" w:rsidP="00676C25">
            <w:pPr>
              <w:jc w:val="center"/>
              <w:rPr>
                <w:rFonts w:ascii="Calibri" w:eastAsia="Times New Roman" w:hAnsi="Calibri" w:cs="Times New Roman"/>
                <w:szCs w:val="20"/>
              </w:rPr>
            </w:pPr>
            <w:r w:rsidRPr="00D35C6A">
              <w:rPr>
                <w:rFonts w:ascii="Calibri" w:eastAsia="Times New Roman" w:hAnsi="Calibri" w:cs="Times New Roman"/>
                <w:szCs w:val="20"/>
              </w:rPr>
              <w:t>-</w:t>
            </w:r>
          </w:p>
        </w:tc>
        <w:tc>
          <w:tcPr>
            <w:tcW w:w="1554" w:type="dxa"/>
            <w:tcBorders>
              <w:top w:val="nil"/>
              <w:left w:val="nil"/>
              <w:bottom w:val="single" w:sz="8" w:space="0" w:color="FFFFFF"/>
              <w:right w:val="single" w:sz="8" w:space="0" w:color="FFFFFF"/>
            </w:tcBorders>
            <w:shd w:val="clear" w:color="000000" w:fill="DCE6F1"/>
            <w:vAlign w:val="center"/>
            <w:hideMark/>
          </w:tcPr>
          <w:p w14:paraId="11FE38C6" w14:textId="77777777" w:rsidR="00676C25" w:rsidRPr="00D35C6A" w:rsidRDefault="00676C25" w:rsidP="00676C25">
            <w:pPr>
              <w:jc w:val="center"/>
              <w:rPr>
                <w:rFonts w:ascii="Calibri" w:eastAsia="Times New Roman" w:hAnsi="Calibri" w:cs="Times New Roman"/>
                <w:szCs w:val="20"/>
              </w:rPr>
            </w:pPr>
            <w:r w:rsidRPr="00D35C6A">
              <w:rPr>
                <w:rFonts w:ascii="Calibri" w:eastAsia="Times New Roman" w:hAnsi="Calibri" w:cs="Times New Roman"/>
                <w:szCs w:val="20"/>
              </w:rPr>
              <w:t>En application</w:t>
            </w:r>
          </w:p>
        </w:tc>
      </w:tr>
      <w:tr w:rsidR="00676C25" w:rsidRPr="00D35C6A" w14:paraId="4AC5D6D1" w14:textId="77777777" w:rsidTr="00676C25">
        <w:trPr>
          <w:trHeight w:val="320"/>
        </w:trPr>
        <w:tc>
          <w:tcPr>
            <w:tcW w:w="1960" w:type="dxa"/>
            <w:vMerge/>
            <w:tcBorders>
              <w:top w:val="nil"/>
              <w:left w:val="single" w:sz="8" w:space="0" w:color="FFFFFF"/>
              <w:bottom w:val="single" w:sz="8" w:space="0" w:color="FFFFFF"/>
              <w:right w:val="single" w:sz="8" w:space="0" w:color="FFFFFF"/>
            </w:tcBorders>
            <w:vAlign w:val="center"/>
            <w:hideMark/>
          </w:tcPr>
          <w:p w14:paraId="5AC0CBA2" w14:textId="77777777" w:rsidR="00676C25" w:rsidRPr="00D35C6A" w:rsidRDefault="00676C25" w:rsidP="00676C25">
            <w:pPr>
              <w:jc w:val="left"/>
              <w:rPr>
                <w:rFonts w:ascii="Calibri" w:eastAsia="Times New Roman" w:hAnsi="Calibri" w:cs="Times New Roman"/>
                <w:szCs w:val="20"/>
              </w:rPr>
            </w:pPr>
          </w:p>
        </w:tc>
        <w:tc>
          <w:tcPr>
            <w:tcW w:w="1300" w:type="dxa"/>
            <w:vMerge/>
            <w:tcBorders>
              <w:top w:val="nil"/>
              <w:left w:val="single" w:sz="8" w:space="0" w:color="FFFFFF"/>
              <w:bottom w:val="single" w:sz="8" w:space="0" w:color="FFFFFF"/>
              <w:right w:val="single" w:sz="8" w:space="0" w:color="FFFFFF"/>
            </w:tcBorders>
            <w:vAlign w:val="center"/>
            <w:hideMark/>
          </w:tcPr>
          <w:p w14:paraId="3150F74B" w14:textId="77777777" w:rsidR="00676C25" w:rsidRPr="00D35C6A" w:rsidRDefault="00676C25" w:rsidP="00676C25">
            <w:pPr>
              <w:jc w:val="left"/>
              <w:rPr>
                <w:rFonts w:ascii="Calibri" w:eastAsia="Times New Roman" w:hAnsi="Calibri" w:cs="Times New Roman"/>
                <w:szCs w:val="20"/>
              </w:rPr>
            </w:pPr>
          </w:p>
        </w:tc>
        <w:tc>
          <w:tcPr>
            <w:tcW w:w="2100" w:type="dxa"/>
            <w:tcBorders>
              <w:top w:val="nil"/>
              <w:left w:val="nil"/>
              <w:bottom w:val="single" w:sz="8" w:space="0" w:color="FFFFFF"/>
              <w:right w:val="single" w:sz="8" w:space="0" w:color="FFFFFF"/>
            </w:tcBorders>
            <w:shd w:val="clear" w:color="000000" w:fill="DCE6F1"/>
            <w:vAlign w:val="center"/>
            <w:hideMark/>
          </w:tcPr>
          <w:p w14:paraId="0A2BD23D" w14:textId="77777777" w:rsidR="00676C25" w:rsidRPr="00D35C6A" w:rsidRDefault="00676C25" w:rsidP="00676C25">
            <w:pPr>
              <w:jc w:val="center"/>
              <w:rPr>
                <w:rFonts w:ascii="Calibri" w:eastAsia="Times New Roman" w:hAnsi="Calibri" w:cs="Times New Roman"/>
                <w:szCs w:val="20"/>
              </w:rPr>
            </w:pPr>
            <w:r w:rsidRPr="00D35C6A">
              <w:rPr>
                <w:rFonts w:ascii="Calibri" w:eastAsia="Times New Roman" w:hAnsi="Calibri" w:cs="Times New Roman"/>
                <w:szCs w:val="20"/>
              </w:rPr>
              <w:t>Etats-Unis</w:t>
            </w:r>
          </w:p>
        </w:tc>
        <w:tc>
          <w:tcPr>
            <w:tcW w:w="1300" w:type="dxa"/>
            <w:tcBorders>
              <w:top w:val="nil"/>
              <w:left w:val="nil"/>
              <w:bottom w:val="single" w:sz="8" w:space="0" w:color="FFFFFF"/>
              <w:right w:val="single" w:sz="8" w:space="0" w:color="FFFFFF"/>
            </w:tcBorders>
            <w:shd w:val="clear" w:color="000000" w:fill="DCE6F1"/>
            <w:vAlign w:val="center"/>
            <w:hideMark/>
          </w:tcPr>
          <w:p w14:paraId="4E2D2768" w14:textId="77777777" w:rsidR="00676C25" w:rsidRPr="00D35C6A" w:rsidRDefault="00676C25" w:rsidP="00676C25">
            <w:pPr>
              <w:jc w:val="center"/>
              <w:rPr>
                <w:rFonts w:ascii="Calibri" w:eastAsia="Times New Roman" w:hAnsi="Calibri" w:cs="Times New Roman"/>
                <w:szCs w:val="20"/>
              </w:rPr>
            </w:pPr>
            <w:r w:rsidRPr="00D35C6A">
              <w:rPr>
                <w:rFonts w:ascii="Calibri" w:eastAsia="Times New Roman" w:hAnsi="Calibri" w:cs="Times New Roman"/>
                <w:szCs w:val="20"/>
              </w:rPr>
              <w:t>12/08/16</w:t>
            </w:r>
          </w:p>
        </w:tc>
        <w:tc>
          <w:tcPr>
            <w:tcW w:w="1840" w:type="dxa"/>
            <w:tcBorders>
              <w:top w:val="nil"/>
              <w:left w:val="nil"/>
              <w:bottom w:val="single" w:sz="8" w:space="0" w:color="FFFFFF"/>
              <w:right w:val="single" w:sz="8" w:space="0" w:color="FFFFFF"/>
            </w:tcBorders>
            <w:shd w:val="clear" w:color="000000" w:fill="DCE6F1"/>
            <w:vAlign w:val="center"/>
            <w:hideMark/>
          </w:tcPr>
          <w:p w14:paraId="354D91EE" w14:textId="77777777" w:rsidR="00676C25" w:rsidRPr="00D35C6A" w:rsidRDefault="00676C25" w:rsidP="00676C25">
            <w:pPr>
              <w:jc w:val="center"/>
              <w:rPr>
                <w:rFonts w:ascii="Calibri" w:eastAsia="Times New Roman" w:hAnsi="Calibri" w:cs="Times New Roman"/>
                <w:szCs w:val="20"/>
              </w:rPr>
            </w:pPr>
            <w:r w:rsidRPr="00D35C6A">
              <w:rPr>
                <w:rFonts w:ascii="Calibri" w:eastAsia="Times New Roman" w:hAnsi="Calibri" w:cs="Times New Roman"/>
                <w:szCs w:val="20"/>
              </w:rPr>
              <w:t>15/746804</w:t>
            </w:r>
          </w:p>
        </w:tc>
        <w:tc>
          <w:tcPr>
            <w:tcW w:w="1960" w:type="dxa"/>
            <w:tcBorders>
              <w:top w:val="nil"/>
              <w:left w:val="nil"/>
              <w:bottom w:val="single" w:sz="8" w:space="0" w:color="FFFFFF"/>
              <w:right w:val="single" w:sz="8" w:space="0" w:color="FFFFFF"/>
            </w:tcBorders>
            <w:shd w:val="clear" w:color="000000" w:fill="DCE6F1"/>
            <w:vAlign w:val="center"/>
            <w:hideMark/>
          </w:tcPr>
          <w:p w14:paraId="7BE4266F" w14:textId="77777777" w:rsidR="00676C25" w:rsidRPr="00D35C6A" w:rsidRDefault="00676C25" w:rsidP="00676C25">
            <w:pPr>
              <w:jc w:val="center"/>
              <w:rPr>
                <w:rFonts w:ascii="Calibri" w:eastAsia="Times New Roman" w:hAnsi="Calibri" w:cs="Times New Roman"/>
                <w:szCs w:val="20"/>
              </w:rPr>
            </w:pPr>
            <w:r w:rsidRPr="00D35C6A">
              <w:rPr>
                <w:rFonts w:ascii="Calibri" w:eastAsia="Times New Roman" w:hAnsi="Calibri" w:cs="Times New Roman"/>
                <w:szCs w:val="20"/>
              </w:rPr>
              <w:t>2019-0083150-1</w:t>
            </w:r>
          </w:p>
        </w:tc>
        <w:tc>
          <w:tcPr>
            <w:tcW w:w="1300" w:type="dxa"/>
            <w:tcBorders>
              <w:top w:val="nil"/>
              <w:left w:val="nil"/>
              <w:bottom w:val="single" w:sz="8" w:space="0" w:color="FFFFFF"/>
              <w:right w:val="single" w:sz="8" w:space="0" w:color="FFFFFF"/>
            </w:tcBorders>
            <w:shd w:val="clear" w:color="000000" w:fill="DCE6F1"/>
            <w:vAlign w:val="center"/>
            <w:hideMark/>
          </w:tcPr>
          <w:p w14:paraId="7AA35B65" w14:textId="77777777" w:rsidR="00676C25" w:rsidRPr="00D35C6A" w:rsidRDefault="00676C25" w:rsidP="00676C25">
            <w:pPr>
              <w:jc w:val="center"/>
              <w:rPr>
                <w:rFonts w:ascii="Calibri" w:eastAsia="Times New Roman" w:hAnsi="Calibri" w:cs="Times New Roman"/>
                <w:szCs w:val="20"/>
              </w:rPr>
            </w:pPr>
            <w:r w:rsidRPr="00D35C6A">
              <w:rPr>
                <w:rFonts w:ascii="Calibri" w:eastAsia="Times New Roman" w:hAnsi="Calibri" w:cs="Times New Roman"/>
                <w:szCs w:val="20"/>
              </w:rPr>
              <w:t>24/12/19</w:t>
            </w:r>
          </w:p>
        </w:tc>
        <w:tc>
          <w:tcPr>
            <w:tcW w:w="2280" w:type="dxa"/>
            <w:tcBorders>
              <w:top w:val="nil"/>
              <w:left w:val="nil"/>
              <w:bottom w:val="single" w:sz="8" w:space="0" w:color="FFFFFF"/>
              <w:right w:val="single" w:sz="8" w:space="0" w:color="FFFFFF"/>
            </w:tcBorders>
            <w:shd w:val="clear" w:color="000000" w:fill="DCE6F1"/>
            <w:vAlign w:val="center"/>
            <w:hideMark/>
          </w:tcPr>
          <w:p w14:paraId="67F62142" w14:textId="77777777" w:rsidR="00676C25" w:rsidRPr="00D35C6A" w:rsidRDefault="00676C25" w:rsidP="00676C25">
            <w:pPr>
              <w:jc w:val="center"/>
              <w:rPr>
                <w:rFonts w:ascii="Calibri" w:eastAsia="Times New Roman" w:hAnsi="Calibri" w:cs="Times New Roman"/>
                <w:szCs w:val="20"/>
              </w:rPr>
            </w:pPr>
            <w:r w:rsidRPr="00D35C6A">
              <w:rPr>
                <w:rFonts w:ascii="Calibri" w:eastAsia="Times New Roman" w:hAnsi="Calibri" w:cs="Times New Roman"/>
                <w:szCs w:val="20"/>
              </w:rPr>
              <w:t>10512491</w:t>
            </w:r>
          </w:p>
        </w:tc>
        <w:tc>
          <w:tcPr>
            <w:tcW w:w="1554" w:type="dxa"/>
            <w:tcBorders>
              <w:top w:val="nil"/>
              <w:left w:val="nil"/>
              <w:bottom w:val="single" w:sz="8" w:space="0" w:color="FFFFFF"/>
              <w:right w:val="single" w:sz="8" w:space="0" w:color="FFFFFF"/>
            </w:tcBorders>
            <w:shd w:val="clear" w:color="000000" w:fill="DCE6F1"/>
            <w:vAlign w:val="center"/>
            <w:hideMark/>
          </w:tcPr>
          <w:p w14:paraId="6866CCA5" w14:textId="77777777" w:rsidR="00676C25" w:rsidRPr="00D35C6A" w:rsidRDefault="00676C25" w:rsidP="00676C25">
            <w:pPr>
              <w:jc w:val="center"/>
              <w:rPr>
                <w:rFonts w:ascii="Calibri" w:eastAsia="Times New Roman" w:hAnsi="Calibri" w:cs="Times New Roman"/>
                <w:szCs w:val="20"/>
              </w:rPr>
            </w:pPr>
            <w:r w:rsidRPr="00D35C6A">
              <w:rPr>
                <w:rFonts w:ascii="Calibri" w:eastAsia="Times New Roman" w:hAnsi="Calibri" w:cs="Times New Roman"/>
                <w:szCs w:val="20"/>
              </w:rPr>
              <w:t>En application</w:t>
            </w:r>
          </w:p>
        </w:tc>
      </w:tr>
    </w:tbl>
    <w:p w14:paraId="22CEF9F4" w14:textId="77777777" w:rsidR="00676C25" w:rsidRDefault="00676C25" w:rsidP="00676C25"/>
    <w:p w14:paraId="7957B9F0" w14:textId="77777777" w:rsidR="00676C25" w:rsidRDefault="00676C25" w:rsidP="00676C25">
      <w:pPr>
        <w:pStyle w:val="Titre2"/>
      </w:pPr>
    </w:p>
    <w:p w14:paraId="35852426" w14:textId="77777777" w:rsidR="00676C25" w:rsidRDefault="00676C25" w:rsidP="00676C25">
      <w:pPr>
        <w:jc w:val="left"/>
        <w:rPr>
          <w:rFonts w:eastAsiaTheme="majorEastAsia" w:cstheme="majorBidi"/>
          <w:b/>
          <w:bCs/>
          <w:color w:val="4F81BD" w:themeColor="accent1"/>
          <w:sz w:val="26"/>
          <w:szCs w:val="26"/>
        </w:rPr>
      </w:pPr>
      <w:r>
        <w:br w:type="page"/>
      </w:r>
    </w:p>
    <w:p w14:paraId="5D879B49" w14:textId="179D1A3C" w:rsidR="00676C25" w:rsidRDefault="00676C25" w:rsidP="00676C25">
      <w:pPr>
        <w:pStyle w:val="Titre4"/>
      </w:pPr>
      <w:bookmarkStart w:id="140" w:name="_Ref367969176"/>
      <w:r>
        <w:lastRenderedPageBreak/>
        <w:t xml:space="preserve">5.5.1.3 </w:t>
      </w:r>
      <w:r w:rsidRPr="009C781E">
        <w:t>Marques</w:t>
      </w:r>
      <w:bookmarkEnd w:id="140"/>
      <w:r w:rsidRPr="009C781E">
        <w:t xml:space="preserve"> </w:t>
      </w:r>
      <w:r w:rsidRPr="009C781E">
        <w:tab/>
      </w:r>
    </w:p>
    <w:p w14:paraId="365D2D24" w14:textId="77777777" w:rsidR="00676C25" w:rsidRDefault="00676C25" w:rsidP="00676C25"/>
    <w:p w14:paraId="2F998DF4" w14:textId="77777777" w:rsidR="00676C25" w:rsidRDefault="00676C25" w:rsidP="00676C25">
      <w:r>
        <w:t xml:space="preserve">La Société est titulaire de plusieurs marques à la fois européennes et déposées dans différents pays du monde tous continents confondus. </w:t>
      </w:r>
    </w:p>
    <w:p w14:paraId="30E7953F" w14:textId="77777777" w:rsidR="00676C25" w:rsidRPr="007161BA" w:rsidRDefault="00676C25" w:rsidP="00676C25">
      <w:pPr>
        <w:rPr>
          <w:szCs w:val="20"/>
        </w:rPr>
      </w:pPr>
    </w:p>
    <w:p w14:paraId="3F554FED" w14:textId="2C466AA2" w:rsidR="00676C25" w:rsidRDefault="00676C25" w:rsidP="00676C25">
      <w:pPr>
        <w:rPr>
          <w:szCs w:val="20"/>
        </w:rPr>
      </w:pPr>
    </w:p>
    <w:p w14:paraId="46E82039" w14:textId="38605E17" w:rsidR="00676C25" w:rsidRDefault="00F84270" w:rsidP="00676C25">
      <w:pPr>
        <w:rPr>
          <w:szCs w:val="20"/>
        </w:rPr>
      </w:pPr>
      <w:r w:rsidRPr="005B42F0">
        <w:rPr>
          <w:noProof/>
          <w:szCs w:val="20"/>
        </w:rPr>
        <w:drawing>
          <wp:inline distT="0" distB="0" distL="0" distR="0" wp14:anchorId="7F733E37" wp14:editId="359F3927">
            <wp:extent cx="8153400" cy="5105400"/>
            <wp:effectExtent l="0" t="0" r="0" b="0"/>
            <wp:docPr id="89227683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8153400" cy="5105400"/>
                    </a:xfrm>
                    <a:prstGeom prst="rect">
                      <a:avLst/>
                    </a:prstGeom>
                    <a:noFill/>
                    <a:ln>
                      <a:noFill/>
                    </a:ln>
                  </pic:spPr>
                </pic:pic>
              </a:graphicData>
            </a:graphic>
          </wp:inline>
        </w:drawing>
      </w:r>
    </w:p>
    <w:p w14:paraId="6754AE74" w14:textId="364C5A2C" w:rsidR="00F84270" w:rsidRDefault="00F84270" w:rsidP="00676C25">
      <w:pPr>
        <w:rPr>
          <w:szCs w:val="20"/>
        </w:rPr>
      </w:pPr>
      <w:r w:rsidRPr="005B42F0">
        <w:rPr>
          <w:noProof/>
          <w:szCs w:val="20"/>
        </w:rPr>
        <w:lastRenderedPageBreak/>
        <w:drawing>
          <wp:inline distT="0" distB="0" distL="0" distR="0" wp14:anchorId="4F6A72DE" wp14:editId="611323AC">
            <wp:extent cx="8153400" cy="5681345"/>
            <wp:effectExtent l="0" t="0" r="0" b="8255"/>
            <wp:docPr id="892276837"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8153400" cy="5681345"/>
                    </a:xfrm>
                    <a:prstGeom prst="rect">
                      <a:avLst/>
                    </a:prstGeom>
                    <a:noFill/>
                    <a:ln>
                      <a:noFill/>
                    </a:ln>
                  </pic:spPr>
                </pic:pic>
              </a:graphicData>
            </a:graphic>
          </wp:inline>
        </w:drawing>
      </w:r>
    </w:p>
    <w:p w14:paraId="2A2C17E9" w14:textId="01EB6BF7" w:rsidR="00F84270" w:rsidRDefault="00F84270" w:rsidP="00676C25">
      <w:pPr>
        <w:rPr>
          <w:szCs w:val="20"/>
        </w:rPr>
      </w:pPr>
      <w:r w:rsidRPr="005B42F0">
        <w:rPr>
          <w:noProof/>
          <w:szCs w:val="20"/>
        </w:rPr>
        <w:lastRenderedPageBreak/>
        <w:drawing>
          <wp:inline distT="0" distB="0" distL="0" distR="0" wp14:anchorId="5EC10FA8" wp14:editId="53BFD8C2">
            <wp:extent cx="8153400" cy="4919345"/>
            <wp:effectExtent l="0" t="0" r="0" b="8255"/>
            <wp:docPr id="892276838"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8153400" cy="4919345"/>
                    </a:xfrm>
                    <a:prstGeom prst="rect">
                      <a:avLst/>
                    </a:prstGeom>
                    <a:noFill/>
                    <a:ln>
                      <a:noFill/>
                    </a:ln>
                  </pic:spPr>
                </pic:pic>
              </a:graphicData>
            </a:graphic>
          </wp:inline>
        </w:drawing>
      </w:r>
    </w:p>
    <w:p w14:paraId="3F9992E9" w14:textId="77777777" w:rsidR="00F84270" w:rsidRDefault="00F84270" w:rsidP="00676C25">
      <w:pPr>
        <w:rPr>
          <w:szCs w:val="20"/>
        </w:rPr>
      </w:pPr>
    </w:p>
    <w:p w14:paraId="5228FE7A" w14:textId="7850D3D9" w:rsidR="00676C25" w:rsidRDefault="00A54FC0" w:rsidP="00676C25">
      <w:pPr>
        <w:rPr>
          <w:szCs w:val="20"/>
        </w:rPr>
      </w:pPr>
      <w:r w:rsidRPr="005B42F0">
        <w:rPr>
          <w:noProof/>
          <w:szCs w:val="20"/>
        </w:rPr>
        <w:lastRenderedPageBreak/>
        <w:drawing>
          <wp:inline distT="0" distB="0" distL="0" distR="0" wp14:anchorId="61702747" wp14:editId="0EA8AF11">
            <wp:extent cx="8153400" cy="4343400"/>
            <wp:effectExtent l="0" t="0" r="0" b="0"/>
            <wp:docPr id="892276839"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8153400" cy="4343400"/>
                    </a:xfrm>
                    <a:prstGeom prst="rect">
                      <a:avLst/>
                    </a:prstGeom>
                    <a:noFill/>
                    <a:ln>
                      <a:noFill/>
                    </a:ln>
                  </pic:spPr>
                </pic:pic>
              </a:graphicData>
            </a:graphic>
          </wp:inline>
        </w:drawing>
      </w:r>
    </w:p>
    <w:p w14:paraId="4FDC2045" w14:textId="77777777" w:rsidR="00A54FC0" w:rsidRDefault="00A54FC0" w:rsidP="00676C25">
      <w:pPr>
        <w:rPr>
          <w:szCs w:val="20"/>
        </w:rPr>
      </w:pPr>
    </w:p>
    <w:p w14:paraId="2FDC5EFA" w14:textId="77777777" w:rsidR="00676C25" w:rsidRDefault="00676C25" w:rsidP="00676C25">
      <w:pPr>
        <w:rPr>
          <w:szCs w:val="20"/>
        </w:rPr>
      </w:pPr>
    </w:p>
    <w:p w14:paraId="1B85D19A" w14:textId="761FB7DD" w:rsidR="00676C25" w:rsidRPr="002E748B" w:rsidRDefault="00676C25" w:rsidP="00676C25">
      <w:pPr>
        <w:jc w:val="left"/>
        <w:rPr>
          <w:color w:val="FF0000"/>
        </w:rPr>
        <w:sectPr w:rsidR="00676C25" w:rsidRPr="002E748B" w:rsidSect="007161BA">
          <w:type w:val="continuous"/>
          <w:pgSz w:w="16838" w:h="11906" w:orient="landscape"/>
          <w:pgMar w:top="1418" w:right="1388" w:bottom="1134" w:left="899" w:header="426" w:footer="709" w:gutter="0"/>
          <w:cols w:space="708"/>
          <w:docGrid w:linePitch="360"/>
        </w:sectPr>
      </w:pPr>
      <w:r>
        <w:rPr>
          <w:szCs w:val="20"/>
        </w:rPr>
        <w:br w:type="page"/>
      </w:r>
      <w:r w:rsidR="00A54FC0" w:rsidRPr="005B42F0">
        <w:rPr>
          <w:noProof/>
          <w:szCs w:val="20"/>
        </w:rPr>
        <w:lastRenderedPageBreak/>
        <w:drawing>
          <wp:inline distT="0" distB="0" distL="0" distR="0" wp14:anchorId="54DF8C2C" wp14:editId="78447A96">
            <wp:extent cx="8153400" cy="4919345"/>
            <wp:effectExtent l="0" t="0" r="0" b="8255"/>
            <wp:docPr id="892276840"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8153400" cy="4919345"/>
                    </a:xfrm>
                    <a:prstGeom prst="rect">
                      <a:avLst/>
                    </a:prstGeom>
                    <a:noFill/>
                    <a:ln>
                      <a:noFill/>
                    </a:ln>
                  </pic:spPr>
                </pic:pic>
              </a:graphicData>
            </a:graphic>
          </wp:inline>
        </w:drawing>
      </w:r>
    </w:p>
    <w:p w14:paraId="77C6BC83" w14:textId="15CFF15B" w:rsidR="00676C25" w:rsidRPr="006E6815" w:rsidRDefault="00676C25" w:rsidP="00676C25">
      <w:pPr>
        <w:pStyle w:val="Titre4"/>
        <w:rPr>
          <w:szCs w:val="20"/>
        </w:rPr>
      </w:pPr>
      <w:r>
        <w:lastRenderedPageBreak/>
        <w:t>5.5.1.4  Noms de domaine</w:t>
      </w:r>
      <w:r w:rsidRPr="009C781E">
        <w:t xml:space="preserve"> </w:t>
      </w:r>
      <w:r w:rsidRPr="009C781E">
        <w:tab/>
      </w:r>
    </w:p>
    <w:p w14:paraId="1E3AD6F1" w14:textId="77777777" w:rsidR="00676C25" w:rsidRDefault="00676C25" w:rsidP="00676C25">
      <w:pPr>
        <w:rPr>
          <w:szCs w:val="20"/>
        </w:rPr>
      </w:pPr>
    </w:p>
    <w:p w14:paraId="52549E03" w14:textId="77777777" w:rsidR="00676C25" w:rsidRPr="000672F7" w:rsidRDefault="00676C25" w:rsidP="00676C25">
      <w:r w:rsidRPr="000672F7">
        <w:t>Les noms de domaines déposés par la Société sont :</w:t>
      </w:r>
    </w:p>
    <w:p w14:paraId="133EB75A" w14:textId="77777777" w:rsidR="00676C25" w:rsidRPr="000672F7" w:rsidRDefault="00676C25" w:rsidP="00676C25">
      <w:pPr>
        <w:jc w:val="left"/>
        <w:rPr>
          <w:rFonts w:eastAsiaTheme="majorEastAsia" w:cstheme="majorBidi"/>
          <w:b/>
          <w:bCs/>
          <w:szCs w:val="20"/>
        </w:rPr>
      </w:pPr>
    </w:p>
    <w:tbl>
      <w:tblPr>
        <w:tblW w:w="6400" w:type="dxa"/>
        <w:tblInd w:w="55" w:type="dxa"/>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tblCellMar>
          <w:left w:w="70" w:type="dxa"/>
          <w:right w:w="70" w:type="dxa"/>
        </w:tblCellMar>
        <w:tblLook w:val="04A0" w:firstRow="1" w:lastRow="0" w:firstColumn="1" w:lastColumn="0" w:noHBand="0" w:noVBand="1"/>
      </w:tblPr>
      <w:tblGrid>
        <w:gridCol w:w="2140"/>
        <w:gridCol w:w="2140"/>
        <w:gridCol w:w="2120"/>
      </w:tblGrid>
      <w:tr w:rsidR="00676C25" w:rsidRPr="000672F7" w14:paraId="3C53C7C6" w14:textId="77777777" w:rsidTr="00676C25">
        <w:trPr>
          <w:trHeight w:val="488"/>
        </w:trPr>
        <w:tc>
          <w:tcPr>
            <w:tcW w:w="2140" w:type="dxa"/>
            <w:shd w:val="clear" w:color="000000" w:fill="DCE6F1"/>
            <w:vAlign w:val="center"/>
            <w:hideMark/>
          </w:tcPr>
          <w:p w14:paraId="680CBE80" w14:textId="77777777" w:rsidR="00676C25" w:rsidRPr="000672F7" w:rsidRDefault="00676C25" w:rsidP="00676C25">
            <w:pPr>
              <w:jc w:val="center"/>
              <w:rPr>
                <w:rFonts w:ascii="Calibri" w:eastAsia="Times New Roman" w:hAnsi="Calibri" w:cs="Times New Roman"/>
                <w:szCs w:val="20"/>
              </w:rPr>
            </w:pPr>
            <w:r w:rsidRPr="000672F7">
              <w:rPr>
                <w:rFonts w:ascii="Calibri" w:eastAsia="Times New Roman" w:hAnsi="Calibri" w:cs="Times New Roman"/>
                <w:szCs w:val="20"/>
              </w:rPr>
              <w:t>spineway.com</w:t>
            </w:r>
          </w:p>
        </w:tc>
        <w:tc>
          <w:tcPr>
            <w:tcW w:w="2140" w:type="dxa"/>
            <w:shd w:val="clear" w:color="000000" w:fill="DCE6F1"/>
            <w:vAlign w:val="center"/>
            <w:hideMark/>
          </w:tcPr>
          <w:p w14:paraId="4BF5274A" w14:textId="77777777" w:rsidR="00676C25" w:rsidRPr="000672F7" w:rsidRDefault="00676C25" w:rsidP="00676C25">
            <w:pPr>
              <w:jc w:val="center"/>
              <w:rPr>
                <w:rFonts w:ascii="Calibri" w:eastAsia="Times New Roman" w:hAnsi="Calibri" w:cs="Times New Roman"/>
                <w:szCs w:val="20"/>
              </w:rPr>
            </w:pPr>
            <w:r w:rsidRPr="000672F7">
              <w:rPr>
                <w:rFonts w:ascii="Calibri" w:eastAsia="Times New Roman" w:hAnsi="Calibri" w:cs="Times New Roman"/>
                <w:szCs w:val="20"/>
              </w:rPr>
              <w:t>spineway.eu</w:t>
            </w:r>
          </w:p>
        </w:tc>
        <w:tc>
          <w:tcPr>
            <w:tcW w:w="2120" w:type="dxa"/>
            <w:shd w:val="clear" w:color="000000" w:fill="DCE6F1"/>
            <w:vAlign w:val="center"/>
            <w:hideMark/>
          </w:tcPr>
          <w:p w14:paraId="16F12637" w14:textId="77777777" w:rsidR="00676C25" w:rsidRPr="000672F7" w:rsidRDefault="00676C25" w:rsidP="00676C25">
            <w:pPr>
              <w:jc w:val="center"/>
              <w:rPr>
                <w:rFonts w:ascii="Calibri" w:eastAsia="Times New Roman" w:hAnsi="Calibri" w:cs="Times New Roman"/>
                <w:szCs w:val="20"/>
              </w:rPr>
            </w:pPr>
            <w:r w:rsidRPr="000672F7">
              <w:rPr>
                <w:rFonts w:ascii="Calibri" w:eastAsia="Times New Roman" w:hAnsi="Calibri" w:cs="Times New Roman"/>
                <w:szCs w:val="20"/>
              </w:rPr>
              <w:t>spineway.fr</w:t>
            </w:r>
          </w:p>
        </w:tc>
      </w:tr>
      <w:tr w:rsidR="00676C25" w:rsidRPr="000672F7" w14:paraId="13991241" w14:textId="77777777" w:rsidTr="00676C25">
        <w:trPr>
          <w:trHeight w:val="488"/>
        </w:trPr>
        <w:tc>
          <w:tcPr>
            <w:tcW w:w="2140" w:type="dxa"/>
            <w:shd w:val="clear" w:color="000000" w:fill="DCE6F1"/>
            <w:vAlign w:val="center"/>
            <w:hideMark/>
          </w:tcPr>
          <w:p w14:paraId="7523CED1" w14:textId="77777777" w:rsidR="00676C25" w:rsidRPr="000672F7" w:rsidRDefault="00676C25" w:rsidP="00676C25">
            <w:pPr>
              <w:jc w:val="center"/>
              <w:rPr>
                <w:rFonts w:ascii="Calibri" w:eastAsia="Times New Roman" w:hAnsi="Calibri" w:cs="Times New Roman"/>
                <w:szCs w:val="20"/>
              </w:rPr>
            </w:pPr>
            <w:r w:rsidRPr="000672F7">
              <w:rPr>
                <w:rFonts w:ascii="Calibri" w:eastAsia="Times New Roman" w:hAnsi="Calibri" w:cs="Times New Roman"/>
                <w:szCs w:val="20"/>
              </w:rPr>
              <w:t>spineway.support</w:t>
            </w:r>
          </w:p>
        </w:tc>
        <w:tc>
          <w:tcPr>
            <w:tcW w:w="2140" w:type="dxa"/>
            <w:shd w:val="clear" w:color="000000" w:fill="DCE6F1"/>
            <w:vAlign w:val="center"/>
            <w:hideMark/>
          </w:tcPr>
          <w:p w14:paraId="79C22A99" w14:textId="77777777" w:rsidR="00676C25" w:rsidRPr="000672F7" w:rsidRDefault="00676C25" w:rsidP="00676C25">
            <w:pPr>
              <w:jc w:val="center"/>
              <w:rPr>
                <w:rFonts w:ascii="Calibri" w:eastAsia="Times New Roman" w:hAnsi="Calibri" w:cs="Times New Roman"/>
                <w:szCs w:val="20"/>
              </w:rPr>
            </w:pPr>
            <w:r w:rsidRPr="000672F7">
              <w:rPr>
                <w:rFonts w:ascii="Calibri" w:eastAsia="Times New Roman" w:hAnsi="Calibri" w:cs="Times New Roman"/>
                <w:szCs w:val="20"/>
              </w:rPr>
              <w:t>spineway.website</w:t>
            </w:r>
          </w:p>
        </w:tc>
        <w:tc>
          <w:tcPr>
            <w:tcW w:w="2120" w:type="dxa"/>
            <w:shd w:val="clear" w:color="000000" w:fill="DCE6F1"/>
            <w:vAlign w:val="center"/>
            <w:hideMark/>
          </w:tcPr>
          <w:p w14:paraId="28E92765" w14:textId="77777777" w:rsidR="00676C25" w:rsidRPr="000672F7" w:rsidRDefault="00676C25" w:rsidP="00676C25">
            <w:pPr>
              <w:jc w:val="center"/>
              <w:rPr>
                <w:rFonts w:ascii="Calibri" w:eastAsia="Times New Roman" w:hAnsi="Calibri" w:cs="Times New Roman"/>
                <w:szCs w:val="20"/>
              </w:rPr>
            </w:pPr>
            <w:r w:rsidRPr="009107CD">
              <w:rPr>
                <w:rFonts w:ascii="Calibri" w:eastAsia="Times New Roman" w:hAnsi="Calibri" w:cs="Times New Roman"/>
                <w:szCs w:val="20"/>
              </w:rPr>
              <w:t>Spink.surgery</w:t>
            </w:r>
          </w:p>
        </w:tc>
      </w:tr>
      <w:tr w:rsidR="00676C25" w:rsidRPr="000672F7" w14:paraId="59D93FCE" w14:textId="77777777" w:rsidTr="00676C25">
        <w:trPr>
          <w:trHeight w:val="488"/>
        </w:trPr>
        <w:tc>
          <w:tcPr>
            <w:tcW w:w="2140" w:type="dxa"/>
            <w:shd w:val="clear" w:color="000000" w:fill="DCE6F1"/>
            <w:vAlign w:val="center"/>
            <w:hideMark/>
          </w:tcPr>
          <w:p w14:paraId="725E02CE" w14:textId="77777777" w:rsidR="00676C25" w:rsidRPr="000672F7" w:rsidRDefault="00676C25" w:rsidP="00676C25">
            <w:pPr>
              <w:jc w:val="center"/>
              <w:rPr>
                <w:rFonts w:ascii="Calibri" w:eastAsia="Times New Roman" w:hAnsi="Calibri" w:cs="Times New Roman"/>
                <w:szCs w:val="20"/>
              </w:rPr>
            </w:pPr>
            <w:r w:rsidRPr="000672F7">
              <w:rPr>
                <w:rFonts w:ascii="Calibri" w:eastAsia="Times New Roman" w:hAnsi="Calibri" w:cs="Times New Roman"/>
                <w:szCs w:val="20"/>
              </w:rPr>
              <w:t>spink.fr</w:t>
            </w:r>
          </w:p>
        </w:tc>
        <w:tc>
          <w:tcPr>
            <w:tcW w:w="2140" w:type="dxa"/>
            <w:shd w:val="clear" w:color="000000" w:fill="DCE6F1"/>
            <w:vAlign w:val="center"/>
            <w:hideMark/>
          </w:tcPr>
          <w:p w14:paraId="1B9E85B6" w14:textId="77777777" w:rsidR="00676C25" w:rsidRPr="000672F7" w:rsidRDefault="005B42F0" w:rsidP="00676C25">
            <w:pPr>
              <w:jc w:val="center"/>
              <w:rPr>
                <w:rFonts w:ascii="Calibri" w:eastAsia="Times New Roman" w:hAnsi="Calibri" w:cs="Times New Roman"/>
                <w:szCs w:val="20"/>
              </w:rPr>
            </w:pPr>
            <w:hyperlink r:id="rId76" w:history="1">
              <w:r w:rsidR="00676C25" w:rsidRPr="009107CD">
                <w:rPr>
                  <w:rFonts w:ascii="Calibri" w:eastAsia="Times New Roman" w:hAnsi="Calibri" w:cs="Times New Roman"/>
                  <w:szCs w:val="20"/>
                </w:rPr>
                <w:t>Spineway-spain.es</w:t>
              </w:r>
            </w:hyperlink>
          </w:p>
        </w:tc>
        <w:tc>
          <w:tcPr>
            <w:tcW w:w="2120" w:type="dxa"/>
            <w:shd w:val="clear" w:color="000000" w:fill="DCE6F1"/>
            <w:vAlign w:val="center"/>
            <w:hideMark/>
          </w:tcPr>
          <w:p w14:paraId="2B7C47BF" w14:textId="77777777" w:rsidR="00676C25" w:rsidRPr="000672F7" w:rsidRDefault="005B42F0" w:rsidP="00676C25">
            <w:pPr>
              <w:jc w:val="center"/>
              <w:rPr>
                <w:rFonts w:ascii="Calibri" w:eastAsia="Times New Roman" w:hAnsi="Calibri" w:cs="Times New Roman"/>
                <w:szCs w:val="20"/>
              </w:rPr>
            </w:pPr>
            <w:hyperlink r:id="rId77" w:history="1">
              <w:r w:rsidR="00676C25" w:rsidRPr="009107CD">
                <w:rPr>
                  <w:rFonts w:ascii="Calibri" w:eastAsia="Times New Roman" w:hAnsi="Calibri" w:cs="Times New Roman"/>
                  <w:szCs w:val="20"/>
                </w:rPr>
                <w:t>Spinewayusa.com</w:t>
              </w:r>
            </w:hyperlink>
          </w:p>
        </w:tc>
      </w:tr>
      <w:tr w:rsidR="00676C25" w:rsidRPr="000672F7" w14:paraId="725C7504" w14:textId="77777777" w:rsidTr="00676C25">
        <w:trPr>
          <w:trHeight w:val="488"/>
        </w:trPr>
        <w:tc>
          <w:tcPr>
            <w:tcW w:w="2140" w:type="dxa"/>
            <w:shd w:val="clear" w:color="000000" w:fill="DCE6F1"/>
            <w:vAlign w:val="center"/>
          </w:tcPr>
          <w:p w14:paraId="7E719E5E" w14:textId="77777777" w:rsidR="00676C25" w:rsidRPr="000672F7" w:rsidRDefault="005B42F0" w:rsidP="00676C25">
            <w:pPr>
              <w:jc w:val="center"/>
              <w:rPr>
                <w:rFonts w:ascii="Calibri" w:eastAsia="Times New Roman" w:hAnsi="Calibri" w:cs="Times New Roman"/>
                <w:szCs w:val="20"/>
              </w:rPr>
            </w:pPr>
            <w:hyperlink r:id="rId78" w:history="1">
              <w:r w:rsidR="00676C25" w:rsidRPr="009107CD">
                <w:rPr>
                  <w:rFonts w:ascii="Calibri" w:eastAsia="Times New Roman" w:hAnsi="Calibri" w:cs="Times New Roman"/>
                  <w:szCs w:val="20"/>
                </w:rPr>
                <w:t>Spw-iberica.com</w:t>
              </w:r>
            </w:hyperlink>
          </w:p>
        </w:tc>
        <w:tc>
          <w:tcPr>
            <w:tcW w:w="2140" w:type="dxa"/>
            <w:shd w:val="clear" w:color="000000" w:fill="DCE6F1"/>
            <w:vAlign w:val="center"/>
          </w:tcPr>
          <w:p w14:paraId="67D588DD" w14:textId="77777777" w:rsidR="00676C25" w:rsidRPr="009107CD" w:rsidRDefault="005B42F0" w:rsidP="00676C25">
            <w:pPr>
              <w:jc w:val="center"/>
              <w:rPr>
                <w:rFonts w:ascii="Calibri" w:eastAsia="Times New Roman" w:hAnsi="Calibri" w:cs="Times New Roman"/>
                <w:szCs w:val="20"/>
              </w:rPr>
            </w:pPr>
            <w:hyperlink r:id="rId79" w:history="1">
              <w:r w:rsidR="00676C25" w:rsidRPr="009107CD">
                <w:rPr>
                  <w:rFonts w:ascii="Calibri" w:eastAsia="Times New Roman" w:hAnsi="Calibri" w:cs="Times New Roman"/>
                  <w:szCs w:val="20"/>
                </w:rPr>
                <w:t>Spw-iberica.es</w:t>
              </w:r>
            </w:hyperlink>
          </w:p>
        </w:tc>
        <w:tc>
          <w:tcPr>
            <w:tcW w:w="2120" w:type="dxa"/>
            <w:shd w:val="clear" w:color="000000" w:fill="DCE6F1"/>
            <w:vAlign w:val="center"/>
          </w:tcPr>
          <w:p w14:paraId="05F064EC" w14:textId="77777777" w:rsidR="00676C25" w:rsidRPr="009107CD" w:rsidRDefault="005B42F0" w:rsidP="00676C25">
            <w:pPr>
              <w:jc w:val="center"/>
              <w:rPr>
                <w:rFonts w:ascii="Calibri" w:eastAsia="Times New Roman" w:hAnsi="Calibri" w:cs="Times New Roman"/>
                <w:szCs w:val="20"/>
              </w:rPr>
            </w:pPr>
            <w:hyperlink r:id="rId80" w:history="1">
              <w:r w:rsidR="00676C25" w:rsidRPr="009107CD">
                <w:rPr>
                  <w:rFonts w:ascii="Calibri" w:eastAsia="Times New Roman" w:hAnsi="Calibri" w:cs="Times New Roman"/>
                  <w:szCs w:val="20"/>
                </w:rPr>
                <w:t>Spw-iberica.eu</w:t>
              </w:r>
            </w:hyperlink>
          </w:p>
        </w:tc>
      </w:tr>
    </w:tbl>
    <w:p w14:paraId="4FADD56D" w14:textId="1268375F" w:rsidR="0044188B" w:rsidRPr="00676C25" w:rsidRDefault="0044188B" w:rsidP="0044188B">
      <w:pPr>
        <w:pStyle w:val="Titre3"/>
      </w:pPr>
    </w:p>
    <w:p w14:paraId="656AF059" w14:textId="649852E7" w:rsidR="00676C25" w:rsidRPr="00676C25" w:rsidRDefault="00676C25" w:rsidP="00676C25">
      <w:pPr>
        <w:pStyle w:val="Titre3"/>
      </w:pPr>
      <w:bookmarkStart w:id="141" w:name="_Toc475033194"/>
      <w:r w:rsidRPr="00676C25">
        <w:t>5.5.</w:t>
      </w:r>
      <w:r w:rsidR="0044188B">
        <w:t>2</w:t>
      </w:r>
      <w:r w:rsidRPr="00676C25">
        <w:t xml:space="preserve">. </w:t>
      </w:r>
      <w:r>
        <w:t>Dépendance de Spineway aux contraintes règlementaires</w:t>
      </w:r>
      <w:bookmarkEnd w:id="141"/>
      <w:r>
        <w:t xml:space="preserve"> </w:t>
      </w:r>
    </w:p>
    <w:p w14:paraId="12B53F2A" w14:textId="4C6C2947" w:rsidR="00676C25" w:rsidRDefault="00676C25" w:rsidP="00676C25">
      <w:pPr>
        <w:rPr>
          <w:color w:val="FF0000"/>
        </w:rPr>
      </w:pPr>
    </w:p>
    <w:p w14:paraId="7388248D" w14:textId="7D7C9D10" w:rsidR="00613F6D" w:rsidRDefault="00676C25" w:rsidP="00120CBA">
      <w:r w:rsidRPr="00676C25">
        <w:t>Cf. paragraphe</w:t>
      </w:r>
      <w:r w:rsidR="0044188B">
        <w:t xml:space="preserve"> </w:t>
      </w:r>
      <w:r w:rsidRPr="00676C25">
        <w:t>« </w:t>
      </w:r>
      <w:r w:rsidR="0044188B">
        <w:fldChar w:fldCharType="begin"/>
      </w:r>
      <w:r w:rsidR="0044188B">
        <w:instrText xml:space="preserve"> REF _Ref474062560 \h </w:instrText>
      </w:r>
      <w:r w:rsidR="0044188B">
        <w:fldChar w:fldCharType="separate"/>
      </w:r>
      <w:r w:rsidR="003A0AD1" w:rsidRPr="00D00AC7">
        <w:rPr>
          <w:caps/>
        </w:rPr>
        <w:t>9. Environnement règlementaire</w:t>
      </w:r>
      <w:r w:rsidR="0044188B">
        <w:fldChar w:fldCharType="end"/>
      </w:r>
      <w:r w:rsidR="0044188B">
        <w:t> » du Document d’enregistrement universel.</w:t>
      </w:r>
    </w:p>
    <w:p w14:paraId="30A25C0F" w14:textId="77777777" w:rsidR="0044188B" w:rsidRPr="00676C25" w:rsidRDefault="0044188B" w:rsidP="00120CBA"/>
    <w:p w14:paraId="62496AB7" w14:textId="29ED3F66" w:rsidR="0044188B" w:rsidRDefault="0044188B" w:rsidP="0044188B">
      <w:pPr>
        <w:pStyle w:val="Titre3"/>
      </w:pPr>
      <w:bookmarkStart w:id="142" w:name="_Toc475033195"/>
      <w:r w:rsidRPr="00676C25">
        <w:t>5.5.</w:t>
      </w:r>
      <w:r>
        <w:t>3</w:t>
      </w:r>
      <w:r w:rsidRPr="00676C25">
        <w:t xml:space="preserve">. </w:t>
      </w:r>
      <w:r>
        <w:t xml:space="preserve">Dépendance de Spineway </w:t>
      </w:r>
      <w:r w:rsidR="009E2307">
        <w:t>liée</w:t>
      </w:r>
      <w:r>
        <w:t xml:space="preserve"> </w:t>
      </w:r>
      <w:r w:rsidR="009E2307">
        <w:t xml:space="preserve">à </w:t>
      </w:r>
      <w:r>
        <w:t>des contrats commerciaux</w:t>
      </w:r>
      <w:bookmarkEnd w:id="142"/>
      <w:r>
        <w:t xml:space="preserve"> </w:t>
      </w:r>
    </w:p>
    <w:p w14:paraId="358FEC70" w14:textId="77777777" w:rsidR="0044188B" w:rsidRDefault="0044188B" w:rsidP="0044188B"/>
    <w:p w14:paraId="42B15670" w14:textId="7762323A" w:rsidR="0044188B" w:rsidRDefault="0044188B" w:rsidP="0044188B">
      <w:r>
        <w:t>Cf. paragraphes « </w:t>
      </w:r>
      <w:r>
        <w:fldChar w:fldCharType="begin"/>
      </w:r>
      <w:r>
        <w:instrText xml:space="preserve"> REF _Ref372883319 \h </w:instrText>
      </w:r>
      <w:r>
        <w:fldChar w:fldCharType="separate"/>
      </w:r>
      <w:r w:rsidR="003A0AD1">
        <w:t xml:space="preserve">5.1.3.4. </w:t>
      </w:r>
      <w:r w:rsidR="003A0AD1" w:rsidRPr="00AD71B5">
        <w:t xml:space="preserve">La </w:t>
      </w:r>
      <w:r w:rsidR="003A0AD1">
        <w:t>distribution</w:t>
      </w:r>
      <w:r w:rsidR="003A0AD1" w:rsidRPr="00AD71B5">
        <w:t xml:space="preserve"> des produits</w:t>
      </w:r>
      <w:r>
        <w:fldChar w:fldCharType="end"/>
      </w:r>
      <w:r>
        <w:t> » et « </w:t>
      </w:r>
      <w:r>
        <w:fldChar w:fldCharType="begin"/>
      </w:r>
      <w:r>
        <w:instrText xml:space="preserve"> REF _Ref474062234 \h </w:instrText>
      </w:r>
      <w:r>
        <w:fldChar w:fldCharType="separate"/>
      </w:r>
      <w:r w:rsidR="003A0AD1">
        <w:t>3</w:t>
      </w:r>
      <w:r w:rsidR="003A0AD1" w:rsidRPr="00FD6EE8">
        <w:t>.</w:t>
      </w:r>
      <w:r w:rsidR="003A0AD1">
        <w:t xml:space="preserve">3.1. </w:t>
      </w:r>
      <w:r w:rsidR="003A0AD1" w:rsidRPr="00FD6EE8">
        <w:t xml:space="preserve">Risques de dépendance </w:t>
      </w:r>
      <w:r w:rsidR="003A0AD1">
        <w:t xml:space="preserve">clients </w:t>
      </w:r>
      <w:r w:rsidR="003A0AD1" w:rsidRPr="00FD6EE8">
        <w:t>de Spineway</w:t>
      </w:r>
      <w:r>
        <w:fldChar w:fldCharType="end"/>
      </w:r>
      <w:r>
        <w:t> » du Document d’enregistrement universel.</w:t>
      </w:r>
    </w:p>
    <w:p w14:paraId="28BC1EB2" w14:textId="77777777" w:rsidR="0044188B" w:rsidRDefault="0044188B" w:rsidP="0044188B"/>
    <w:p w14:paraId="4E359204" w14:textId="0DA5F8EF" w:rsidR="0044188B" w:rsidRDefault="0044188B" w:rsidP="0044188B">
      <w:pPr>
        <w:pStyle w:val="Titre3"/>
      </w:pPr>
      <w:bookmarkStart w:id="143" w:name="_Toc475033196"/>
      <w:r w:rsidRPr="00676C25">
        <w:t>5.5.</w:t>
      </w:r>
      <w:r>
        <w:t>4</w:t>
      </w:r>
      <w:r w:rsidRPr="00676C25">
        <w:t xml:space="preserve">. </w:t>
      </w:r>
      <w:r>
        <w:t xml:space="preserve">Dépendance de Spineway </w:t>
      </w:r>
      <w:r w:rsidR="009E2307">
        <w:t xml:space="preserve">liée </w:t>
      </w:r>
      <w:r>
        <w:t>à des contrats financiers</w:t>
      </w:r>
      <w:bookmarkEnd w:id="143"/>
    </w:p>
    <w:p w14:paraId="782F8C5A" w14:textId="77777777" w:rsidR="0044188B" w:rsidRDefault="0044188B" w:rsidP="0044188B"/>
    <w:p w14:paraId="53283DEC" w14:textId="40F08CCF" w:rsidR="0044188B" w:rsidRDefault="0044188B" w:rsidP="0044188B">
      <w:r>
        <w:t xml:space="preserve">Cf. paragraphe «  </w:t>
      </w:r>
      <w:r>
        <w:fldChar w:fldCharType="begin"/>
      </w:r>
      <w:r>
        <w:instrText xml:space="preserve"> REF _Ref369769549 \h </w:instrText>
      </w:r>
      <w:r>
        <w:fldChar w:fldCharType="separate"/>
      </w:r>
      <w:r w:rsidR="003A0AD1">
        <w:t>3</w:t>
      </w:r>
      <w:r w:rsidR="003A0AD1" w:rsidRPr="00B52D33">
        <w:t>.</w:t>
      </w:r>
      <w:r w:rsidR="003A0AD1">
        <w:t>1</w:t>
      </w:r>
      <w:r w:rsidR="003A0AD1" w:rsidRPr="00B52D33">
        <w:t>.</w:t>
      </w:r>
      <w:r w:rsidR="003A0AD1">
        <w:t>3</w:t>
      </w:r>
      <w:r w:rsidR="003A0AD1" w:rsidRPr="00B52D33">
        <w:t xml:space="preserve">. Risques </w:t>
      </w:r>
      <w:r w:rsidR="003A0AD1">
        <w:t>de liquidité</w:t>
      </w:r>
      <w:r>
        <w:fldChar w:fldCharType="end"/>
      </w:r>
      <w:r>
        <w:t> » du Document d’enregistrement universel.</w:t>
      </w:r>
    </w:p>
    <w:p w14:paraId="284DDD75" w14:textId="77777777" w:rsidR="0044188B" w:rsidRDefault="0044188B" w:rsidP="0044188B"/>
    <w:p w14:paraId="43CC3F51" w14:textId="77777777" w:rsidR="00676C25" w:rsidRDefault="00676C25" w:rsidP="00120CBA">
      <w:pPr>
        <w:rPr>
          <w:color w:val="FF0000"/>
        </w:rPr>
      </w:pPr>
    </w:p>
    <w:p w14:paraId="18693062" w14:textId="03E60B09" w:rsidR="00613F6D" w:rsidRPr="00A019AF" w:rsidRDefault="00613F6D" w:rsidP="00A019AF">
      <w:pPr>
        <w:pStyle w:val="Titre2"/>
      </w:pPr>
      <w:bookmarkStart w:id="144" w:name="_Toc475033197"/>
      <w:r w:rsidRPr="00A019AF">
        <w:t>5.6. Position concurrentielle de Spineway</w:t>
      </w:r>
      <w:bookmarkEnd w:id="144"/>
    </w:p>
    <w:p w14:paraId="1671E7FC" w14:textId="77777777" w:rsidR="00613F6D" w:rsidRDefault="00613F6D" w:rsidP="00613F6D">
      <w:pPr>
        <w:rPr>
          <w:szCs w:val="20"/>
        </w:rPr>
      </w:pPr>
    </w:p>
    <w:p w14:paraId="2ADD73DB" w14:textId="77777777" w:rsidR="00613F6D" w:rsidRDefault="00613F6D" w:rsidP="00613F6D">
      <w:pPr>
        <w:rPr>
          <w:szCs w:val="20"/>
        </w:rPr>
      </w:pPr>
      <w:r>
        <w:rPr>
          <w:szCs w:val="20"/>
        </w:rPr>
        <w:t>Les</w:t>
      </w:r>
      <w:r w:rsidRPr="00A529B7">
        <w:rPr>
          <w:szCs w:val="20"/>
        </w:rPr>
        <w:t xml:space="preserve"> atouts de </w:t>
      </w:r>
      <w:r>
        <w:rPr>
          <w:szCs w:val="20"/>
        </w:rPr>
        <w:t>S</w:t>
      </w:r>
      <w:r w:rsidRPr="00A529B7">
        <w:rPr>
          <w:szCs w:val="20"/>
        </w:rPr>
        <w:t>pineway sont</w:t>
      </w:r>
      <w:r>
        <w:rPr>
          <w:szCs w:val="20"/>
        </w:rPr>
        <w:t> :</w:t>
      </w:r>
    </w:p>
    <w:p w14:paraId="0CB27313" w14:textId="77777777" w:rsidR="00613F6D" w:rsidRDefault="00613F6D" w:rsidP="00613F6D">
      <w:pPr>
        <w:pStyle w:val="Paragraphedeliste"/>
        <w:numPr>
          <w:ilvl w:val="0"/>
          <w:numId w:val="40"/>
        </w:numPr>
        <w:rPr>
          <w:szCs w:val="20"/>
        </w:rPr>
      </w:pPr>
      <w:r w:rsidRPr="00636983">
        <w:rPr>
          <w:szCs w:val="20"/>
        </w:rPr>
        <w:t>une gamme très large de produits</w:t>
      </w:r>
      <w:r>
        <w:rPr>
          <w:szCs w:val="20"/>
        </w:rPr>
        <w:t> qui lui permet de</w:t>
      </w:r>
      <w:r w:rsidRPr="00FF1A75">
        <w:rPr>
          <w:szCs w:val="20"/>
        </w:rPr>
        <w:t xml:space="preserve"> rép</w:t>
      </w:r>
      <w:r>
        <w:rPr>
          <w:szCs w:val="20"/>
        </w:rPr>
        <w:t>ondre à des besoins très variés et de proposer une offre produit très complète aux distributeurs ;</w:t>
      </w:r>
    </w:p>
    <w:p w14:paraId="34F56390" w14:textId="77777777" w:rsidR="00613F6D" w:rsidRDefault="00613F6D" w:rsidP="00613F6D">
      <w:pPr>
        <w:pStyle w:val="Paragraphedeliste"/>
        <w:numPr>
          <w:ilvl w:val="0"/>
          <w:numId w:val="40"/>
        </w:numPr>
        <w:rPr>
          <w:szCs w:val="20"/>
        </w:rPr>
      </w:pPr>
      <w:r>
        <w:rPr>
          <w:szCs w:val="20"/>
        </w:rPr>
        <w:t>une présence à l’international ;</w:t>
      </w:r>
    </w:p>
    <w:p w14:paraId="44F965FA" w14:textId="77777777" w:rsidR="00613F6D" w:rsidRPr="00636983" w:rsidRDefault="00613F6D" w:rsidP="00613F6D">
      <w:pPr>
        <w:pStyle w:val="Paragraphedeliste"/>
        <w:numPr>
          <w:ilvl w:val="0"/>
          <w:numId w:val="40"/>
        </w:numPr>
        <w:rPr>
          <w:szCs w:val="20"/>
        </w:rPr>
      </w:pPr>
      <w:r>
        <w:rPr>
          <w:szCs w:val="20"/>
        </w:rPr>
        <w:t xml:space="preserve">son travail sur les gestes opératoires en collaboration étroite avec les chirurgiens ; </w:t>
      </w:r>
    </w:p>
    <w:p w14:paraId="2EC9F96B" w14:textId="77777777" w:rsidR="00613F6D" w:rsidRPr="00AD3C40" w:rsidRDefault="00613F6D" w:rsidP="00613F6D">
      <w:pPr>
        <w:pStyle w:val="Paragraphedeliste"/>
        <w:numPr>
          <w:ilvl w:val="0"/>
          <w:numId w:val="40"/>
        </w:numPr>
        <w:rPr>
          <w:iCs/>
          <w:szCs w:val="20"/>
        </w:rPr>
      </w:pPr>
      <w:r w:rsidRPr="00AD3C40">
        <w:rPr>
          <w:szCs w:val="20"/>
        </w:rPr>
        <w:t>son relationnel auprès de leaders d’opinion au plan international</w:t>
      </w:r>
      <w:r>
        <w:rPr>
          <w:szCs w:val="20"/>
        </w:rPr>
        <w:t> ;</w:t>
      </w:r>
    </w:p>
    <w:p w14:paraId="1572504C" w14:textId="6756B4F8" w:rsidR="00613F6D" w:rsidRPr="00AD3C40" w:rsidRDefault="00613F6D" w:rsidP="00613F6D">
      <w:pPr>
        <w:pStyle w:val="Paragraphedeliste"/>
        <w:numPr>
          <w:ilvl w:val="0"/>
          <w:numId w:val="40"/>
        </w:numPr>
        <w:rPr>
          <w:iCs/>
          <w:szCs w:val="20"/>
        </w:rPr>
      </w:pPr>
      <w:r w:rsidRPr="00AD3C40">
        <w:rPr>
          <w:iCs/>
          <w:szCs w:val="20"/>
        </w:rPr>
        <w:t xml:space="preserve">son offre tarifaire compétitive </w:t>
      </w:r>
      <w:r>
        <w:rPr>
          <w:iCs/>
          <w:szCs w:val="20"/>
        </w:rPr>
        <w:t>et bien</w:t>
      </w:r>
      <w:r w:rsidRPr="00AD3C40">
        <w:rPr>
          <w:iCs/>
          <w:szCs w:val="20"/>
        </w:rPr>
        <w:t xml:space="preserve"> adaptée aux conditions de marché</w:t>
      </w:r>
      <w:r w:rsidR="00A54FC0">
        <w:rPr>
          <w:iCs/>
          <w:szCs w:val="20"/>
        </w:rPr>
        <w:t>s</w:t>
      </w:r>
      <w:r w:rsidRPr="00AD3C40">
        <w:rPr>
          <w:iCs/>
          <w:szCs w:val="20"/>
        </w:rPr>
        <w:t xml:space="preserve"> concurrentiels</w:t>
      </w:r>
      <w:r>
        <w:rPr>
          <w:iCs/>
          <w:szCs w:val="20"/>
        </w:rPr>
        <w:t xml:space="preserve"> (</w:t>
      </w:r>
      <w:r w:rsidRPr="00AD3C40">
        <w:rPr>
          <w:iCs/>
          <w:szCs w:val="20"/>
        </w:rPr>
        <w:t>avec une valeur perçue dotée d’une forte i</w:t>
      </w:r>
      <w:r>
        <w:rPr>
          <w:iCs/>
          <w:szCs w:val="20"/>
        </w:rPr>
        <w:t xml:space="preserve">mage qualitative made in France) </w:t>
      </w:r>
      <w:r w:rsidRPr="00AD3C40">
        <w:rPr>
          <w:szCs w:val="20"/>
        </w:rPr>
        <w:t xml:space="preserve">; et </w:t>
      </w:r>
    </w:p>
    <w:p w14:paraId="5D7F1F97" w14:textId="77777777" w:rsidR="00613F6D" w:rsidRPr="00FF1A75" w:rsidRDefault="00613F6D" w:rsidP="00613F6D">
      <w:pPr>
        <w:pStyle w:val="Paragraphedeliste"/>
        <w:numPr>
          <w:ilvl w:val="0"/>
          <w:numId w:val="40"/>
        </w:numPr>
        <w:rPr>
          <w:szCs w:val="20"/>
        </w:rPr>
      </w:pPr>
      <w:r>
        <w:rPr>
          <w:szCs w:val="20"/>
        </w:rPr>
        <w:t>son expertise interne en R&amp;D.</w:t>
      </w:r>
    </w:p>
    <w:p w14:paraId="70EBD598" w14:textId="77777777" w:rsidR="00613F6D" w:rsidRDefault="00613F6D" w:rsidP="00613F6D">
      <w:pPr>
        <w:rPr>
          <w:szCs w:val="20"/>
        </w:rPr>
      </w:pPr>
    </w:p>
    <w:p w14:paraId="330C1E87" w14:textId="04696AC9" w:rsidR="00540AEE" w:rsidRDefault="00613F6D" w:rsidP="00613F6D">
      <w:pPr>
        <w:rPr>
          <w:szCs w:val="20"/>
        </w:rPr>
      </w:pPr>
      <w:r w:rsidRPr="00A529B7">
        <w:rPr>
          <w:szCs w:val="20"/>
        </w:rPr>
        <w:t xml:space="preserve">Le développement de Spineway se distingue fortement de ses concurrents par </w:t>
      </w:r>
      <w:r>
        <w:rPr>
          <w:szCs w:val="20"/>
        </w:rPr>
        <w:t>la mise sur le marché rapide</w:t>
      </w:r>
      <w:r w:rsidR="00871921">
        <w:rPr>
          <w:szCs w:val="20"/>
        </w:rPr>
        <w:t xml:space="preserve"> </w:t>
      </w:r>
      <w:r w:rsidRPr="00A529B7">
        <w:rPr>
          <w:szCs w:val="20"/>
        </w:rPr>
        <w:t xml:space="preserve">de </w:t>
      </w:r>
      <w:r>
        <w:rPr>
          <w:szCs w:val="20"/>
        </w:rPr>
        <w:t xml:space="preserve">produits </w:t>
      </w:r>
      <w:r w:rsidRPr="00A529B7">
        <w:rPr>
          <w:szCs w:val="20"/>
        </w:rPr>
        <w:t xml:space="preserve">dont la commercialisation a pour objectif non seulement de développer l’activité mais également d’équilibrer les risques pays. </w:t>
      </w:r>
    </w:p>
    <w:p w14:paraId="226E1E15" w14:textId="5B324895" w:rsidR="00613F6D" w:rsidRDefault="00613F6D" w:rsidP="00613F6D">
      <w:pPr>
        <w:rPr>
          <w:szCs w:val="20"/>
        </w:rPr>
      </w:pPr>
      <w:r w:rsidRPr="00D038FB">
        <w:rPr>
          <w:color w:val="000000"/>
          <w:szCs w:val="20"/>
        </w:rPr>
        <w:t xml:space="preserve">Spineway </w:t>
      </w:r>
      <w:r w:rsidRPr="00FE66C0">
        <w:rPr>
          <w:color w:val="000000"/>
          <w:szCs w:val="18"/>
        </w:rPr>
        <w:t xml:space="preserve">met désormais l’accent sur un double positionnement </w:t>
      </w:r>
      <w:r w:rsidRPr="00FE66C0">
        <w:rPr>
          <w:i/>
          <w:color w:val="000000"/>
          <w:szCs w:val="18"/>
        </w:rPr>
        <w:t>Pr</w:t>
      </w:r>
      <w:r>
        <w:rPr>
          <w:i/>
          <w:color w:val="000000"/>
          <w:szCs w:val="18"/>
        </w:rPr>
        <w:t>e</w:t>
      </w:r>
      <w:r w:rsidRPr="00FE66C0">
        <w:rPr>
          <w:i/>
          <w:color w:val="000000"/>
          <w:szCs w:val="18"/>
        </w:rPr>
        <w:t>mium</w:t>
      </w:r>
      <w:r w:rsidRPr="00FE66C0">
        <w:rPr>
          <w:color w:val="000000"/>
          <w:szCs w:val="18"/>
        </w:rPr>
        <w:t xml:space="preserve"> </w:t>
      </w:r>
      <w:r w:rsidRPr="006B3490">
        <w:rPr>
          <w:color w:val="000000"/>
          <w:szCs w:val="18"/>
        </w:rPr>
        <w:t xml:space="preserve">de ses gammes de produits </w:t>
      </w:r>
      <w:r>
        <w:rPr>
          <w:color w:val="000000"/>
          <w:szCs w:val="18"/>
        </w:rPr>
        <w:t>pour</w:t>
      </w:r>
      <w:r w:rsidRPr="00FE66C0">
        <w:rPr>
          <w:color w:val="000000"/>
          <w:szCs w:val="18"/>
        </w:rPr>
        <w:t xml:space="preserve"> les marchés matures</w:t>
      </w:r>
      <w:r w:rsidR="00A54FC0">
        <w:rPr>
          <w:color w:val="000000"/>
          <w:szCs w:val="18"/>
        </w:rPr>
        <w:t xml:space="preserve">, </w:t>
      </w:r>
      <w:r w:rsidRPr="00FE66C0">
        <w:rPr>
          <w:color w:val="000000"/>
          <w:szCs w:val="18"/>
        </w:rPr>
        <w:t>les clients à haut potentiel et Gold</w:t>
      </w:r>
      <w:r w:rsidRPr="00FE66C0">
        <w:rPr>
          <w:i/>
          <w:color w:val="000000"/>
          <w:szCs w:val="18"/>
        </w:rPr>
        <w:t xml:space="preserve"> standard</w:t>
      </w:r>
      <w:r w:rsidRPr="00FE66C0">
        <w:rPr>
          <w:color w:val="000000"/>
          <w:szCs w:val="18"/>
        </w:rPr>
        <w:t xml:space="preserve"> sur les marchés pour lesquels le Premium peut rester inaccessible afin de se démarquer et répondre à une volonté de disposer de produits haut de gamme exprimée par nombreux pays/régions du globe (notamment : Japon, Etats Unis et Europe)</w:t>
      </w:r>
      <w:r>
        <w:rPr>
          <w:color w:val="000000"/>
          <w:szCs w:val="18"/>
        </w:rPr>
        <w:t xml:space="preserve">, </w:t>
      </w:r>
      <w:r w:rsidRPr="00FE66C0">
        <w:rPr>
          <w:color w:val="000000"/>
          <w:szCs w:val="18"/>
        </w:rPr>
        <w:t>tout en maintenant son ancrage sur des territoires à situation économique très varié</w:t>
      </w:r>
      <w:r>
        <w:rPr>
          <w:color w:val="000000"/>
          <w:szCs w:val="18"/>
        </w:rPr>
        <w:t xml:space="preserve">e. Spineway </w:t>
      </w:r>
      <w:r w:rsidRPr="00D038FB">
        <w:rPr>
          <w:color w:val="000000"/>
          <w:szCs w:val="20"/>
        </w:rPr>
        <w:t xml:space="preserve">anticipe </w:t>
      </w:r>
      <w:r>
        <w:rPr>
          <w:color w:val="000000"/>
          <w:szCs w:val="20"/>
        </w:rPr>
        <w:t>d’ailleurs une forte croissance de s</w:t>
      </w:r>
      <w:r w:rsidRPr="00D038FB">
        <w:rPr>
          <w:color w:val="000000"/>
          <w:szCs w:val="20"/>
        </w:rPr>
        <w:t xml:space="preserve">a commercialisation d'implants </w:t>
      </w:r>
      <w:r>
        <w:rPr>
          <w:i/>
          <w:color w:val="000000"/>
          <w:szCs w:val="20"/>
        </w:rPr>
        <w:t>Premium</w:t>
      </w:r>
      <w:r w:rsidRPr="00D038FB">
        <w:rPr>
          <w:color w:val="000000"/>
          <w:szCs w:val="20"/>
        </w:rPr>
        <w:t xml:space="preserve">, répondant à une problématique </w:t>
      </w:r>
      <w:r>
        <w:rPr>
          <w:color w:val="000000"/>
          <w:szCs w:val="20"/>
        </w:rPr>
        <w:t>qualitative</w:t>
      </w:r>
      <w:r w:rsidRPr="00D038FB">
        <w:rPr>
          <w:color w:val="000000"/>
          <w:szCs w:val="20"/>
        </w:rPr>
        <w:t>.</w:t>
      </w:r>
    </w:p>
    <w:p w14:paraId="7584DAD3" w14:textId="77777777" w:rsidR="00613F6D" w:rsidRPr="00CC74D5" w:rsidRDefault="00613F6D" w:rsidP="00613F6D"/>
    <w:p w14:paraId="5C20F135" w14:textId="77777777" w:rsidR="00A54FC0" w:rsidRDefault="00A54FC0" w:rsidP="00A54FC0">
      <w:r w:rsidRPr="00E82577">
        <w:t xml:space="preserve">Spineway </w:t>
      </w:r>
      <w:r w:rsidRPr="00E82577">
        <w:rPr>
          <w:szCs w:val="18"/>
        </w:rPr>
        <w:t xml:space="preserve">s‘appuie également sur </w:t>
      </w:r>
      <w:r w:rsidRPr="00E82577">
        <w:t xml:space="preserve">la création d’un partenariat renforcé avec les clients au travers </w:t>
      </w:r>
      <w:r>
        <w:t>d’</w:t>
      </w:r>
      <w:r w:rsidRPr="00E82577">
        <w:t>une meilleure</w:t>
      </w:r>
      <w:r w:rsidRPr="00430252">
        <w:t xml:space="preserve"> écoute et </w:t>
      </w:r>
      <w:r>
        <w:t>de la consolidation</w:t>
      </w:r>
      <w:r w:rsidRPr="00430252">
        <w:t xml:space="preserve"> de sa présence sur le terrain. Un reporting à destination des clients a été mis en place ainsi que nombreux projets digitaux (webinars, formations, présentation produits</w:t>
      </w:r>
      <w:r>
        <w:t>, etc.</w:t>
      </w:r>
      <w:r w:rsidRPr="00430252">
        <w:t xml:space="preserve">) afin de </w:t>
      </w:r>
      <w:r>
        <w:t>fortifier</w:t>
      </w:r>
      <w:r w:rsidRPr="00430252">
        <w:t xml:space="preserve"> ce lien et apporter un véritable accompagnement qui profite à toutes les parties</w:t>
      </w:r>
      <w:r>
        <w:t>.</w:t>
      </w:r>
    </w:p>
    <w:p w14:paraId="1A0F939F" w14:textId="77777777" w:rsidR="00613F6D" w:rsidRDefault="00613F6D" w:rsidP="00613F6D"/>
    <w:p w14:paraId="629EFA26" w14:textId="77777777" w:rsidR="00613F6D" w:rsidRPr="00322974" w:rsidRDefault="00613F6D" w:rsidP="00613F6D">
      <w:pPr>
        <w:rPr>
          <w:color w:val="FF0000"/>
        </w:rPr>
      </w:pPr>
      <w:r>
        <w:t xml:space="preserve">Enfin, Spineway </w:t>
      </w:r>
      <w:r w:rsidRPr="00430252">
        <w:t>a initié un plan d’actions visant à renforcer ses liens avec les chirurgiens référents prescripteurs sur ses marchés</w:t>
      </w:r>
      <w:r>
        <w:rPr>
          <w:color w:val="FF0000"/>
        </w:rPr>
        <w:t>.</w:t>
      </w:r>
    </w:p>
    <w:p w14:paraId="07EF7746" w14:textId="77777777" w:rsidR="00613F6D" w:rsidRPr="00322974" w:rsidRDefault="00613F6D" w:rsidP="00613F6D">
      <w:pPr>
        <w:ind w:left="360"/>
        <w:rPr>
          <w:color w:val="FF0000"/>
        </w:rPr>
      </w:pPr>
      <w:r w:rsidRPr="00E25ECA">
        <w:rPr>
          <w:color w:val="FF0000"/>
        </w:rPr>
        <w:t xml:space="preserve"> </w:t>
      </w:r>
    </w:p>
    <w:p w14:paraId="08BF6863" w14:textId="77777777" w:rsidR="00613F6D" w:rsidRDefault="00613F6D" w:rsidP="00613F6D">
      <w:pPr>
        <w:rPr>
          <w:szCs w:val="20"/>
        </w:rPr>
      </w:pPr>
      <w:r w:rsidRPr="00D038FB">
        <w:rPr>
          <w:szCs w:val="20"/>
        </w:rPr>
        <w:t xml:space="preserve">Grâce à son positionnement compétitif par rapport aux grands acteurs du marché (tant sur le prix que sur la qualité), la Société estime être idéalement armée pour s’inscrire durablement dans ce nouvel environnement de marché. </w:t>
      </w:r>
    </w:p>
    <w:p w14:paraId="48EF1E46" w14:textId="77777777" w:rsidR="00613F6D" w:rsidRDefault="00613F6D" w:rsidP="00120CBA">
      <w:pPr>
        <w:rPr>
          <w:color w:val="FF0000"/>
        </w:rPr>
      </w:pPr>
    </w:p>
    <w:p w14:paraId="13116BF0" w14:textId="559D193E" w:rsidR="00613F6D" w:rsidRPr="00A601E8" w:rsidRDefault="00613F6D" w:rsidP="00613F6D">
      <w:pPr>
        <w:pStyle w:val="Titre2"/>
      </w:pPr>
      <w:bookmarkStart w:id="145" w:name="_Toc330481928"/>
      <w:bookmarkStart w:id="146" w:name="_Ref470886276"/>
      <w:bookmarkStart w:id="147" w:name="_Ref368213798"/>
      <w:bookmarkStart w:id="148" w:name="_Toc475033198"/>
      <w:r>
        <w:t>5.7</w:t>
      </w:r>
      <w:r w:rsidRPr="00A601E8">
        <w:t>. I</w:t>
      </w:r>
      <w:bookmarkEnd w:id="145"/>
      <w:r>
        <w:t>nvestissements</w:t>
      </w:r>
      <w:bookmarkEnd w:id="148"/>
      <w:r>
        <w:t xml:space="preserve"> </w:t>
      </w:r>
    </w:p>
    <w:p w14:paraId="1E66920F" w14:textId="5894195D" w:rsidR="00613F6D" w:rsidRDefault="00613F6D" w:rsidP="00613F6D">
      <w:pPr>
        <w:pStyle w:val="Titre3"/>
      </w:pPr>
      <w:bookmarkStart w:id="149" w:name="_Toc330481929"/>
      <w:bookmarkStart w:id="150" w:name="_Toc475033199"/>
      <w:r>
        <w:t>5.7</w:t>
      </w:r>
      <w:r w:rsidRPr="00A601E8">
        <w:t>.1. Principaux investissements réalisés au cours des derniers exercices</w:t>
      </w:r>
      <w:bookmarkStart w:id="151" w:name="_Toc330481930"/>
      <w:bookmarkEnd w:id="149"/>
      <w:bookmarkEnd w:id="150"/>
    </w:p>
    <w:p w14:paraId="5FFE01F2" w14:textId="77777777" w:rsidR="00613F6D" w:rsidRDefault="00613F6D" w:rsidP="00613F6D">
      <w:pPr>
        <w:widowControl w:val="0"/>
        <w:autoSpaceDE w:val="0"/>
        <w:autoSpaceDN w:val="0"/>
        <w:adjustRightInd w:val="0"/>
        <w:rPr>
          <w:rFonts w:ascii="Times New Roman" w:hAnsi="Times New Roman" w:cs="Times New Roman"/>
          <w:b/>
          <w:bCs/>
          <w:sz w:val="22"/>
          <w:szCs w:val="22"/>
        </w:rPr>
      </w:pPr>
    </w:p>
    <w:tbl>
      <w:tblPr>
        <w:tblW w:w="7718" w:type="dxa"/>
        <w:tblInd w:w="55" w:type="dxa"/>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CellMar>
          <w:left w:w="70" w:type="dxa"/>
          <w:right w:w="70" w:type="dxa"/>
        </w:tblCellMar>
        <w:tblLook w:val="04A0" w:firstRow="1" w:lastRow="0" w:firstColumn="1" w:lastColumn="0" w:noHBand="0" w:noVBand="1"/>
      </w:tblPr>
      <w:tblGrid>
        <w:gridCol w:w="5118"/>
        <w:gridCol w:w="1300"/>
        <w:gridCol w:w="1300"/>
      </w:tblGrid>
      <w:tr w:rsidR="00613F6D" w:rsidRPr="00A3679E" w14:paraId="37AB84E9" w14:textId="77777777" w:rsidTr="005B42F0">
        <w:trPr>
          <w:trHeight w:val="320"/>
        </w:trPr>
        <w:tc>
          <w:tcPr>
            <w:tcW w:w="5118" w:type="dxa"/>
            <w:vMerge w:val="restart"/>
            <w:shd w:val="clear" w:color="auto" w:fill="365F91" w:themeFill="accent1" w:themeFillShade="BF"/>
            <w:vAlign w:val="center"/>
            <w:hideMark/>
          </w:tcPr>
          <w:p w14:paraId="2E9D791B" w14:textId="77777777" w:rsidR="00613F6D" w:rsidRPr="00A3679E" w:rsidRDefault="00613F6D" w:rsidP="00613F6D">
            <w:pPr>
              <w:jc w:val="center"/>
              <w:rPr>
                <w:rFonts w:ascii="Calibri" w:eastAsia="Times New Roman" w:hAnsi="Calibri" w:cs="Times New Roman"/>
                <w:b/>
                <w:bCs/>
                <w:color w:val="FFFFFF"/>
                <w:szCs w:val="20"/>
              </w:rPr>
            </w:pPr>
            <w:r w:rsidRPr="00A3679E">
              <w:rPr>
                <w:rFonts w:ascii="Calibri" w:eastAsia="Times New Roman" w:hAnsi="Calibri" w:cs="Times New Roman"/>
                <w:b/>
                <w:bCs/>
                <w:color w:val="FFFFFF"/>
                <w:szCs w:val="20"/>
              </w:rPr>
              <w:t>Principaux investissements réalisés en K€</w:t>
            </w:r>
          </w:p>
        </w:tc>
        <w:tc>
          <w:tcPr>
            <w:tcW w:w="1300" w:type="dxa"/>
            <w:shd w:val="clear" w:color="auto" w:fill="365F91" w:themeFill="accent1" w:themeFillShade="BF"/>
            <w:vAlign w:val="center"/>
            <w:hideMark/>
          </w:tcPr>
          <w:p w14:paraId="6A3BD2A1" w14:textId="77777777" w:rsidR="00613F6D" w:rsidRPr="00A3679E" w:rsidRDefault="00613F6D" w:rsidP="00613F6D">
            <w:pPr>
              <w:jc w:val="center"/>
              <w:rPr>
                <w:rFonts w:ascii="Calibri" w:eastAsia="Times New Roman" w:hAnsi="Calibri" w:cs="Times New Roman"/>
                <w:b/>
                <w:bCs/>
                <w:color w:val="FFFFFF"/>
                <w:szCs w:val="20"/>
              </w:rPr>
            </w:pPr>
            <w:r w:rsidRPr="00A3679E">
              <w:rPr>
                <w:rFonts w:ascii="Calibri" w:eastAsia="Times New Roman" w:hAnsi="Calibri" w:cs="Times New Roman"/>
                <w:b/>
                <w:bCs/>
                <w:color w:val="FFFFFF"/>
                <w:szCs w:val="20"/>
              </w:rPr>
              <w:t>31-déc-</w:t>
            </w:r>
            <w:r>
              <w:rPr>
                <w:rFonts w:ascii="Calibri" w:eastAsia="Times New Roman" w:hAnsi="Calibri" w:cs="Times New Roman"/>
                <w:b/>
                <w:bCs/>
                <w:color w:val="FFFFFF"/>
                <w:szCs w:val="20"/>
              </w:rPr>
              <w:t>20</w:t>
            </w:r>
          </w:p>
        </w:tc>
        <w:tc>
          <w:tcPr>
            <w:tcW w:w="1300" w:type="dxa"/>
            <w:shd w:val="clear" w:color="auto" w:fill="365F91" w:themeFill="accent1" w:themeFillShade="BF"/>
            <w:vAlign w:val="center"/>
            <w:hideMark/>
          </w:tcPr>
          <w:p w14:paraId="140C51D1" w14:textId="77777777" w:rsidR="00613F6D" w:rsidRPr="00A3679E" w:rsidRDefault="00613F6D" w:rsidP="00613F6D">
            <w:pPr>
              <w:jc w:val="center"/>
              <w:rPr>
                <w:rFonts w:ascii="Calibri" w:eastAsia="Times New Roman" w:hAnsi="Calibri" w:cs="Times New Roman"/>
                <w:b/>
                <w:bCs/>
                <w:color w:val="FFFFFF"/>
                <w:szCs w:val="20"/>
              </w:rPr>
            </w:pPr>
            <w:r w:rsidRPr="00A3679E">
              <w:rPr>
                <w:rFonts w:ascii="Calibri" w:eastAsia="Times New Roman" w:hAnsi="Calibri" w:cs="Times New Roman"/>
                <w:b/>
                <w:bCs/>
                <w:color w:val="FFFFFF"/>
                <w:szCs w:val="20"/>
              </w:rPr>
              <w:t>31-déc-</w:t>
            </w:r>
            <w:r>
              <w:rPr>
                <w:rFonts w:ascii="Calibri" w:eastAsia="Times New Roman" w:hAnsi="Calibri" w:cs="Times New Roman"/>
                <w:b/>
                <w:bCs/>
                <w:color w:val="FFFFFF"/>
                <w:szCs w:val="20"/>
              </w:rPr>
              <w:t>19</w:t>
            </w:r>
          </w:p>
        </w:tc>
      </w:tr>
      <w:tr w:rsidR="00613F6D" w:rsidRPr="00A3679E" w14:paraId="1BE3F1EF" w14:textId="77777777" w:rsidTr="005B42F0">
        <w:trPr>
          <w:trHeight w:val="300"/>
        </w:trPr>
        <w:tc>
          <w:tcPr>
            <w:tcW w:w="5118" w:type="dxa"/>
            <w:vMerge/>
            <w:vAlign w:val="center"/>
            <w:hideMark/>
          </w:tcPr>
          <w:p w14:paraId="4A16AB25" w14:textId="77777777" w:rsidR="00613F6D" w:rsidRPr="00A3679E" w:rsidRDefault="00613F6D" w:rsidP="00613F6D">
            <w:pPr>
              <w:rPr>
                <w:rFonts w:ascii="Calibri" w:eastAsia="Times New Roman" w:hAnsi="Calibri" w:cs="Times New Roman"/>
                <w:b/>
                <w:bCs/>
                <w:color w:val="FFFFFF"/>
                <w:szCs w:val="20"/>
              </w:rPr>
            </w:pPr>
          </w:p>
        </w:tc>
        <w:tc>
          <w:tcPr>
            <w:tcW w:w="1300" w:type="dxa"/>
            <w:shd w:val="clear" w:color="auto" w:fill="365F91" w:themeFill="accent1" w:themeFillShade="BF"/>
            <w:vAlign w:val="center"/>
            <w:hideMark/>
          </w:tcPr>
          <w:p w14:paraId="62B095BD" w14:textId="77777777" w:rsidR="00613F6D" w:rsidRPr="00A3679E" w:rsidRDefault="00613F6D" w:rsidP="00613F6D">
            <w:pPr>
              <w:jc w:val="center"/>
              <w:rPr>
                <w:rFonts w:ascii="Calibri" w:eastAsia="Times New Roman" w:hAnsi="Calibri" w:cs="Times New Roman"/>
                <w:b/>
                <w:bCs/>
                <w:color w:val="FFFFFF"/>
                <w:szCs w:val="20"/>
              </w:rPr>
            </w:pPr>
            <w:r w:rsidRPr="00A3679E">
              <w:rPr>
                <w:rFonts w:ascii="Calibri" w:eastAsia="Times New Roman" w:hAnsi="Calibri" w:cs="Times New Roman"/>
                <w:b/>
                <w:bCs/>
                <w:color w:val="FFFFFF"/>
                <w:szCs w:val="20"/>
              </w:rPr>
              <w:t>12 mois</w:t>
            </w:r>
          </w:p>
        </w:tc>
        <w:tc>
          <w:tcPr>
            <w:tcW w:w="1300" w:type="dxa"/>
            <w:shd w:val="clear" w:color="auto" w:fill="365F91" w:themeFill="accent1" w:themeFillShade="BF"/>
            <w:vAlign w:val="center"/>
            <w:hideMark/>
          </w:tcPr>
          <w:p w14:paraId="2B6D51B2" w14:textId="77777777" w:rsidR="00613F6D" w:rsidRPr="00A3679E" w:rsidRDefault="00613F6D" w:rsidP="00613F6D">
            <w:pPr>
              <w:jc w:val="center"/>
              <w:rPr>
                <w:rFonts w:ascii="Calibri" w:eastAsia="Times New Roman" w:hAnsi="Calibri" w:cs="Times New Roman"/>
                <w:b/>
                <w:bCs/>
                <w:color w:val="FFFFFF"/>
                <w:szCs w:val="20"/>
              </w:rPr>
            </w:pPr>
            <w:r w:rsidRPr="00A3679E">
              <w:rPr>
                <w:rFonts w:ascii="Calibri" w:eastAsia="Times New Roman" w:hAnsi="Calibri" w:cs="Times New Roman"/>
                <w:b/>
                <w:bCs/>
                <w:color w:val="FFFFFF"/>
                <w:szCs w:val="20"/>
              </w:rPr>
              <w:t>12 mois</w:t>
            </w:r>
          </w:p>
        </w:tc>
      </w:tr>
      <w:tr w:rsidR="00613F6D" w:rsidRPr="00A3679E" w14:paraId="59D55744" w14:textId="77777777" w:rsidTr="005B42F0">
        <w:trPr>
          <w:trHeight w:val="580"/>
        </w:trPr>
        <w:tc>
          <w:tcPr>
            <w:tcW w:w="5118" w:type="dxa"/>
            <w:vMerge/>
            <w:vAlign w:val="center"/>
            <w:hideMark/>
          </w:tcPr>
          <w:p w14:paraId="12C51041" w14:textId="77777777" w:rsidR="00613F6D" w:rsidRPr="00A3679E" w:rsidRDefault="00613F6D" w:rsidP="00613F6D">
            <w:pPr>
              <w:rPr>
                <w:rFonts w:ascii="Calibri" w:eastAsia="Times New Roman" w:hAnsi="Calibri" w:cs="Times New Roman"/>
                <w:b/>
                <w:bCs/>
                <w:color w:val="FFFFFF"/>
                <w:szCs w:val="20"/>
              </w:rPr>
            </w:pPr>
          </w:p>
        </w:tc>
        <w:tc>
          <w:tcPr>
            <w:tcW w:w="1300" w:type="dxa"/>
            <w:shd w:val="clear" w:color="auto" w:fill="365F91" w:themeFill="accent1" w:themeFillShade="BF"/>
            <w:vAlign w:val="center"/>
            <w:hideMark/>
          </w:tcPr>
          <w:p w14:paraId="2D0D4A75" w14:textId="77777777" w:rsidR="00613F6D" w:rsidRPr="00A3679E" w:rsidRDefault="00613F6D" w:rsidP="00613F6D">
            <w:pPr>
              <w:jc w:val="center"/>
              <w:rPr>
                <w:rFonts w:ascii="Calibri" w:eastAsia="Times New Roman" w:hAnsi="Calibri" w:cs="Times New Roman"/>
                <w:b/>
                <w:bCs/>
                <w:color w:val="FFFFFF"/>
                <w:szCs w:val="20"/>
              </w:rPr>
            </w:pPr>
            <w:r w:rsidRPr="00A3679E">
              <w:rPr>
                <w:rFonts w:ascii="Calibri" w:eastAsia="Times New Roman" w:hAnsi="Calibri" w:cs="Times New Roman"/>
                <w:b/>
                <w:bCs/>
                <w:color w:val="FFFFFF"/>
                <w:szCs w:val="20"/>
              </w:rPr>
              <w:t xml:space="preserve">Données </w:t>
            </w:r>
            <w:r>
              <w:rPr>
                <w:rFonts w:ascii="Calibri" w:eastAsia="Times New Roman" w:hAnsi="Calibri" w:cs="Times New Roman"/>
                <w:b/>
                <w:bCs/>
                <w:color w:val="FFFFFF"/>
                <w:szCs w:val="20"/>
              </w:rPr>
              <w:t>consolidées</w:t>
            </w:r>
          </w:p>
        </w:tc>
        <w:tc>
          <w:tcPr>
            <w:tcW w:w="1300" w:type="dxa"/>
            <w:shd w:val="clear" w:color="auto" w:fill="365F91" w:themeFill="accent1" w:themeFillShade="BF"/>
            <w:vAlign w:val="center"/>
            <w:hideMark/>
          </w:tcPr>
          <w:p w14:paraId="71EE30DC" w14:textId="77777777" w:rsidR="00613F6D" w:rsidRPr="00A3679E" w:rsidRDefault="00613F6D" w:rsidP="00613F6D">
            <w:pPr>
              <w:jc w:val="center"/>
              <w:rPr>
                <w:rFonts w:ascii="Calibri" w:eastAsia="Times New Roman" w:hAnsi="Calibri" w:cs="Times New Roman"/>
                <w:b/>
                <w:bCs/>
                <w:color w:val="FFFFFF"/>
                <w:szCs w:val="20"/>
              </w:rPr>
            </w:pPr>
            <w:r w:rsidRPr="00A3679E">
              <w:rPr>
                <w:rFonts w:ascii="Calibri" w:eastAsia="Times New Roman" w:hAnsi="Calibri" w:cs="Times New Roman"/>
                <w:b/>
                <w:bCs/>
                <w:color w:val="FFFFFF"/>
                <w:szCs w:val="20"/>
              </w:rPr>
              <w:t xml:space="preserve">Données </w:t>
            </w:r>
            <w:r>
              <w:rPr>
                <w:rFonts w:ascii="Calibri" w:eastAsia="Times New Roman" w:hAnsi="Calibri" w:cs="Times New Roman"/>
                <w:b/>
                <w:bCs/>
                <w:color w:val="FFFFFF"/>
                <w:szCs w:val="20"/>
              </w:rPr>
              <w:t>consolidées</w:t>
            </w:r>
          </w:p>
        </w:tc>
      </w:tr>
      <w:tr w:rsidR="00613F6D" w:rsidRPr="00A3679E" w14:paraId="1BAE8735" w14:textId="77777777" w:rsidTr="005B42F0">
        <w:trPr>
          <w:trHeight w:val="340"/>
        </w:trPr>
        <w:tc>
          <w:tcPr>
            <w:tcW w:w="5118" w:type="dxa"/>
            <w:shd w:val="clear" w:color="auto" w:fill="DBE5F1" w:themeFill="accent1" w:themeFillTint="33"/>
            <w:vAlign w:val="center"/>
            <w:hideMark/>
          </w:tcPr>
          <w:p w14:paraId="6881A28B" w14:textId="77777777" w:rsidR="00613F6D" w:rsidRPr="00A3679E" w:rsidRDefault="00613F6D" w:rsidP="00613F6D">
            <w:pPr>
              <w:rPr>
                <w:rFonts w:ascii="Calibri" w:eastAsia="Times New Roman" w:hAnsi="Calibri" w:cs="Times New Roman"/>
                <w:color w:val="000000"/>
                <w:szCs w:val="20"/>
              </w:rPr>
            </w:pPr>
            <w:r w:rsidRPr="00A3679E">
              <w:rPr>
                <w:rFonts w:ascii="Calibri" w:eastAsia="Times New Roman" w:hAnsi="Calibri" w:cs="Times New Roman"/>
                <w:color w:val="000000"/>
                <w:szCs w:val="20"/>
              </w:rPr>
              <w:t>Investissements incorporels</w:t>
            </w:r>
          </w:p>
        </w:tc>
        <w:tc>
          <w:tcPr>
            <w:tcW w:w="1300" w:type="dxa"/>
            <w:shd w:val="clear" w:color="auto" w:fill="DBE5F1" w:themeFill="accent1" w:themeFillTint="33"/>
            <w:hideMark/>
          </w:tcPr>
          <w:p w14:paraId="50459C57" w14:textId="77777777" w:rsidR="00613F6D" w:rsidRPr="00DB7E98" w:rsidRDefault="00613F6D" w:rsidP="00613F6D">
            <w:pPr>
              <w:jc w:val="right"/>
              <w:rPr>
                <w:rFonts w:ascii="Calibri" w:eastAsia="Times New Roman" w:hAnsi="Calibri" w:cs="Times New Roman"/>
              </w:rPr>
            </w:pPr>
            <w:r w:rsidRPr="00DB7E98">
              <w:t>884</w:t>
            </w:r>
          </w:p>
        </w:tc>
        <w:tc>
          <w:tcPr>
            <w:tcW w:w="1300" w:type="dxa"/>
            <w:shd w:val="clear" w:color="auto" w:fill="DBE5F1" w:themeFill="accent1" w:themeFillTint="33"/>
            <w:hideMark/>
          </w:tcPr>
          <w:p w14:paraId="198B9A63" w14:textId="77777777" w:rsidR="00613F6D" w:rsidRPr="00DB7E98" w:rsidRDefault="00613F6D" w:rsidP="00613F6D">
            <w:pPr>
              <w:spacing w:line="259" w:lineRule="auto"/>
              <w:jc w:val="right"/>
              <w:rPr>
                <w:rFonts w:ascii="Calibri" w:eastAsia="Calibri" w:hAnsi="Calibri" w:cs="Calibri"/>
                <w:szCs w:val="20"/>
              </w:rPr>
            </w:pPr>
            <w:r w:rsidRPr="00DB7E98">
              <w:t>390</w:t>
            </w:r>
          </w:p>
        </w:tc>
      </w:tr>
      <w:tr w:rsidR="00613F6D" w:rsidRPr="00A3679E" w14:paraId="3CB5A1E2" w14:textId="77777777" w:rsidTr="005B42F0">
        <w:trPr>
          <w:trHeight w:val="340"/>
        </w:trPr>
        <w:tc>
          <w:tcPr>
            <w:tcW w:w="5118" w:type="dxa"/>
            <w:shd w:val="clear" w:color="auto" w:fill="DBE5F1" w:themeFill="accent1" w:themeFillTint="33"/>
            <w:vAlign w:val="center"/>
            <w:hideMark/>
          </w:tcPr>
          <w:p w14:paraId="1185BB6C" w14:textId="77777777" w:rsidR="00613F6D" w:rsidRPr="00A3679E" w:rsidRDefault="00613F6D" w:rsidP="00613F6D">
            <w:pPr>
              <w:rPr>
                <w:rFonts w:ascii="Calibri" w:eastAsia="Times New Roman" w:hAnsi="Calibri" w:cs="Times New Roman"/>
                <w:color w:val="000000"/>
                <w:szCs w:val="20"/>
              </w:rPr>
            </w:pPr>
            <w:r w:rsidRPr="00A3679E">
              <w:rPr>
                <w:rFonts w:ascii="Calibri" w:eastAsia="Times New Roman" w:hAnsi="Calibri" w:cs="Times New Roman"/>
                <w:color w:val="000000"/>
                <w:szCs w:val="20"/>
              </w:rPr>
              <w:t>Investissements corporels</w:t>
            </w:r>
          </w:p>
        </w:tc>
        <w:tc>
          <w:tcPr>
            <w:tcW w:w="1300" w:type="dxa"/>
            <w:shd w:val="clear" w:color="auto" w:fill="DBE5F1" w:themeFill="accent1" w:themeFillTint="33"/>
            <w:hideMark/>
          </w:tcPr>
          <w:p w14:paraId="5273D66E" w14:textId="77777777" w:rsidR="00613F6D" w:rsidRPr="00DB7E98" w:rsidRDefault="00613F6D" w:rsidP="00613F6D">
            <w:pPr>
              <w:spacing w:line="259" w:lineRule="auto"/>
              <w:jc w:val="right"/>
              <w:rPr>
                <w:rFonts w:ascii="Calibri" w:eastAsia="Calibri" w:hAnsi="Calibri" w:cs="Calibri"/>
                <w:szCs w:val="20"/>
              </w:rPr>
            </w:pPr>
            <w:r w:rsidRPr="00DB7E98">
              <w:t>97</w:t>
            </w:r>
          </w:p>
        </w:tc>
        <w:tc>
          <w:tcPr>
            <w:tcW w:w="1300" w:type="dxa"/>
            <w:shd w:val="clear" w:color="auto" w:fill="DBE5F1" w:themeFill="accent1" w:themeFillTint="33"/>
            <w:hideMark/>
          </w:tcPr>
          <w:p w14:paraId="40F61CA4" w14:textId="77777777" w:rsidR="00613F6D" w:rsidRPr="00DB7E98" w:rsidRDefault="00613F6D" w:rsidP="00613F6D">
            <w:pPr>
              <w:jc w:val="right"/>
              <w:rPr>
                <w:rFonts w:ascii="Calibri" w:eastAsia="Times New Roman" w:hAnsi="Calibri" w:cs="Times New Roman"/>
              </w:rPr>
            </w:pPr>
            <w:r w:rsidRPr="00DB7E98">
              <w:t>402</w:t>
            </w:r>
          </w:p>
        </w:tc>
      </w:tr>
      <w:tr w:rsidR="00613F6D" w:rsidRPr="00A3679E" w14:paraId="192FACC1" w14:textId="77777777" w:rsidTr="005B42F0">
        <w:trPr>
          <w:trHeight w:val="340"/>
        </w:trPr>
        <w:tc>
          <w:tcPr>
            <w:tcW w:w="5118" w:type="dxa"/>
            <w:shd w:val="clear" w:color="auto" w:fill="DBE5F1" w:themeFill="accent1" w:themeFillTint="33"/>
            <w:vAlign w:val="center"/>
            <w:hideMark/>
          </w:tcPr>
          <w:p w14:paraId="1F1040EE" w14:textId="77777777" w:rsidR="00613F6D" w:rsidRPr="00A3679E" w:rsidRDefault="00613F6D" w:rsidP="00613F6D">
            <w:pPr>
              <w:rPr>
                <w:rFonts w:ascii="Calibri" w:eastAsia="Times New Roman" w:hAnsi="Calibri" w:cs="Times New Roman"/>
                <w:color w:val="000000"/>
                <w:szCs w:val="20"/>
              </w:rPr>
            </w:pPr>
            <w:r w:rsidRPr="00A3679E">
              <w:rPr>
                <w:rFonts w:ascii="Calibri" w:eastAsia="Times New Roman" w:hAnsi="Calibri" w:cs="Times New Roman"/>
                <w:color w:val="000000"/>
                <w:szCs w:val="20"/>
              </w:rPr>
              <w:t>Investissements financiers</w:t>
            </w:r>
          </w:p>
        </w:tc>
        <w:tc>
          <w:tcPr>
            <w:tcW w:w="1300" w:type="dxa"/>
            <w:shd w:val="clear" w:color="auto" w:fill="DBE5F1" w:themeFill="accent1" w:themeFillTint="33"/>
            <w:hideMark/>
          </w:tcPr>
          <w:p w14:paraId="4D97BE88" w14:textId="77777777" w:rsidR="00613F6D" w:rsidRPr="00DB7E98" w:rsidRDefault="00613F6D" w:rsidP="00613F6D">
            <w:pPr>
              <w:spacing w:line="259" w:lineRule="auto"/>
              <w:jc w:val="right"/>
              <w:rPr>
                <w:rFonts w:ascii="Calibri" w:eastAsia="Calibri" w:hAnsi="Calibri" w:cs="Calibri"/>
                <w:szCs w:val="20"/>
              </w:rPr>
            </w:pPr>
            <w:r w:rsidRPr="00DB7E98">
              <w:t>0</w:t>
            </w:r>
          </w:p>
        </w:tc>
        <w:tc>
          <w:tcPr>
            <w:tcW w:w="1300" w:type="dxa"/>
            <w:shd w:val="clear" w:color="auto" w:fill="DBE5F1" w:themeFill="accent1" w:themeFillTint="33"/>
            <w:hideMark/>
          </w:tcPr>
          <w:p w14:paraId="5175399A" w14:textId="77777777" w:rsidR="00613F6D" w:rsidRPr="00DB7E98" w:rsidRDefault="00613F6D" w:rsidP="00613F6D">
            <w:pPr>
              <w:spacing w:line="259" w:lineRule="auto"/>
              <w:jc w:val="right"/>
              <w:rPr>
                <w:rFonts w:ascii="Calibri" w:eastAsia="Calibri" w:hAnsi="Calibri" w:cs="Calibri"/>
                <w:szCs w:val="20"/>
              </w:rPr>
            </w:pPr>
            <w:r w:rsidRPr="00DB7E98">
              <w:t>4 421</w:t>
            </w:r>
          </w:p>
        </w:tc>
      </w:tr>
    </w:tbl>
    <w:p w14:paraId="5503197D" w14:textId="77777777" w:rsidR="00613F6D" w:rsidRDefault="00613F6D" w:rsidP="00DC6E98"/>
    <w:p w14:paraId="72F5C525" w14:textId="7EC20884" w:rsidR="00613F6D" w:rsidRDefault="00613F6D" w:rsidP="00DC6E98">
      <w:r>
        <w:t xml:space="preserve">Les investissements incorporels sont essentiellement composés de dépenses de R&amp;D. Ces dépenses n’étaient, jusqu’au 1er semestre 2019, pas activées mais intégralement comptabilisées en charges. Cf. paragraphe </w:t>
      </w:r>
      <w:r w:rsidR="00871921">
        <w:t xml:space="preserve">«  </w:t>
      </w:r>
      <w:r w:rsidR="00871921">
        <w:fldChar w:fldCharType="begin"/>
      </w:r>
      <w:r w:rsidR="00871921">
        <w:instrText xml:space="preserve"> REF _Ref367969020 \h </w:instrText>
      </w:r>
      <w:r w:rsidR="00871921">
        <w:fldChar w:fldCharType="separate"/>
      </w:r>
      <w:r w:rsidR="003A0AD1">
        <w:t>5.5.1.2</w:t>
      </w:r>
      <w:r w:rsidR="003A0AD1" w:rsidRPr="009C781E">
        <w:t xml:space="preserve"> Brevets</w:t>
      </w:r>
      <w:r w:rsidR="00871921">
        <w:fldChar w:fldCharType="end"/>
      </w:r>
      <w:r w:rsidR="00871921">
        <w:t xml:space="preserve"> </w:t>
      </w:r>
      <w:r>
        <w:t>» du Document d’enregistrement universel. Avec la mise en place d’outils et process de gestion de projets, les conditions sont dorénavant remplies pour capitaliser ces dépenses jusqu’à la commercialisation effective des produits développés, innovations et renouvellements de gammes concernées. Ces immobilisations sont enregistrées en immobilisation</w:t>
      </w:r>
      <w:r w:rsidR="00871921">
        <w:t>s</w:t>
      </w:r>
      <w:r>
        <w:t xml:space="preserve"> en</w:t>
      </w:r>
      <w:r w:rsidR="00871921">
        <w:t xml:space="preserve"> </w:t>
      </w:r>
      <w:r>
        <w:t xml:space="preserve">cours, la </w:t>
      </w:r>
      <w:r w:rsidR="00871921">
        <w:t>S</w:t>
      </w:r>
      <w:r>
        <w:t>ociété anticipant l’achèvement des premiers projets à compter de 2021. L’ensemble des équipes marketing produits, R&amp;D, clinique, production</w:t>
      </w:r>
      <w:r w:rsidR="00871921">
        <w:t>/</w:t>
      </w:r>
      <w:r>
        <w:t xml:space="preserve">achats </w:t>
      </w:r>
      <w:r w:rsidR="00871921">
        <w:t xml:space="preserve">est mobilisée </w:t>
      </w:r>
      <w:r>
        <w:t>sur ces sujets créateurs de valeur future.</w:t>
      </w:r>
    </w:p>
    <w:p w14:paraId="59991C7E" w14:textId="77777777" w:rsidR="00613F6D" w:rsidRDefault="00613F6D" w:rsidP="00DC6E98"/>
    <w:p w14:paraId="61E6F7F2" w14:textId="77777777" w:rsidR="00613F6D" w:rsidRDefault="00613F6D" w:rsidP="00DC6E98">
      <w:r>
        <w:t>Les investissements corporels concernent principalement des kits d’instruments mis à disposition en prêt chez les clients. Avec la baisse d’activité et le changement de politique commerciale en termes d’instrumentation, ces investissements ont diminué.</w:t>
      </w:r>
    </w:p>
    <w:p w14:paraId="74C2E783" w14:textId="77777777" w:rsidR="00613F6D" w:rsidRDefault="00613F6D" w:rsidP="00DC6E98"/>
    <w:p w14:paraId="18E028E7" w14:textId="5E51D1E6" w:rsidR="00871921" w:rsidRDefault="00613F6D" w:rsidP="00DC6E98">
      <w:r>
        <w:t xml:space="preserve">Les investissements financiers effectués en 2019 concernaient une prise participation minoritaire dans une société possédant des hôpitaux en Amérique </w:t>
      </w:r>
      <w:r w:rsidR="00A54FC0">
        <w:t xml:space="preserve">latine </w:t>
      </w:r>
      <w:r>
        <w:t xml:space="preserve">et </w:t>
      </w:r>
      <w:r w:rsidR="00871921">
        <w:t xml:space="preserve">en </w:t>
      </w:r>
      <w:r>
        <w:t xml:space="preserve">Afrique </w:t>
      </w:r>
      <w:r w:rsidR="00871921">
        <w:t>avec pour objectif une</w:t>
      </w:r>
      <w:r>
        <w:t xml:space="preserve"> intégration verticale sur ces territoires où la </w:t>
      </w:r>
      <w:r w:rsidR="00871921">
        <w:t xml:space="preserve">Société </w:t>
      </w:r>
      <w:r>
        <w:t xml:space="preserve">est très présente. Cet investissement avait été financé par le biais d’un emprunt obligataire </w:t>
      </w:r>
      <w:r w:rsidR="00871921">
        <w:t xml:space="preserve">souscrit </w:t>
      </w:r>
      <w:r>
        <w:t xml:space="preserve">auprès </w:t>
      </w:r>
      <w:r w:rsidR="00871921">
        <w:t xml:space="preserve">de </w:t>
      </w:r>
      <w:r w:rsidR="00871921" w:rsidRPr="001B4A2F">
        <w:t>European High Growth Opportunities Securitization Fund</w:t>
      </w:r>
      <w:r w:rsidR="00871921">
        <w:t xml:space="preserve"> (Cf. paragraphe </w:t>
      </w:r>
      <w:r w:rsidR="00871921">
        <w:fldChar w:fldCharType="begin"/>
      </w:r>
      <w:r w:rsidR="00871921">
        <w:instrText xml:space="preserve"> REF _Ref472784704 \h </w:instrText>
      </w:r>
      <w:r w:rsidR="00871921">
        <w:fldChar w:fldCharType="separate"/>
      </w:r>
      <w:r w:rsidR="003A0AD1" w:rsidRPr="0071166F">
        <w:rPr>
          <w:lang w:val="en-US"/>
        </w:rPr>
        <w:t>20.3 Contrat d’émission d’OCEANE European High Growth Opportunities Securitization Fund (« OCEANE ABO »)</w:t>
      </w:r>
      <w:r w:rsidR="00871921">
        <w:fldChar w:fldCharType="end"/>
      </w:r>
      <w:r w:rsidR="00871921">
        <w:t> » du Document d‘enregistrement Universel</w:t>
      </w:r>
      <w:r>
        <w:t>.</w:t>
      </w:r>
    </w:p>
    <w:p w14:paraId="3605B5F2" w14:textId="77777777" w:rsidR="00613F6D" w:rsidRPr="002F260C" w:rsidRDefault="00613F6D" w:rsidP="00DC6E98">
      <w:bookmarkStart w:id="152" w:name="_Toc330481931"/>
      <w:bookmarkEnd w:id="151"/>
    </w:p>
    <w:p w14:paraId="1421D743" w14:textId="628C737E" w:rsidR="00613F6D" w:rsidRPr="00517F43" w:rsidRDefault="00613F6D" w:rsidP="00613F6D">
      <w:pPr>
        <w:pStyle w:val="Titre3"/>
      </w:pPr>
      <w:bookmarkStart w:id="153" w:name="_Toc475033200"/>
      <w:r>
        <w:t>5.7.2. Principaux investissements envisagés</w:t>
      </w:r>
      <w:bookmarkEnd w:id="152"/>
      <w:bookmarkEnd w:id="153"/>
      <w:r>
        <w:t xml:space="preserve"> </w:t>
      </w:r>
    </w:p>
    <w:p w14:paraId="714BF0B7" w14:textId="77777777" w:rsidR="00613F6D" w:rsidRDefault="00613F6D" w:rsidP="00613F6D">
      <w:pPr>
        <w:tabs>
          <w:tab w:val="right" w:leader="dot" w:pos="8505"/>
        </w:tabs>
      </w:pPr>
    </w:p>
    <w:p w14:paraId="095E9259" w14:textId="66EAAE34" w:rsidR="00613F6D" w:rsidRDefault="00613F6D" w:rsidP="00DC6E98">
      <w:r w:rsidRPr="0099584A">
        <w:t xml:space="preserve">Le Groupe ne prévoit pas, </w:t>
      </w:r>
      <w:r w:rsidR="00871921">
        <w:t>à la date du Document d‘enregistrement universel</w:t>
      </w:r>
      <w:r>
        <w:t xml:space="preserve"> et</w:t>
      </w:r>
      <w:r w:rsidRPr="0099584A">
        <w:t xml:space="preserve"> pour les années à venir, de réaliser d’investissements significatifs pour lesquels les organes de direction de la Société </w:t>
      </w:r>
      <w:r w:rsidR="00871921">
        <w:t>auraient</w:t>
      </w:r>
      <w:r w:rsidR="00871921" w:rsidRPr="0099584A">
        <w:t xml:space="preserve"> </w:t>
      </w:r>
      <w:r w:rsidRPr="0099584A">
        <w:t>pris des engagements fermes. </w:t>
      </w:r>
    </w:p>
    <w:p w14:paraId="0C21092C" w14:textId="77777777" w:rsidR="00613F6D" w:rsidRDefault="00613F6D" w:rsidP="00613F6D">
      <w:pPr>
        <w:tabs>
          <w:tab w:val="right" w:leader="dot" w:pos="8505"/>
        </w:tabs>
      </w:pPr>
    </w:p>
    <w:p w14:paraId="6A69903C" w14:textId="404C025B" w:rsidR="00613F6D" w:rsidRDefault="00613F6D" w:rsidP="00613F6D">
      <w:pPr>
        <w:pStyle w:val="Titre3"/>
      </w:pPr>
      <w:bookmarkStart w:id="154" w:name="_Toc475033201"/>
      <w:r>
        <w:t xml:space="preserve">5.7.3 </w:t>
      </w:r>
      <w:bookmarkStart w:id="155" w:name="_Hlk63179416"/>
      <w:r w:rsidRPr="00F36D46">
        <w:t>Informations relatives aux coentreprises et aux entreprises dans lesquelles l</w:t>
      </w:r>
      <w:r>
        <w:t>a Société</w:t>
      </w:r>
      <w:r w:rsidRPr="00F36D46">
        <w:t xml:space="preserve"> détient une part du capital</w:t>
      </w:r>
      <w:bookmarkEnd w:id="154"/>
      <w:r>
        <w:t xml:space="preserve"> </w:t>
      </w:r>
    </w:p>
    <w:p w14:paraId="12B5AB17" w14:textId="77777777" w:rsidR="00DC6E98" w:rsidRDefault="00DC6E98" w:rsidP="00DC6E98"/>
    <w:p w14:paraId="413788D5" w14:textId="19F075B7" w:rsidR="0002761E" w:rsidRDefault="0002761E" w:rsidP="00DC6E98">
      <w:r>
        <w:t>Cf. paragraphe « </w:t>
      </w:r>
      <w:r>
        <w:fldChar w:fldCharType="begin"/>
      </w:r>
      <w:r>
        <w:instrText xml:space="preserve"> REF _Ref474061157 \h </w:instrText>
      </w:r>
      <w:r>
        <w:fldChar w:fldCharType="separate"/>
      </w:r>
      <w:r w:rsidR="003A0AD1">
        <w:t>6</w:t>
      </w:r>
      <w:r w:rsidR="003A0AD1" w:rsidRPr="00A601E8">
        <w:t>.2. P</w:t>
      </w:r>
      <w:r w:rsidR="003A0AD1">
        <w:t>résentation des sociétés du Groupe</w:t>
      </w:r>
      <w:r>
        <w:fldChar w:fldCharType="end"/>
      </w:r>
      <w:r>
        <w:t xml:space="preserve"> » du Document d‘enregistrement </w:t>
      </w:r>
      <w:r w:rsidR="00871921">
        <w:t>u</w:t>
      </w:r>
      <w:r>
        <w:t>niversel.</w:t>
      </w:r>
    </w:p>
    <w:p w14:paraId="1A7357D9" w14:textId="77777777" w:rsidR="0002761E" w:rsidRPr="0002761E" w:rsidRDefault="0002761E" w:rsidP="0002761E"/>
    <w:p w14:paraId="277D61D2" w14:textId="77777777" w:rsidR="00871921" w:rsidRDefault="00871921" w:rsidP="00613F6D">
      <w:pPr>
        <w:pStyle w:val="Titre3"/>
      </w:pPr>
    </w:p>
    <w:p w14:paraId="72764D72" w14:textId="24FEEB0F" w:rsidR="00613F6D" w:rsidRDefault="00613F6D" w:rsidP="00613F6D">
      <w:pPr>
        <w:pStyle w:val="Titre3"/>
      </w:pPr>
      <w:bookmarkStart w:id="156" w:name="_Toc475033202"/>
      <w:r>
        <w:t>5.7.4 Questions environnementales</w:t>
      </w:r>
      <w:bookmarkEnd w:id="155"/>
      <w:bookmarkEnd w:id="156"/>
    </w:p>
    <w:p w14:paraId="3F85F2AB" w14:textId="77777777" w:rsidR="00613F6D" w:rsidRDefault="00613F6D" w:rsidP="00613F6D"/>
    <w:bookmarkEnd w:id="146"/>
    <w:bookmarkEnd w:id="147"/>
    <w:p w14:paraId="6016E97B" w14:textId="77777777" w:rsidR="00A54FC0" w:rsidRDefault="00A54FC0" w:rsidP="00A54FC0">
      <w:pPr>
        <w:rPr>
          <w:rFonts w:ascii="Segoe UI" w:hAnsi="Segoe UI" w:cs="Segoe UI"/>
          <w:szCs w:val="20"/>
        </w:rPr>
      </w:pPr>
      <w:r w:rsidRPr="003800B6">
        <w:rPr>
          <w:rFonts w:ascii="Segoe UI" w:hAnsi="Segoe UI" w:cs="Segoe UI"/>
          <w:szCs w:val="20"/>
        </w:rPr>
        <w:t>La nature des activit</w:t>
      </w:r>
      <w:r>
        <w:rPr>
          <w:rFonts w:ascii="Segoe UI" w:hAnsi="Segoe UI" w:cs="Segoe UI"/>
          <w:szCs w:val="20"/>
        </w:rPr>
        <w:t>é</w:t>
      </w:r>
      <w:r w:rsidRPr="003800B6">
        <w:rPr>
          <w:rFonts w:ascii="Segoe UI" w:hAnsi="Segoe UI" w:cs="Segoe UI"/>
          <w:szCs w:val="20"/>
        </w:rPr>
        <w:t>s du Groupe n’entra</w:t>
      </w:r>
      <w:r>
        <w:rPr>
          <w:rFonts w:ascii="Segoe UI" w:hAnsi="Segoe UI" w:cs="Segoe UI"/>
          <w:szCs w:val="20"/>
        </w:rPr>
        <w:t>î</w:t>
      </w:r>
      <w:r w:rsidRPr="003800B6">
        <w:rPr>
          <w:rFonts w:ascii="Segoe UI" w:hAnsi="Segoe UI" w:cs="Segoe UI"/>
          <w:szCs w:val="20"/>
        </w:rPr>
        <w:t xml:space="preserve">ne pas de risque significatif pour l’environnement. </w:t>
      </w:r>
    </w:p>
    <w:p w14:paraId="6A07EAD3" w14:textId="77777777" w:rsidR="00A54FC0" w:rsidRDefault="00A54FC0" w:rsidP="00A54FC0">
      <w:pPr>
        <w:rPr>
          <w:rFonts w:ascii="Segoe UI" w:hAnsi="Segoe UI" w:cs="Segoe UI"/>
          <w:szCs w:val="20"/>
        </w:rPr>
      </w:pPr>
    </w:p>
    <w:p w14:paraId="4CC88402" w14:textId="77777777" w:rsidR="00A54FC0" w:rsidRDefault="00A54FC0" w:rsidP="00A54FC0">
      <w:pPr>
        <w:rPr>
          <w:rFonts w:ascii="Segoe UI" w:hAnsi="Segoe UI" w:cs="Segoe UI"/>
          <w:szCs w:val="20"/>
        </w:rPr>
      </w:pPr>
      <w:r w:rsidRPr="003800B6">
        <w:rPr>
          <w:rFonts w:ascii="Segoe UI" w:hAnsi="Segoe UI" w:cs="Segoe UI"/>
          <w:szCs w:val="20"/>
        </w:rPr>
        <w:t>Pour autant, la Société est soucieuse des problématiques d’environnement et de d</w:t>
      </w:r>
      <w:r>
        <w:rPr>
          <w:rFonts w:ascii="Segoe UI" w:hAnsi="Segoe UI" w:cs="Segoe UI"/>
          <w:szCs w:val="20"/>
        </w:rPr>
        <w:t>é</w:t>
      </w:r>
      <w:r w:rsidRPr="003800B6">
        <w:rPr>
          <w:rFonts w:ascii="Segoe UI" w:hAnsi="Segoe UI" w:cs="Segoe UI"/>
          <w:szCs w:val="20"/>
        </w:rPr>
        <w:t>veloppement durable</w:t>
      </w:r>
      <w:r>
        <w:rPr>
          <w:rFonts w:ascii="Segoe UI" w:hAnsi="Segoe UI" w:cs="Segoe UI"/>
          <w:szCs w:val="20"/>
        </w:rPr>
        <w:t xml:space="preserve"> et développe une approche digitale (axe prioritaire du plan marketing 2021)</w:t>
      </w:r>
      <w:r w:rsidRPr="003800B6">
        <w:rPr>
          <w:rFonts w:ascii="Segoe UI" w:hAnsi="Segoe UI" w:cs="Segoe UI"/>
          <w:szCs w:val="20"/>
        </w:rPr>
        <w:t xml:space="preserve">. </w:t>
      </w:r>
    </w:p>
    <w:p w14:paraId="437D1505" w14:textId="77777777" w:rsidR="00A54FC0" w:rsidRDefault="00A54FC0" w:rsidP="00A54FC0">
      <w:pPr>
        <w:rPr>
          <w:rFonts w:ascii="Segoe UI" w:hAnsi="Segoe UI" w:cs="Segoe UI"/>
          <w:szCs w:val="20"/>
        </w:rPr>
      </w:pPr>
    </w:p>
    <w:p w14:paraId="309C47EB" w14:textId="77777777" w:rsidR="00A54FC0" w:rsidRDefault="00A54FC0" w:rsidP="00A54FC0">
      <w:pPr>
        <w:rPr>
          <w:rFonts w:ascii="Segoe UI" w:hAnsi="Segoe UI" w:cs="Segoe UI"/>
          <w:szCs w:val="20"/>
        </w:rPr>
      </w:pPr>
      <w:r w:rsidRPr="003800B6">
        <w:rPr>
          <w:rFonts w:ascii="Segoe UI" w:hAnsi="Segoe UI" w:cs="Segoe UI"/>
          <w:szCs w:val="20"/>
        </w:rPr>
        <w:t xml:space="preserve">Ainsi, Spineway </w:t>
      </w:r>
      <w:r>
        <w:rPr>
          <w:rFonts w:ascii="Segoe UI" w:hAnsi="Segoe UI" w:cs="Segoe UI"/>
          <w:szCs w:val="20"/>
        </w:rPr>
        <w:t>développe un projet de catalogue numérique et dématérialisation des brochures techniques</w:t>
      </w:r>
      <w:r w:rsidRPr="003800B6">
        <w:rPr>
          <w:rFonts w:ascii="Segoe UI" w:hAnsi="Segoe UI" w:cs="Segoe UI"/>
          <w:szCs w:val="20"/>
        </w:rPr>
        <w:t>. L’</w:t>
      </w:r>
      <w:r>
        <w:rPr>
          <w:rFonts w:ascii="Segoe UI" w:hAnsi="Segoe UI" w:cs="Segoe UI"/>
          <w:szCs w:val="20"/>
        </w:rPr>
        <w:t>é</w:t>
      </w:r>
      <w:r w:rsidRPr="003800B6">
        <w:rPr>
          <w:rFonts w:ascii="Segoe UI" w:hAnsi="Segoe UI" w:cs="Segoe UI"/>
          <w:szCs w:val="20"/>
        </w:rPr>
        <w:t>volution constante des produits n</w:t>
      </w:r>
      <w:r>
        <w:rPr>
          <w:rFonts w:ascii="Segoe UI" w:hAnsi="Segoe UI" w:cs="Segoe UI"/>
          <w:szCs w:val="20"/>
        </w:rPr>
        <w:t>é</w:t>
      </w:r>
      <w:r w:rsidRPr="003800B6">
        <w:rPr>
          <w:rFonts w:ascii="Segoe UI" w:hAnsi="Segoe UI" w:cs="Segoe UI"/>
          <w:szCs w:val="20"/>
        </w:rPr>
        <w:t xml:space="preserve">cessite </w:t>
      </w:r>
      <w:r>
        <w:rPr>
          <w:rFonts w:ascii="Segoe UI" w:hAnsi="Segoe UI" w:cs="Segoe UI"/>
          <w:szCs w:val="20"/>
        </w:rPr>
        <w:t xml:space="preserve">en effet </w:t>
      </w:r>
      <w:r w:rsidRPr="003800B6">
        <w:rPr>
          <w:rFonts w:ascii="Segoe UI" w:hAnsi="Segoe UI" w:cs="Segoe UI"/>
          <w:szCs w:val="20"/>
        </w:rPr>
        <w:t xml:space="preserve">des mises </w:t>
      </w:r>
      <w:r>
        <w:rPr>
          <w:rFonts w:ascii="Segoe UI" w:hAnsi="Segoe UI" w:cs="Segoe UI"/>
          <w:szCs w:val="20"/>
        </w:rPr>
        <w:t>à</w:t>
      </w:r>
      <w:r w:rsidRPr="003800B6">
        <w:rPr>
          <w:rFonts w:ascii="Segoe UI" w:hAnsi="Segoe UI" w:cs="Segoe UI"/>
          <w:szCs w:val="20"/>
        </w:rPr>
        <w:t xml:space="preserve"> jour fré</w:t>
      </w:r>
      <w:r>
        <w:rPr>
          <w:rFonts w:ascii="Segoe UI" w:hAnsi="Segoe UI" w:cs="Segoe UI"/>
          <w:szCs w:val="20"/>
        </w:rPr>
        <w:t>quentes. De mê</w:t>
      </w:r>
      <w:r w:rsidRPr="003800B6">
        <w:rPr>
          <w:rFonts w:ascii="Segoe UI" w:hAnsi="Segoe UI" w:cs="Segoe UI"/>
          <w:szCs w:val="20"/>
        </w:rPr>
        <w:t>me, la Société fournit les mod</w:t>
      </w:r>
      <w:r>
        <w:rPr>
          <w:rFonts w:ascii="Segoe UI" w:hAnsi="Segoe UI" w:cs="Segoe UI"/>
          <w:szCs w:val="20"/>
        </w:rPr>
        <w:t>è</w:t>
      </w:r>
      <w:r w:rsidRPr="003800B6">
        <w:rPr>
          <w:rFonts w:ascii="Segoe UI" w:hAnsi="Segoe UI" w:cs="Segoe UI"/>
          <w:szCs w:val="20"/>
        </w:rPr>
        <w:t>les informatis</w:t>
      </w:r>
      <w:r>
        <w:rPr>
          <w:rFonts w:ascii="Segoe UI" w:hAnsi="Segoe UI" w:cs="Segoe UI"/>
          <w:szCs w:val="20"/>
        </w:rPr>
        <w:t>é</w:t>
      </w:r>
      <w:r w:rsidRPr="003800B6">
        <w:rPr>
          <w:rFonts w:ascii="Segoe UI" w:hAnsi="Segoe UI" w:cs="Segoe UI"/>
          <w:szCs w:val="20"/>
        </w:rPr>
        <w:t xml:space="preserve">s de ses documentations </w:t>
      </w:r>
      <w:r>
        <w:rPr>
          <w:rFonts w:ascii="Segoe UI" w:hAnsi="Segoe UI" w:cs="Segoe UI"/>
          <w:szCs w:val="20"/>
        </w:rPr>
        <w:t>à</w:t>
      </w:r>
      <w:r w:rsidRPr="003800B6">
        <w:rPr>
          <w:rFonts w:ascii="Segoe UI" w:hAnsi="Segoe UI" w:cs="Segoe UI"/>
          <w:szCs w:val="20"/>
        </w:rPr>
        <w:t xml:space="preserve"> ses distributeurs et leur propose d’imprimer localement des documentations, afin de r</w:t>
      </w:r>
      <w:r>
        <w:rPr>
          <w:rFonts w:ascii="Segoe UI" w:hAnsi="Segoe UI" w:cs="Segoe UI"/>
          <w:szCs w:val="20"/>
        </w:rPr>
        <w:t>é</w:t>
      </w:r>
      <w:r w:rsidRPr="003800B6">
        <w:rPr>
          <w:rFonts w:ascii="Segoe UI" w:hAnsi="Segoe UI" w:cs="Segoe UI"/>
          <w:szCs w:val="20"/>
        </w:rPr>
        <w:t>duire les d</w:t>
      </w:r>
      <w:r>
        <w:rPr>
          <w:rFonts w:ascii="Segoe UI" w:hAnsi="Segoe UI" w:cs="Segoe UI"/>
          <w:szCs w:val="20"/>
        </w:rPr>
        <w:t>é</w:t>
      </w:r>
      <w:r w:rsidRPr="003800B6">
        <w:rPr>
          <w:rFonts w:ascii="Segoe UI" w:hAnsi="Segoe UI" w:cs="Segoe UI"/>
          <w:szCs w:val="20"/>
        </w:rPr>
        <w:t xml:space="preserve">penses </w:t>
      </w:r>
      <w:r>
        <w:rPr>
          <w:rFonts w:ascii="Segoe UI" w:hAnsi="Segoe UI" w:cs="Segoe UI"/>
          <w:szCs w:val="20"/>
        </w:rPr>
        <w:t>é</w:t>
      </w:r>
      <w:r w:rsidRPr="003800B6">
        <w:rPr>
          <w:rFonts w:ascii="Segoe UI" w:hAnsi="Segoe UI" w:cs="Segoe UI"/>
          <w:szCs w:val="20"/>
        </w:rPr>
        <w:t>nerg</w:t>
      </w:r>
      <w:r>
        <w:rPr>
          <w:rFonts w:ascii="Segoe UI" w:hAnsi="Segoe UI" w:cs="Segoe UI"/>
          <w:szCs w:val="20"/>
        </w:rPr>
        <w:t>é</w:t>
      </w:r>
      <w:r w:rsidRPr="003800B6">
        <w:rPr>
          <w:rFonts w:ascii="Segoe UI" w:hAnsi="Segoe UI" w:cs="Segoe UI"/>
          <w:szCs w:val="20"/>
        </w:rPr>
        <w:t>tiques li</w:t>
      </w:r>
      <w:r>
        <w:rPr>
          <w:rFonts w:ascii="Segoe UI" w:hAnsi="Segoe UI" w:cs="Segoe UI"/>
          <w:szCs w:val="20"/>
        </w:rPr>
        <w:t>é</w:t>
      </w:r>
      <w:r w:rsidRPr="003800B6">
        <w:rPr>
          <w:rFonts w:ascii="Segoe UI" w:hAnsi="Segoe UI" w:cs="Segoe UI"/>
          <w:szCs w:val="20"/>
        </w:rPr>
        <w:t>es au transport de documents. Par ailleurs, la Soci</w:t>
      </w:r>
      <w:r>
        <w:rPr>
          <w:rFonts w:ascii="Segoe UI" w:hAnsi="Segoe UI" w:cs="Segoe UI"/>
          <w:szCs w:val="20"/>
        </w:rPr>
        <w:t>é</w:t>
      </w:r>
      <w:r w:rsidRPr="003800B6">
        <w:rPr>
          <w:rFonts w:ascii="Segoe UI" w:hAnsi="Segoe UI" w:cs="Segoe UI"/>
          <w:szCs w:val="20"/>
        </w:rPr>
        <w:t>t</w:t>
      </w:r>
      <w:r>
        <w:rPr>
          <w:rFonts w:ascii="Segoe UI" w:hAnsi="Segoe UI" w:cs="Segoe UI"/>
          <w:szCs w:val="20"/>
        </w:rPr>
        <w:t>é</w:t>
      </w:r>
      <w:r w:rsidRPr="003800B6">
        <w:rPr>
          <w:rFonts w:ascii="Segoe UI" w:hAnsi="Segoe UI" w:cs="Segoe UI"/>
          <w:szCs w:val="20"/>
        </w:rPr>
        <w:t xml:space="preserve"> a con</w:t>
      </w:r>
      <w:r>
        <w:rPr>
          <w:rFonts w:ascii="Segoe UI" w:hAnsi="Segoe UI" w:cs="Segoe UI"/>
          <w:szCs w:val="20"/>
        </w:rPr>
        <w:t>ç</w:t>
      </w:r>
      <w:r w:rsidRPr="003800B6">
        <w:rPr>
          <w:rFonts w:ascii="Segoe UI" w:hAnsi="Segoe UI" w:cs="Segoe UI"/>
          <w:szCs w:val="20"/>
        </w:rPr>
        <w:t>u, en interne, une structure de stand (congr</w:t>
      </w:r>
      <w:r>
        <w:rPr>
          <w:rFonts w:ascii="Segoe UI" w:hAnsi="Segoe UI" w:cs="Segoe UI"/>
          <w:szCs w:val="20"/>
        </w:rPr>
        <w:t>è</w:t>
      </w:r>
      <w:r w:rsidRPr="003800B6">
        <w:rPr>
          <w:rFonts w:ascii="Segoe UI" w:hAnsi="Segoe UI" w:cs="Segoe UI"/>
          <w:szCs w:val="20"/>
        </w:rPr>
        <w:t xml:space="preserve">s, salons) </w:t>
      </w:r>
      <w:r>
        <w:rPr>
          <w:rFonts w:ascii="Segoe UI" w:hAnsi="Segoe UI" w:cs="Segoe UI"/>
          <w:szCs w:val="20"/>
        </w:rPr>
        <w:t>é</w:t>
      </w:r>
      <w:r w:rsidRPr="003800B6">
        <w:rPr>
          <w:rFonts w:ascii="Segoe UI" w:hAnsi="Segoe UI" w:cs="Segoe UI"/>
          <w:szCs w:val="20"/>
        </w:rPr>
        <w:t>volutive et r</w:t>
      </w:r>
      <w:r>
        <w:rPr>
          <w:rFonts w:ascii="Segoe UI" w:hAnsi="Segoe UI" w:cs="Segoe UI"/>
          <w:szCs w:val="20"/>
        </w:rPr>
        <w:t>é</w:t>
      </w:r>
      <w:r w:rsidRPr="003800B6">
        <w:rPr>
          <w:rFonts w:ascii="Segoe UI" w:hAnsi="Segoe UI" w:cs="Segoe UI"/>
          <w:szCs w:val="20"/>
        </w:rPr>
        <w:t>utilisable, qui permet de r</w:t>
      </w:r>
      <w:r>
        <w:rPr>
          <w:rFonts w:ascii="Segoe UI" w:hAnsi="Segoe UI" w:cs="Segoe UI"/>
          <w:szCs w:val="20"/>
        </w:rPr>
        <w:t>é</w:t>
      </w:r>
      <w:r w:rsidRPr="003800B6">
        <w:rPr>
          <w:rFonts w:ascii="Segoe UI" w:hAnsi="Segoe UI" w:cs="Segoe UI"/>
          <w:szCs w:val="20"/>
        </w:rPr>
        <w:t>duire le gaspillage li</w:t>
      </w:r>
      <w:r>
        <w:rPr>
          <w:rFonts w:ascii="Segoe UI" w:hAnsi="Segoe UI" w:cs="Segoe UI"/>
          <w:szCs w:val="20"/>
        </w:rPr>
        <w:t>é</w:t>
      </w:r>
      <w:r w:rsidRPr="003800B6">
        <w:rPr>
          <w:rFonts w:ascii="Segoe UI" w:hAnsi="Segoe UI" w:cs="Segoe UI"/>
          <w:szCs w:val="20"/>
        </w:rPr>
        <w:t xml:space="preserve"> </w:t>
      </w:r>
      <w:r>
        <w:rPr>
          <w:rFonts w:ascii="Segoe UI" w:hAnsi="Segoe UI" w:cs="Segoe UI"/>
          <w:szCs w:val="20"/>
        </w:rPr>
        <w:t>à</w:t>
      </w:r>
      <w:r w:rsidRPr="003800B6">
        <w:rPr>
          <w:rFonts w:ascii="Segoe UI" w:hAnsi="Segoe UI" w:cs="Segoe UI"/>
          <w:szCs w:val="20"/>
        </w:rPr>
        <w:t xml:space="preserve"> la destruction de menuiseries </w:t>
      </w:r>
      <w:r>
        <w:rPr>
          <w:rFonts w:ascii="Segoe UI" w:hAnsi="Segoe UI" w:cs="Segoe UI"/>
          <w:szCs w:val="20"/>
        </w:rPr>
        <w:t>à</w:t>
      </w:r>
      <w:r w:rsidRPr="003800B6">
        <w:rPr>
          <w:rFonts w:ascii="Segoe UI" w:hAnsi="Segoe UI" w:cs="Segoe UI"/>
          <w:szCs w:val="20"/>
        </w:rPr>
        <w:t xml:space="preserve"> usage unique (pratique la plus r</w:t>
      </w:r>
      <w:r>
        <w:rPr>
          <w:rFonts w:ascii="Segoe UI" w:hAnsi="Segoe UI" w:cs="Segoe UI"/>
          <w:szCs w:val="20"/>
        </w:rPr>
        <w:t>é</w:t>
      </w:r>
      <w:r w:rsidRPr="003800B6">
        <w:rPr>
          <w:rFonts w:ascii="Segoe UI" w:hAnsi="Segoe UI" w:cs="Segoe UI"/>
          <w:szCs w:val="20"/>
        </w:rPr>
        <w:t>pandue). La r</w:t>
      </w:r>
      <w:r>
        <w:rPr>
          <w:rFonts w:ascii="Segoe UI" w:hAnsi="Segoe UI" w:cs="Segoe UI"/>
          <w:szCs w:val="20"/>
        </w:rPr>
        <w:t>é</w:t>
      </w:r>
      <w:r w:rsidRPr="003800B6">
        <w:rPr>
          <w:rFonts w:ascii="Segoe UI" w:hAnsi="Segoe UI" w:cs="Segoe UI"/>
          <w:szCs w:val="20"/>
        </w:rPr>
        <w:t xml:space="preserve">utilisation d’une structure </w:t>
      </w:r>
      <w:r>
        <w:rPr>
          <w:rFonts w:ascii="Segoe UI" w:hAnsi="Segoe UI" w:cs="Segoe UI"/>
          <w:szCs w:val="20"/>
        </w:rPr>
        <w:t>é</w:t>
      </w:r>
      <w:r w:rsidRPr="003800B6">
        <w:rPr>
          <w:rFonts w:ascii="Segoe UI" w:hAnsi="Segoe UI" w:cs="Segoe UI"/>
          <w:szCs w:val="20"/>
        </w:rPr>
        <w:t>volutive permet en outre de donner un nouvel aspect au stand Spineway, au fil de l’</w:t>
      </w:r>
      <w:r>
        <w:rPr>
          <w:rFonts w:ascii="Segoe UI" w:hAnsi="Segoe UI" w:cs="Segoe UI"/>
          <w:szCs w:val="20"/>
        </w:rPr>
        <w:t>é</w:t>
      </w:r>
      <w:r w:rsidRPr="003800B6">
        <w:rPr>
          <w:rFonts w:ascii="Segoe UI" w:hAnsi="Segoe UI" w:cs="Segoe UI"/>
          <w:szCs w:val="20"/>
        </w:rPr>
        <w:t>volution de ses stands de congr</w:t>
      </w:r>
      <w:r>
        <w:rPr>
          <w:rFonts w:ascii="Segoe UI" w:hAnsi="Segoe UI" w:cs="Segoe UI"/>
          <w:szCs w:val="20"/>
        </w:rPr>
        <w:t>è</w:t>
      </w:r>
      <w:r w:rsidRPr="003800B6">
        <w:rPr>
          <w:rFonts w:ascii="Segoe UI" w:hAnsi="Segoe UI" w:cs="Segoe UI"/>
          <w:szCs w:val="20"/>
        </w:rPr>
        <w:t xml:space="preserve">s, en ajoutant </w:t>
      </w:r>
      <w:r>
        <w:rPr>
          <w:rFonts w:ascii="Segoe UI" w:hAnsi="Segoe UI" w:cs="Segoe UI"/>
          <w:szCs w:val="20"/>
        </w:rPr>
        <w:t>à</w:t>
      </w:r>
      <w:r w:rsidRPr="003800B6">
        <w:rPr>
          <w:rFonts w:ascii="Segoe UI" w:hAnsi="Segoe UI" w:cs="Segoe UI"/>
          <w:szCs w:val="20"/>
        </w:rPr>
        <w:t xml:space="preserve"> la structure ant</w:t>
      </w:r>
      <w:r>
        <w:rPr>
          <w:rFonts w:ascii="Segoe UI" w:hAnsi="Segoe UI" w:cs="Segoe UI"/>
          <w:szCs w:val="20"/>
        </w:rPr>
        <w:t>é</w:t>
      </w:r>
      <w:r w:rsidRPr="003800B6">
        <w:rPr>
          <w:rFonts w:ascii="Segoe UI" w:hAnsi="Segoe UI" w:cs="Segoe UI"/>
          <w:szCs w:val="20"/>
        </w:rPr>
        <w:t xml:space="preserve">rieure. </w:t>
      </w:r>
      <w:r>
        <w:rPr>
          <w:rFonts w:ascii="Segoe UI" w:hAnsi="Segoe UI" w:cs="Segoe UI"/>
          <w:szCs w:val="20"/>
        </w:rPr>
        <w:t>De même, un projet de gestion électronique des signatures permettra d’accélérer le projet de dématérialisation et de limiter toutes les impressions au strict minimum.</w:t>
      </w:r>
    </w:p>
    <w:p w14:paraId="767FD9CF" w14:textId="77777777" w:rsidR="00A54FC0" w:rsidRDefault="00A54FC0" w:rsidP="00A54FC0">
      <w:pPr>
        <w:rPr>
          <w:rFonts w:ascii="Segoe UI" w:hAnsi="Segoe UI" w:cs="Segoe UI"/>
          <w:szCs w:val="20"/>
        </w:rPr>
      </w:pPr>
    </w:p>
    <w:p w14:paraId="21D3D96E" w14:textId="77777777" w:rsidR="00A54FC0" w:rsidRDefault="00A54FC0" w:rsidP="00A54FC0">
      <w:pPr>
        <w:rPr>
          <w:rFonts w:ascii="Segoe UI" w:hAnsi="Segoe UI" w:cs="Segoe UI"/>
          <w:szCs w:val="20"/>
        </w:rPr>
      </w:pPr>
      <w:r>
        <w:rPr>
          <w:rFonts w:ascii="Segoe UI" w:hAnsi="Segoe UI" w:cs="Segoe UI"/>
          <w:szCs w:val="20"/>
        </w:rPr>
        <w:t>Egalement, Spineway commercialise des produits fabriqués en France présentant un impact carbone moindre.</w:t>
      </w:r>
    </w:p>
    <w:p w14:paraId="574914EB" w14:textId="77777777" w:rsidR="00A54FC0" w:rsidRPr="003800B6" w:rsidRDefault="00A54FC0" w:rsidP="00A54FC0">
      <w:pPr>
        <w:rPr>
          <w:rFonts w:ascii="Segoe UI" w:hAnsi="Segoe UI" w:cs="Segoe UI"/>
          <w:szCs w:val="20"/>
        </w:rPr>
      </w:pPr>
    </w:p>
    <w:p w14:paraId="29B471E9" w14:textId="77777777" w:rsidR="00A54FC0" w:rsidRDefault="00A54FC0" w:rsidP="00A54FC0">
      <w:pPr>
        <w:jc w:val="left"/>
      </w:pPr>
      <w:r>
        <w:t>Enfin, Spineway envisage de pérenniser le télétravail mis en place en raison de la crise sanitaire dans la mesure où le télétravail s’avère parfaitement adapté à certains postes et pour certains salariés.</w:t>
      </w:r>
    </w:p>
    <w:p w14:paraId="0A82B8C3" w14:textId="77777777" w:rsidR="00A54FC0" w:rsidRDefault="00A54FC0" w:rsidP="00A54FC0">
      <w:pPr>
        <w:jc w:val="left"/>
      </w:pPr>
    </w:p>
    <w:p w14:paraId="50493AFB" w14:textId="77777777" w:rsidR="005E4C8C" w:rsidRDefault="005E4C8C" w:rsidP="00E25ECA">
      <w:pPr>
        <w:jc w:val="left"/>
      </w:pPr>
    </w:p>
    <w:p w14:paraId="0CC6D3B7" w14:textId="4B554D28" w:rsidR="00936FA7" w:rsidRPr="006D3AE2" w:rsidRDefault="00936FA7" w:rsidP="00E25ECA">
      <w:pPr>
        <w:jc w:val="left"/>
        <w:rPr>
          <w:szCs w:val="20"/>
        </w:rPr>
      </w:pPr>
      <w:r w:rsidRPr="006D3AE2">
        <w:rPr>
          <w:szCs w:val="20"/>
        </w:rPr>
        <w:br w:type="page"/>
      </w:r>
    </w:p>
    <w:p w14:paraId="4167A2E6" w14:textId="78E0CBAF" w:rsidR="00A34BEE" w:rsidRPr="00CB6B13" w:rsidRDefault="00022584" w:rsidP="00CB6B13">
      <w:pPr>
        <w:pStyle w:val="Titre1"/>
      </w:pPr>
      <w:bookmarkStart w:id="157" w:name="_Ref368302415"/>
      <w:bookmarkStart w:id="158" w:name="_Toc475033203"/>
      <w:r>
        <w:lastRenderedPageBreak/>
        <w:t>6</w:t>
      </w:r>
      <w:r w:rsidR="00A34BEE" w:rsidRPr="00A601E8">
        <w:t xml:space="preserve">. </w:t>
      </w:r>
      <w:bookmarkEnd w:id="114"/>
      <w:bookmarkEnd w:id="157"/>
      <w:r w:rsidR="00DD4DA7">
        <w:t>STRUCTURE ORGANISATIONNELLE</w:t>
      </w:r>
      <w:bookmarkEnd w:id="158"/>
    </w:p>
    <w:p w14:paraId="3FE11F55" w14:textId="269C7C2E" w:rsidR="00A34BEE" w:rsidRPr="00A601E8" w:rsidRDefault="00022584" w:rsidP="00A601E8">
      <w:pPr>
        <w:pStyle w:val="Titre2"/>
      </w:pPr>
      <w:bookmarkStart w:id="159" w:name="_Toc330481963"/>
      <w:bookmarkStart w:id="160" w:name="_Ref474074204"/>
      <w:bookmarkStart w:id="161" w:name="_Toc475033204"/>
      <w:r>
        <w:t>6</w:t>
      </w:r>
      <w:r w:rsidR="00A34BEE" w:rsidRPr="00A601E8">
        <w:t>.1. O</w:t>
      </w:r>
      <w:bookmarkEnd w:id="159"/>
      <w:r w:rsidR="00036E0A">
        <w:t>rganigramme juridique</w:t>
      </w:r>
      <w:bookmarkEnd w:id="160"/>
      <w:bookmarkEnd w:id="161"/>
    </w:p>
    <w:p w14:paraId="3A7BDF30" w14:textId="77777777" w:rsidR="00A34BEE" w:rsidRPr="00A34BEE" w:rsidRDefault="00A34BEE" w:rsidP="00A34BEE"/>
    <w:p w14:paraId="24606F7F" w14:textId="1FD18044" w:rsidR="00AA4D57" w:rsidRDefault="00AA4D57" w:rsidP="00AA4D57">
      <w:pPr>
        <w:rPr>
          <w:color w:val="FF0000"/>
        </w:rPr>
      </w:pPr>
      <w:r>
        <w:t xml:space="preserve">A la date du </w:t>
      </w:r>
      <w:r w:rsidR="00920DEB">
        <w:t>Document d’enregistrement universel</w:t>
      </w:r>
      <w:r>
        <w:t>, l’organigramme juridique du Groupe est le suivant</w:t>
      </w:r>
      <w:r w:rsidR="00171700">
        <w:t xml:space="preserve"> </w:t>
      </w:r>
      <w:r w:rsidRPr="00936FA7">
        <w:rPr>
          <w:color w:val="FF0000"/>
        </w:rPr>
        <w:t>:</w:t>
      </w:r>
    </w:p>
    <w:p w14:paraId="16FDB7EC" w14:textId="013142AD" w:rsidR="008E369E" w:rsidRDefault="008E369E" w:rsidP="00AA4D57"/>
    <w:bookmarkStart w:id="162" w:name="_Toc330481964"/>
    <w:p w14:paraId="454DBF34" w14:textId="79584516" w:rsidR="006357A8" w:rsidRDefault="00A22111" w:rsidP="00936FA7">
      <w:pPr>
        <w:rPr>
          <w:color w:val="FF0000"/>
        </w:rPr>
      </w:pPr>
      <w:r>
        <w:rPr>
          <w:noProof/>
          <w:color w:val="FF0000"/>
        </w:rPr>
        <mc:AlternateContent>
          <mc:Choice Requires="wpg">
            <w:drawing>
              <wp:anchor distT="0" distB="0" distL="114300" distR="114300" simplePos="0" relativeHeight="251658289" behindDoc="0" locked="0" layoutInCell="1" allowOverlap="1" wp14:anchorId="4A5F607E" wp14:editId="4CDFD6F5">
                <wp:simplePos x="0" y="0"/>
                <wp:positionH relativeFrom="column">
                  <wp:posOffset>2171700</wp:posOffset>
                </wp:positionH>
                <wp:positionV relativeFrom="paragraph">
                  <wp:posOffset>82550</wp:posOffset>
                </wp:positionV>
                <wp:extent cx="1028700" cy="1485900"/>
                <wp:effectExtent l="0" t="0" r="0" b="38100"/>
                <wp:wrapThrough wrapText="bothSides">
                  <wp:wrapPolygon edited="0">
                    <wp:start x="0" y="0"/>
                    <wp:lineTo x="0" y="7015"/>
                    <wp:lineTo x="7467" y="11815"/>
                    <wp:lineTo x="0" y="15138"/>
                    <wp:lineTo x="0" y="21785"/>
                    <wp:lineTo x="20267" y="21785"/>
                    <wp:lineTo x="20800" y="16246"/>
                    <wp:lineTo x="18667" y="14400"/>
                    <wp:lineTo x="11733" y="11815"/>
                    <wp:lineTo x="18133" y="11815"/>
                    <wp:lineTo x="20800" y="9969"/>
                    <wp:lineTo x="20267" y="0"/>
                    <wp:lineTo x="0" y="0"/>
                  </wp:wrapPolygon>
                </wp:wrapThrough>
                <wp:docPr id="540" name="Grouper 540"/>
                <wp:cNvGraphicFramePr/>
                <a:graphic xmlns:a="http://schemas.openxmlformats.org/drawingml/2006/main">
                  <a:graphicData uri="http://schemas.microsoft.com/office/word/2010/wordprocessingGroup">
                    <wpg:wgp>
                      <wpg:cNvGrpSpPr/>
                      <wpg:grpSpPr>
                        <a:xfrm>
                          <a:off x="0" y="0"/>
                          <a:ext cx="1028700" cy="1485900"/>
                          <a:chOff x="0" y="0"/>
                          <a:chExt cx="1028700" cy="1485900"/>
                        </a:xfrm>
                      </wpg:grpSpPr>
                      <wps:wsp>
                        <wps:cNvPr id="4" name="Zone de texte 4"/>
                        <wps:cNvSpPr txBox="1"/>
                        <wps:spPr>
                          <a:xfrm>
                            <a:off x="0" y="0"/>
                            <a:ext cx="914400" cy="457200"/>
                          </a:xfrm>
                          <a:prstGeom prst="rect">
                            <a:avLst/>
                          </a:prstGeom>
                          <a:solidFill>
                            <a:schemeClr val="tx2"/>
                          </a:solidFill>
                          <a:ln>
                            <a:solidFill>
                              <a:schemeClr val="tx2"/>
                            </a:solid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9F50DAC" w14:textId="71B05273" w:rsidR="000511BB" w:rsidRPr="008E369E" w:rsidRDefault="000511BB" w:rsidP="0063770E">
                              <w:pPr>
                                <w:jc w:val="center"/>
                                <w:rPr>
                                  <w:b/>
                                  <w:color w:val="FFFFFF" w:themeColor="background1"/>
                                </w:rPr>
                              </w:pPr>
                              <w:r>
                                <w:rPr>
                                  <w:b/>
                                  <w:color w:val="FFFFFF" w:themeColor="background1"/>
                                </w:rPr>
                                <w:t>Spineway SA</w:t>
                              </w:r>
                            </w:p>
                          </w:txbxContent>
                        </wps:txbx>
                        <wps:bodyPr rot="0" spcFirstLastPara="0" vertOverflow="overflow" horzOverflow="overflow" vert="horz" wrap="square" lIns="108000" tIns="45720" rIns="91440" bIns="45720" numCol="1" spcCol="0" rtlCol="0" fromWordArt="0" anchor="ctr" anchorCtr="0" forceAA="0" compatLnSpc="1">
                          <a:prstTxWarp prst="textNoShape">
                            <a:avLst/>
                          </a:prstTxWarp>
                          <a:noAutofit/>
                        </wps:bodyPr>
                      </wps:wsp>
                      <wps:wsp>
                        <wps:cNvPr id="7" name="Zone de texte 7"/>
                        <wps:cNvSpPr txBox="1"/>
                        <wps:spPr>
                          <a:xfrm>
                            <a:off x="0" y="1028700"/>
                            <a:ext cx="914400" cy="457200"/>
                          </a:xfrm>
                          <a:prstGeom prst="rect">
                            <a:avLst/>
                          </a:prstGeom>
                          <a:solidFill>
                            <a:schemeClr val="tx2"/>
                          </a:solidFill>
                          <a:ln>
                            <a:solidFill>
                              <a:schemeClr val="tx2"/>
                            </a:solid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0AAAED2" w14:textId="04C9E0BD" w:rsidR="000511BB" w:rsidRPr="008E369E" w:rsidRDefault="000511BB" w:rsidP="0063770E">
                              <w:pPr>
                                <w:jc w:val="center"/>
                                <w:rPr>
                                  <w:b/>
                                  <w:color w:val="FFFFFF" w:themeColor="background1"/>
                                </w:rPr>
                              </w:pPr>
                              <w:r>
                                <w:rPr>
                                  <w:b/>
                                  <w:color w:val="FFFFFF" w:themeColor="background1"/>
                                </w:rPr>
                                <w:t>Spineway USA Inc</w:t>
                              </w:r>
                            </w:p>
                          </w:txbxContent>
                        </wps:txbx>
                        <wps:bodyPr rot="0" spcFirstLastPara="0" vertOverflow="overflow" horzOverflow="overflow" vert="horz" wrap="square" lIns="108000" tIns="45720" rIns="91440" bIns="45720" numCol="1" spcCol="0" rtlCol="0" fromWordArt="0" anchor="ctr" anchorCtr="0" forceAA="0" compatLnSpc="1">
                          <a:prstTxWarp prst="textNoShape">
                            <a:avLst/>
                          </a:prstTxWarp>
                          <a:noAutofit/>
                        </wps:bodyPr>
                      </wps:wsp>
                      <wps:wsp>
                        <wps:cNvPr id="10" name="Connecteur droit avec flèche 10"/>
                        <wps:cNvCnPr/>
                        <wps:spPr>
                          <a:xfrm>
                            <a:off x="457200" y="571500"/>
                            <a:ext cx="0" cy="342900"/>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wps:wsp>
                        <wps:cNvPr id="12" name="Zone de texte 12"/>
                        <wps:cNvSpPr txBox="1"/>
                        <wps:spPr>
                          <a:xfrm>
                            <a:off x="457200" y="571500"/>
                            <a:ext cx="571500" cy="228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6F4A895" w14:textId="77777777" w:rsidR="000511BB" w:rsidRPr="00A22111" w:rsidRDefault="000511BB" w:rsidP="0063770E">
                              <w:pPr>
                                <w:rPr>
                                  <w:sz w:val="16"/>
                                  <w:szCs w:val="16"/>
                                </w:rPr>
                              </w:pPr>
                              <w:r w:rsidRPr="00A22111">
                                <w:rPr>
                                  <w:sz w:val="16"/>
                                  <w:szCs w:val="16"/>
                                </w:rPr>
                                <w:t>100%</w:t>
                              </w:r>
                            </w:p>
                          </w:txbxContent>
                        </wps:txbx>
                        <wps:bodyPr rot="0" spcFirstLastPara="0" vertOverflow="overflow" horzOverflow="overflow" vert="horz" wrap="square" lIns="180000" tIns="45720" rIns="91440" bIns="45720" numCol="1" spcCol="0" rtlCol="0" fromWordArt="0" anchor="ctr" anchorCtr="0" forceAA="0" compatLnSpc="1">
                          <a:prstTxWarp prst="textNoShape">
                            <a:avLst/>
                          </a:prstTxWarp>
                          <a:noAutofit/>
                        </wps:bodyPr>
                      </wps:wsp>
                    </wpg:wgp>
                  </a:graphicData>
                </a:graphic>
              </wp:anchor>
            </w:drawing>
          </mc:Choice>
          <mc:Fallback>
            <w:pict>
              <v:group id="Grouper 540" o:spid="_x0000_s1052" style="position:absolute;left:0;text-align:left;margin-left:171pt;margin-top:6.5pt;width:81pt;height:117pt;z-index:251658289" coordsize="1028700,14859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">
                <v:shape id="Zone de texte 4" o:spid="_x0000_s1053" type="#_x0000_t202" style="position:absolute;width:914400;height:4572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oUBJ2xQAA&#10;ANoAAAAPAAAAZHJzL2Rvd25yZXYueG1sRI9Pa8JAFMTvBb/D8oRepG5SSmlTV6mllR41/ru+Zp9J&#10;MPs27G5j6qd3BaHHYWZ+w0xmvWlER87XlhWk4wQEcWF1zaWCzfrr4QWED8gaG8uk4I88zKaDuwlm&#10;2p54RV0eShEh7DNUUIXQZlL6oiKDfmxb4ugdrDMYonSl1A5PEW4a+Zgkz9JgzXGhwpY+KiqO+a9R&#10;sPWvo53b/4w+89VycV50832azpW6H/bvbyAC9eE/fGt/awVPcL0Sb4CcXg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GhQEnbFAAAA2gAAAA8AAAAAAAAAAAAAAAAAlwIAAGRycy9k&#10;b3ducmV2LnhtbFBLBQYAAAAABAAEAPUAAACJAwAAAAA=&#10;" fillcolor="#1f497d [3215]" strokecolor="#1f497d [3215]">
                  <v:textbox inset="3mm">
                    <w:txbxContent>
                      <w:p w14:paraId="39F50DAC" w14:textId="71B05273" w:rsidR="00F011AB" w:rsidRPr="008E369E" w:rsidRDefault="00F011AB" w:rsidP="0063770E">
                        <w:pPr>
                          <w:jc w:val="center"/>
                          <w:rPr>
                            <w:b/>
                            <w:color w:val="FFFFFF" w:themeColor="background1"/>
                          </w:rPr>
                        </w:pPr>
                        <w:r>
                          <w:rPr>
                            <w:b/>
                            <w:color w:val="FFFFFF" w:themeColor="background1"/>
                          </w:rPr>
                          <w:t>Spineway SA</w:t>
                        </w:r>
                      </w:p>
                    </w:txbxContent>
                  </v:textbox>
                </v:shape>
                <v:shape id="Zone de texte 7" o:spid="_x0000_s1054" type="#_x0000_t202" style="position:absolute;top:1028700;width:914400;height:4572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YgowBxQAA&#10;ANoAAAAPAAAAZHJzL2Rvd25yZXYueG1sRI9Lb8IwEITvlfgP1iL1goqTHvpIMahULeoRwuu6jZck&#10;Il5HthtSfj1GQupxNDPfaCaz3jSiI+drywrScQKCuLC65lLBZv318ALCB2SNjWVS8EceZtPB3QQz&#10;bU+8oi4PpYgQ9hkqqEJoMyl9UZFBP7YtcfQO1hkMUbpSaoenCDeNfEySJ2mw5rhQYUsfFRXH/Nco&#10;2PrX0c7tf0af+Wq5OC+6+T5N50rdD/v3NxCB+vAfvrW/tYJnuF6JN0BOL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JiCjAHFAAAA2gAAAA8AAAAAAAAAAAAAAAAAlwIAAGRycy9k&#10;b3ducmV2LnhtbFBLBQYAAAAABAAEAPUAAACJAwAAAAA=&#10;" fillcolor="#1f497d [3215]" strokecolor="#1f497d [3215]">
                  <v:textbox inset="3mm">
                    <w:txbxContent>
                      <w:p w14:paraId="10AAAED2" w14:textId="04C9E0BD" w:rsidR="00F011AB" w:rsidRPr="008E369E" w:rsidRDefault="00F011AB" w:rsidP="0063770E">
                        <w:pPr>
                          <w:jc w:val="center"/>
                          <w:rPr>
                            <w:b/>
                            <w:color w:val="FFFFFF" w:themeColor="background1"/>
                          </w:rPr>
                        </w:pPr>
                        <w:r>
                          <w:rPr>
                            <w:b/>
                            <w:color w:val="FFFFFF" w:themeColor="background1"/>
                          </w:rPr>
                          <w:t>Spineway USA Inc</w:t>
                        </w:r>
                      </w:p>
                    </w:txbxContent>
                  </v:textbox>
                </v:shape>
                <v:shapetype id="_x0000_t32" coordsize="21600,21600" o:spt="32" o:oned="t" path="m0,0l21600,21600e" filled="f">
                  <v:path arrowok="t" fillok="f" o:connecttype="none"/>
                  <o:lock v:ext="edit" shapetype="t"/>
                </v:shapetype>
                <v:shape id="Connecteur droit avec flèche 10" o:spid="_x0000_s1055" type="#_x0000_t32" style="position:absolute;left:457200;top:571500;width:0;height:34290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Mp/q2cUAAADbAAAADwAAAGRycy9kb3ducmV2LnhtbESPQU8CMRCF7yb+h2ZMvEFXD4asFIIY&#10;lQDRiB44TrbD7sbttGnLsvx75kDibSbvzXvfTOeD61RPMbWeDTyMC1DElbct1wZ+f95GE1ApI1vs&#10;PJOBMyWYz25vplhaf+Jv6ne5VhLCqUQDTc6h1DpVDTlMYx+IRTv46DDLGmttI54k3HX6sSietMOW&#10;paHBQMuGqr/d0RlYbz+WuS/iObx+0tckbF4O+/fBmPu7YfEMKtOQ/83X65UVfKGXX2QAPbs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Mp/q2cUAAADbAAAADwAAAAAAAAAA&#10;AAAAAAChAgAAZHJzL2Rvd25yZXYueG1sUEsFBgAAAAAEAAQA+QAAAJMDAAAAAA==&#10;" strokecolor="#4f81bd [3204]" strokeweight="2pt">
                  <v:stroke endarrow="open"/>
                  <v:shadow on="t" opacity="24903f" mv:blur="40000f" origin=",.5" offset="0,20000emu"/>
                </v:shape>
                <v:shape id="Zone de texte 12" o:spid="_x0000_s1056" type="#_x0000_t202" style="position:absolute;left:457200;top:571500;width:571500;height:2286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" filled="f" stroked="f">
                  <v:textbox inset="5mm">
                    <w:txbxContent>
                      <w:p w14:paraId="26F4A895" w14:textId="77777777" w:rsidR="00F011AB" w:rsidRPr="00A22111" w:rsidRDefault="00F011AB" w:rsidP="0063770E">
                        <w:pPr>
                          <w:rPr>
                            <w:sz w:val="16"/>
                            <w:szCs w:val="16"/>
                          </w:rPr>
                        </w:pPr>
                        <w:r w:rsidRPr="00A22111">
                          <w:rPr>
                            <w:sz w:val="16"/>
                            <w:szCs w:val="16"/>
                          </w:rPr>
                          <w:t>100%</w:t>
                        </w:r>
                      </w:p>
                    </w:txbxContent>
                  </v:textbox>
                </v:shape>
                <w10:wrap type="through"/>
              </v:group>
            </w:pict>
          </mc:Fallback>
        </mc:AlternateContent>
      </w:r>
    </w:p>
    <w:p w14:paraId="1DC3DDB7" w14:textId="1E8A4899" w:rsidR="008E369E" w:rsidRDefault="008E369E" w:rsidP="00936FA7">
      <w:pPr>
        <w:rPr>
          <w:color w:val="FF0000"/>
        </w:rPr>
      </w:pPr>
    </w:p>
    <w:p w14:paraId="7E1D6AC0" w14:textId="77777777" w:rsidR="008E369E" w:rsidRDefault="008E369E" w:rsidP="00936FA7">
      <w:pPr>
        <w:rPr>
          <w:color w:val="FF0000"/>
        </w:rPr>
      </w:pPr>
    </w:p>
    <w:p w14:paraId="49954D92" w14:textId="03474F49" w:rsidR="008E369E" w:rsidRDefault="008E369E" w:rsidP="00936FA7">
      <w:pPr>
        <w:rPr>
          <w:color w:val="FF0000"/>
        </w:rPr>
      </w:pPr>
    </w:p>
    <w:p w14:paraId="7FCDC3C2" w14:textId="30E2D63F" w:rsidR="008E369E" w:rsidRDefault="008E369E" w:rsidP="00936FA7">
      <w:pPr>
        <w:rPr>
          <w:color w:val="FF0000"/>
        </w:rPr>
      </w:pPr>
    </w:p>
    <w:p w14:paraId="13DBF4FF" w14:textId="7F639524" w:rsidR="008E369E" w:rsidRDefault="008E369E" w:rsidP="00936FA7">
      <w:pPr>
        <w:rPr>
          <w:color w:val="FF0000"/>
        </w:rPr>
      </w:pPr>
    </w:p>
    <w:p w14:paraId="78529680" w14:textId="4E351555" w:rsidR="008E369E" w:rsidRDefault="008E369E" w:rsidP="00936FA7">
      <w:pPr>
        <w:rPr>
          <w:color w:val="FF0000"/>
        </w:rPr>
      </w:pPr>
    </w:p>
    <w:p w14:paraId="1364B1BA" w14:textId="12575A54" w:rsidR="008E369E" w:rsidRDefault="008E369E" w:rsidP="00936FA7">
      <w:pPr>
        <w:rPr>
          <w:color w:val="FF0000"/>
        </w:rPr>
      </w:pPr>
    </w:p>
    <w:p w14:paraId="7BF09941" w14:textId="77777777" w:rsidR="0063770E" w:rsidRDefault="0063770E" w:rsidP="00936FA7">
      <w:pPr>
        <w:rPr>
          <w:color w:val="FF0000"/>
        </w:rPr>
      </w:pPr>
    </w:p>
    <w:p w14:paraId="68AE3C20" w14:textId="77777777" w:rsidR="0063770E" w:rsidRDefault="0063770E" w:rsidP="00936FA7">
      <w:pPr>
        <w:rPr>
          <w:color w:val="FF0000"/>
        </w:rPr>
      </w:pPr>
    </w:p>
    <w:p w14:paraId="42464B8C" w14:textId="77777777" w:rsidR="00A22111" w:rsidRPr="00936FA7" w:rsidRDefault="00A22111" w:rsidP="00936FA7">
      <w:pPr>
        <w:rPr>
          <w:color w:val="FF0000"/>
        </w:rPr>
      </w:pPr>
    </w:p>
    <w:p w14:paraId="1B78C899" w14:textId="718854AB" w:rsidR="00D50611" w:rsidRPr="00A601E8" w:rsidRDefault="00022584" w:rsidP="00A601E8">
      <w:pPr>
        <w:pStyle w:val="Titre2"/>
      </w:pPr>
      <w:bookmarkStart w:id="163" w:name="_Ref474061157"/>
      <w:bookmarkStart w:id="164" w:name="_Toc475033205"/>
      <w:r>
        <w:t>6</w:t>
      </w:r>
      <w:r w:rsidR="00B9781E" w:rsidRPr="00A601E8">
        <w:t xml:space="preserve">.2. </w:t>
      </w:r>
      <w:r w:rsidR="00D50611" w:rsidRPr="00A601E8">
        <w:t>P</w:t>
      </w:r>
      <w:bookmarkEnd w:id="162"/>
      <w:r w:rsidR="00036E0A">
        <w:t>résentation des sociétés du Groupe</w:t>
      </w:r>
      <w:bookmarkEnd w:id="163"/>
      <w:bookmarkEnd w:id="164"/>
    </w:p>
    <w:p w14:paraId="03B4641C" w14:textId="77777777" w:rsidR="00B9781E" w:rsidRPr="00B9781E" w:rsidRDefault="00B9781E" w:rsidP="00B9781E"/>
    <w:p w14:paraId="442C7FF3" w14:textId="38E0BEA1" w:rsidR="006B37A2" w:rsidRDefault="00936FA7" w:rsidP="00A22111">
      <w:r>
        <w:t xml:space="preserve">A la date du </w:t>
      </w:r>
      <w:r w:rsidR="00920DEB">
        <w:t>Document d’enregistrement universel</w:t>
      </w:r>
      <w:r w:rsidR="006B01B1" w:rsidRPr="007705D4">
        <w:t>, la Société détient</w:t>
      </w:r>
      <w:r w:rsidR="00C44BC0">
        <w:t xml:space="preserve"> </w:t>
      </w:r>
      <w:r w:rsidR="00A22111">
        <w:t>une</w:t>
      </w:r>
      <w:r w:rsidR="00C44BC0">
        <w:rPr>
          <w:color w:val="FF0000"/>
        </w:rPr>
        <w:t xml:space="preserve"> </w:t>
      </w:r>
      <w:r w:rsidR="00A22111">
        <w:t>filiale</w:t>
      </w:r>
      <w:r w:rsidR="00C44BC0">
        <w:t xml:space="preserve"> à hauteur de 100% du capital et </w:t>
      </w:r>
      <w:r w:rsidR="00C44BC0" w:rsidRPr="007A30B2">
        <w:t>des droits de vote :</w:t>
      </w:r>
      <w:r w:rsidR="00A22111" w:rsidRPr="007A30B2">
        <w:t xml:space="preserve"> </w:t>
      </w:r>
      <w:r w:rsidR="008E369E" w:rsidRPr="007A30B2">
        <w:t>Spineway USA Inc</w:t>
      </w:r>
      <w:r w:rsidR="00942A4F" w:rsidRPr="007A30B2">
        <w:t>.</w:t>
      </w:r>
      <w:r w:rsidR="008E369E" w:rsidRPr="007A30B2">
        <w:t xml:space="preserve">, </w:t>
      </w:r>
      <w:r w:rsidR="005A30B1" w:rsidRPr="007A30B2">
        <w:t xml:space="preserve">créée </w:t>
      </w:r>
      <w:r w:rsidR="00096B93" w:rsidRPr="007A30B2">
        <w:t>le 1</w:t>
      </w:r>
      <w:r w:rsidR="00096B93" w:rsidRPr="007A30B2">
        <w:rPr>
          <w:vertAlign w:val="superscript"/>
        </w:rPr>
        <w:t>er</w:t>
      </w:r>
      <w:r w:rsidR="00096B93" w:rsidRPr="007A30B2">
        <w:t xml:space="preserve"> août</w:t>
      </w:r>
      <w:r w:rsidR="005A30B1" w:rsidRPr="007A30B2">
        <w:t xml:space="preserve"> 2016 et </w:t>
      </w:r>
      <w:r w:rsidR="008E369E" w:rsidRPr="007A30B2">
        <w:t>basée en Floride</w:t>
      </w:r>
      <w:r w:rsidR="005A30B1" w:rsidRPr="007A30B2">
        <w:t xml:space="preserve">, </w:t>
      </w:r>
      <w:r w:rsidR="00BF3368">
        <w:t xml:space="preserve">qui </w:t>
      </w:r>
      <w:r w:rsidR="008E369E" w:rsidRPr="007A30B2">
        <w:t xml:space="preserve">réalise </w:t>
      </w:r>
      <w:r w:rsidR="007A30B2" w:rsidRPr="007A30B2">
        <w:t>1</w:t>
      </w:r>
      <w:r w:rsidR="008E369E" w:rsidRPr="007A30B2">
        <w:t xml:space="preserve">% du </w:t>
      </w:r>
      <w:r w:rsidR="007A30B2">
        <w:t>c</w:t>
      </w:r>
      <w:r w:rsidR="008E369E" w:rsidRPr="007A30B2">
        <w:t xml:space="preserve">hiffre d’affaires consolidé du Groupe </w:t>
      </w:r>
      <w:r w:rsidR="00096B93" w:rsidRPr="007A30B2">
        <w:t>au</w:t>
      </w:r>
      <w:r w:rsidR="008E369E" w:rsidRPr="007A30B2">
        <w:t xml:space="preserve"> </w:t>
      </w:r>
      <w:r w:rsidR="00A22111" w:rsidRPr="007A30B2">
        <w:t>31 décembre 2020</w:t>
      </w:r>
      <w:r w:rsidR="008E369E" w:rsidRPr="007A30B2">
        <w:t>.</w:t>
      </w:r>
      <w:r w:rsidR="005A30B1" w:rsidRPr="007A30B2">
        <w:t xml:space="preserve"> Cette filiale a pour missions la diffusion aux </w:t>
      </w:r>
      <w:r w:rsidR="00A54FC0">
        <w:t>Etats-Unis</w:t>
      </w:r>
      <w:r w:rsidR="00A54FC0" w:rsidRPr="007A30B2">
        <w:t xml:space="preserve"> </w:t>
      </w:r>
      <w:r w:rsidR="005A30B1" w:rsidRPr="007A30B2">
        <w:t>de l'ensemble des</w:t>
      </w:r>
      <w:r w:rsidR="005A30B1" w:rsidRPr="005A30B1">
        <w:t xml:space="preserve"> produits du Groupe et la relation client avec les distributeurs et chirurgiens utilisateurs des produits Spineway</w:t>
      </w:r>
      <w:r w:rsidR="005A30B1" w:rsidRPr="005D2E4B">
        <w:t>.</w:t>
      </w:r>
    </w:p>
    <w:p w14:paraId="4A29BCC3" w14:textId="0893E21F" w:rsidR="008E369E" w:rsidRDefault="005D2E4B" w:rsidP="00A22111">
      <w:r w:rsidRPr="00FB001F">
        <w:t>Les actifs détenus par Spineway US</w:t>
      </w:r>
      <w:r w:rsidRPr="003764F2">
        <w:t>A</w:t>
      </w:r>
      <w:r w:rsidRPr="00FB001F">
        <w:t xml:space="preserve"> </w:t>
      </w:r>
      <w:r w:rsidR="00A54FC0">
        <w:t xml:space="preserve">Inc. </w:t>
      </w:r>
      <w:r w:rsidRPr="00FB001F">
        <w:t>sont quasi-exclusivement des kits d’instrument mis en dépôt chez des clients.</w:t>
      </w:r>
    </w:p>
    <w:p w14:paraId="4B5A25B0" w14:textId="0608B046" w:rsidR="00DC3B11" w:rsidRPr="005D2E4B" w:rsidRDefault="00DC3B11" w:rsidP="00A22111">
      <w:r>
        <w:t>L’activité de Spineway USA Inc.</w:t>
      </w:r>
      <w:r w:rsidR="006B37A2">
        <w:t xml:space="preserve"> a été pénalisée</w:t>
      </w:r>
      <w:r>
        <w:t xml:space="preserve"> par la liquidation</w:t>
      </w:r>
      <w:r w:rsidR="006B37A2">
        <w:t>,</w:t>
      </w:r>
      <w:r>
        <w:t xml:space="preserve"> </w:t>
      </w:r>
      <w:r w:rsidR="006B37A2">
        <w:t xml:space="preserve">en 2018, </w:t>
      </w:r>
      <w:r>
        <w:t>d</w:t>
      </w:r>
      <w:r w:rsidR="006B37A2">
        <w:t>e son</w:t>
      </w:r>
      <w:r>
        <w:t xml:space="preserve"> principal distributeur</w:t>
      </w:r>
      <w:r w:rsidR="007A30B2">
        <w:t>.</w:t>
      </w:r>
      <w:r w:rsidR="00797D5B">
        <w:t xml:space="preserve"> Le Groupe a</w:t>
      </w:r>
      <w:r>
        <w:t xml:space="preserve"> alors</w:t>
      </w:r>
      <w:r w:rsidR="00797D5B">
        <w:t xml:space="preserve"> restructuré </w:t>
      </w:r>
      <w:r w:rsidR="006B37A2">
        <w:t xml:space="preserve">Spineway USA Inc. </w:t>
      </w:r>
      <w:r w:rsidR="00797D5B">
        <w:t>et</w:t>
      </w:r>
      <w:r>
        <w:t xml:space="preserve"> initié des démarches actives de prospection mais aussi de promotion auprès des distributeurs et des </w:t>
      </w:r>
      <w:r w:rsidR="006B37A2">
        <w:t xml:space="preserve">chirurgiens américains afin de </w:t>
      </w:r>
      <w:r>
        <w:t>renouer avec la croissance sur ce territoire à fort potentiel.</w:t>
      </w:r>
    </w:p>
    <w:p w14:paraId="4C823C3A" w14:textId="77777777" w:rsidR="0084225F" w:rsidRDefault="0084225F" w:rsidP="006B01B1">
      <w:pPr>
        <w:rPr>
          <w:b/>
          <w:i/>
        </w:rPr>
      </w:pPr>
    </w:p>
    <w:tbl>
      <w:tblPr>
        <w:tblW w:w="8663" w:type="dxa"/>
        <w:tblInd w:w="70" w:type="dxa"/>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tblLayout w:type="fixed"/>
        <w:tblCellMar>
          <w:left w:w="70" w:type="dxa"/>
          <w:right w:w="70" w:type="dxa"/>
        </w:tblCellMar>
        <w:tblLook w:val="04A0" w:firstRow="1" w:lastRow="0" w:firstColumn="1" w:lastColumn="0" w:noHBand="0" w:noVBand="1"/>
      </w:tblPr>
      <w:tblGrid>
        <w:gridCol w:w="1716"/>
        <w:gridCol w:w="1418"/>
        <w:gridCol w:w="1417"/>
        <w:gridCol w:w="1276"/>
        <w:gridCol w:w="1433"/>
        <w:gridCol w:w="1403"/>
      </w:tblGrid>
      <w:tr w:rsidR="00877039" w:rsidRPr="008E369E" w14:paraId="3D133C0A" w14:textId="77777777" w:rsidTr="00877039">
        <w:trPr>
          <w:trHeight w:val="860"/>
        </w:trPr>
        <w:tc>
          <w:tcPr>
            <w:tcW w:w="1716" w:type="dxa"/>
            <w:shd w:val="clear" w:color="auto" w:fill="auto"/>
            <w:noWrap/>
            <w:vAlign w:val="bottom"/>
            <w:hideMark/>
          </w:tcPr>
          <w:p w14:paraId="5EF96AEC" w14:textId="77777777" w:rsidR="00877039" w:rsidRPr="008E369E" w:rsidRDefault="00877039" w:rsidP="00DC3B11">
            <w:pPr>
              <w:ind w:left="-779"/>
              <w:jc w:val="left"/>
              <w:rPr>
                <w:rFonts w:ascii="Calibri" w:eastAsia="Times New Roman" w:hAnsi="Calibri" w:cs="Times New Roman"/>
                <w:color w:val="000000"/>
                <w:szCs w:val="20"/>
              </w:rPr>
            </w:pPr>
          </w:p>
        </w:tc>
        <w:tc>
          <w:tcPr>
            <w:tcW w:w="1418" w:type="dxa"/>
            <w:vMerge w:val="restart"/>
            <w:shd w:val="clear" w:color="000000" w:fill="1F4E78"/>
            <w:vAlign w:val="center"/>
            <w:hideMark/>
          </w:tcPr>
          <w:p w14:paraId="2187D620" w14:textId="5C7A30F6" w:rsidR="00877039" w:rsidRPr="008E369E" w:rsidRDefault="00877039" w:rsidP="008E369E">
            <w:pPr>
              <w:jc w:val="center"/>
              <w:rPr>
                <w:rFonts w:ascii="Calibri" w:eastAsia="Times New Roman" w:hAnsi="Calibri" w:cs="Times New Roman"/>
                <w:b/>
                <w:bCs/>
                <w:color w:val="FFFFFF"/>
                <w:szCs w:val="20"/>
              </w:rPr>
            </w:pPr>
            <w:r w:rsidRPr="008E369E">
              <w:rPr>
                <w:rFonts w:ascii="Calibri" w:eastAsia="Times New Roman" w:hAnsi="Calibri" w:cs="Times New Roman"/>
                <w:b/>
                <w:bCs/>
                <w:color w:val="FFFFFF"/>
                <w:szCs w:val="20"/>
              </w:rPr>
              <w:t>Activités</w:t>
            </w:r>
          </w:p>
        </w:tc>
        <w:tc>
          <w:tcPr>
            <w:tcW w:w="2693" w:type="dxa"/>
            <w:gridSpan w:val="2"/>
            <w:shd w:val="clear" w:color="000000" w:fill="1F4E78"/>
            <w:vAlign w:val="center"/>
            <w:hideMark/>
          </w:tcPr>
          <w:p w14:paraId="68B4A62E" w14:textId="584BF81F" w:rsidR="00877039" w:rsidRPr="008E369E" w:rsidRDefault="00877039" w:rsidP="00DC3B11">
            <w:pPr>
              <w:jc w:val="center"/>
              <w:rPr>
                <w:rFonts w:ascii="Calibri" w:eastAsia="Times New Roman" w:hAnsi="Calibri" w:cs="Times New Roman"/>
                <w:b/>
                <w:bCs/>
                <w:color w:val="FFFFFF"/>
                <w:szCs w:val="20"/>
              </w:rPr>
            </w:pPr>
            <w:r>
              <w:rPr>
                <w:rFonts w:ascii="Calibri" w:eastAsia="Times New Roman" w:hAnsi="Calibri" w:cs="Times New Roman"/>
                <w:b/>
                <w:bCs/>
                <w:color w:val="FFFFFF"/>
                <w:szCs w:val="20"/>
              </w:rPr>
              <w:t>31 décembre 2020</w:t>
            </w:r>
          </w:p>
        </w:tc>
        <w:tc>
          <w:tcPr>
            <w:tcW w:w="2836" w:type="dxa"/>
            <w:gridSpan w:val="2"/>
            <w:shd w:val="clear" w:color="000000" w:fill="1F4E78"/>
            <w:vAlign w:val="center"/>
          </w:tcPr>
          <w:p w14:paraId="478B10E0" w14:textId="0E8040E1" w:rsidR="00877039" w:rsidRPr="008E369E" w:rsidRDefault="00877039" w:rsidP="00DC3B11">
            <w:pPr>
              <w:jc w:val="center"/>
              <w:rPr>
                <w:rFonts w:ascii="Calibri" w:eastAsia="Times New Roman" w:hAnsi="Calibri" w:cs="Times New Roman"/>
                <w:b/>
                <w:bCs/>
                <w:color w:val="FFFFFF"/>
                <w:szCs w:val="20"/>
              </w:rPr>
            </w:pPr>
            <w:r>
              <w:rPr>
                <w:rFonts w:ascii="Calibri" w:eastAsia="Times New Roman" w:hAnsi="Calibri" w:cs="Times New Roman"/>
                <w:b/>
                <w:bCs/>
                <w:color w:val="FFFFFF"/>
                <w:szCs w:val="20"/>
              </w:rPr>
              <w:t>31 décembre 2019</w:t>
            </w:r>
          </w:p>
        </w:tc>
      </w:tr>
      <w:tr w:rsidR="00877039" w:rsidRPr="008E369E" w14:paraId="2CFC17B1" w14:textId="77777777" w:rsidTr="00877039">
        <w:trPr>
          <w:trHeight w:val="860"/>
        </w:trPr>
        <w:tc>
          <w:tcPr>
            <w:tcW w:w="1716" w:type="dxa"/>
            <w:shd w:val="clear" w:color="auto" w:fill="auto"/>
            <w:noWrap/>
            <w:vAlign w:val="bottom"/>
          </w:tcPr>
          <w:p w14:paraId="1AE489C0" w14:textId="77777777" w:rsidR="00877039" w:rsidRPr="008E369E" w:rsidRDefault="00877039" w:rsidP="00DC3B11">
            <w:pPr>
              <w:ind w:left="-779"/>
              <w:jc w:val="left"/>
              <w:rPr>
                <w:rFonts w:ascii="Calibri" w:eastAsia="Times New Roman" w:hAnsi="Calibri" w:cs="Times New Roman"/>
                <w:color w:val="000000"/>
                <w:szCs w:val="20"/>
              </w:rPr>
            </w:pPr>
          </w:p>
        </w:tc>
        <w:tc>
          <w:tcPr>
            <w:tcW w:w="1418" w:type="dxa"/>
            <w:vMerge/>
            <w:shd w:val="clear" w:color="000000" w:fill="1F4E78"/>
            <w:vAlign w:val="center"/>
          </w:tcPr>
          <w:p w14:paraId="4C85566D" w14:textId="3898E446" w:rsidR="00877039" w:rsidRPr="008E369E" w:rsidRDefault="00877039" w:rsidP="008E369E">
            <w:pPr>
              <w:jc w:val="center"/>
              <w:rPr>
                <w:rFonts w:ascii="Calibri" w:eastAsia="Times New Roman" w:hAnsi="Calibri" w:cs="Times New Roman"/>
                <w:b/>
                <w:bCs/>
                <w:color w:val="FFFFFF"/>
                <w:szCs w:val="20"/>
              </w:rPr>
            </w:pPr>
          </w:p>
        </w:tc>
        <w:tc>
          <w:tcPr>
            <w:tcW w:w="1417" w:type="dxa"/>
            <w:shd w:val="clear" w:color="000000" w:fill="1F4E78"/>
            <w:vAlign w:val="center"/>
          </w:tcPr>
          <w:p w14:paraId="7B80D518" w14:textId="51A7CE94" w:rsidR="00877039" w:rsidRDefault="00877039" w:rsidP="008E369E">
            <w:pPr>
              <w:jc w:val="center"/>
              <w:rPr>
                <w:rFonts w:ascii="Calibri" w:eastAsia="Times New Roman" w:hAnsi="Calibri" w:cs="Times New Roman"/>
                <w:b/>
                <w:bCs/>
                <w:color w:val="FFFFFF"/>
                <w:szCs w:val="20"/>
              </w:rPr>
            </w:pPr>
            <w:r>
              <w:rPr>
                <w:rFonts w:ascii="Calibri" w:eastAsia="Times New Roman" w:hAnsi="Calibri" w:cs="Times New Roman"/>
                <w:b/>
                <w:bCs/>
                <w:color w:val="FFFFFF"/>
                <w:szCs w:val="20"/>
              </w:rPr>
              <w:t>Chiffre d’affaires</w:t>
            </w:r>
          </w:p>
        </w:tc>
        <w:tc>
          <w:tcPr>
            <w:tcW w:w="1276" w:type="dxa"/>
            <w:shd w:val="clear" w:color="000000" w:fill="1F4E78"/>
            <w:vAlign w:val="center"/>
          </w:tcPr>
          <w:p w14:paraId="187BF43B" w14:textId="26604CFA" w:rsidR="00877039" w:rsidRDefault="00877039" w:rsidP="008E369E">
            <w:pPr>
              <w:jc w:val="center"/>
              <w:rPr>
                <w:rFonts w:ascii="Calibri" w:eastAsia="Times New Roman" w:hAnsi="Calibri" w:cs="Times New Roman"/>
                <w:b/>
                <w:bCs/>
                <w:color w:val="FFFFFF"/>
                <w:szCs w:val="20"/>
              </w:rPr>
            </w:pPr>
            <w:r>
              <w:rPr>
                <w:rFonts w:ascii="Calibri" w:eastAsia="Times New Roman" w:hAnsi="Calibri" w:cs="Times New Roman"/>
                <w:b/>
                <w:bCs/>
                <w:color w:val="FFFFFF"/>
                <w:szCs w:val="20"/>
              </w:rPr>
              <w:t>Résultat net</w:t>
            </w:r>
          </w:p>
        </w:tc>
        <w:tc>
          <w:tcPr>
            <w:tcW w:w="1433" w:type="dxa"/>
            <w:shd w:val="clear" w:color="000000" w:fill="1F4E78"/>
            <w:vAlign w:val="center"/>
          </w:tcPr>
          <w:p w14:paraId="66552E4F" w14:textId="44CAF63A" w:rsidR="00877039" w:rsidRDefault="00877039" w:rsidP="00A22111">
            <w:pPr>
              <w:jc w:val="center"/>
              <w:rPr>
                <w:rFonts w:ascii="Calibri" w:eastAsia="Times New Roman" w:hAnsi="Calibri" w:cs="Times New Roman"/>
                <w:b/>
                <w:bCs/>
                <w:color w:val="FFFFFF"/>
                <w:szCs w:val="20"/>
              </w:rPr>
            </w:pPr>
            <w:r>
              <w:rPr>
                <w:rFonts w:ascii="Calibri" w:eastAsia="Times New Roman" w:hAnsi="Calibri" w:cs="Times New Roman"/>
                <w:b/>
                <w:bCs/>
                <w:color w:val="FFFFFF"/>
                <w:szCs w:val="20"/>
              </w:rPr>
              <w:t>Chiffre d’affaires</w:t>
            </w:r>
          </w:p>
        </w:tc>
        <w:tc>
          <w:tcPr>
            <w:tcW w:w="1403" w:type="dxa"/>
            <w:shd w:val="clear" w:color="000000" w:fill="1F4E78"/>
            <w:vAlign w:val="center"/>
          </w:tcPr>
          <w:p w14:paraId="6CDE7359" w14:textId="3954F785" w:rsidR="00877039" w:rsidRDefault="00877039" w:rsidP="00A22111">
            <w:pPr>
              <w:jc w:val="center"/>
              <w:rPr>
                <w:rFonts w:ascii="Calibri" w:eastAsia="Times New Roman" w:hAnsi="Calibri" w:cs="Times New Roman"/>
                <w:b/>
                <w:bCs/>
                <w:color w:val="FFFFFF"/>
                <w:szCs w:val="20"/>
              </w:rPr>
            </w:pPr>
            <w:r>
              <w:rPr>
                <w:rFonts w:ascii="Calibri" w:eastAsia="Times New Roman" w:hAnsi="Calibri" w:cs="Times New Roman"/>
                <w:b/>
                <w:bCs/>
                <w:color w:val="FFFFFF"/>
                <w:szCs w:val="20"/>
              </w:rPr>
              <w:t>Résultat net</w:t>
            </w:r>
          </w:p>
        </w:tc>
      </w:tr>
      <w:tr w:rsidR="00877039" w:rsidRPr="008E369E" w14:paraId="128E2C36" w14:textId="77777777" w:rsidTr="00877039">
        <w:trPr>
          <w:trHeight w:hRule="exact" w:val="1085"/>
        </w:trPr>
        <w:tc>
          <w:tcPr>
            <w:tcW w:w="1716" w:type="dxa"/>
            <w:shd w:val="clear" w:color="000000" w:fill="DDEBF7"/>
            <w:noWrap/>
            <w:vAlign w:val="center"/>
            <w:hideMark/>
          </w:tcPr>
          <w:p w14:paraId="25F31D3B" w14:textId="4955010F" w:rsidR="00877039" w:rsidRPr="008E369E" w:rsidRDefault="00877039" w:rsidP="008E369E">
            <w:pPr>
              <w:jc w:val="center"/>
              <w:rPr>
                <w:rFonts w:ascii="Calibri" w:eastAsia="Times New Roman" w:hAnsi="Calibri" w:cs="Times New Roman"/>
                <w:color w:val="000000"/>
                <w:szCs w:val="20"/>
              </w:rPr>
            </w:pPr>
            <w:r w:rsidRPr="008E369E">
              <w:rPr>
                <w:rFonts w:ascii="Calibri" w:eastAsia="Times New Roman" w:hAnsi="Calibri" w:cs="Times New Roman"/>
                <w:color w:val="000000"/>
                <w:szCs w:val="20"/>
              </w:rPr>
              <w:t>Spineway USA Inc</w:t>
            </w:r>
            <w:r>
              <w:rPr>
                <w:rFonts w:ascii="Calibri" w:eastAsia="Times New Roman" w:hAnsi="Calibri" w:cs="Times New Roman"/>
                <w:color w:val="000000"/>
                <w:szCs w:val="20"/>
              </w:rPr>
              <w:t>.</w:t>
            </w:r>
          </w:p>
        </w:tc>
        <w:tc>
          <w:tcPr>
            <w:tcW w:w="1418" w:type="dxa"/>
            <w:shd w:val="clear" w:color="000000" w:fill="DDEBF7"/>
            <w:noWrap/>
            <w:vAlign w:val="center"/>
            <w:hideMark/>
          </w:tcPr>
          <w:p w14:paraId="7AB532DA" w14:textId="60670DDE" w:rsidR="00877039" w:rsidRPr="008E369E" w:rsidRDefault="00877039" w:rsidP="00606D69">
            <w:pPr>
              <w:jc w:val="center"/>
              <w:rPr>
                <w:rFonts w:ascii="Calibri" w:eastAsia="Times New Roman" w:hAnsi="Calibri" w:cs="Times New Roman"/>
                <w:color w:val="000000"/>
                <w:szCs w:val="20"/>
              </w:rPr>
            </w:pPr>
            <w:r w:rsidRPr="008E369E">
              <w:rPr>
                <w:szCs w:val="20"/>
              </w:rPr>
              <w:t>Distribution des produits</w:t>
            </w:r>
            <w:r w:rsidR="00DC6E98">
              <w:rPr>
                <w:szCs w:val="20"/>
              </w:rPr>
              <w:t xml:space="preserve"> </w:t>
            </w:r>
            <w:r>
              <w:rPr>
                <w:szCs w:val="20"/>
              </w:rPr>
              <w:t>Spineway</w:t>
            </w:r>
            <w:r w:rsidRPr="008E369E">
              <w:rPr>
                <w:szCs w:val="20"/>
              </w:rPr>
              <w:t xml:space="preserve"> </w:t>
            </w:r>
          </w:p>
        </w:tc>
        <w:tc>
          <w:tcPr>
            <w:tcW w:w="1417" w:type="dxa"/>
            <w:shd w:val="clear" w:color="000000" w:fill="DDEBF7"/>
            <w:noWrap/>
            <w:vAlign w:val="center"/>
            <w:hideMark/>
          </w:tcPr>
          <w:p w14:paraId="3EE791CB" w14:textId="55173D05" w:rsidR="00877039" w:rsidRPr="00A04F41" w:rsidRDefault="00877039" w:rsidP="008E369E">
            <w:pPr>
              <w:jc w:val="center"/>
              <w:rPr>
                <w:szCs w:val="20"/>
              </w:rPr>
            </w:pPr>
            <w:r w:rsidRPr="00A04F41">
              <w:rPr>
                <w:szCs w:val="20"/>
              </w:rPr>
              <w:t>54 K$ </w:t>
            </w:r>
          </w:p>
          <w:p w14:paraId="2D2408BC" w14:textId="4A21E3EA" w:rsidR="00877039" w:rsidRPr="00A04F41" w:rsidRDefault="00877039" w:rsidP="00A04F41">
            <w:pPr>
              <w:jc w:val="center"/>
              <w:rPr>
                <w:rFonts w:eastAsia="Times New Roman" w:cs="Times New Roman"/>
                <w:szCs w:val="20"/>
              </w:rPr>
            </w:pPr>
            <w:r w:rsidRPr="00A04F41">
              <w:rPr>
                <w:szCs w:val="20"/>
              </w:rPr>
              <w:t xml:space="preserve">soit 45 </w:t>
            </w:r>
            <w:r w:rsidRPr="00A04F41">
              <w:rPr>
                <w:rFonts w:eastAsia="Times New Roman" w:cs="Times New Roman"/>
                <w:szCs w:val="20"/>
              </w:rPr>
              <w:t>K€</w:t>
            </w:r>
            <w:r>
              <w:rPr>
                <w:rFonts w:eastAsia="Times New Roman" w:cs="Times New Roman"/>
                <w:szCs w:val="20"/>
              </w:rPr>
              <w:t>*</w:t>
            </w:r>
          </w:p>
        </w:tc>
        <w:tc>
          <w:tcPr>
            <w:tcW w:w="1276" w:type="dxa"/>
            <w:shd w:val="clear" w:color="000000" w:fill="DDEBF7"/>
            <w:vAlign w:val="center"/>
          </w:tcPr>
          <w:p w14:paraId="138E020A" w14:textId="6E8D3345" w:rsidR="00877039" w:rsidRPr="00A04F41" w:rsidRDefault="00877039" w:rsidP="00A22111">
            <w:pPr>
              <w:jc w:val="center"/>
              <w:rPr>
                <w:szCs w:val="20"/>
              </w:rPr>
            </w:pPr>
            <w:r w:rsidRPr="00A04F41">
              <w:rPr>
                <w:szCs w:val="20"/>
              </w:rPr>
              <w:t>- 531 K$ </w:t>
            </w:r>
          </w:p>
          <w:p w14:paraId="4E33EB67" w14:textId="11315659" w:rsidR="00877039" w:rsidRPr="00A04F41" w:rsidRDefault="00877039" w:rsidP="00A04F41">
            <w:pPr>
              <w:pStyle w:val="Pieddepage"/>
              <w:jc w:val="center"/>
              <w:rPr>
                <w:rFonts w:asciiTheme="majorHAnsi" w:eastAsiaTheme="minorEastAsia" w:hAnsiTheme="majorHAnsi" w:cstheme="minorBidi"/>
                <w:sz w:val="20"/>
                <w:szCs w:val="20"/>
              </w:rPr>
            </w:pPr>
            <w:r w:rsidRPr="00A04F41">
              <w:rPr>
                <w:rFonts w:asciiTheme="majorHAnsi" w:hAnsiTheme="majorHAnsi"/>
                <w:sz w:val="20"/>
                <w:szCs w:val="20"/>
              </w:rPr>
              <w:t xml:space="preserve">soit </w:t>
            </w:r>
            <w:r>
              <w:rPr>
                <w:rFonts w:asciiTheme="majorHAnsi" w:hAnsiTheme="majorHAnsi"/>
                <w:sz w:val="20"/>
                <w:szCs w:val="20"/>
              </w:rPr>
              <w:t>-</w:t>
            </w:r>
            <w:r w:rsidRPr="00A04F41">
              <w:rPr>
                <w:rFonts w:asciiTheme="majorHAnsi" w:hAnsiTheme="majorHAnsi"/>
                <w:sz w:val="20"/>
                <w:szCs w:val="20"/>
              </w:rPr>
              <w:t xml:space="preserve"> 438</w:t>
            </w:r>
            <w:r>
              <w:rPr>
                <w:rFonts w:asciiTheme="majorHAnsi" w:hAnsiTheme="majorHAnsi"/>
                <w:sz w:val="20"/>
                <w:szCs w:val="20"/>
              </w:rPr>
              <w:t xml:space="preserve"> </w:t>
            </w:r>
            <w:r w:rsidRPr="00A04F41">
              <w:rPr>
                <w:rFonts w:asciiTheme="majorHAnsi" w:hAnsiTheme="majorHAnsi"/>
                <w:sz w:val="20"/>
                <w:szCs w:val="20"/>
              </w:rPr>
              <w:t>K€</w:t>
            </w:r>
            <w:r>
              <w:rPr>
                <w:rFonts w:asciiTheme="majorHAnsi" w:hAnsiTheme="majorHAnsi"/>
                <w:sz w:val="20"/>
                <w:szCs w:val="20"/>
              </w:rPr>
              <w:t>*</w:t>
            </w:r>
          </w:p>
        </w:tc>
        <w:tc>
          <w:tcPr>
            <w:tcW w:w="1433" w:type="dxa"/>
            <w:shd w:val="clear" w:color="000000" w:fill="DDEBF7"/>
            <w:vAlign w:val="center"/>
          </w:tcPr>
          <w:p w14:paraId="1F9E9970" w14:textId="39F4CA30" w:rsidR="00877039" w:rsidRPr="00A04F41" w:rsidRDefault="00877039" w:rsidP="00797D5B">
            <w:pPr>
              <w:jc w:val="center"/>
              <w:rPr>
                <w:szCs w:val="20"/>
              </w:rPr>
            </w:pPr>
            <w:r w:rsidRPr="00A04F41">
              <w:rPr>
                <w:szCs w:val="20"/>
              </w:rPr>
              <w:t>167 K$ </w:t>
            </w:r>
          </w:p>
          <w:p w14:paraId="661BEDA0" w14:textId="2CCA5752" w:rsidR="00877039" w:rsidRPr="00A04F41" w:rsidRDefault="00877039" w:rsidP="00A04F41">
            <w:pPr>
              <w:jc w:val="center"/>
              <w:rPr>
                <w:szCs w:val="20"/>
              </w:rPr>
            </w:pPr>
            <w:r w:rsidRPr="00A04F41">
              <w:rPr>
                <w:szCs w:val="20"/>
              </w:rPr>
              <w:t xml:space="preserve">soit 138 </w:t>
            </w:r>
            <w:r w:rsidRPr="00A04F41">
              <w:rPr>
                <w:rFonts w:eastAsia="Times New Roman" w:cs="Times New Roman"/>
                <w:szCs w:val="20"/>
              </w:rPr>
              <w:t>K€</w:t>
            </w:r>
            <w:r>
              <w:rPr>
                <w:rFonts w:eastAsia="Times New Roman" w:cs="Times New Roman"/>
                <w:szCs w:val="20"/>
              </w:rPr>
              <w:t>*</w:t>
            </w:r>
          </w:p>
        </w:tc>
        <w:tc>
          <w:tcPr>
            <w:tcW w:w="1403" w:type="dxa"/>
            <w:shd w:val="clear" w:color="000000" w:fill="DDEBF7"/>
            <w:noWrap/>
            <w:vAlign w:val="center"/>
            <w:hideMark/>
          </w:tcPr>
          <w:p w14:paraId="54C68424" w14:textId="6F197308" w:rsidR="00877039" w:rsidRPr="00A04F41" w:rsidRDefault="00877039" w:rsidP="00797D5B">
            <w:pPr>
              <w:jc w:val="center"/>
              <w:rPr>
                <w:szCs w:val="20"/>
              </w:rPr>
            </w:pPr>
            <w:r w:rsidRPr="00A04F41">
              <w:rPr>
                <w:szCs w:val="20"/>
              </w:rPr>
              <w:t>- 1.327 K$ </w:t>
            </w:r>
          </w:p>
          <w:p w14:paraId="5A6FEAC3" w14:textId="6984A719" w:rsidR="00877039" w:rsidRPr="00A04F41" w:rsidRDefault="00877039" w:rsidP="00A04F41">
            <w:pPr>
              <w:jc w:val="center"/>
              <w:rPr>
                <w:rFonts w:eastAsia="Times New Roman" w:cs="Times New Roman"/>
                <w:szCs w:val="20"/>
              </w:rPr>
            </w:pPr>
            <w:r w:rsidRPr="00A04F41">
              <w:rPr>
                <w:szCs w:val="20"/>
              </w:rPr>
              <w:t>soit - 1.094 K€</w:t>
            </w:r>
            <w:r>
              <w:rPr>
                <w:szCs w:val="20"/>
              </w:rPr>
              <w:t>*</w:t>
            </w:r>
          </w:p>
        </w:tc>
      </w:tr>
    </w:tbl>
    <w:p w14:paraId="0FDA69CF" w14:textId="6C8BF934" w:rsidR="00A04F41" w:rsidRPr="00A04F41" w:rsidRDefault="00A04F41" w:rsidP="00A04F41">
      <w:pPr>
        <w:rPr>
          <w:i/>
        </w:rPr>
      </w:pPr>
      <w:r w:rsidRPr="00A04F41">
        <w:rPr>
          <w:i/>
        </w:rPr>
        <w:t xml:space="preserve">* Sur la base </w:t>
      </w:r>
      <w:r>
        <w:rPr>
          <w:i/>
        </w:rPr>
        <w:t>d’un</w:t>
      </w:r>
      <w:r w:rsidRPr="00A04F41">
        <w:rPr>
          <w:i/>
        </w:rPr>
        <w:t xml:space="preserve"> taux de change euros/dollars qui s’établissait au 21 janvier 2020 </w:t>
      </w:r>
      <w:r w:rsidR="009702FE" w:rsidRPr="00A04F41">
        <w:rPr>
          <w:i/>
        </w:rPr>
        <w:t>à :</w:t>
      </w:r>
      <w:r w:rsidRPr="00A04F41">
        <w:rPr>
          <w:i/>
        </w:rPr>
        <w:t xml:space="preserve"> 1$ = 0,824893€</w:t>
      </w:r>
    </w:p>
    <w:p w14:paraId="09851D3B" w14:textId="539E3975" w:rsidR="008E369E" w:rsidRDefault="008E369E" w:rsidP="008E369E"/>
    <w:p w14:paraId="70BDF2F6" w14:textId="73AEC3C0" w:rsidR="002D19EA" w:rsidRPr="00877039" w:rsidRDefault="006B5458" w:rsidP="00877039">
      <w:pPr>
        <w:pStyle w:val="Titre2"/>
      </w:pPr>
      <w:bookmarkStart w:id="165" w:name="_Toc330481965"/>
      <w:bookmarkStart w:id="166" w:name="_Ref369941709"/>
      <w:bookmarkStart w:id="167" w:name="_Toc475033206"/>
      <w:r>
        <w:t>6</w:t>
      </w:r>
      <w:r w:rsidR="00B9781E" w:rsidRPr="00A601E8">
        <w:t>.3. P</w:t>
      </w:r>
      <w:bookmarkEnd w:id="165"/>
      <w:r w:rsidR="00036E0A">
        <w:t>rincipaux flux intra-groupe</w:t>
      </w:r>
      <w:bookmarkEnd w:id="166"/>
      <w:bookmarkEnd w:id="167"/>
    </w:p>
    <w:p w14:paraId="51B4FA7F" w14:textId="77777777" w:rsidR="00C1684F" w:rsidRDefault="00C1684F" w:rsidP="00B9781E"/>
    <w:p w14:paraId="19461FFE" w14:textId="53C75B81" w:rsidR="00A859F5" w:rsidRPr="00877039" w:rsidRDefault="54FDD3F0" w:rsidP="54FDD3F0">
      <w:r w:rsidRPr="00877039">
        <w:t>Les flux intra-groupe correspondent principalement à :</w:t>
      </w:r>
    </w:p>
    <w:p w14:paraId="151166B4" w14:textId="69A4FD2B" w:rsidR="00A859F5" w:rsidRPr="00877039" w:rsidRDefault="54FDD3F0" w:rsidP="00C622C2">
      <w:pPr>
        <w:pStyle w:val="Paragraphedeliste"/>
        <w:numPr>
          <w:ilvl w:val="0"/>
          <w:numId w:val="5"/>
        </w:numPr>
        <w:rPr>
          <w:rFonts w:eastAsiaTheme="majorEastAsia" w:cstheme="majorBidi"/>
          <w:szCs w:val="20"/>
        </w:rPr>
      </w:pPr>
      <w:r w:rsidRPr="00877039">
        <w:t xml:space="preserve">des achats de marchandises effectués par Spineway USA Inc. à Spineway (17 </w:t>
      </w:r>
      <w:r w:rsidR="00877039" w:rsidRPr="00877039">
        <w:t>K</w:t>
      </w:r>
      <w:r w:rsidRPr="00877039">
        <w:t xml:space="preserve">€ au </w:t>
      </w:r>
      <w:r w:rsidR="00877039" w:rsidRPr="00877039">
        <w:t>t</w:t>
      </w:r>
      <w:r w:rsidRPr="00877039">
        <w:t>itre de 2020)</w:t>
      </w:r>
      <w:r w:rsidR="00877039">
        <w:t> ;</w:t>
      </w:r>
    </w:p>
    <w:p w14:paraId="2D711358" w14:textId="20FDF577" w:rsidR="00A859F5" w:rsidRPr="00877039" w:rsidRDefault="54FDD3F0" w:rsidP="00C622C2">
      <w:pPr>
        <w:pStyle w:val="Paragraphedeliste"/>
        <w:numPr>
          <w:ilvl w:val="0"/>
          <w:numId w:val="5"/>
        </w:numPr>
        <w:rPr>
          <w:rFonts w:eastAsiaTheme="majorEastAsia" w:cstheme="majorBidi"/>
          <w:szCs w:val="20"/>
        </w:rPr>
      </w:pPr>
      <w:r w:rsidRPr="00877039">
        <w:t xml:space="preserve">des prestations de services réalisées dans le cadre des conventions de prestations de services </w:t>
      </w:r>
      <w:r w:rsidR="00877039" w:rsidRPr="00877039">
        <w:t>(32 K</w:t>
      </w:r>
      <w:r w:rsidRPr="00877039">
        <w:t xml:space="preserve">€ de management fees en 2020) et de trésorerie (43 </w:t>
      </w:r>
      <w:r w:rsidR="00877039" w:rsidRPr="00877039">
        <w:t>K</w:t>
      </w:r>
      <w:r w:rsidRPr="00877039">
        <w:t>€ de charge financière liée en 2020). Ces conventions ont été signées le 31 décembre 2016 entre Spineway et Spineway USA Inc. et sont entrées en application le 1</w:t>
      </w:r>
      <w:r w:rsidRPr="00877039">
        <w:rPr>
          <w:vertAlign w:val="superscript"/>
        </w:rPr>
        <w:t>er</w:t>
      </w:r>
      <w:r w:rsidRPr="00877039">
        <w:t xml:space="preserve"> aout 2016 (date de la création juridique de Spineway USA Inc.), </w:t>
      </w:r>
      <w:r w:rsidR="00A54FC0">
        <w:t>comme suit</w:t>
      </w:r>
      <w:r w:rsidRPr="00877039">
        <w:t xml:space="preserve"> :</w:t>
      </w:r>
    </w:p>
    <w:p w14:paraId="7707CA45" w14:textId="77777777" w:rsidR="00700AC0" w:rsidRDefault="00700AC0" w:rsidP="00212890"/>
    <w:p w14:paraId="65775045" w14:textId="77777777" w:rsidR="00FA76DA" w:rsidRDefault="00FA76DA" w:rsidP="00212890"/>
    <w:p w14:paraId="2D4F5AAF" w14:textId="77777777" w:rsidR="00FA76DA" w:rsidRDefault="00FA76DA" w:rsidP="00212890"/>
    <w:p w14:paraId="5856A977" w14:textId="77777777" w:rsidR="00FA76DA" w:rsidRPr="00877039" w:rsidRDefault="00FA76DA" w:rsidP="00212890"/>
    <w:p w14:paraId="7CC33786" w14:textId="07F33697" w:rsidR="00700AC0" w:rsidRPr="00877039" w:rsidRDefault="00877039" w:rsidP="00877039">
      <w:pPr>
        <w:ind w:firstLine="709"/>
        <w:rPr>
          <w:b/>
        </w:rPr>
      </w:pPr>
      <w:r w:rsidRPr="00877039">
        <w:t xml:space="preserve">. </w:t>
      </w:r>
      <w:r w:rsidR="00700AC0" w:rsidRPr="00877039">
        <w:rPr>
          <w:b/>
        </w:rPr>
        <w:t>une convention de prestations de services :</w:t>
      </w:r>
    </w:p>
    <w:p w14:paraId="68361B45" w14:textId="77777777" w:rsidR="00700AC0" w:rsidRPr="00877039" w:rsidRDefault="00700AC0" w:rsidP="00700AC0"/>
    <w:p w14:paraId="7EC10F30" w14:textId="796E1449" w:rsidR="00700AC0" w:rsidRPr="00877039" w:rsidRDefault="00700AC0" w:rsidP="00700AC0">
      <w:r w:rsidRPr="00877039">
        <w:t>Entrée rétroactivement en vigueur à la date du 1</w:t>
      </w:r>
      <w:r w:rsidRPr="00877039">
        <w:rPr>
          <w:vertAlign w:val="superscript"/>
        </w:rPr>
        <w:t>er</w:t>
      </w:r>
      <w:r w:rsidRPr="00877039">
        <w:t xml:space="preserve"> août 2016 (laquelle date correspond à celle de la création de Spineway USA Inc</w:t>
      </w:r>
      <w:r w:rsidR="00942A4F" w:rsidRPr="00877039">
        <w:t>.</w:t>
      </w:r>
      <w:r w:rsidRPr="00877039">
        <w:t>) pour une durée de 12 mois tacitement renouvelable, sans exclusivité</w:t>
      </w:r>
      <w:r w:rsidR="00972862">
        <w:t>.</w:t>
      </w:r>
      <w:r w:rsidRPr="00877039">
        <w:t xml:space="preserve"> </w:t>
      </w:r>
      <w:r w:rsidR="00972862">
        <w:t>C</w:t>
      </w:r>
      <w:r w:rsidRPr="00877039">
        <w:t xml:space="preserve">ette convention prévoit la réalisation de missions de conseil et d’assistance dans les domaines de la stratégie d’entreprise, le business développement, les ressources humaines, l’informatique, le stockage/logistique, l’administration des ventes / le recouvrement, la gestion administrative / finance / comptabilité. </w:t>
      </w:r>
    </w:p>
    <w:p w14:paraId="4F709E92" w14:textId="77777777" w:rsidR="00700AC0" w:rsidRPr="00877039" w:rsidRDefault="00700AC0" w:rsidP="00700AC0">
      <w:r w:rsidRPr="00877039">
        <w:t>A cette fin, Spineway met les compétences de ses équipes internes à disposition de Spineway USA Inc.</w:t>
      </w:r>
    </w:p>
    <w:p w14:paraId="2E8023E0" w14:textId="49BE9AF0" w:rsidR="00700AC0" w:rsidRPr="00877039" w:rsidRDefault="00700AC0" w:rsidP="00700AC0">
      <w:r w:rsidRPr="00877039">
        <w:t>En rémunération des prestations de Spineway, Spineway USA Inc</w:t>
      </w:r>
      <w:r w:rsidR="00C43F2B" w:rsidRPr="00877039">
        <w:t>.</w:t>
      </w:r>
      <w:r w:rsidRPr="00877039">
        <w:t xml:space="preserve"> verse à la Société une rémunération correspondant aux frais directement ou indirectement supportés augmentés d’une marge de 5%.</w:t>
      </w:r>
    </w:p>
    <w:p w14:paraId="04ED243E" w14:textId="77777777" w:rsidR="00700AC0" w:rsidRPr="00877039" w:rsidRDefault="00700AC0" w:rsidP="00700AC0"/>
    <w:p w14:paraId="1894062A" w14:textId="1881E4D9" w:rsidR="00700AC0" w:rsidRPr="00877039" w:rsidRDefault="00877039" w:rsidP="00877039">
      <w:pPr>
        <w:ind w:firstLine="709"/>
        <w:rPr>
          <w:b/>
        </w:rPr>
      </w:pPr>
      <w:r w:rsidRPr="00877039">
        <w:rPr>
          <w:b/>
        </w:rPr>
        <w:t xml:space="preserve">. </w:t>
      </w:r>
      <w:r w:rsidR="00700AC0" w:rsidRPr="00877039">
        <w:rPr>
          <w:b/>
        </w:rPr>
        <w:t>une convention de gestion de trésorerie :</w:t>
      </w:r>
    </w:p>
    <w:p w14:paraId="01BD301C" w14:textId="77777777" w:rsidR="00700AC0" w:rsidRPr="00877039" w:rsidRDefault="00700AC0" w:rsidP="00700AC0"/>
    <w:p w14:paraId="51EB5426" w14:textId="0F0D1ACD" w:rsidR="00700AC0" w:rsidRPr="00877039" w:rsidRDefault="00972862" w:rsidP="00700AC0">
      <w:r w:rsidRPr="00877039">
        <w:t>Également</w:t>
      </w:r>
      <w:r w:rsidR="00700AC0" w:rsidRPr="00877039">
        <w:t xml:space="preserve"> entrée rétroactivement en vigueur à la date du 1</w:t>
      </w:r>
      <w:r w:rsidR="00700AC0" w:rsidRPr="00877039">
        <w:rPr>
          <w:vertAlign w:val="superscript"/>
        </w:rPr>
        <w:t>er</w:t>
      </w:r>
      <w:r w:rsidR="00700AC0" w:rsidRPr="00877039">
        <w:t xml:space="preserve"> août 2016, pour une durée indéterminée, cette convention définit les conditions auxquelles Spineway et Spineway USA Inc</w:t>
      </w:r>
      <w:r w:rsidR="00C43F2B" w:rsidRPr="00877039">
        <w:t>.</w:t>
      </w:r>
      <w:r w:rsidR="00700AC0" w:rsidRPr="00877039">
        <w:t xml:space="preserve"> peuvent chacune se consentir des avances en compte courant.</w:t>
      </w:r>
    </w:p>
    <w:p w14:paraId="4C081591" w14:textId="77777777" w:rsidR="00700AC0" w:rsidRPr="00877039" w:rsidRDefault="00700AC0" w:rsidP="00700AC0">
      <w:r w:rsidRPr="00877039">
        <w:t>Les conditions financières sont les suivantes :</w:t>
      </w:r>
    </w:p>
    <w:p w14:paraId="6D302B66" w14:textId="5C5BCC7F" w:rsidR="00700AC0" w:rsidRPr="00877039" w:rsidRDefault="00700AC0" w:rsidP="00700AC0">
      <w:r w:rsidRPr="00877039">
        <w:t>. En cas d’avance effectuées par Spineway à sa filiale américaine Spineway USA</w:t>
      </w:r>
      <w:r w:rsidR="00A54FC0">
        <w:t xml:space="preserve"> Inc.</w:t>
      </w:r>
      <w:r w:rsidRPr="00877039">
        <w:t>, le taux d’intérêt sera calculé trimestriellement comme suit : Euribor 3 mois + 2,5%. Si le taux Euribor 3 mois est négatif, le taux applicable sera de 2,5%.</w:t>
      </w:r>
    </w:p>
    <w:p w14:paraId="6BFDCC15" w14:textId="270853DA" w:rsidR="00700AC0" w:rsidRPr="00877039" w:rsidRDefault="00700AC0" w:rsidP="00700AC0">
      <w:r w:rsidRPr="00877039">
        <w:t xml:space="preserve">. En cas d’avance effectuées par Spineway USA à Spineway : </w:t>
      </w:r>
      <w:r w:rsidR="00DD3EBC">
        <w:t xml:space="preserve">le taux applicable sera de </w:t>
      </w:r>
      <w:r w:rsidRPr="00877039">
        <w:t>3% de taux d’intérêt annuel</w:t>
      </w:r>
      <w:r w:rsidR="00D41D59">
        <w:t>.</w:t>
      </w:r>
    </w:p>
    <w:p w14:paraId="028B2E5B" w14:textId="77777777" w:rsidR="00700AC0" w:rsidRPr="00877039" w:rsidRDefault="00700AC0" w:rsidP="00700AC0"/>
    <w:p w14:paraId="3A911871" w14:textId="77777777" w:rsidR="006E7FB7" w:rsidRPr="00877039" w:rsidRDefault="006E7FB7" w:rsidP="00700AC0">
      <w:pPr>
        <w:rPr>
          <w:rFonts w:cs="Arial"/>
          <w:szCs w:val="20"/>
        </w:rPr>
      </w:pPr>
    </w:p>
    <w:p w14:paraId="20DC4BF7" w14:textId="0AFF2E73" w:rsidR="00BE65BD" w:rsidRPr="00DC6E98" w:rsidRDefault="006A1142" w:rsidP="00964BA2">
      <w:r>
        <w:rPr>
          <w:rFonts w:cs="Arial"/>
          <w:szCs w:val="20"/>
        </w:rPr>
        <w:t>Cf</w:t>
      </w:r>
      <w:r w:rsidR="00964BA2" w:rsidRPr="00DC6E98">
        <w:t xml:space="preserve">. paragraphe </w:t>
      </w:r>
      <w:r w:rsidR="00DC6E98" w:rsidRPr="00DC6E98">
        <w:t>« </w:t>
      </w:r>
      <w:r w:rsidR="00DC6E98" w:rsidRPr="00DC6E98">
        <w:fldChar w:fldCharType="begin"/>
      </w:r>
      <w:r w:rsidR="00DC6E98" w:rsidRPr="00DC6E98">
        <w:instrText xml:space="preserve"> REF _Ref474073024 \h </w:instrText>
      </w:r>
      <w:r w:rsidR="00DC6E98" w:rsidRPr="00DC6E98">
        <w:fldChar w:fldCharType="separate"/>
      </w:r>
      <w:r w:rsidR="003A0AD1">
        <w:t>17. TRANSACTIONS AVEC DES PARTIES LIEES</w:t>
      </w:r>
      <w:r w:rsidR="00DC6E98" w:rsidRPr="00DC6E98">
        <w:fldChar w:fldCharType="end"/>
      </w:r>
      <w:r w:rsidR="00DC6E98" w:rsidRPr="00DC6E98">
        <w:t> »</w:t>
      </w:r>
      <w:r w:rsidR="00964BA2" w:rsidRPr="00DC6E98">
        <w:t xml:space="preserve"> du </w:t>
      </w:r>
      <w:r w:rsidR="00920DEB" w:rsidRPr="00DC6E98">
        <w:t>Document d’enregistrement universel</w:t>
      </w:r>
      <w:r w:rsidR="00964BA2" w:rsidRPr="00DC6E98">
        <w:t>.</w:t>
      </w:r>
    </w:p>
    <w:p w14:paraId="74E189E1" w14:textId="77777777" w:rsidR="00A859F5" w:rsidRPr="00877039" w:rsidRDefault="00A859F5" w:rsidP="00936FA7"/>
    <w:p w14:paraId="1E13324A" w14:textId="131143AB" w:rsidR="00DE5FEC" w:rsidRPr="00877039" w:rsidRDefault="00DE5FEC" w:rsidP="00D93A07">
      <w:pPr>
        <w:tabs>
          <w:tab w:val="right" w:leader="dot" w:pos="8505"/>
        </w:tabs>
        <w:rPr>
          <w:i/>
          <w:szCs w:val="20"/>
        </w:rPr>
      </w:pPr>
    </w:p>
    <w:p w14:paraId="267275AA" w14:textId="77777777" w:rsidR="00B9781E" w:rsidRPr="00877039" w:rsidRDefault="00B9781E" w:rsidP="00D93A07">
      <w:pPr>
        <w:tabs>
          <w:tab w:val="right" w:leader="dot" w:pos="8505"/>
        </w:tabs>
        <w:rPr>
          <w:i/>
          <w:szCs w:val="20"/>
        </w:rPr>
      </w:pPr>
    </w:p>
    <w:p w14:paraId="1018D49A" w14:textId="77777777" w:rsidR="00913E29" w:rsidRDefault="00913E29">
      <w:pPr>
        <w:rPr>
          <w:rFonts w:eastAsiaTheme="majorEastAsia" w:cstheme="majorBidi"/>
          <w:b/>
          <w:bCs/>
          <w:color w:val="345A8A" w:themeColor="accent1" w:themeShade="B5"/>
          <w:sz w:val="32"/>
          <w:szCs w:val="32"/>
        </w:rPr>
      </w:pPr>
      <w:bookmarkStart w:id="168" w:name="_Toc330481966"/>
      <w:r>
        <w:br w:type="page"/>
      </w:r>
    </w:p>
    <w:p w14:paraId="7B625ED1" w14:textId="52E0CE81" w:rsidR="0054546F" w:rsidRPr="00A601E8" w:rsidRDefault="00A22111" w:rsidP="00A601E8">
      <w:pPr>
        <w:pStyle w:val="Titre1"/>
      </w:pPr>
      <w:bookmarkStart w:id="169" w:name="_Toc475033207"/>
      <w:r>
        <w:lastRenderedPageBreak/>
        <w:t>7</w:t>
      </w:r>
      <w:r w:rsidR="00B9781E" w:rsidRPr="00A601E8">
        <w:t xml:space="preserve">. </w:t>
      </w:r>
      <w:bookmarkStart w:id="170" w:name="_Toc351296902"/>
      <w:bookmarkStart w:id="171" w:name="_Toc330481969"/>
      <w:bookmarkStart w:id="172" w:name="_Ref342236334"/>
      <w:bookmarkEnd w:id="168"/>
      <w:r w:rsidR="0054546F" w:rsidRPr="00A601E8">
        <w:t>EXAMEN DU RESULTAT ET DE LA SITUATION FINANCIERE</w:t>
      </w:r>
      <w:bookmarkEnd w:id="170"/>
      <w:bookmarkEnd w:id="171"/>
      <w:bookmarkEnd w:id="172"/>
      <w:r w:rsidR="0054546F" w:rsidRPr="00A601E8">
        <w:t xml:space="preserve"> </w:t>
      </w:r>
      <w:r w:rsidR="00654318">
        <w:t>ET DU RESULTAT</w:t>
      </w:r>
      <w:bookmarkEnd w:id="169"/>
    </w:p>
    <w:p w14:paraId="07DC6BD8" w14:textId="77777777" w:rsidR="0054546F" w:rsidRPr="001E4F1C" w:rsidRDefault="0054546F" w:rsidP="0054546F"/>
    <w:p w14:paraId="121C47AF" w14:textId="77777777" w:rsidR="007B63F1" w:rsidRDefault="007B63F1" w:rsidP="0054546F">
      <w:pPr>
        <w:rPr>
          <w:szCs w:val="20"/>
        </w:rPr>
      </w:pPr>
    </w:p>
    <w:p w14:paraId="49C5C787" w14:textId="77777777" w:rsidR="00BE7C70" w:rsidRDefault="0054546F" w:rsidP="0054546F">
      <w:pPr>
        <w:rPr>
          <w:szCs w:val="20"/>
        </w:rPr>
      </w:pPr>
      <w:r w:rsidRPr="0054546F">
        <w:rPr>
          <w:szCs w:val="20"/>
        </w:rPr>
        <w:t xml:space="preserve">Le présent chapitre est consacré à la présentation des résultats et de la situation financière </w:t>
      </w:r>
      <w:r w:rsidR="0048002B">
        <w:rPr>
          <w:szCs w:val="20"/>
        </w:rPr>
        <w:t>de la Société Spineway</w:t>
      </w:r>
      <w:r w:rsidRPr="0054546F">
        <w:rPr>
          <w:szCs w:val="20"/>
        </w:rPr>
        <w:t xml:space="preserve">. </w:t>
      </w:r>
    </w:p>
    <w:p w14:paraId="467968A1" w14:textId="77777777" w:rsidR="00BE7C70" w:rsidRDefault="00BE7C70" w:rsidP="0054546F">
      <w:pPr>
        <w:rPr>
          <w:szCs w:val="20"/>
        </w:rPr>
      </w:pPr>
    </w:p>
    <w:p w14:paraId="2E21F0F2" w14:textId="1948EED1" w:rsidR="0054546F" w:rsidRPr="0054546F" w:rsidRDefault="00BE7C70" w:rsidP="0054546F">
      <w:pPr>
        <w:rPr>
          <w:szCs w:val="20"/>
        </w:rPr>
      </w:pPr>
      <w:r>
        <w:rPr>
          <w:szCs w:val="20"/>
        </w:rPr>
        <w:t>Spineway présente</w:t>
      </w:r>
      <w:r w:rsidR="00132FB9">
        <w:rPr>
          <w:szCs w:val="20"/>
        </w:rPr>
        <w:t>,</w:t>
      </w:r>
      <w:r>
        <w:rPr>
          <w:szCs w:val="20"/>
        </w:rPr>
        <w:t> </w:t>
      </w:r>
      <w:r w:rsidR="00132FB9">
        <w:rPr>
          <w:szCs w:val="20"/>
        </w:rPr>
        <w:t>au titre des exercices clos les 31 d</w:t>
      </w:r>
      <w:r w:rsidR="005F6C54">
        <w:rPr>
          <w:szCs w:val="20"/>
        </w:rPr>
        <w:t>écembre 20</w:t>
      </w:r>
      <w:r w:rsidR="009758CB">
        <w:rPr>
          <w:szCs w:val="20"/>
        </w:rPr>
        <w:t>20</w:t>
      </w:r>
      <w:r w:rsidR="005F6C54">
        <w:rPr>
          <w:szCs w:val="20"/>
        </w:rPr>
        <w:t xml:space="preserve"> et 31 décembre 20</w:t>
      </w:r>
      <w:r w:rsidR="009758CB">
        <w:rPr>
          <w:szCs w:val="20"/>
        </w:rPr>
        <w:t>19</w:t>
      </w:r>
      <w:r w:rsidR="005F6C54">
        <w:rPr>
          <w:szCs w:val="20"/>
        </w:rPr>
        <w:t xml:space="preserve">, </w:t>
      </w:r>
      <w:r w:rsidR="00D14141">
        <w:rPr>
          <w:szCs w:val="20"/>
        </w:rPr>
        <w:t xml:space="preserve">des comptes </w:t>
      </w:r>
      <w:r w:rsidR="00D14141" w:rsidRPr="00AA74B8">
        <w:rPr>
          <w:szCs w:val="20"/>
        </w:rPr>
        <w:t>consolidé</w:t>
      </w:r>
      <w:r w:rsidR="00D14141">
        <w:rPr>
          <w:szCs w:val="20"/>
        </w:rPr>
        <w:t>s établis</w:t>
      </w:r>
      <w:r w:rsidR="005F6C54">
        <w:rPr>
          <w:szCs w:val="20"/>
        </w:rPr>
        <w:t xml:space="preserve"> en normes françaises et ayant fait l’objet d’un audit des commissaires aux comptes.</w:t>
      </w:r>
    </w:p>
    <w:p w14:paraId="67254595" w14:textId="77777777" w:rsidR="0054546F" w:rsidRDefault="0054546F" w:rsidP="0054546F">
      <w:pPr>
        <w:rPr>
          <w:szCs w:val="20"/>
        </w:rPr>
      </w:pPr>
    </w:p>
    <w:tbl>
      <w:tblPr>
        <w:tblW w:w="9320" w:type="dxa"/>
        <w:tblInd w:w="55" w:type="dxa"/>
        <w:tblCellMar>
          <w:left w:w="70" w:type="dxa"/>
          <w:right w:w="70" w:type="dxa"/>
        </w:tblCellMar>
        <w:tblLook w:val="04A0" w:firstRow="1" w:lastRow="0" w:firstColumn="1" w:lastColumn="0" w:noHBand="0" w:noVBand="1"/>
      </w:tblPr>
      <w:tblGrid>
        <w:gridCol w:w="4820"/>
        <w:gridCol w:w="1149"/>
        <w:gridCol w:w="1134"/>
        <w:gridCol w:w="2217"/>
      </w:tblGrid>
      <w:tr w:rsidR="00797059" w:rsidRPr="00797059" w14:paraId="466A08C6" w14:textId="77777777" w:rsidTr="00F662A9">
        <w:trPr>
          <w:trHeight w:val="340"/>
        </w:trPr>
        <w:tc>
          <w:tcPr>
            <w:tcW w:w="4820" w:type="dxa"/>
            <w:vMerge w:val="restart"/>
            <w:tcBorders>
              <w:top w:val="single" w:sz="12" w:space="0" w:color="FFFFFF"/>
              <w:left w:val="single" w:sz="12" w:space="0" w:color="FFFFFF"/>
              <w:bottom w:val="single" w:sz="12" w:space="0" w:color="FFFFFF"/>
              <w:right w:val="single" w:sz="12" w:space="0" w:color="FFFFFF"/>
            </w:tcBorders>
            <w:shd w:val="clear" w:color="000000" w:fill="365F91"/>
            <w:vAlign w:val="center"/>
            <w:hideMark/>
          </w:tcPr>
          <w:p w14:paraId="213716D7" w14:textId="09E051D5" w:rsidR="00797059" w:rsidRPr="00797059" w:rsidRDefault="00797059" w:rsidP="000C10EB">
            <w:pPr>
              <w:jc w:val="center"/>
              <w:rPr>
                <w:rFonts w:ascii="Calibri" w:eastAsia="Times New Roman" w:hAnsi="Calibri" w:cs="Times New Roman"/>
                <w:b/>
                <w:bCs/>
                <w:color w:val="FFFFFF"/>
                <w:szCs w:val="20"/>
              </w:rPr>
            </w:pPr>
            <w:r w:rsidRPr="00797059">
              <w:rPr>
                <w:rFonts w:ascii="Calibri" w:eastAsia="Times New Roman" w:hAnsi="Calibri" w:cs="Times New Roman"/>
                <w:b/>
                <w:bCs/>
                <w:color w:val="FFFFFF"/>
                <w:szCs w:val="20"/>
              </w:rPr>
              <w:t xml:space="preserve">Informations financières présentées dans le </w:t>
            </w:r>
            <w:r w:rsidR="00920DEB">
              <w:rPr>
                <w:rFonts w:ascii="Calibri" w:eastAsia="Times New Roman" w:hAnsi="Calibri" w:cs="Times New Roman"/>
                <w:b/>
                <w:bCs/>
                <w:color w:val="FFFFFF"/>
                <w:szCs w:val="20"/>
              </w:rPr>
              <w:t>Document d’enregistrement universel</w:t>
            </w:r>
          </w:p>
        </w:tc>
        <w:tc>
          <w:tcPr>
            <w:tcW w:w="2283" w:type="dxa"/>
            <w:gridSpan w:val="2"/>
            <w:tcBorders>
              <w:top w:val="single" w:sz="12" w:space="0" w:color="FFFFFF"/>
              <w:left w:val="nil"/>
              <w:bottom w:val="single" w:sz="12" w:space="0" w:color="FFFFFF"/>
              <w:right w:val="single" w:sz="12" w:space="0" w:color="FFFFFF"/>
            </w:tcBorders>
            <w:shd w:val="clear" w:color="000000" w:fill="365F91"/>
            <w:vAlign w:val="center"/>
            <w:hideMark/>
          </w:tcPr>
          <w:p w14:paraId="5973F3EC" w14:textId="14A3D198" w:rsidR="00797059" w:rsidRPr="00797059" w:rsidRDefault="00797059" w:rsidP="00797059">
            <w:pPr>
              <w:jc w:val="center"/>
              <w:rPr>
                <w:rFonts w:ascii="Calibri" w:eastAsia="Times New Roman" w:hAnsi="Calibri" w:cs="Times New Roman"/>
                <w:b/>
                <w:bCs/>
                <w:color w:val="FFFFFF"/>
                <w:szCs w:val="20"/>
              </w:rPr>
            </w:pPr>
            <w:r w:rsidRPr="00797059">
              <w:rPr>
                <w:rFonts w:ascii="Calibri" w:eastAsia="Times New Roman" w:hAnsi="Calibri" w:cs="Times New Roman"/>
                <w:b/>
                <w:bCs/>
                <w:color w:val="FFFFFF"/>
                <w:szCs w:val="20"/>
              </w:rPr>
              <w:t>Contrôle</w:t>
            </w:r>
            <w:r>
              <w:rPr>
                <w:rFonts w:ascii="Calibri" w:eastAsia="Times New Roman" w:hAnsi="Calibri" w:cs="Times New Roman"/>
                <w:b/>
                <w:bCs/>
                <w:color w:val="FFFFFF"/>
                <w:szCs w:val="20"/>
              </w:rPr>
              <w:t xml:space="preserve"> des commissaires aux Comptes</w:t>
            </w:r>
          </w:p>
        </w:tc>
        <w:tc>
          <w:tcPr>
            <w:tcW w:w="2217" w:type="dxa"/>
            <w:vMerge w:val="restart"/>
            <w:tcBorders>
              <w:top w:val="single" w:sz="12" w:space="0" w:color="FFFFFF"/>
              <w:left w:val="single" w:sz="12" w:space="0" w:color="FFFFFF"/>
              <w:bottom w:val="single" w:sz="12" w:space="0" w:color="FFFFFF"/>
              <w:right w:val="single" w:sz="12" w:space="0" w:color="FFFFFF"/>
            </w:tcBorders>
            <w:shd w:val="clear" w:color="000000" w:fill="365F91"/>
            <w:vAlign w:val="center"/>
            <w:hideMark/>
          </w:tcPr>
          <w:p w14:paraId="506178F4" w14:textId="77777777" w:rsidR="00797059" w:rsidRPr="00797059" w:rsidRDefault="00797059" w:rsidP="00797059">
            <w:pPr>
              <w:jc w:val="center"/>
              <w:rPr>
                <w:rFonts w:ascii="Calibri" w:eastAsia="Times New Roman" w:hAnsi="Calibri" w:cs="Times New Roman"/>
                <w:b/>
                <w:bCs/>
                <w:color w:val="FFFFFF"/>
                <w:szCs w:val="20"/>
              </w:rPr>
            </w:pPr>
            <w:r w:rsidRPr="00797059">
              <w:rPr>
                <w:rFonts w:ascii="Calibri" w:eastAsia="Times New Roman" w:hAnsi="Calibri" w:cs="Times New Roman"/>
                <w:b/>
                <w:bCs/>
                <w:color w:val="FFFFFF"/>
                <w:szCs w:val="20"/>
              </w:rPr>
              <w:t>Remarques</w:t>
            </w:r>
          </w:p>
        </w:tc>
      </w:tr>
      <w:tr w:rsidR="00797059" w:rsidRPr="00797059" w14:paraId="01C0F2E9" w14:textId="77777777" w:rsidTr="00F662A9">
        <w:trPr>
          <w:trHeight w:val="340"/>
        </w:trPr>
        <w:tc>
          <w:tcPr>
            <w:tcW w:w="4820" w:type="dxa"/>
            <w:vMerge/>
            <w:tcBorders>
              <w:top w:val="single" w:sz="12" w:space="0" w:color="FFFFFF"/>
              <w:left w:val="single" w:sz="12" w:space="0" w:color="FFFFFF"/>
              <w:bottom w:val="single" w:sz="12" w:space="0" w:color="FFFFFF"/>
              <w:right w:val="single" w:sz="12" w:space="0" w:color="FFFFFF"/>
            </w:tcBorders>
            <w:vAlign w:val="center"/>
            <w:hideMark/>
          </w:tcPr>
          <w:p w14:paraId="6CDF6F7D" w14:textId="77777777" w:rsidR="00797059" w:rsidRPr="00797059" w:rsidRDefault="00797059" w:rsidP="00797059">
            <w:pPr>
              <w:jc w:val="left"/>
              <w:rPr>
                <w:rFonts w:ascii="Calibri" w:eastAsia="Times New Roman" w:hAnsi="Calibri" w:cs="Times New Roman"/>
                <w:b/>
                <w:bCs/>
                <w:color w:val="FFFFFF"/>
                <w:szCs w:val="20"/>
              </w:rPr>
            </w:pPr>
          </w:p>
        </w:tc>
        <w:tc>
          <w:tcPr>
            <w:tcW w:w="1149" w:type="dxa"/>
            <w:tcBorders>
              <w:top w:val="nil"/>
              <w:left w:val="nil"/>
              <w:bottom w:val="single" w:sz="12" w:space="0" w:color="FFFFFF"/>
              <w:right w:val="single" w:sz="12" w:space="0" w:color="FFFFFF"/>
            </w:tcBorders>
            <w:shd w:val="clear" w:color="000000" w:fill="365F91"/>
            <w:vAlign w:val="center"/>
            <w:hideMark/>
          </w:tcPr>
          <w:p w14:paraId="52C50D43" w14:textId="77777777" w:rsidR="00797059" w:rsidRPr="00797059" w:rsidRDefault="00797059" w:rsidP="00797059">
            <w:pPr>
              <w:jc w:val="center"/>
              <w:rPr>
                <w:rFonts w:ascii="Calibri" w:eastAsia="Times New Roman" w:hAnsi="Calibri" w:cs="Times New Roman"/>
                <w:b/>
                <w:bCs/>
                <w:color w:val="FFFFFF"/>
                <w:szCs w:val="20"/>
              </w:rPr>
            </w:pPr>
            <w:r w:rsidRPr="00797059">
              <w:rPr>
                <w:rFonts w:ascii="Calibri" w:eastAsia="Times New Roman" w:hAnsi="Calibri" w:cs="Times New Roman"/>
                <w:b/>
                <w:bCs/>
                <w:color w:val="FFFFFF"/>
                <w:szCs w:val="20"/>
              </w:rPr>
              <w:t>Audit</w:t>
            </w:r>
          </w:p>
        </w:tc>
        <w:tc>
          <w:tcPr>
            <w:tcW w:w="1134" w:type="dxa"/>
            <w:tcBorders>
              <w:top w:val="nil"/>
              <w:left w:val="nil"/>
              <w:bottom w:val="single" w:sz="12" w:space="0" w:color="FFFFFF"/>
              <w:right w:val="single" w:sz="12" w:space="0" w:color="FFFFFF"/>
            </w:tcBorders>
            <w:shd w:val="clear" w:color="000000" w:fill="365F91"/>
            <w:vAlign w:val="center"/>
            <w:hideMark/>
          </w:tcPr>
          <w:p w14:paraId="6C9AB11B" w14:textId="77777777" w:rsidR="00797059" w:rsidRPr="00797059" w:rsidRDefault="00797059" w:rsidP="00797059">
            <w:pPr>
              <w:jc w:val="center"/>
              <w:rPr>
                <w:rFonts w:ascii="Calibri" w:eastAsia="Times New Roman" w:hAnsi="Calibri" w:cs="Times New Roman"/>
                <w:b/>
                <w:bCs/>
                <w:color w:val="FFFFFF"/>
                <w:szCs w:val="20"/>
              </w:rPr>
            </w:pPr>
            <w:r w:rsidRPr="00797059">
              <w:rPr>
                <w:rFonts w:ascii="Calibri" w:eastAsia="Times New Roman" w:hAnsi="Calibri" w:cs="Times New Roman"/>
                <w:b/>
                <w:bCs/>
                <w:color w:val="FFFFFF"/>
                <w:szCs w:val="20"/>
              </w:rPr>
              <w:t>Revue limitée</w:t>
            </w:r>
          </w:p>
        </w:tc>
        <w:tc>
          <w:tcPr>
            <w:tcW w:w="2217" w:type="dxa"/>
            <w:vMerge/>
            <w:tcBorders>
              <w:top w:val="single" w:sz="12" w:space="0" w:color="FFFFFF"/>
              <w:left w:val="single" w:sz="12" w:space="0" w:color="FFFFFF"/>
              <w:bottom w:val="single" w:sz="12" w:space="0" w:color="FFFFFF"/>
              <w:right w:val="single" w:sz="12" w:space="0" w:color="FFFFFF"/>
            </w:tcBorders>
            <w:vAlign w:val="center"/>
            <w:hideMark/>
          </w:tcPr>
          <w:p w14:paraId="05895CFC" w14:textId="77777777" w:rsidR="00797059" w:rsidRPr="00797059" w:rsidRDefault="00797059" w:rsidP="00797059">
            <w:pPr>
              <w:jc w:val="left"/>
              <w:rPr>
                <w:rFonts w:ascii="Calibri" w:eastAsia="Times New Roman" w:hAnsi="Calibri" w:cs="Times New Roman"/>
                <w:b/>
                <w:bCs/>
                <w:color w:val="FFFFFF"/>
                <w:szCs w:val="20"/>
              </w:rPr>
            </w:pPr>
          </w:p>
        </w:tc>
      </w:tr>
      <w:tr w:rsidR="00797059" w:rsidRPr="00797059" w14:paraId="2ADDCE08" w14:textId="77777777" w:rsidTr="00F662A9">
        <w:trPr>
          <w:trHeight w:val="340"/>
        </w:trPr>
        <w:tc>
          <w:tcPr>
            <w:tcW w:w="4820" w:type="dxa"/>
            <w:tcBorders>
              <w:top w:val="nil"/>
              <w:left w:val="single" w:sz="12" w:space="0" w:color="FFFFFF"/>
              <w:bottom w:val="single" w:sz="12" w:space="0" w:color="FFFFFF"/>
              <w:right w:val="single" w:sz="12" w:space="0" w:color="FFFFFF"/>
            </w:tcBorders>
            <w:shd w:val="clear" w:color="000000" w:fill="DBE5F1"/>
            <w:vAlign w:val="center"/>
            <w:hideMark/>
          </w:tcPr>
          <w:p w14:paraId="6233936F" w14:textId="64D7CCE9" w:rsidR="00797059" w:rsidRPr="000C34D0" w:rsidRDefault="00797059" w:rsidP="009758CB">
            <w:pPr>
              <w:jc w:val="left"/>
              <w:rPr>
                <w:rFonts w:ascii="Calibri" w:eastAsia="Times New Roman" w:hAnsi="Calibri" w:cs="Times New Roman"/>
                <w:b/>
                <w:color w:val="000000"/>
                <w:szCs w:val="20"/>
              </w:rPr>
            </w:pPr>
            <w:r w:rsidRPr="000C34D0">
              <w:rPr>
                <w:rFonts w:ascii="Calibri" w:eastAsia="Times New Roman" w:hAnsi="Calibri" w:cs="Times New Roman"/>
                <w:b/>
                <w:color w:val="000000"/>
                <w:szCs w:val="20"/>
              </w:rPr>
              <w:t xml:space="preserve">Comptes </w:t>
            </w:r>
            <w:r w:rsidR="009758CB">
              <w:rPr>
                <w:rFonts w:ascii="Calibri" w:eastAsia="Times New Roman" w:hAnsi="Calibri" w:cs="Times New Roman"/>
                <w:b/>
                <w:color w:val="000000"/>
                <w:szCs w:val="20"/>
              </w:rPr>
              <w:t>consolidés</w:t>
            </w:r>
            <w:r w:rsidRPr="000C34D0">
              <w:rPr>
                <w:rFonts w:ascii="Calibri" w:eastAsia="Times New Roman" w:hAnsi="Calibri" w:cs="Times New Roman"/>
                <w:b/>
                <w:color w:val="000000"/>
                <w:szCs w:val="20"/>
              </w:rPr>
              <w:t xml:space="preserve"> au 31 décembre 20</w:t>
            </w:r>
            <w:r w:rsidR="009758CB">
              <w:rPr>
                <w:rFonts w:ascii="Calibri" w:eastAsia="Times New Roman" w:hAnsi="Calibri" w:cs="Times New Roman"/>
                <w:b/>
                <w:color w:val="000000"/>
                <w:szCs w:val="20"/>
              </w:rPr>
              <w:t>20</w:t>
            </w:r>
          </w:p>
        </w:tc>
        <w:tc>
          <w:tcPr>
            <w:tcW w:w="1149" w:type="dxa"/>
            <w:tcBorders>
              <w:top w:val="nil"/>
              <w:left w:val="nil"/>
              <w:bottom w:val="single" w:sz="12" w:space="0" w:color="FFFFFF"/>
              <w:right w:val="single" w:sz="12" w:space="0" w:color="FFFFFF"/>
            </w:tcBorders>
            <w:shd w:val="clear" w:color="000000" w:fill="DBE5F1"/>
            <w:vAlign w:val="center"/>
            <w:hideMark/>
          </w:tcPr>
          <w:p w14:paraId="6FABEB68" w14:textId="51045E79" w:rsidR="00797059" w:rsidRPr="00797059" w:rsidRDefault="00797059" w:rsidP="00797059">
            <w:pPr>
              <w:jc w:val="center"/>
              <w:rPr>
                <w:rFonts w:ascii="Calibri" w:eastAsia="Times New Roman" w:hAnsi="Calibri" w:cs="Times New Roman"/>
                <w:color w:val="000000"/>
                <w:szCs w:val="20"/>
              </w:rPr>
            </w:pPr>
            <w:r w:rsidRPr="00797059">
              <w:rPr>
                <w:rFonts w:ascii="Calibri" w:eastAsia="Times New Roman" w:hAnsi="Calibri" w:cs="Times New Roman"/>
                <w:color w:val="000000"/>
                <w:szCs w:val="20"/>
              </w:rPr>
              <w:t>Oui</w:t>
            </w:r>
          </w:p>
        </w:tc>
        <w:tc>
          <w:tcPr>
            <w:tcW w:w="1134" w:type="dxa"/>
            <w:tcBorders>
              <w:top w:val="nil"/>
              <w:left w:val="nil"/>
              <w:bottom w:val="single" w:sz="12" w:space="0" w:color="FFFFFF"/>
              <w:right w:val="single" w:sz="12" w:space="0" w:color="FFFFFF"/>
            </w:tcBorders>
            <w:shd w:val="clear" w:color="000000" w:fill="DBE5F1"/>
            <w:vAlign w:val="center"/>
            <w:hideMark/>
          </w:tcPr>
          <w:p w14:paraId="3172DCB5" w14:textId="065462DB" w:rsidR="00797059" w:rsidRPr="00797059" w:rsidRDefault="00797059" w:rsidP="00797059">
            <w:pPr>
              <w:jc w:val="center"/>
              <w:rPr>
                <w:rFonts w:ascii="Calibri" w:eastAsia="Times New Roman" w:hAnsi="Calibri" w:cs="Times New Roman"/>
                <w:color w:val="000000"/>
                <w:szCs w:val="20"/>
              </w:rPr>
            </w:pPr>
            <w:r w:rsidRPr="00797059">
              <w:rPr>
                <w:rFonts w:ascii="Calibri" w:eastAsia="Times New Roman" w:hAnsi="Calibri" w:cs="Times New Roman"/>
                <w:color w:val="000000"/>
                <w:szCs w:val="20"/>
              </w:rPr>
              <w:t>Non</w:t>
            </w:r>
          </w:p>
        </w:tc>
        <w:tc>
          <w:tcPr>
            <w:tcW w:w="2217" w:type="dxa"/>
            <w:tcBorders>
              <w:top w:val="nil"/>
              <w:left w:val="nil"/>
              <w:bottom w:val="single" w:sz="12" w:space="0" w:color="FFFFFF"/>
              <w:right w:val="single" w:sz="12" w:space="0" w:color="FFFFFF"/>
            </w:tcBorders>
            <w:shd w:val="clear" w:color="000000" w:fill="DBE5F1"/>
            <w:vAlign w:val="center"/>
            <w:hideMark/>
          </w:tcPr>
          <w:p w14:paraId="1E89E333" w14:textId="77777777" w:rsidR="00797059" w:rsidRPr="00797059" w:rsidRDefault="00797059" w:rsidP="00797059">
            <w:pPr>
              <w:jc w:val="center"/>
              <w:rPr>
                <w:rFonts w:ascii="Calibri" w:eastAsia="Times New Roman" w:hAnsi="Calibri" w:cs="Times New Roman"/>
                <w:color w:val="000000"/>
                <w:szCs w:val="20"/>
              </w:rPr>
            </w:pPr>
            <w:r w:rsidRPr="00797059">
              <w:rPr>
                <w:rFonts w:ascii="Calibri" w:eastAsia="Times New Roman" w:hAnsi="Calibri" w:cs="Times New Roman"/>
                <w:color w:val="000000"/>
                <w:szCs w:val="20"/>
              </w:rPr>
              <w:t>Néant</w:t>
            </w:r>
          </w:p>
        </w:tc>
      </w:tr>
      <w:tr w:rsidR="00797059" w:rsidRPr="00797059" w14:paraId="3735EF4C" w14:textId="77777777" w:rsidTr="00F662A9">
        <w:trPr>
          <w:trHeight w:val="340"/>
        </w:trPr>
        <w:tc>
          <w:tcPr>
            <w:tcW w:w="4820" w:type="dxa"/>
            <w:tcBorders>
              <w:top w:val="nil"/>
              <w:left w:val="single" w:sz="12" w:space="0" w:color="FFFFFF"/>
              <w:bottom w:val="single" w:sz="12" w:space="0" w:color="FFFFFF"/>
              <w:right w:val="single" w:sz="12" w:space="0" w:color="FFFFFF"/>
            </w:tcBorders>
            <w:shd w:val="clear" w:color="000000" w:fill="DBE5F1"/>
            <w:vAlign w:val="center"/>
            <w:hideMark/>
          </w:tcPr>
          <w:p w14:paraId="1A35CCB8" w14:textId="1AA50B8A" w:rsidR="00797059" w:rsidRPr="000C34D0" w:rsidRDefault="009758CB" w:rsidP="00797059">
            <w:pPr>
              <w:jc w:val="left"/>
              <w:rPr>
                <w:rFonts w:ascii="Calibri" w:eastAsia="Times New Roman" w:hAnsi="Calibri" w:cs="Times New Roman"/>
                <w:b/>
                <w:color w:val="000000"/>
                <w:szCs w:val="20"/>
              </w:rPr>
            </w:pPr>
            <w:r w:rsidRPr="000C34D0">
              <w:rPr>
                <w:rFonts w:ascii="Calibri" w:eastAsia="Times New Roman" w:hAnsi="Calibri" w:cs="Times New Roman"/>
                <w:b/>
                <w:color w:val="000000"/>
                <w:szCs w:val="20"/>
              </w:rPr>
              <w:t xml:space="preserve">Comptes </w:t>
            </w:r>
            <w:r>
              <w:rPr>
                <w:rFonts w:ascii="Calibri" w:eastAsia="Times New Roman" w:hAnsi="Calibri" w:cs="Times New Roman"/>
                <w:b/>
                <w:color w:val="000000"/>
                <w:szCs w:val="20"/>
              </w:rPr>
              <w:t>consolidés</w:t>
            </w:r>
            <w:r w:rsidRPr="000C34D0">
              <w:rPr>
                <w:rFonts w:ascii="Calibri" w:eastAsia="Times New Roman" w:hAnsi="Calibri" w:cs="Times New Roman"/>
                <w:b/>
                <w:color w:val="000000"/>
                <w:szCs w:val="20"/>
              </w:rPr>
              <w:t xml:space="preserve"> au 31 décembre 201</w:t>
            </w:r>
            <w:r>
              <w:rPr>
                <w:rFonts w:ascii="Calibri" w:eastAsia="Times New Roman" w:hAnsi="Calibri" w:cs="Times New Roman"/>
                <w:b/>
                <w:color w:val="000000"/>
                <w:szCs w:val="20"/>
              </w:rPr>
              <w:t>9</w:t>
            </w:r>
          </w:p>
        </w:tc>
        <w:tc>
          <w:tcPr>
            <w:tcW w:w="1149" w:type="dxa"/>
            <w:tcBorders>
              <w:top w:val="nil"/>
              <w:left w:val="nil"/>
              <w:bottom w:val="single" w:sz="12" w:space="0" w:color="FFFFFF"/>
              <w:right w:val="single" w:sz="12" w:space="0" w:color="FFFFFF"/>
            </w:tcBorders>
            <w:shd w:val="clear" w:color="000000" w:fill="DBE5F1"/>
            <w:vAlign w:val="center"/>
            <w:hideMark/>
          </w:tcPr>
          <w:p w14:paraId="1CFB7115" w14:textId="1D414158" w:rsidR="00797059" w:rsidRPr="00797059" w:rsidRDefault="00797059" w:rsidP="00797059">
            <w:pPr>
              <w:jc w:val="center"/>
              <w:rPr>
                <w:rFonts w:ascii="Calibri" w:eastAsia="Times New Roman" w:hAnsi="Calibri" w:cs="Times New Roman"/>
                <w:color w:val="000000"/>
                <w:szCs w:val="20"/>
              </w:rPr>
            </w:pPr>
            <w:r w:rsidRPr="00797059">
              <w:rPr>
                <w:rFonts w:ascii="Calibri" w:eastAsia="Times New Roman" w:hAnsi="Calibri" w:cs="Times New Roman"/>
                <w:color w:val="000000"/>
                <w:szCs w:val="20"/>
              </w:rPr>
              <w:t>Oui</w:t>
            </w:r>
          </w:p>
        </w:tc>
        <w:tc>
          <w:tcPr>
            <w:tcW w:w="1134" w:type="dxa"/>
            <w:tcBorders>
              <w:top w:val="nil"/>
              <w:left w:val="nil"/>
              <w:bottom w:val="single" w:sz="12" w:space="0" w:color="FFFFFF"/>
              <w:right w:val="single" w:sz="12" w:space="0" w:color="FFFFFF"/>
            </w:tcBorders>
            <w:shd w:val="clear" w:color="000000" w:fill="DBE5F1"/>
            <w:vAlign w:val="center"/>
            <w:hideMark/>
          </w:tcPr>
          <w:p w14:paraId="752DFBFB" w14:textId="7005E05C" w:rsidR="00797059" w:rsidRPr="00797059" w:rsidRDefault="00797059" w:rsidP="00797059">
            <w:pPr>
              <w:jc w:val="center"/>
              <w:rPr>
                <w:rFonts w:ascii="Calibri" w:eastAsia="Times New Roman" w:hAnsi="Calibri" w:cs="Times New Roman"/>
                <w:color w:val="000000"/>
                <w:szCs w:val="20"/>
              </w:rPr>
            </w:pPr>
            <w:r w:rsidRPr="00797059">
              <w:rPr>
                <w:rFonts w:ascii="Calibri" w:eastAsia="Times New Roman" w:hAnsi="Calibri" w:cs="Times New Roman"/>
                <w:color w:val="000000"/>
                <w:szCs w:val="20"/>
              </w:rPr>
              <w:t>Non</w:t>
            </w:r>
          </w:p>
        </w:tc>
        <w:tc>
          <w:tcPr>
            <w:tcW w:w="2217" w:type="dxa"/>
            <w:tcBorders>
              <w:top w:val="nil"/>
              <w:left w:val="nil"/>
              <w:bottom w:val="single" w:sz="12" w:space="0" w:color="FFFFFF"/>
              <w:right w:val="single" w:sz="12" w:space="0" w:color="FFFFFF"/>
            </w:tcBorders>
            <w:shd w:val="clear" w:color="000000" w:fill="DBE5F1"/>
            <w:vAlign w:val="center"/>
            <w:hideMark/>
          </w:tcPr>
          <w:p w14:paraId="0028C5B9" w14:textId="77777777" w:rsidR="00797059" w:rsidRPr="00797059" w:rsidRDefault="00797059" w:rsidP="00797059">
            <w:pPr>
              <w:jc w:val="center"/>
              <w:rPr>
                <w:rFonts w:ascii="Calibri" w:eastAsia="Times New Roman" w:hAnsi="Calibri" w:cs="Times New Roman"/>
                <w:color w:val="000000"/>
                <w:szCs w:val="20"/>
              </w:rPr>
            </w:pPr>
            <w:r w:rsidRPr="00797059">
              <w:rPr>
                <w:rFonts w:ascii="Calibri" w:eastAsia="Times New Roman" w:hAnsi="Calibri" w:cs="Times New Roman"/>
                <w:color w:val="000000"/>
                <w:szCs w:val="20"/>
              </w:rPr>
              <w:t>Néant</w:t>
            </w:r>
          </w:p>
        </w:tc>
      </w:tr>
    </w:tbl>
    <w:p w14:paraId="54608771" w14:textId="77777777" w:rsidR="00430429" w:rsidRPr="0054546F" w:rsidRDefault="00430429" w:rsidP="0054546F">
      <w:pPr>
        <w:rPr>
          <w:szCs w:val="20"/>
        </w:rPr>
      </w:pPr>
    </w:p>
    <w:p w14:paraId="1BEB64E2" w14:textId="7AA5B090" w:rsidR="0054546F" w:rsidRDefault="0054546F" w:rsidP="00A54FC0">
      <w:r w:rsidRPr="009C55B6">
        <w:t xml:space="preserve">Le lecteur est invité à lire le présent chapitre au regard de l’ensemble </w:t>
      </w:r>
      <w:r w:rsidR="000C10EB" w:rsidRPr="009C55B6">
        <w:t xml:space="preserve">du </w:t>
      </w:r>
      <w:r w:rsidR="00920DEB" w:rsidRPr="009C55B6">
        <w:t>Document d’enregistrement universel</w:t>
      </w:r>
      <w:r w:rsidRPr="009C55B6">
        <w:t xml:space="preserve">. Il est en particulier invité à prendre connaissance du descriptif de l’activité de la Société exposé au chapitre 6 « Aperçu des activités » </w:t>
      </w:r>
      <w:r w:rsidR="000C10EB" w:rsidRPr="009C55B6">
        <w:t xml:space="preserve">du </w:t>
      </w:r>
      <w:r w:rsidR="00920DEB" w:rsidRPr="009C55B6">
        <w:t>Document d’enregistrement universel</w:t>
      </w:r>
      <w:r w:rsidRPr="009C55B6">
        <w:t xml:space="preserve">. De la même façon, le lecteur est invité à prendre connaissance des </w:t>
      </w:r>
      <w:r w:rsidR="0048002B" w:rsidRPr="009C55B6">
        <w:t xml:space="preserve">comptes </w:t>
      </w:r>
      <w:r w:rsidR="009758CB" w:rsidRPr="009C55B6">
        <w:t>consolidés</w:t>
      </w:r>
      <w:r w:rsidRPr="009C55B6">
        <w:t xml:space="preserve"> </w:t>
      </w:r>
      <w:r w:rsidR="0048002B" w:rsidRPr="009C55B6">
        <w:t>correspondant aux</w:t>
      </w:r>
      <w:r w:rsidRPr="009C55B6">
        <w:t xml:space="preserve"> ex</w:t>
      </w:r>
      <w:r w:rsidR="0048002B" w:rsidRPr="009C55B6">
        <w:t>ercices clos au 31 décembre 20</w:t>
      </w:r>
      <w:r w:rsidR="009758CB" w:rsidRPr="009C55B6">
        <w:t>19</w:t>
      </w:r>
      <w:r w:rsidR="0048002B" w:rsidRPr="009C55B6">
        <w:t xml:space="preserve"> et 31 décembre 20</w:t>
      </w:r>
      <w:r w:rsidR="009758CB" w:rsidRPr="009C55B6">
        <w:t>20</w:t>
      </w:r>
      <w:r w:rsidRPr="009C55B6">
        <w:t xml:space="preserve">, dont </w:t>
      </w:r>
      <w:r w:rsidR="0048002B" w:rsidRPr="009C55B6">
        <w:t>les a</w:t>
      </w:r>
      <w:r w:rsidRPr="009C55B6">
        <w:t>nnexe</w:t>
      </w:r>
      <w:r w:rsidR="0048002B" w:rsidRPr="009C55B6">
        <w:t>s font</w:t>
      </w:r>
      <w:r w:rsidRPr="009C55B6">
        <w:t>, pour chaque exercice</w:t>
      </w:r>
      <w:r w:rsidR="0048002B" w:rsidRPr="009C55B6">
        <w:t>/période</w:t>
      </w:r>
      <w:r w:rsidRPr="009C55B6">
        <w:t xml:space="preserve">, partie intégrante, et qui sont présentés au </w:t>
      </w:r>
      <w:r w:rsidR="00203655" w:rsidRPr="009C55B6">
        <w:t>paragraphe</w:t>
      </w:r>
      <w:r w:rsidR="00C32059">
        <w:t xml:space="preserve"> «</w:t>
      </w:r>
      <w:r w:rsidR="00A54FC0">
        <w:t xml:space="preserve"> 18. Informations financières concernant le patrimoine, la situation financière et les résultats de la Société </w:t>
      </w:r>
      <w:r w:rsidR="00203655">
        <w:t>»</w:t>
      </w:r>
      <w:r w:rsidRPr="0054546F">
        <w:t xml:space="preserve"> </w:t>
      </w:r>
      <w:r w:rsidR="000C10EB">
        <w:t xml:space="preserve">du </w:t>
      </w:r>
      <w:r w:rsidR="00920DEB">
        <w:t>Document d’enregistrement universel</w:t>
      </w:r>
      <w:r w:rsidRPr="0054546F">
        <w:t>.</w:t>
      </w:r>
    </w:p>
    <w:p w14:paraId="308A0054" w14:textId="77777777" w:rsidR="00CF0C5B" w:rsidRDefault="00CF0C5B" w:rsidP="00C32059">
      <w:pPr>
        <w:rPr>
          <w:szCs w:val="20"/>
        </w:rPr>
      </w:pPr>
    </w:p>
    <w:p w14:paraId="393B6245" w14:textId="197B443A" w:rsidR="00CF0C5B" w:rsidRDefault="00132FB9" w:rsidP="00EE50DB">
      <w:pPr>
        <w:pStyle w:val="Titre2"/>
      </w:pPr>
      <w:bookmarkStart w:id="173" w:name="_Ref474073637"/>
      <w:bookmarkStart w:id="174" w:name="_Toc475033208"/>
      <w:r>
        <w:t>7</w:t>
      </w:r>
      <w:r w:rsidR="00EE50DB">
        <w:t xml:space="preserve">.1 </w:t>
      </w:r>
      <w:r w:rsidR="008934D8">
        <w:t>Evènements récents</w:t>
      </w:r>
      <w:bookmarkEnd w:id="173"/>
      <w:bookmarkEnd w:id="174"/>
      <w:r w:rsidR="00CF0C5B" w:rsidRPr="00ED761B">
        <w:t xml:space="preserve"> </w:t>
      </w:r>
      <w:r w:rsidR="00CF0C5B" w:rsidRPr="00ED761B">
        <w:tab/>
      </w:r>
    </w:p>
    <w:p w14:paraId="1CFDAD21" w14:textId="77777777" w:rsidR="00C1284B" w:rsidRDefault="00C1284B" w:rsidP="008934D8"/>
    <w:p w14:paraId="12363738" w14:textId="1D986968" w:rsidR="008934D8" w:rsidRDefault="008934D8" w:rsidP="008934D8">
      <w:r>
        <w:t>L’exercice 2020</w:t>
      </w:r>
      <w:r w:rsidRPr="008934D8">
        <w:t xml:space="preserve"> a été naturellement marqué par la situation sanitaire liée à la pandémie mondiale de </w:t>
      </w:r>
      <w:r w:rsidR="0014005A">
        <w:t>Covid-19</w:t>
      </w:r>
      <w:r w:rsidRPr="008934D8">
        <w:t xml:space="preserve"> ayant induit l’ar</w:t>
      </w:r>
      <w:r w:rsidR="006B5458">
        <w:t>rêt des chirurgies non vitales.</w:t>
      </w:r>
    </w:p>
    <w:p w14:paraId="45DD29CE" w14:textId="65FDAFC3" w:rsidR="001A03ED" w:rsidRDefault="001A03ED" w:rsidP="008934D8">
      <w:r w:rsidRPr="001A03ED">
        <w:t xml:space="preserve">La France </w:t>
      </w:r>
      <w:r>
        <w:t>a décidé des</w:t>
      </w:r>
      <w:r w:rsidRPr="001A03ED">
        <w:t xml:space="preserve"> mesures de confinement depuis mi-mars</w:t>
      </w:r>
      <w:r>
        <w:t>. La</w:t>
      </w:r>
      <w:r w:rsidRPr="001A03ED">
        <w:t xml:space="preserve"> filiale </w:t>
      </w:r>
      <w:r w:rsidR="00BD1301">
        <w:t xml:space="preserve">américaine </w:t>
      </w:r>
      <w:r>
        <w:t>est également affectée</w:t>
      </w:r>
      <w:r w:rsidRPr="001A03ED">
        <w:t xml:space="preserve"> et d’une manière plus large la plupart des pays dans lesquels le groupe Spineway évolue.</w:t>
      </w:r>
    </w:p>
    <w:p w14:paraId="7234B3E3" w14:textId="08EBBF7A" w:rsidR="008934D8" w:rsidRDefault="008934D8" w:rsidP="005E5A44">
      <w:pPr>
        <w:shd w:val="clear" w:color="auto" w:fill="FFFFFF"/>
        <w:spacing w:before="100" w:beforeAutospacing="1" w:after="100" w:afterAutospacing="1"/>
      </w:pPr>
      <w:r w:rsidRPr="008934D8">
        <w:t xml:space="preserve">Pendant cette période inédite, le groupe Spineway s’est pleinement mobilisé pour assurer le meilleur service possible auprès de ses clients directs en France et </w:t>
      </w:r>
      <w:r w:rsidR="00A54FC0">
        <w:t xml:space="preserve">de </w:t>
      </w:r>
      <w:r w:rsidRPr="008934D8">
        <w:t xml:space="preserve">ses partenaires distributeurs internationaux. Ces efforts ont permis au Groupe de maintenir le chiffre d’affaires </w:t>
      </w:r>
      <w:r w:rsidRPr="005E5A44">
        <w:t>du 2ème trimestre à près de 30</w:t>
      </w:r>
      <w:r w:rsidR="00C32059">
        <w:t xml:space="preserve"> </w:t>
      </w:r>
      <w:r w:rsidRPr="005E5A44">
        <w:t>%</w:t>
      </w:r>
      <w:r w:rsidRPr="008934D8">
        <w:t xml:space="preserve"> du niveau de l’an passé malgré un contexte international très compliqué et de porter le chiffre d’affaires </w:t>
      </w:r>
      <w:r w:rsidRPr="005E5A44">
        <w:t>semestriel à 1</w:t>
      </w:r>
      <w:r w:rsidR="00C32059">
        <w:t>.</w:t>
      </w:r>
      <w:r w:rsidRPr="005E5A44">
        <w:t>426 K€ au 30 juin 2020 (- 46</w:t>
      </w:r>
      <w:r w:rsidR="00C32059">
        <w:t xml:space="preserve"> </w:t>
      </w:r>
      <w:r w:rsidRPr="005E5A44">
        <w:t>% par rapport au S1 2019).</w:t>
      </w:r>
      <w:r w:rsidRPr="008934D8">
        <w:t xml:space="preserve"> </w:t>
      </w:r>
      <w:r w:rsidR="005E5A44" w:rsidRPr="005E5A44">
        <w:t xml:space="preserve">La </w:t>
      </w:r>
      <w:r w:rsidR="00A54FC0">
        <w:t>S</w:t>
      </w:r>
      <w:r w:rsidR="00A54FC0" w:rsidRPr="005E5A44">
        <w:t xml:space="preserve">ociété </w:t>
      </w:r>
      <w:r w:rsidR="005E5A44" w:rsidRPr="005E5A44">
        <w:t>affiche sur le mois de décembre 2020 un net redressement de ses ventes (+ 30</w:t>
      </w:r>
      <w:r w:rsidR="00C32059">
        <w:t xml:space="preserve"> </w:t>
      </w:r>
      <w:r w:rsidR="005E5A44" w:rsidRPr="005E5A44">
        <w:t xml:space="preserve">% par rapport à décembre 2019) qui lui permet d'enregistrer au 4ème trimestre </w:t>
      </w:r>
      <w:r w:rsidR="005E5A44">
        <w:t xml:space="preserve">2020 </w:t>
      </w:r>
      <w:r w:rsidR="005E5A44" w:rsidRPr="005E5A44">
        <w:t>un chiffre d'affaires de 1</w:t>
      </w:r>
      <w:r w:rsidR="005E5A44">
        <w:t>.</w:t>
      </w:r>
      <w:r w:rsidR="005E5A44" w:rsidRPr="005E5A44">
        <w:t xml:space="preserve">068 </w:t>
      </w:r>
      <w:r w:rsidR="005E5A44">
        <w:t>K</w:t>
      </w:r>
      <w:r w:rsidR="005E5A44" w:rsidRPr="005E5A44">
        <w:t>€, en progression de 21</w:t>
      </w:r>
      <w:r w:rsidR="00C32059">
        <w:t xml:space="preserve"> </w:t>
      </w:r>
      <w:r w:rsidR="005E5A44" w:rsidRPr="005E5A44">
        <w:t xml:space="preserve">% par rapport au 3ème trimestre 2020. Cette dynamique </w:t>
      </w:r>
      <w:r w:rsidR="007B5764">
        <w:t xml:space="preserve">positive </w:t>
      </w:r>
      <w:r w:rsidR="005E5A44" w:rsidRPr="005E5A44">
        <w:t>porte le chiffre d</w:t>
      </w:r>
      <w:r w:rsidR="005E5A44">
        <w:t xml:space="preserve">'affaires annuel du Groupe à </w:t>
      </w:r>
      <w:r w:rsidR="001034DF">
        <w:t>3.379</w:t>
      </w:r>
      <w:r w:rsidR="005E5A44" w:rsidRPr="005E5A44">
        <w:t xml:space="preserve"> </w:t>
      </w:r>
      <w:r w:rsidR="005E5A44">
        <w:t>K</w:t>
      </w:r>
      <w:r w:rsidR="005E5A44" w:rsidRPr="005E5A44">
        <w:t>€ et réduit l'écart par rapport à 2019 (- 33</w:t>
      </w:r>
      <w:r w:rsidR="00C32059">
        <w:t xml:space="preserve"> </w:t>
      </w:r>
      <w:r w:rsidR="005E5A44" w:rsidRPr="005E5A44">
        <w:t xml:space="preserve">%) dans une année très perturbée par la crise du </w:t>
      </w:r>
      <w:r w:rsidR="005E5A44">
        <w:t>Covid-19</w:t>
      </w:r>
      <w:r w:rsidR="005E5A44" w:rsidRPr="005E5A44">
        <w:t xml:space="preserve">. </w:t>
      </w:r>
    </w:p>
    <w:p w14:paraId="14B40CE7" w14:textId="6AE5F2A4" w:rsidR="008934D8" w:rsidRPr="008934D8" w:rsidRDefault="008934D8" w:rsidP="008934D8">
      <w:r w:rsidRPr="008934D8">
        <w:t xml:space="preserve">Sur la période, les territoires du Groupe reflètent des variations diverses.  </w:t>
      </w:r>
    </w:p>
    <w:p w14:paraId="46A22FE1" w14:textId="7E309E1D" w:rsidR="00715910" w:rsidRPr="001A599D" w:rsidRDefault="00715910" w:rsidP="009D5AD4">
      <w:pPr>
        <w:rPr>
          <w:szCs w:val="20"/>
        </w:rPr>
      </w:pPr>
    </w:p>
    <w:p w14:paraId="766FD034" w14:textId="10C31483" w:rsidR="008934D8" w:rsidRDefault="008934D8" w:rsidP="008934D8">
      <w:pPr>
        <w:rPr>
          <w:noProof/>
        </w:rPr>
      </w:pPr>
      <w:r>
        <w:rPr>
          <w:noProof/>
        </w:rPr>
        <w:t xml:space="preserve">L’impact </w:t>
      </w:r>
      <w:r>
        <w:rPr>
          <w:noProof/>
          <w:spacing w:val="-2"/>
        </w:rPr>
        <w:t>de</w:t>
      </w:r>
      <w:r>
        <w:rPr>
          <w:noProof/>
          <w:spacing w:val="22"/>
        </w:rPr>
        <w:t xml:space="preserve"> </w:t>
      </w:r>
      <w:r>
        <w:rPr>
          <w:noProof/>
          <w:spacing w:val="7"/>
        </w:rPr>
        <w:t xml:space="preserve">la </w:t>
      </w:r>
      <w:r>
        <w:rPr>
          <w:noProof/>
          <w:spacing w:val="3"/>
        </w:rPr>
        <w:t xml:space="preserve">baisse </w:t>
      </w:r>
      <w:r>
        <w:rPr>
          <w:noProof/>
          <w:spacing w:val="7"/>
        </w:rPr>
        <w:t xml:space="preserve">du </w:t>
      </w:r>
      <w:r>
        <w:rPr>
          <w:noProof/>
          <w:spacing w:val="3"/>
        </w:rPr>
        <w:t xml:space="preserve">chiffre </w:t>
      </w:r>
      <w:r>
        <w:rPr>
          <w:noProof/>
        </w:rPr>
        <w:t xml:space="preserve">d’affaires amplifiée </w:t>
      </w:r>
      <w:r>
        <w:rPr>
          <w:noProof/>
          <w:spacing w:val="6"/>
        </w:rPr>
        <w:t xml:space="preserve">par une </w:t>
      </w:r>
      <w:r>
        <w:rPr>
          <w:noProof/>
        </w:rPr>
        <w:t xml:space="preserve">présence </w:t>
      </w:r>
      <w:r>
        <w:rPr>
          <w:noProof/>
          <w:spacing w:val="11"/>
        </w:rPr>
        <w:t xml:space="preserve">à </w:t>
      </w:r>
      <w:r>
        <w:rPr>
          <w:noProof/>
        </w:rPr>
        <w:t xml:space="preserve">l’export </w:t>
      </w:r>
      <w:r>
        <w:rPr>
          <w:noProof/>
          <w:spacing w:val="5"/>
        </w:rPr>
        <w:t xml:space="preserve">dans </w:t>
      </w:r>
      <w:r>
        <w:rPr>
          <w:noProof/>
          <w:spacing w:val="6"/>
        </w:rPr>
        <w:t xml:space="preserve">des </w:t>
      </w:r>
      <w:r>
        <w:rPr>
          <w:noProof/>
          <w:spacing w:val="4"/>
        </w:rPr>
        <w:t xml:space="preserve">pays </w:t>
      </w:r>
      <w:r>
        <w:rPr>
          <w:noProof/>
        </w:rPr>
        <w:t xml:space="preserve">très  </w:t>
      </w:r>
      <w:r>
        <w:rPr>
          <w:noProof/>
          <w:spacing w:val="5"/>
        </w:rPr>
        <w:t xml:space="preserve">fortement </w:t>
      </w:r>
      <w:r>
        <w:rPr>
          <w:noProof/>
          <w:spacing w:val="6"/>
        </w:rPr>
        <w:t xml:space="preserve">touchés, </w:t>
      </w:r>
      <w:r>
        <w:rPr>
          <w:noProof/>
          <w:spacing w:val="14"/>
        </w:rPr>
        <w:t xml:space="preserve">est </w:t>
      </w:r>
      <w:r>
        <w:rPr>
          <w:noProof/>
          <w:spacing w:val="5"/>
        </w:rPr>
        <w:t xml:space="preserve">légèrement </w:t>
      </w:r>
      <w:r>
        <w:rPr>
          <w:noProof/>
          <w:spacing w:val="7"/>
        </w:rPr>
        <w:t xml:space="preserve">atténué </w:t>
      </w:r>
      <w:r>
        <w:rPr>
          <w:noProof/>
          <w:spacing w:val="18"/>
        </w:rPr>
        <w:t xml:space="preserve">au </w:t>
      </w:r>
      <w:r>
        <w:rPr>
          <w:noProof/>
          <w:spacing w:val="8"/>
        </w:rPr>
        <w:t xml:space="preserve">niveau </w:t>
      </w:r>
      <w:r>
        <w:rPr>
          <w:noProof/>
          <w:spacing w:val="18"/>
        </w:rPr>
        <w:t xml:space="preserve">du </w:t>
      </w:r>
      <w:r>
        <w:rPr>
          <w:noProof/>
          <w:spacing w:val="-1"/>
        </w:rPr>
        <w:t>résultat</w:t>
      </w:r>
      <w:r>
        <w:rPr>
          <w:noProof/>
          <w:spacing w:val="54"/>
        </w:rPr>
        <w:t xml:space="preserve"> </w:t>
      </w:r>
      <w:r>
        <w:rPr>
          <w:noProof/>
          <w:spacing w:val="14"/>
        </w:rPr>
        <w:t xml:space="preserve">par des </w:t>
      </w:r>
      <w:r>
        <w:rPr>
          <w:noProof/>
          <w:spacing w:val="5"/>
        </w:rPr>
        <w:t xml:space="preserve">économies </w:t>
      </w:r>
      <w:r>
        <w:rPr>
          <w:noProof/>
          <w:spacing w:val="18"/>
        </w:rPr>
        <w:t xml:space="preserve">de </w:t>
      </w:r>
      <w:r>
        <w:rPr>
          <w:noProof/>
        </w:rPr>
        <w:t xml:space="preserve">coûts  </w:t>
      </w:r>
      <w:r>
        <w:rPr>
          <w:noProof/>
          <w:spacing w:val="-1"/>
        </w:rPr>
        <w:t>notamment en lien avec</w:t>
      </w:r>
      <w:r>
        <w:rPr>
          <w:noProof/>
          <w:spacing w:val="-2"/>
        </w:rPr>
        <w:t xml:space="preserve"> : </w:t>
      </w:r>
      <w:r>
        <w:rPr>
          <w:noProof/>
        </w:rPr>
        <w:t xml:space="preserve"> </w:t>
      </w:r>
    </w:p>
    <w:p w14:paraId="4090AB42" w14:textId="571D6C5B" w:rsidR="008934D8" w:rsidRPr="001A03ED" w:rsidRDefault="00A54FC0" w:rsidP="00C622C2">
      <w:pPr>
        <w:pStyle w:val="Paragraphedeliste"/>
        <w:numPr>
          <w:ilvl w:val="0"/>
          <w:numId w:val="49"/>
        </w:numPr>
        <w:rPr>
          <w:noProof/>
          <w:spacing w:val="-1"/>
        </w:rPr>
      </w:pPr>
      <w:r>
        <w:rPr>
          <w:noProof/>
          <w:spacing w:val="-1"/>
        </w:rPr>
        <w:t>l</w:t>
      </w:r>
      <w:r w:rsidRPr="004C56EF">
        <w:rPr>
          <w:noProof/>
          <w:spacing w:val="-1"/>
        </w:rPr>
        <w:t xml:space="preserve">a </w:t>
      </w:r>
      <w:r w:rsidR="008934D8" w:rsidRPr="004C56EF">
        <w:rPr>
          <w:noProof/>
          <w:spacing w:val="-1"/>
        </w:rPr>
        <w:t>sup</w:t>
      </w:r>
      <w:r w:rsidR="008934D8" w:rsidRPr="001A03ED">
        <w:rPr>
          <w:noProof/>
          <w:spacing w:val="-1"/>
        </w:rPr>
        <w:t xml:space="preserve">pression des salons et congrès ainsi que des déplacements des commerciaux et  </w:t>
      </w:r>
      <w:r w:rsidR="008934D8" w:rsidRPr="004C56EF">
        <w:rPr>
          <w:noProof/>
          <w:spacing w:val="-1"/>
        </w:rPr>
        <w:t>chirurgiens</w:t>
      </w:r>
      <w:r w:rsidR="008934D8" w:rsidRPr="001A03ED">
        <w:rPr>
          <w:noProof/>
          <w:spacing w:val="-1"/>
        </w:rPr>
        <w:t xml:space="preserve"> ; </w:t>
      </w:r>
    </w:p>
    <w:p w14:paraId="0906DF71" w14:textId="18DD7542" w:rsidR="008934D8" w:rsidRPr="001A03ED" w:rsidRDefault="00A54FC0" w:rsidP="00C622C2">
      <w:pPr>
        <w:pStyle w:val="Paragraphedeliste"/>
        <w:numPr>
          <w:ilvl w:val="0"/>
          <w:numId w:val="49"/>
        </w:numPr>
        <w:rPr>
          <w:noProof/>
          <w:spacing w:val="-1"/>
        </w:rPr>
      </w:pPr>
      <w:r>
        <w:rPr>
          <w:noProof/>
          <w:spacing w:val="-1"/>
        </w:rPr>
        <w:t>l</w:t>
      </w:r>
      <w:r w:rsidRPr="004C56EF">
        <w:rPr>
          <w:noProof/>
          <w:spacing w:val="-1"/>
        </w:rPr>
        <w:t xml:space="preserve">a </w:t>
      </w:r>
      <w:r w:rsidR="008934D8" w:rsidRPr="004C56EF">
        <w:rPr>
          <w:noProof/>
          <w:spacing w:val="-1"/>
        </w:rPr>
        <w:t>mise en place dès mars 2020 d’activité partielle et de reports de charges</w:t>
      </w:r>
      <w:r w:rsidR="001A03ED" w:rsidRPr="001A03ED">
        <w:rPr>
          <w:noProof/>
          <w:spacing w:val="-1"/>
        </w:rPr>
        <w:t xml:space="preserve"> pour un montant total de 399 K€ en 2020 </w:t>
      </w:r>
      <w:r w:rsidR="008934D8" w:rsidRPr="001A03ED">
        <w:rPr>
          <w:noProof/>
          <w:spacing w:val="-1"/>
        </w:rPr>
        <w:t xml:space="preserve">; </w:t>
      </w:r>
    </w:p>
    <w:p w14:paraId="1F84CAC8" w14:textId="001FD5F0" w:rsidR="008934D8" w:rsidRPr="00A54FC0" w:rsidRDefault="00A54FC0" w:rsidP="00C622C2">
      <w:pPr>
        <w:pStyle w:val="Paragraphedeliste"/>
        <w:numPr>
          <w:ilvl w:val="0"/>
          <w:numId w:val="49"/>
        </w:numPr>
        <w:rPr>
          <w:noProof/>
        </w:rPr>
      </w:pPr>
      <w:r w:rsidRPr="00E513E0">
        <w:rPr>
          <w:noProof/>
          <w:spacing w:val="-2"/>
        </w:rPr>
        <w:t>l</w:t>
      </w:r>
      <w:r w:rsidRPr="00E513E0">
        <w:rPr>
          <w:noProof/>
          <w:spacing w:val="14"/>
        </w:rPr>
        <w:t xml:space="preserve">a </w:t>
      </w:r>
      <w:r w:rsidR="008934D8" w:rsidRPr="00962E51">
        <w:rPr>
          <w:noProof/>
          <w:spacing w:val="6"/>
        </w:rPr>
        <w:t xml:space="preserve">mise </w:t>
      </w:r>
      <w:r w:rsidR="008934D8" w:rsidRPr="003F1935">
        <w:rPr>
          <w:noProof/>
          <w:spacing w:val="10"/>
        </w:rPr>
        <w:t xml:space="preserve">en </w:t>
      </w:r>
      <w:r w:rsidR="008934D8" w:rsidRPr="003F1935">
        <w:rPr>
          <w:noProof/>
          <w:spacing w:val="5"/>
        </w:rPr>
        <w:t xml:space="preserve">place </w:t>
      </w:r>
      <w:r w:rsidR="008934D8" w:rsidRPr="003F1935">
        <w:rPr>
          <w:noProof/>
          <w:spacing w:val="7"/>
        </w:rPr>
        <w:t xml:space="preserve">des </w:t>
      </w:r>
      <w:r w:rsidR="008934D8" w:rsidRPr="003F1935">
        <w:rPr>
          <w:noProof/>
          <w:spacing w:val="3"/>
        </w:rPr>
        <w:t xml:space="preserve">protocoles sanitaires </w:t>
      </w:r>
      <w:r w:rsidR="008934D8" w:rsidRPr="00A54FC0">
        <w:rPr>
          <w:noProof/>
          <w:spacing w:val="10"/>
        </w:rPr>
        <w:t xml:space="preserve">au </w:t>
      </w:r>
      <w:r w:rsidR="008934D8" w:rsidRPr="00A54FC0">
        <w:rPr>
          <w:noProof/>
          <w:spacing w:val="4"/>
        </w:rPr>
        <w:t xml:space="preserve">niveau </w:t>
      </w:r>
      <w:r w:rsidR="008934D8" w:rsidRPr="00A54FC0">
        <w:rPr>
          <w:noProof/>
          <w:spacing w:val="10"/>
        </w:rPr>
        <w:t xml:space="preserve">du </w:t>
      </w:r>
      <w:r w:rsidR="00DF230F" w:rsidRPr="00A54FC0">
        <w:rPr>
          <w:noProof/>
          <w:spacing w:val="4"/>
        </w:rPr>
        <w:t>G</w:t>
      </w:r>
      <w:r w:rsidR="008934D8" w:rsidRPr="00A54FC0">
        <w:rPr>
          <w:noProof/>
          <w:spacing w:val="4"/>
        </w:rPr>
        <w:t xml:space="preserve">roupe </w:t>
      </w:r>
      <w:r w:rsidRPr="00A54FC0">
        <w:rPr>
          <w:noProof/>
          <w:spacing w:val="14"/>
        </w:rPr>
        <w:t xml:space="preserve">qui ont </w:t>
      </w:r>
      <w:r w:rsidR="008934D8" w:rsidRPr="00A54FC0">
        <w:rPr>
          <w:noProof/>
          <w:spacing w:val="3"/>
        </w:rPr>
        <w:t xml:space="preserve">engendré </w:t>
      </w:r>
      <w:r w:rsidR="008934D8" w:rsidRPr="00A54FC0">
        <w:rPr>
          <w:noProof/>
          <w:spacing w:val="7"/>
        </w:rPr>
        <w:t xml:space="preserve">des </w:t>
      </w:r>
      <w:r w:rsidR="008934D8" w:rsidRPr="00A54FC0">
        <w:rPr>
          <w:noProof/>
          <w:spacing w:val="-1"/>
        </w:rPr>
        <w:t>dépenses</w:t>
      </w:r>
      <w:r w:rsidR="008934D8" w:rsidRPr="00A54FC0">
        <w:rPr>
          <w:noProof/>
        </w:rPr>
        <w:t xml:space="preserve">  spécifiques, comme celles indispensables à la sécurisation des sites</w:t>
      </w:r>
      <w:r w:rsidR="004C56EF" w:rsidRPr="00A54FC0">
        <w:rPr>
          <w:noProof/>
        </w:rPr>
        <w:t xml:space="preserve"> et </w:t>
      </w:r>
      <w:r w:rsidR="008934D8" w:rsidRPr="00A54FC0">
        <w:rPr>
          <w:noProof/>
        </w:rPr>
        <w:t xml:space="preserve">des salariés: </w:t>
      </w:r>
      <w:r w:rsidR="008934D8" w:rsidRPr="00A54FC0">
        <w:rPr>
          <w:noProof/>
          <w:spacing w:val="1"/>
        </w:rPr>
        <w:t xml:space="preserve">signalétiques révisées, achat de gel, achat de masques et achat de désinfectant notamment.  </w:t>
      </w:r>
    </w:p>
    <w:p w14:paraId="44641E3E" w14:textId="77777777" w:rsidR="008934D8" w:rsidRPr="00A54FC0" w:rsidRDefault="008934D8" w:rsidP="00C1284B">
      <w:pPr>
        <w:ind w:firstLine="709"/>
        <w:rPr>
          <w:noProof/>
        </w:rPr>
      </w:pPr>
      <w:r w:rsidRPr="00A54FC0">
        <w:rPr>
          <w:noProof/>
          <w:spacing w:val="-1"/>
        </w:rPr>
        <w:t>Celles</w:t>
      </w:r>
      <w:r w:rsidRPr="00A54FC0">
        <w:rPr>
          <w:noProof/>
          <w:spacing w:val="-2"/>
        </w:rPr>
        <w:t>-</w:t>
      </w:r>
      <w:r w:rsidRPr="00A54FC0">
        <w:rPr>
          <w:noProof/>
          <w:spacing w:val="-1"/>
        </w:rPr>
        <w:t>ci restent néanmoins limitées.</w:t>
      </w:r>
      <w:r w:rsidRPr="00A54FC0">
        <w:rPr>
          <w:noProof/>
          <w:spacing w:val="-2"/>
        </w:rPr>
        <w:t xml:space="preserve"> </w:t>
      </w:r>
      <w:r w:rsidRPr="00A54FC0">
        <w:rPr>
          <w:noProof/>
        </w:rPr>
        <w:t xml:space="preserve"> </w:t>
      </w:r>
    </w:p>
    <w:p w14:paraId="4FE90438" w14:textId="77777777" w:rsidR="008934D8" w:rsidRDefault="008934D8" w:rsidP="008934D8">
      <w:pPr>
        <w:rPr>
          <w:noProof/>
          <w:spacing w:val="74"/>
        </w:rPr>
      </w:pPr>
    </w:p>
    <w:p w14:paraId="4E0866CA" w14:textId="74CF6FC5" w:rsidR="008934D8" w:rsidRPr="004C56EF" w:rsidRDefault="008934D8" w:rsidP="008934D8">
      <w:pPr>
        <w:rPr>
          <w:noProof/>
          <w:spacing w:val="74"/>
        </w:rPr>
      </w:pPr>
      <w:r>
        <w:rPr>
          <w:noProof/>
          <w:spacing w:val="1"/>
        </w:rPr>
        <w:t xml:space="preserve">Néanmoins, les équipes Spineway sont pleinement mobilisées pour assurer la continuité de l’activité </w:t>
      </w:r>
      <w:r>
        <w:rPr>
          <w:noProof/>
        </w:rPr>
        <w:t>et ajustent en temps réel des plans d’actions de manière à pouvoir se</w:t>
      </w:r>
      <w:r w:rsidR="00C1284B">
        <w:rPr>
          <w:noProof/>
        </w:rPr>
        <w:t xml:space="preserve"> préparer au mieux à la repris</w:t>
      </w:r>
      <w:r w:rsidR="00C1284B">
        <w:rPr>
          <w:noProof/>
          <w:spacing w:val="74"/>
        </w:rPr>
        <w:t>e</w:t>
      </w:r>
      <w:r>
        <w:rPr>
          <w:noProof/>
          <w:spacing w:val="-1"/>
        </w:rPr>
        <w:t>et limiter au maximum les incidences de cette crise sanitaire.</w:t>
      </w:r>
      <w:r>
        <w:rPr>
          <w:noProof/>
        </w:rPr>
        <w:t xml:space="preserve"> </w:t>
      </w:r>
    </w:p>
    <w:p w14:paraId="335C335E" w14:textId="77777777" w:rsidR="008934D8" w:rsidRDefault="008934D8" w:rsidP="008934D8">
      <w:pPr>
        <w:rPr>
          <w:noProof/>
          <w:spacing w:val="43"/>
        </w:rPr>
      </w:pPr>
    </w:p>
    <w:p w14:paraId="02F693A3" w14:textId="11F3C931" w:rsidR="004B7C45" w:rsidRPr="001A03ED" w:rsidRDefault="004B7C45" w:rsidP="004B7C45">
      <w:pPr>
        <w:rPr>
          <w:noProof/>
          <w:spacing w:val="-1"/>
        </w:rPr>
      </w:pPr>
      <w:r>
        <w:rPr>
          <w:noProof/>
        </w:rPr>
        <w:t>Ainsi, dans le</w:t>
      </w:r>
      <w:r>
        <w:rPr>
          <w:noProof/>
          <w:spacing w:val="8"/>
        </w:rPr>
        <w:t xml:space="preserve"> </w:t>
      </w:r>
      <w:r>
        <w:rPr>
          <w:noProof/>
        </w:rPr>
        <w:t xml:space="preserve">cadre des mesures gouvernementales </w:t>
      </w:r>
      <w:r>
        <w:rPr>
          <w:noProof/>
          <w:spacing w:val="-1"/>
        </w:rPr>
        <w:t>destinées</w:t>
      </w:r>
      <w:r>
        <w:rPr>
          <w:noProof/>
          <w:spacing w:val="8"/>
        </w:rPr>
        <w:t xml:space="preserve"> </w:t>
      </w:r>
      <w:r>
        <w:rPr>
          <w:noProof/>
          <w:spacing w:val="-3"/>
        </w:rPr>
        <w:t>à</w:t>
      </w:r>
      <w:r>
        <w:rPr>
          <w:noProof/>
          <w:spacing w:val="8"/>
        </w:rPr>
        <w:t xml:space="preserve"> </w:t>
      </w:r>
      <w:r>
        <w:rPr>
          <w:noProof/>
        </w:rPr>
        <w:t xml:space="preserve">soutenir les entreprises, Spineway a obtenu l’accord de ses banques pour l’octroi </w:t>
      </w:r>
      <w:r w:rsidR="008E65FA">
        <w:rPr>
          <w:noProof/>
        </w:rPr>
        <w:t>de</w:t>
      </w:r>
      <w:r>
        <w:rPr>
          <w:noProof/>
        </w:rPr>
        <w:t xml:space="preserve"> </w:t>
      </w:r>
      <w:r>
        <w:rPr>
          <w:noProof/>
          <w:spacing w:val="-1"/>
        </w:rPr>
        <w:t xml:space="preserve">PGE </w:t>
      </w:r>
      <w:r>
        <w:rPr>
          <w:noProof/>
          <w:spacing w:val="2"/>
        </w:rPr>
        <w:t xml:space="preserve">d’un montant </w:t>
      </w:r>
      <w:r w:rsidR="008E65FA">
        <w:rPr>
          <w:noProof/>
          <w:spacing w:val="2"/>
        </w:rPr>
        <w:t xml:space="preserve">global </w:t>
      </w:r>
      <w:r>
        <w:rPr>
          <w:noProof/>
          <w:spacing w:val="2"/>
        </w:rPr>
        <w:t>de 1.</w:t>
      </w:r>
      <w:r>
        <w:rPr>
          <w:noProof/>
          <w:spacing w:val="-1"/>
        </w:rPr>
        <w:t>270</w:t>
      </w:r>
      <w:r>
        <w:rPr>
          <w:noProof/>
          <w:spacing w:val="7"/>
        </w:rPr>
        <w:t>.</w:t>
      </w:r>
      <w:r>
        <w:rPr>
          <w:noProof/>
        </w:rPr>
        <w:t xml:space="preserve">000 </w:t>
      </w:r>
      <w:r>
        <w:rPr>
          <w:noProof/>
          <w:spacing w:val="-1"/>
        </w:rPr>
        <w:t>€, soit le maximum accordable. Ces prêts, versés au cours de l’exercice 2020,</w:t>
      </w:r>
      <w:r>
        <w:rPr>
          <w:noProof/>
          <w:spacing w:val="-3"/>
        </w:rPr>
        <w:t xml:space="preserve"> </w:t>
      </w:r>
      <w:r w:rsidR="000512BF">
        <w:rPr>
          <w:noProof/>
          <w:spacing w:val="-1"/>
        </w:rPr>
        <w:t>viennen</w:t>
      </w:r>
      <w:r>
        <w:rPr>
          <w:noProof/>
          <w:spacing w:val="-1"/>
        </w:rPr>
        <w:t xml:space="preserve">t ainsi renforcer la </w:t>
      </w:r>
      <w:r>
        <w:rPr>
          <w:noProof/>
          <w:spacing w:val="-2"/>
        </w:rPr>
        <w:t>tr</w:t>
      </w:r>
      <w:r>
        <w:rPr>
          <w:noProof/>
          <w:spacing w:val="-1"/>
        </w:rPr>
        <w:t>ésorerie</w:t>
      </w:r>
      <w:r>
        <w:rPr>
          <w:noProof/>
          <w:spacing w:val="-3"/>
        </w:rPr>
        <w:t xml:space="preserve"> </w:t>
      </w:r>
      <w:r>
        <w:rPr>
          <w:noProof/>
          <w:spacing w:val="-1"/>
        </w:rPr>
        <w:t>du Groupe et leurs permettent de maintenir ses activités</w:t>
      </w:r>
      <w:r>
        <w:rPr>
          <w:noProof/>
          <w:spacing w:val="-4"/>
        </w:rPr>
        <w:t xml:space="preserve"> </w:t>
      </w:r>
      <w:r>
        <w:rPr>
          <w:noProof/>
          <w:spacing w:val="-1"/>
        </w:rPr>
        <w:t>jusqu’</w:t>
      </w:r>
      <w:r>
        <w:rPr>
          <w:noProof/>
          <w:spacing w:val="-2"/>
        </w:rPr>
        <w:t>à</w:t>
      </w:r>
      <w:r>
        <w:rPr>
          <w:noProof/>
          <w:spacing w:val="-4"/>
        </w:rPr>
        <w:t xml:space="preserve"> </w:t>
      </w:r>
      <w:r>
        <w:rPr>
          <w:noProof/>
          <w:spacing w:val="-1"/>
        </w:rPr>
        <w:t>la reprise des chirurgies sur l’ensemble de ses zones d’implantation.</w:t>
      </w:r>
      <w:r w:rsidRPr="001A03ED">
        <w:rPr>
          <w:noProof/>
          <w:spacing w:val="-1"/>
        </w:rPr>
        <w:t xml:space="preserve"> </w:t>
      </w:r>
    </w:p>
    <w:p w14:paraId="4E92CA0A" w14:textId="2BB0424B" w:rsidR="001A03ED" w:rsidRPr="001A03ED" w:rsidRDefault="001A03ED" w:rsidP="001A03ED">
      <w:pPr>
        <w:rPr>
          <w:noProof/>
          <w:spacing w:val="-1"/>
        </w:rPr>
      </w:pPr>
      <w:r w:rsidRPr="001A03ED">
        <w:rPr>
          <w:noProof/>
          <w:spacing w:val="-1"/>
        </w:rPr>
        <w:t xml:space="preserve">La filiale </w:t>
      </w:r>
      <w:r>
        <w:rPr>
          <w:noProof/>
          <w:spacing w:val="-1"/>
        </w:rPr>
        <w:t>américaine</w:t>
      </w:r>
      <w:r w:rsidRPr="001A03ED">
        <w:rPr>
          <w:noProof/>
          <w:spacing w:val="-1"/>
        </w:rPr>
        <w:t xml:space="preserve"> a bénéficié d’une subvention de 42 K€ qui lui a été attribuée dans ce contexte de </w:t>
      </w:r>
      <w:r>
        <w:t>Covid-19</w:t>
      </w:r>
      <w:r w:rsidRPr="001A03ED">
        <w:rPr>
          <w:noProof/>
          <w:spacing w:val="-1"/>
        </w:rPr>
        <w:t>.</w:t>
      </w:r>
    </w:p>
    <w:p w14:paraId="6FAD86FE" w14:textId="77777777" w:rsidR="008934D8" w:rsidRDefault="008934D8" w:rsidP="008934D8">
      <w:pPr>
        <w:rPr>
          <w:noProof/>
          <w:spacing w:val="90"/>
        </w:rPr>
      </w:pPr>
    </w:p>
    <w:p w14:paraId="519AB525" w14:textId="7FA909C1" w:rsidR="008934D8" w:rsidRPr="004C56EF" w:rsidRDefault="008934D8" w:rsidP="008934D8">
      <w:pPr>
        <w:rPr>
          <w:noProof/>
          <w:spacing w:val="90"/>
        </w:rPr>
      </w:pPr>
      <w:r>
        <w:rPr>
          <w:noProof/>
        </w:rPr>
        <w:t>Compte tenu de la baisse du chiffre d’affaire</w:t>
      </w:r>
      <w:r w:rsidR="00761C0E">
        <w:rPr>
          <w:noProof/>
        </w:rPr>
        <w:t>,</w:t>
      </w:r>
      <w:r>
        <w:rPr>
          <w:noProof/>
        </w:rPr>
        <w:t xml:space="preserve"> la </w:t>
      </w:r>
      <w:r w:rsidR="00761C0E">
        <w:rPr>
          <w:noProof/>
        </w:rPr>
        <w:t>S</w:t>
      </w:r>
      <w:r>
        <w:rPr>
          <w:noProof/>
        </w:rPr>
        <w:t xml:space="preserve">ociété a poursuivi ses actions de rationalisation des </w:t>
      </w:r>
      <w:r>
        <w:rPr>
          <w:noProof/>
          <w:spacing w:val="-1"/>
        </w:rPr>
        <w:t xml:space="preserve">stocks et de recherche d’amélioration du BFR. </w:t>
      </w:r>
      <w:r>
        <w:rPr>
          <w:noProof/>
        </w:rPr>
        <w:t xml:space="preserve"> </w:t>
      </w:r>
    </w:p>
    <w:p w14:paraId="37242BAD" w14:textId="77777777" w:rsidR="008934D8" w:rsidRDefault="008934D8" w:rsidP="008934D8">
      <w:pPr>
        <w:rPr>
          <w:noProof/>
        </w:rPr>
      </w:pPr>
    </w:p>
    <w:p w14:paraId="01AC6085" w14:textId="1D584828" w:rsidR="008934D8" w:rsidRDefault="008934D8" w:rsidP="008934D8">
      <w:pPr>
        <w:rPr>
          <w:noProof/>
        </w:rPr>
      </w:pPr>
      <w:r>
        <w:rPr>
          <w:noProof/>
          <w:spacing w:val="-1"/>
        </w:rPr>
        <w:t xml:space="preserve">Différents impacts additionnels potentiels pourraient concerner le </w:t>
      </w:r>
      <w:r w:rsidR="00B64FB8">
        <w:rPr>
          <w:noProof/>
          <w:spacing w:val="-1"/>
        </w:rPr>
        <w:t>G</w:t>
      </w:r>
      <w:r>
        <w:rPr>
          <w:noProof/>
          <w:spacing w:val="-1"/>
        </w:rPr>
        <w:t>roupe à moyen terme dont</w:t>
      </w:r>
      <w:r>
        <w:rPr>
          <w:noProof/>
          <w:spacing w:val="-2"/>
        </w:rPr>
        <w:t xml:space="preserve"> </w:t>
      </w:r>
      <w:r>
        <w:rPr>
          <w:noProof/>
          <w:spacing w:val="-3"/>
        </w:rPr>
        <w:t>:</w:t>
      </w:r>
      <w:r>
        <w:rPr>
          <w:noProof/>
        </w:rPr>
        <w:t xml:space="preserve"> </w:t>
      </w:r>
    </w:p>
    <w:p w14:paraId="0298C99D" w14:textId="6011AA02" w:rsidR="008934D8" w:rsidRPr="004C56EF" w:rsidRDefault="00A54FC0" w:rsidP="00C622C2">
      <w:pPr>
        <w:pStyle w:val="Paragraphedeliste"/>
        <w:numPr>
          <w:ilvl w:val="0"/>
          <w:numId w:val="48"/>
        </w:numPr>
        <w:rPr>
          <w:noProof/>
          <w:spacing w:val="258"/>
        </w:rPr>
      </w:pPr>
      <w:r>
        <w:rPr>
          <w:noProof/>
          <w:spacing w:val="3"/>
        </w:rPr>
        <w:t>d</w:t>
      </w:r>
      <w:r w:rsidRPr="004C56EF">
        <w:rPr>
          <w:noProof/>
          <w:spacing w:val="3"/>
        </w:rPr>
        <w:t xml:space="preserve">es </w:t>
      </w:r>
      <w:r w:rsidR="008934D8" w:rsidRPr="004C56EF">
        <w:rPr>
          <w:noProof/>
          <w:spacing w:val="3"/>
        </w:rPr>
        <w:t xml:space="preserve">problèmes de solvabilité de certains clients ou a minima une augmentation des </w:t>
      </w:r>
      <w:r w:rsidR="008934D8" w:rsidRPr="004C56EF">
        <w:rPr>
          <w:noProof/>
          <w:spacing w:val="-1"/>
        </w:rPr>
        <w:t>délais de règlement</w:t>
      </w:r>
      <w:r w:rsidR="008934D8" w:rsidRPr="004C56EF">
        <w:rPr>
          <w:noProof/>
          <w:spacing w:val="-2"/>
        </w:rPr>
        <w:t xml:space="preserve"> </w:t>
      </w:r>
      <w:r w:rsidR="008934D8" w:rsidRPr="004C56EF">
        <w:rPr>
          <w:noProof/>
          <w:spacing w:val="-3"/>
        </w:rPr>
        <w:t>;</w:t>
      </w:r>
      <w:r w:rsidR="008934D8">
        <w:rPr>
          <w:noProof/>
        </w:rPr>
        <w:t xml:space="preserve"> </w:t>
      </w:r>
    </w:p>
    <w:p w14:paraId="23158F3A" w14:textId="20B3F7B4" w:rsidR="008934D8" w:rsidRPr="004C56EF" w:rsidRDefault="00A54FC0" w:rsidP="00C622C2">
      <w:pPr>
        <w:pStyle w:val="Paragraphedeliste"/>
        <w:numPr>
          <w:ilvl w:val="0"/>
          <w:numId w:val="48"/>
        </w:numPr>
        <w:rPr>
          <w:noProof/>
          <w:spacing w:val="-29"/>
        </w:rPr>
      </w:pPr>
      <w:r>
        <w:rPr>
          <w:noProof/>
          <w:spacing w:val="-1"/>
        </w:rPr>
        <w:t>d</w:t>
      </w:r>
      <w:r w:rsidRPr="004C56EF">
        <w:rPr>
          <w:noProof/>
          <w:spacing w:val="-1"/>
        </w:rPr>
        <w:t xml:space="preserve">’une </w:t>
      </w:r>
      <w:r w:rsidR="008934D8" w:rsidRPr="004C56EF">
        <w:rPr>
          <w:noProof/>
          <w:spacing w:val="-1"/>
        </w:rPr>
        <w:t xml:space="preserve">manière générale une baisse ou retard du chiffre d’affaires attendu par rapport au plan </w:t>
      </w:r>
      <w:r w:rsidR="004C56EF" w:rsidRPr="004C56EF">
        <w:rPr>
          <w:noProof/>
          <w:spacing w:val="-29"/>
        </w:rPr>
        <w:t xml:space="preserve"> </w:t>
      </w:r>
      <w:r w:rsidR="008934D8" w:rsidRPr="004C56EF">
        <w:rPr>
          <w:noProof/>
          <w:spacing w:val="-1"/>
        </w:rPr>
        <w:t>de croissance organique 2020</w:t>
      </w:r>
      <w:r w:rsidR="008934D8" w:rsidRPr="004C56EF">
        <w:rPr>
          <w:noProof/>
          <w:spacing w:val="-2"/>
        </w:rPr>
        <w:t>-</w:t>
      </w:r>
      <w:r w:rsidR="008934D8" w:rsidRPr="004C56EF">
        <w:rPr>
          <w:noProof/>
          <w:spacing w:val="-1"/>
        </w:rPr>
        <w:t>2021</w:t>
      </w:r>
      <w:r w:rsidR="008934D8" w:rsidRPr="004C56EF">
        <w:rPr>
          <w:noProof/>
          <w:spacing w:val="-2"/>
        </w:rPr>
        <w:t xml:space="preserve"> </w:t>
      </w:r>
      <w:r w:rsidR="008934D8" w:rsidRPr="004C56EF">
        <w:rPr>
          <w:noProof/>
          <w:spacing w:val="-3"/>
        </w:rPr>
        <w:t>;</w:t>
      </w:r>
      <w:r w:rsidR="008934D8">
        <w:rPr>
          <w:noProof/>
        </w:rPr>
        <w:t xml:space="preserve"> </w:t>
      </w:r>
    </w:p>
    <w:p w14:paraId="0D2463D6" w14:textId="33327A3A" w:rsidR="008934D8" w:rsidRDefault="00A54FC0" w:rsidP="00C622C2">
      <w:pPr>
        <w:pStyle w:val="Paragraphedeliste"/>
        <w:numPr>
          <w:ilvl w:val="0"/>
          <w:numId w:val="48"/>
        </w:numPr>
        <w:rPr>
          <w:noProof/>
        </w:rPr>
      </w:pPr>
      <w:r>
        <w:rPr>
          <w:noProof/>
          <w:spacing w:val="-1"/>
        </w:rPr>
        <w:t>d</w:t>
      </w:r>
      <w:r w:rsidRPr="004C56EF">
        <w:rPr>
          <w:noProof/>
          <w:spacing w:val="-1"/>
        </w:rPr>
        <w:t xml:space="preserve">es </w:t>
      </w:r>
      <w:r w:rsidR="008934D8" w:rsidRPr="004C56EF">
        <w:rPr>
          <w:noProof/>
          <w:spacing w:val="-1"/>
        </w:rPr>
        <w:t xml:space="preserve">retards et difficultés dans la collecte de données cliniques et volet règlementaire. </w:t>
      </w:r>
      <w:r w:rsidR="008934D8" w:rsidRPr="004C56EF">
        <w:rPr>
          <w:noProof/>
          <w:spacing w:val="-2"/>
        </w:rPr>
        <w:t xml:space="preserve"> </w:t>
      </w:r>
      <w:r w:rsidR="008934D8">
        <w:rPr>
          <w:noProof/>
        </w:rPr>
        <w:t xml:space="preserve"> </w:t>
      </w:r>
    </w:p>
    <w:p w14:paraId="57139F42" w14:textId="77777777" w:rsidR="009D5AD4" w:rsidRDefault="009D5AD4" w:rsidP="009D5AD4">
      <w:pPr>
        <w:rPr>
          <w:szCs w:val="20"/>
        </w:rPr>
      </w:pPr>
    </w:p>
    <w:p w14:paraId="6043ADD3" w14:textId="4CAAAA03" w:rsidR="00C1284B" w:rsidRPr="00C1284B" w:rsidRDefault="00C1284B" w:rsidP="00C1284B">
      <w:pPr>
        <w:rPr>
          <w:noProof/>
          <w:spacing w:val="-54"/>
        </w:rPr>
      </w:pPr>
      <w:r>
        <w:rPr>
          <w:noProof/>
        </w:rPr>
        <w:t xml:space="preserve">La continuité d’exploitation n’est pour ainsi, sur la base des éléments connus à date, nullement remise </w:t>
      </w:r>
      <w:r>
        <w:rPr>
          <w:noProof/>
          <w:spacing w:val="-54"/>
        </w:rPr>
        <w:t xml:space="preserve"> </w:t>
      </w:r>
      <w:r>
        <w:rPr>
          <w:noProof/>
        </w:rPr>
        <w:t xml:space="preserve">en question. Le </w:t>
      </w:r>
      <w:r w:rsidR="00B64FB8">
        <w:rPr>
          <w:noProof/>
          <w:spacing w:val="-1"/>
        </w:rPr>
        <w:t xml:space="preserve">Groupe </w:t>
      </w:r>
      <w:r>
        <w:rPr>
          <w:noProof/>
        </w:rPr>
        <w:t>peut notamment s’appuyer sur son financement Negma</w:t>
      </w:r>
      <w:r w:rsidR="00A54FC0">
        <w:rPr>
          <w:noProof/>
        </w:rPr>
        <w:t xml:space="preserve"> Group Ltd</w:t>
      </w:r>
      <w:r>
        <w:rPr>
          <w:noProof/>
          <w:spacing w:val="-2"/>
        </w:rPr>
        <w:t>.</w:t>
      </w:r>
      <w:r>
        <w:rPr>
          <w:noProof/>
        </w:rPr>
        <w:t xml:space="preserve"> Spineway étudie par </w:t>
      </w:r>
      <w:r>
        <w:rPr>
          <w:noProof/>
          <w:spacing w:val="-54"/>
        </w:rPr>
        <w:t xml:space="preserve"> </w:t>
      </w:r>
      <w:r>
        <w:rPr>
          <w:noProof/>
          <w:spacing w:val="5"/>
        </w:rPr>
        <w:t xml:space="preserve">ailleurs </w:t>
      </w:r>
      <w:r>
        <w:rPr>
          <w:noProof/>
          <w:spacing w:val="6"/>
        </w:rPr>
        <w:t xml:space="preserve">chaque </w:t>
      </w:r>
      <w:r>
        <w:rPr>
          <w:noProof/>
          <w:spacing w:val="4"/>
        </w:rPr>
        <w:t xml:space="preserve">dispositif permettant d’optimiser </w:t>
      </w:r>
      <w:r>
        <w:rPr>
          <w:noProof/>
          <w:spacing w:val="11"/>
        </w:rPr>
        <w:t xml:space="preserve">les </w:t>
      </w:r>
      <w:r>
        <w:rPr>
          <w:noProof/>
        </w:rPr>
        <w:t>bes</w:t>
      </w:r>
      <w:r>
        <w:rPr>
          <w:noProof/>
          <w:spacing w:val="9"/>
        </w:rPr>
        <w:t xml:space="preserve">oins </w:t>
      </w:r>
      <w:r>
        <w:rPr>
          <w:noProof/>
          <w:spacing w:val="15"/>
        </w:rPr>
        <w:t xml:space="preserve">de </w:t>
      </w:r>
      <w:r>
        <w:rPr>
          <w:noProof/>
          <w:spacing w:val="4"/>
        </w:rPr>
        <w:t xml:space="preserve">trésorerie </w:t>
      </w:r>
      <w:r w:rsidR="004E2D6A">
        <w:rPr>
          <w:noProof/>
          <w:spacing w:val="4"/>
        </w:rPr>
        <w:t>à</w:t>
      </w:r>
      <w:r>
        <w:rPr>
          <w:noProof/>
          <w:spacing w:val="4"/>
        </w:rPr>
        <w:t xml:space="preserve"> </w:t>
      </w:r>
      <w:r>
        <w:rPr>
          <w:noProof/>
          <w:spacing w:val="7"/>
        </w:rPr>
        <w:t xml:space="preserve">court terme selon </w:t>
      </w:r>
      <w:r>
        <w:rPr>
          <w:noProof/>
        </w:rPr>
        <w:t xml:space="preserve">les </w:t>
      </w:r>
      <w:r>
        <w:rPr>
          <w:noProof/>
          <w:spacing w:val="-54"/>
        </w:rPr>
        <w:t xml:space="preserve"> </w:t>
      </w:r>
      <w:r>
        <w:rPr>
          <w:noProof/>
        </w:rPr>
        <w:t xml:space="preserve">décrets et mesures gouvernementales publiés au fil de l’eau. </w:t>
      </w:r>
    </w:p>
    <w:p w14:paraId="1F705A7C" w14:textId="77777777" w:rsidR="00C1284B" w:rsidRDefault="00C1284B" w:rsidP="00C1284B">
      <w:pPr>
        <w:rPr>
          <w:noProof/>
        </w:rPr>
      </w:pPr>
    </w:p>
    <w:p w14:paraId="51A8DB64" w14:textId="3225F8AA" w:rsidR="00C1284B" w:rsidRDefault="00C1284B" w:rsidP="00C1284B">
      <w:pPr>
        <w:rPr>
          <w:noProof/>
        </w:rPr>
      </w:pPr>
      <w:r>
        <w:rPr>
          <w:noProof/>
        </w:rPr>
        <w:t xml:space="preserve">Par ailleurs, le </w:t>
      </w:r>
      <w:r w:rsidR="00B64FB8">
        <w:rPr>
          <w:noProof/>
          <w:spacing w:val="-1"/>
        </w:rPr>
        <w:t xml:space="preserve">Groupe </w:t>
      </w:r>
      <w:r>
        <w:rPr>
          <w:noProof/>
        </w:rPr>
        <w:t>soucieux de la santé des salariés, des sous</w:t>
      </w:r>
      <w:r>
        <w:rPr>
          <w:noProof/>
          <w:spacing w:val="-2"/>
        </w:rPr>
        <w:t>-</w:t>
      </w:r>
      <w:r>
        <w:rPr>
          <w:noProof/>
        </w:rPr>
        <w:t>traitants et fournisseurs a</w:t>
      </w:r>
      <w:r>
        <w:rPr>
          <w:noProof/>
          <w:spacing w:val="-3"/>
        </w:rPr>
        <w:t xml:space="preserve"> </w:t>
      </w:r>
      <w:r>
        <w:rPr>
          <w:noProof/>
        </w:rPr>
        <w:t xml:space="preserve">mis en </w:t>
      </w:r>
      <w:r>
        <w:rPr>
          <w:noProof/>
          <w:spacing w:val="9"/>
        </w:rPr>
        <w:t xml:space="preserve">place </w:t>
      </w:r>
      <w:r>
        <w:rPr>
          <w:noProof/>
          <w:spacing w:val="19"/>
        </w:rPr>
        <w:t xml:space="preserve">de </w:t>
      </w:r>
      <w:r>
        <w:rPr>
          <w:noProof/>
          <w:spacing w:val="6"/>
        </w:rPr>
        <w:t xml:space="preserve">nouvelles </w:t>
      </w:r>
      <w:r>
        <w:rPr>
          <w:noProof/>
          <w:spacing w:val="5"/>
        </w:rPr>
        <w:t xml:space="preserve">procédures </w:t>
      </w:r>
      <w:r>
        <w:rPr>
          <w:noProof/>
          <w:spacing w:val="18"/>
        </w:rPr>
        <w:t xml:space="preserve">et </w:t>
      </w:r>
      <w:r>
        <w:rPr>
          <w:noProof/>
          <w:spacing w:val="6"/>
        </w:rPr>
        <w:t xml:space="preserve">développé </w:t>
      </w:r>
      <w:r>
        <w:rPr>
          <w:noProof/>
          <w:spacing w:val="19"/>
        </w:rPr>
        <w:t xml:space="preserve">au </w:t>
      </w:r>
      <w:r>
        <w:rPr>
          <w:noProof/>
          <w:spacing w:val="7"/>
        </w:rPr>
        <w:t xml:space="preserve">maximum </w:t>
      </w:r>
      <w:r>
        <w:rPr>
          <w:noProof/>
          <w:spacing w:val="19"/>
        </w:rPr>
        <w:t xml:space="preserve">le </w:t>
      </w:r>
      <w:r>
        <w:rPr>
          <w:noProof/>
        </w:rPr>
        <w:t>télétravail</w:t>
      </w:r>
      <w:r>
        <w:rPr>
          <w:noProof/>
          <w:spacing w:val="56"/>
        </w:rPr>
        <w:t xml:space="preserve"> </w:t>
      </w:r>
      <w:r>
        <w:rPr>
          <w:noProof/>
          <w:spacing w:val="7"/>
        </w:rPr>
        <w:t xml:space="preserve">pendant </w:t>
      </w:r>
      <w:r>
        <w:rPr>
          <w:noProof/>
          <w:spacing w:val="19"/>
        </w:rPr>
        <w:t xml:space="preserve">la </w:t>
      </w:r>
      <w:r>
        <w:rPr>
          <w:noProof/>
          <w:spacing w:val="7"/>
        </w:rPr>
        <w:t xml:space="preserve">période </w:t>
      </w:r>
      <w:r>
        <w:rPr>
          <w:noProof/>
        </w:rPr>
        <w:t xml:space="preserve">de  confinement et reste flexible en fonction de l’évolution de la situation.  </w:t>
      </w:r>
    </w:p>
    <w:p w14:paraId="55F57CD8" w14:textId="77777777" w:rsidR="00C1284B" w:rsidRDefault="00C1284B" w:rsidP="00C1284B">
      <w:pPr>
        <w:rPr>
          <w:noProof/>
          <w:spacing w:val="227"/>
        </w:rPr>
      </w:pPr>
    </w:p>
    <w:p w14:paraId="7ACA0C67" w14:textId="28908E38" w:rsidR="00C1284B" w:rsidRPr="00C1284B" w:rsidRDefault="00C1284B" w:rsidP="00C1284B">
      <w:pPr>
        <w:rPr>
          <w:noProof/>
          <w:spacing w:val="227"/>
          <w:szCs w:val="20"/>
        </w:rPr>
      </w:pPr>
      <w:r w:rsidRPr="00C1284B">
        <w:rPr>
          <w:noProof/>
          <w:spacing w:val="2"/>
          <w:szCs w:val="20"/>
        </w:rPr>
        <w:t xml:space="preserve">La principale incertitude dans toutes les zones géographiques où le </w:t>
      </w:r>
      <w:r w:rsidR="00B64FB8">
        <w:rPr>
          <w:noProof/>
          <w:spacing w:val="-1"/>
        </w:rPr>
        <w:t xml:space="preserve">Groupe </w:t>
      </w:r>
      <w:r w:rsidRPr="00C1284B">
        <w:rPr>
          <w:noProof/>
          <w:spacing w:val="2"/>
          <w:szCs w:val="20"/>
        </w:rPr>
        <w:t xml:space="preserve">opère reste le risque de </w:t>
      </w:r>
      <w:r w:rsidRPr="00C1284B">
        <w:rPr>
          <w:noProof/>
          <w:spacing w:val="3"/>
          <w:szCs w:val="20"/>
        </w:rPr>
        <w:t xml:space="preserve">voir arriver une nouvelle vague épidémique. Le </w:t>
      </w:r>
      <w:r w:rsidR="00B64FB8">
        <w:rPr>
          <w:noProof/>
          <w:spacing w:val="-1"/>
        </w:rPr>
        <w:t xml:space="preserve">Groupe </w:t>
      </w:r>
      <w:r w:rsidRPr="00C1284B">
        <w:rPr>
          <w:noProof/>
          <w:spacing w:val="3"/>
          <w:szCs w:val="20"/>
        </w:rPr>
        <w:t xml:space="preserve">reste à ce jour très strict sur le respect du </w:t>
      </w:r>
      <w:r w:rsidRPr="00C1284B">
        <w:rPr>
          <w:noProof/>
          <w:szCs w:val="20"/>
        </w:rPr>
        <w:t xml:space="preserve">protocole sanitaire avec notamment le port du masque obligatoire sauf pour les postes à pénibilité et isolés et/ou lorsque le port du masque est inopérant. </w:t>
      </w:r>
    </w:p>
    <w:p w14:paraId="344AC840" w14:textId="77777777" w:rsidR="00C1284B" w:rsidRPr="00C1284B" w:rsidRDefault="00C1284B" w:rsidP="00C1284B">
      <w:pPr>
        <w:rPr>
          <w:noProof/>
          <w:spacing w:val="-20"/>
          <w:szCs w:val="20"/>
        </w:rPr>
      </w:pPr>
    </w:p>
    <w:p w14:paraId="4128F260" w14:textId="3287C1A3" w:rsidR="00C1284B" w:rsidRPr="005B42F0" w:rsidRDefault="00C1284B" w:rsidP="00C1284B">
      <w:pPr>
        <w:rPr>
          <w:noProof/>
          <w:szCs w:val="20"/>
        </w:rPr>
      </w:pPr>
      <w:r w:rsidRPr="00C1284B">
        <w:rPr>
          <w:noProof/>
          <w:szCs w:val="20"/>
        </w:rPr>
        <w:t>La deuxième incertitude ou opportu</w:t>
      </w:r>
      <w:r w:rsidRPr="00C1284B">
        <w:rPr>
          <w:noProof/>
          <w:spacing w:val="-2"/>
          <w:szCs w:val="20"/>
        </w:rPr>
        <w:t>nité pour le Groupe, li</w:t>
      </w:r>
      <w:r w:rsidR="00BF23A8">
        <w:rPr>
          <w:noProof/>
          <w:spacing w:val="-2"/>
          <w:szCs w:val="20"/>
        </w:rPr>
        <w:t>ée</w:t>
      </w:r>
      <w:r w:rsidRPr="00C1284B">
        <w:rPr>
          <w:noProof/>
          <w:spacing w:val="-2"/>
          <w:szCs w:val="20"/>
        </w:rPr>
        <w:t xml:space="preserve"> aux méfaits du Covid-</w:t>
      </w:r>
      <w:r w:rsidRPr="00C1284B">
        <w:rPr>
          <w:noProof/>
          <w:szCs w:val="20"/>
        </w:rPr>
        <w:t>19 est l'évolution des</w:t>
      </w:r>
      <w:r w:rsidRPr="00C1284B">
        <w:rPr>
          <w:noProof/>
          <w:spacing w:val="-20"/>
          <w:szCs w:val="20"/>
        </w:rPr>
        <w:t xml:space="preserve"> </w:t>
      </w:r>
      <w:r w:rsidRPr="00C1284B">
        <w:rPr>
          <w:rFonts w:ascii="Calibri" w:eastAsia="Calibri" w:hAnsi="Calibri" w:cs="Calibri"/>
          <w:noProof/>
          <w:color w:val="000000"/>
          <w:szCs w:val="20"/>
        </w:rPr>
        <w:t xml:space="preserve">politiques </w:t>
      </w:r>
      <w:r w:rsidRPr="008E65FA">
        <w:rPr>
          <w:noProof/>
          <w:szCs w:val="20"/>
        </w:rPr>
        <w:t xml:space="preserve">entre les États et l'impact sur le commerce mondial.  </w:t>
      </w:r>
    </w:p>
    <w:p w14:paraId="5AE7285C" w14:textId="77777777" w:rsidR="00C1284B" w:rsidRPr="00AB150C" w:rsidRDefault="00C1284B" w:rsidP="00C1284B">
      <w:pPr>
        <w:rPr>
          <w:noProof/>
          <w:szCs w:val="20"/>
        </w:rPr>
      </w:pPr>
    </w:p>
    <w:p w14:paraId="77D35F7C" w14:textId="6351749D" w:rsidR="00C1284B" w:rsidRPr="00AB150C" w:rsidRDefault="00C1284B" w:rsidP="00C1284B">
      <w:pPr>
        <w:rPr>
          <w:noProof/>
          <w:szCs w:val="20"/>
        </w:rPr>
      </w:pPr>
      <w:r w:rsidRPr="005B42F0">
        <w:rPr>
          <w:noProof/>
          <w:szCs w:val="20"/>
        </w:rPr>
        <w:t xml:space="preserve">Enfin, l'incertitude </w:t>
      </w:r>
      <w:r w:rsidRPr="00AB150C">
        <w:rPr>
          <w:noProof/>
          <w:szCs w:val="20"/>
        </w:rPr>
        <w:t>macro</w:t>
      </w:r>
      <w:r w:rsidRPr="005B42F0">
        <w:rPr>
          <w:noProof/>
          <w:szCs w:val="20"/>
        </w:rPr>
        <w:t xml:space="preserve">-économique mondiale </w:t>
      </w:r>
      <w:r w:rsidR="00043124" w:rsidRPr="005B42F0">
        <w:rPr>
          <w:noProof/>
          <w:szCs w:val="20"/>
        </w:rPr>
        <w:t>induit une</w:t>
      </w:r>
      <w:r w:rsidRPr="005B42F0">
        <w:rPr>
          <w:noProof/>
          <w:szCs w:val="20"/>
        </w:rPr>
        <w:t xml:space="preserve"> impossibilité et </w:t>
      </w:r>
      <w:r w:rsidR="00043124" w:rsidRPr="005B42F0">
        <w:rPr>
          <w:noProof/>
          <w:szCs w:val="20"/>
        </w:rPr>
        <w:t>une</w:t>
      </w:r>
      <w:r w:rsidRPr="005B42F0">
        <w:rPr>
          <w:noProof/>
          <w:szCs w:val="20"/>
        </w:rPr>
        <w:t xml:space="preserve"> difficulté à bien cibler </w:t>
      </w:r>
      <w:r w:rsidRPr="00AB150C">
        <w:rPr>
          <w:noProof/>
          <w:szCs w:val="20"/>
        </w:rPr>
        <w:t xml:space="preserve">le  </w:t>
      </w:r>
      <w:r w:rsidRPr="005B42F0">
        <w:rPr>
          <w:noProof/>
          <w:szCs w:val="20"/>
        </w:rPr>
        <w:t xml:space="preserve">niveau de reprise d'activité </w:t>
      </w:r>
      <w:r w:rsidR="00A54FC0">
        <w:rPr>
          <w:noProof/>
          <w:szCs w:val="20"/>
        </w:rPr>
        <w:t>dans les</w:t>
      </w:r>
      <w:r w:rsidR="00A54FC0" w:rsidRPr="005B42F0">
        <w:rPr>
          <w:noProof/>
          <w:szCs w:val="20"/>
        </w:rPr>
        <w:t xml:space="preserve"> </w:t>
      </w:r>
      <w:r w:rsidRPr="005B42F0">
        <w:rPr>
          <w:noProof/>
          <w:szCs w:val="20"/>
        </w:rPr>
        <w:t xml:space="preserve">prochains mois. Il faut à la fois être prudent et anticiper </w:t>
      </w:r>
      <w:r w:rsidRPr="00AB150C">
        <w:rPr>
          <w:noProof/>
          <w:szCs w:val="20"/>
        </w:rPr>
        <w:t xml:space="preserve">une  </w:t>
      </w:r>
      <w:r w:rsidRPr="005B42F0">
        <w:rPr>
          <w:noProof/>
          <w:szCs w:val="20"/>
        </w:rPr>
        <w:t xml:space="preserve">prolongation plus ou moins durable de la perturbation des marchés, tout en étant prêt à faire face à </w:t>
      </w:r>
      <w:r w:rsidRPr="00AB150C">
        <w:rPr>
          <w:noProof/>
          <w:szCs w:val="20"/>
        </w:rPr>
        <w:t>une reprise brutale et violente qui n'est pas à exclure.</w:t>
      </w:r>
    </w:p>
    <w:p w14:paraId="34FC1C1D" w14:textId="77777777" w:rsidR="00C1284B" w:rsidRPr="00C1284B" w:rsidRDefault="00C1284B" w:rsidP="00C1284B">
      <w:pPr>
        <w:rPr>
          <w:rFonts w:ascii="Calibri" w:eastAsia="Calibri" w:hAnsi="Calibri" w:cs="Calibri"/>
          <w:noProof/>
          <w:color w:val="000000"/>
          <w:szCs w:val="20"/>
        </w:rPr>
      </w:pPr>
    </w:p>
    <w:p w14:paraId="47BF855B" w14:textId="1C8F789C" w:rsidR="009758CB" w:rsidRPr="009758CB" w:rsidRDefault="00132FB9" w:rsidP="00C1284B">
      <w:pPr>
        <w:pStyle w:val="Titre2"/>
      </w:pPr>
      <w:bookmarkStart w:id="175" w:name="_Ref368844415"/>
      <w:bookmarkStart w:id="176" w:name="_Toc475033209"/>
      <w:r>
        <w:t>7</w:t>
      </w:r>
      <w:r w:rsidR="00EE50DB">
        <w:t xml:space="preserve">.2 </w:t>
      </w:r>
      <w:r w:rsidR="002C767A">
        <w:t>Commentaires sur les ex</w:t>
      </w:r>
      <w:r w:rsidR="009758CB">
        <w:t>ercices clos les 31 décembre 2020</w:t>
      </w:r>
      <w:r w:rsidR="002C767A">
        <w:t xml:space="preserve"> et 31 décembre </w:t>
      </w:r>
      <w:bookmarkEnd w:id="175"/>
      <w:r w:rsidR="009758CB">
        <w:t>2019</w:t>
      </w:r>
      <w:bookmarkEnd w:id="176"/>
    </w:p>
    <w:p w14:paraId="3AFD6402" w14:textId="348DC685" w:rsidR="009D5AD4" w:rsidRPr="00610091" w:rsidRDefault="00132FB9" w:rsidP="00EE50DB">
      <w:pPr>
        <w:pStyle w:val="Titre3"/>
      </w:pPr>
      <w:bookmarkStart w:id="177" w:name="_Ref368742857"/>
      <w:bookmarkStart w:id="178" w:name="_Toc475033210"/>
      <w:r>
        <w:t>7</w:t>
      </w:r>
      <w:r w:rsidR="00EE50DB" w:rsidRPr="00610091">
        <w:t xml:space="preserve">.2.1 </w:t>
      </w:r>
      <w:r w:rsidR="00610091" w:rsidRPr="00610091">
        <w:t xml:space="preserve">Commentaires sur le compte de résultat clos au 31 décembre </w:t>
      </w:r>
      <w:bookmarkEnd w:id="177"/>
      <w:r w:rsidR="00C1284B">
        <w:t>2020</w:t>
      </w:r>
      <w:bookmarkEnd w:id="178"/>
    </w:p>
    <w:p w14:paraId="25F269EF" w14:textId="77777777" w:rsidR="00610091" w:rsidRDefault="00610091" w:rsidP="00610091">
      <w:pPr>
        <w:rPr>
          <w:b/>
          <w:u w:val="single"/>
        </w:rPr>
      </w:pPr>
    </w:p>
    <w:p w14:paraId="52920A4A" w14:textId="77777777" w:rsidR="007B63F1" w:rsidRDefault="007B63F1">
      <w:pPr>
        <w:jc w:val="left"/>
        <w:rPr>
          <w:b/>
          <w:u w:val="single"/>
        </w:rPr>
      </w:pPr>
      <w:r>
        <w:rPr>
          <w:b/>
          <w:u w:val="single"/>
        </w:rPr>
        <w:br w:type="page"/>
      </w:r>
    </w:p>
    <w:p w14:paraId="5FD6BB0E" w14:textId="496DD1A0" w:rsidR="00610091" w:rsidRPr="006B3130" w:rsidRDefault="00132FB9" w:rsidP="00610091">
      <w:pPr>
        <w:rPr>
          <w:b/>
          <w:u w:val="single"/>
        </w:rPr>
      </w:pPr>
      <w:r>
        <w:rPr>
          <w:b/>
          <w:u w:val="single"/>
        </w:rPr>
        <w:lastRenderedPageBreak/>
        <w:t>7</w:t>
      </w:r>
      <w:r w:rsidR="00610091" w:rsidRPr="006B3130">
        <w:rPr>
          <w:b/>
          <w:u w:val="single"/>
        </w:rPr>
        <w:t>.</w:t>
      </w:r>
      <w:r w:rsidR="00203EAC">
        <w:rPr>
          <w:b/>
          <w:u w:val="single"/>
        </w:rPr>
        <w:t>2</w:t>
      </w:r>
      <w:r w:rsidR="00610091" w:rsidRPr="006B3130">
        <w:rPr>
          <w:b/>
          <w:u w:val="single"/>
        </w:rPr>
        <w:t xml:space="preserve">.1.1 Chiffre d’affaires </w:t>
      </w:r>
    </w:p>
    <w:p w14:paraId="4BD301FE" w14:textId="77777777" w:rsidR="00610091" w:rsidRDefault="00610091" w:rsidP="00610091">
      <w:pPr>
        <w:rPr>
          <w:u w:val="single"/>
        </w:rPr>
      </w:pPr>
    </w:p>
    <w:p w14:paraId="1C891EBB" w14:textId="32048465" w:rsidR="00815F2F" w:rsidRDefault="001034DF" w:rsidP="00610091">
      <w:r>
        <w:rPr>
          <w:noProof/>
        </w:rPr>
        <w:drawing>
          <wp:inline distT="0" distB="0" distL="0" distR="0" wp14:anchorId="503AEA33" wp14:editId="6F949427">
            <wp:extent cx="5325745" cy="1397000"/>
            <wp:effectExtent l="0" t="0" r="8255" b="0"/>
            <wp:docPr id="574"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325745" cy="1397000"/>
                    </a:xfrm>
                    <a:prstGeom prst="rect">
                      <a:avLst/>
                    </a:prstGeom>
                    <a:noFill/>
                    <a:ln>
                      <a:noFill/>
                    </a:ln>
                  </pic:spPr>
                </pic:pic>
              </a:graphicData>
            </a:graphic>
          </wp:inline>
        </w:drawing>
      </w:r>
    </w:p>
    <w:p w14:paraId="580FDFF0" w14:textId="77777777" w:rsidR="00DD4B79" w:rsidRDefault="00DD4B79" w:rsidP="00610091"/>
    <w:p w14:paraId="062BDDCA" w14:textId="495572C4" w:rsidR="001A03ED" w:rsidRDefault="001A03ED" w:rsidP="001A03ED">
      <w:r w:rsidRPr="00F25641">
        <w:t xml:space="preserve">Spineway </w:t>
      </w:r>
      <w:r>
        <w:t xml:space="preserve">SA </w:t>
      </w:r>
      <w:r w:rsidRPr="00F25641">
        <w:t>comptabilise</w:t>
      </w:r>
      <w:r>
        <w:t xml:space="preserve"> un chiffre d'affaire</w:t>
      </w:r>
      <w:r w:rsidR="008E23B1">
        <w:t>s</w:t>
      </w:r>
      <w:r>
        <w:t xml:space="preserve"> de 3.3</w:t>
      </w:r>
      <w:r w:rsidR="001034DF">
        <w:t>79</w:t>
      </w:r>
      <w:r>
        <w:t xml:space="preserve"> K€ </w:t>
      </w:r>
      <w:r w:rsidRPr="00F25641">
        <w:t>contre 5</w:t>
      </w:r>
      <w:r>
        <w:t>.081 K€ au titre de l’exercice 2019.</w:t>
      </w:r>
      <w:r w:rsidRPr="00F25641">
        <w:t xml:space="preserve"> Spineway</w:t>
      </w:r>
      <w:r>
        <w:t xml:space="preserve"> SA</w:t>
      </w:r>
      <w:r w:rsidRPr="00F25641">
        <w:t xml:space="preserve"> affiche un redressement de ses ventes </w:t>
      </w:r>
      <w:r w:rsidR="005E5A44" w:rsidRPr="00F25641">
        <w:t>sur le mois de</w:t>
      </w:r>
      <w:r w:rsidR="002B1EAD">
        <w:t xml:space="preserve"> </w:t>
      </w:r>
      <w:r w:rsidR="005E5A44" w:rsidRPr="00F25641">
        <w:t xml:space="preserve">décembre 2020 </w:t>
      </w:r>
      <w:r w:rsidRPr="00F25641">
        <w:t>(+ 30</w:t>
      </w:r>
      <w:r w:rsidR="00C32059">
        <w:t xml:space="preserve"> </w:t>
      </w:r>
      <w:r w:rsidRPr="00F25641">
        <w:t>% par rapport à décembre 2019) qui lui permet d'enregistrer au 4</w:t>
      </w:r>
      <w:r w:rsidR="002B1EAD" w:rsidRPr="002B1EAD">
        <w:rPr>
          <w:rFonts w:ascii="Segoe UI" w:hAnsi="Segoe UI" w:cs="Segoe UI"/>
          <w:szCs w:val="20"/>
          <w:vertAlign w:val="superscript"/>
        </w:rPr>
        <w:t xml:space="preserve"> </w:t>
      </w:r>
      <w:r w:rsidR="002B1EAD" w:rsidRPr="00ED63E1">
        <w:rPr>
          <w:rFonts w:ascii="Segoe UI" w:hAnsi="Segoe UI" w:cs="Segoe UI"/>
          <w:szCs w:val="20"/>
          <w:vertAlign w:val="superscript"/>
        </w:rPr>
        <w:t>me</w:t>
      </w:r>
      <w:r w:rsidR="002B1EAD" w:rsidRPr="00F25641" w:rsidDel="00C32059">
        <w:t xml:space="preserve"> </w:t>
      </w:r>
      <w:r w:rsidRPr="00F25641">
        <w:t>trimestre un chiffre d'affaires de 1</w:t>
      </w:r>
      <w:r>
        <w:t>.</w:t>
      </w:r>
      <w:r w:rsidRPr="00F25641">
        <w:t xml:space="preserve">068 </w:t>
      </w:r>
      <w:r>
        <w:t>K</w:t>
      </w:r>
      <w:r w:rsidRPr="00F25641">
        <w:t>€, en progression de 21</w:t>
      </w:r>
      <w:r w:rsidR="00C32059">
        <w:t xml:space="preserve"> </w:t>
      </w:r>
      <w:r w:rsidRPr="00F25641">
        <w:t>% par rapport au 3</w:t>
      </w:r>
      <w:r w:rsidR="002B1EAD" w:rsidRPr="00ED63E1">
        <w:rPr>
          <w:rFonts w:ascii="Segoe UI" w:hAnsi="Segoe UI" w:cs="Segoe UI"/>
          <w:szCs w:val="20"/>
          <w:vertAlign w:val="superscript"/>
        </w:rPr>
        <w:t>ème</w:t>
      </w:r>
      <w:r w:rsidR="002B1EAD" w:rsidRPr="00F25641" w:rsidDel="00C32059">
        <w:t xml:space="preserve"> </w:t>
      </w:r>
      <w:r w:rsidRPr="00F25641">
        <w:t xml:space="preserve">trimestre 2020. </w:t>
      </w:r>
    </w:p>
    <w:p w14:paraId="186D28C8" w14:textId="773C40F8" w:rsidR="001A03ED" w:rsidRDefault="005E5A44" w:rsidP="001A03ED">
      <w:r>
        <w:t>Dans</w:t>
      </w:r>
      <w:r w:rsidRPr="00F25641">
        <w:t xml:space="preserve"> une année très perturbée par la crise du </w:t>
      </w:r>
      <w:r>
        <w:t>Covid-19, c</w:t>
      </w:r>
      <w:r w:rsidR="001A03ED" w:rsidRPr="00F25641">
        <w:t>ette dynamique porte le chiffre d</w:t>
      </w:r>
      <w:r w:rsidR="001A03ED">
        <w:t>'affaires annuel du Groupe à 3.</w:t>
      </w:r>
      <w:r w:rsidR="001A03ED" w:rsidRPr="00F25641">
        <w:t>3</w:t>
      </w:r>
      <w:r w:rsidR="001034DF">
        <w:t>79</w:t>
      </w:r>
      <w:r w:rsidR="001A03ED" w:rsidRPr="00F25641">
        <w:t xml:space="preserve"> </w:t>
      </w:r>
      <w:r w:rsidR="001A03ED">
        <w:t>K</w:t>
      </w:r>
      <w:r w:rsidR="001A03ED" w:rsidRPr="00F25641">
        <w:t>€ et réduit l'écart par rapport à 2019 (- 33</w:t>
      </w:r>
      <w:r w:rsidR="00C32059">
        <w:t xml:space="preserve"> </w:t>
      </w:r>
      <w:r w:rsidR="001A03ED" w:rsidRPr="00F25641">
        <w:t xml:space="preserve">%). </w:t>
      </w:r>
    </w:p>
    <w:p w14:paraId="0D8613BE" w14:textId="77777777" w:rsidR="003B25CE" w:rsidRDefault="003B25CE" w:rsidP="001A03ED"/>
    <w:p w14:paraId="6BB01452" w14:textId="4B58C82A" w:rsidR="003B25CE" w:rsidRPr="00F25641" w:rsidRDefault="003B25CE" w:rsidP="001A03ED">
      <w:r>
        <w:t xml:space="preserve">Les </w:t>
      </w:r>
      <w:r w:rsidR="00DD4B79">
        <w:t xml:space="preserve">ventes réalisées en France comptent pour </w:t>
      </w:r>
      <w:r>
        <w:t>12</w:t>
      </w:r>
      <w:r w:rsidR="00C32059">
        <w:t xml:space="preserve"> </w:t>
      </w:r>
      <w:r>
        <w:t>% du chiffre d’affaires consolidé 2020 (contre 13</w:t>
      </w:r>
      <w:r w:rsidR="00C32059">
        <w:t xml:space="preserve"> </w:t>
      </w:r>
      <w:r>
        <w:t xml:space="preserve">% en 2019) et sont </w:t>
      </w:r>
      <w:r w:rsidR="00DD4B79">
        <w:t>faites non seulement en direct mais également par l’intermédiaire de distributeurs (ventes indirectes)</w:t>
      </w:r>
      <w:r>
        <w:t>. Le chiffre d’affaires consolidé dégagé à l’étranger représente 88</w:t>
      </w:r>
      <w:r w:rsidR="00C32059">
        <w:t xml:space="preserve"> </w:t>
      </w:r>
      <w:r>
        <w:t>% du chiffre d’affaires consolidé 2020 (contre 87</w:t>
      </w:r>
      <w:r w:rsidR="00C32059">
        <w:t xml:space="preserve"> </w:t>
      </w:r>
      <w:r>
        <w:t>% en 2019)</w:t>
      </w:r>
      <w:r w:rsidR="00DD4B79">
        <w:t xml:space="preserve"> et est exclusivement réalisé par l’intermédiaire de distributeurs (ventes indirectes)</w:t>
      </w:r>
      <w:r>
        <w:t xml:space="preserve">. </w:t>
      </w:r>
    </w:p>
    <w:p w14:paraId="6E1DBEC1" w14:textId="77777777" w:rsidR="001A03ED" w:rsidRDefault="001A03ED" w:rsidP="001A03ED"/>
    <w:p w14:paraId="1C79DFC3" w14:textId="34FFE018" w:rsidR="00E247D9" w:rsidRDefault="00E42D60" w:rsidP="001A03ED">
      <w:r>
        <w:rPr>
          <w:noProof/>
        </w:rPr>
        <w:drawing>
          <wp:inline distT="0" distB="0" distL="0" distR="0" wp14:anchorId="49C2F250" wp14:editId="1DF3F8EE">
            <wp:extent cx="5935980" cy="1836928"/>
            <wp:effectExtent l="0" t="0" r="7620" b="0"/>
            <wp:docPr id="559"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935980" cy="1836928"/>
                    </a:xfrm>
                    <a:prstGeom prst="rect">
                      <a:avLst/>
                    </a:prstGeom>
                    <a:noFill/>
                    <a:ln>
                      <a:noFill/>
                    </a:ln>
                  </pic:spPr>
                </pic:pic>
              </a:graphicData>
            </a:graphic>
          </wp:inline>
        </w:drawing>
      </w:r>
    </w:p>
    <w:p w14:paraId="69FC3918" w14:textId="77777777" w:rsidR="00E247D9" w:rsidRDefault="00E247D9" w:rsidP="001A03ED"/>
    <w:p w14:paraId="2EC23AE0" w14:textId="16DBCD79" w:rsidR="001A03ED" w:rsidRPr="005D044A" w:rsidRDefault="001A03ED" w:rsidP="004B7C45">
      <w:r w:rsidRPr="00F25641">
        <w:t xml:space="preserve">Les ventes en Amérique </w:t>
      </w:r>
      <w:r w:rsidR="00A54FC0">
        <w:t>l</w:t>
      </w:r>
      <w:r w:rsidR="00A54FC0" w:rsidRPr="00F25641">
        <w:t>atine</w:t>
      </w:r>
      <w:r w:rsidRPr="00F25641">
        <w:t xml:space="preserve">, zone particulièrement touchée par la crise sanitaire, restent pénalisées par les restrictions liées à cette pandémie et par la contreperformance de la Colombie, du Mexique mais surtout du Pérou dont la montée en puissance prévue sur l'année est décalée à 2021. Néanmoins, le principal client de la zone (Brésil) </w:t>
      </w:r>
      <w:r w:rsidR="004B7C45">
        <w:t xml:space="preserve">a </w:t>
      </w:r>
      <w:r w:rsidR="00D455FD">
        <w:rPr>
          <w:rFonts w:ascii="Segoe UI" w:hAnsi="Segoe UI" w:cs="Segoe UI"/>
          <w:szCs w:val="20"/>
        </w:rPr>
        <w:t xml:space="preserve">réussi à conserver son niveau d’activité et </w:t>
      </w:r>
      <w:r w:rsidR="00D455FD" w:rsidRPr="00F05B06">
        <w:rPr>
          <w:rFonts w:ascii="Segoe UI" w:hAnsi="Segoe UI" w:cs="Segoe UI"/>
          <w:szCs w:val="20"/>
        </w:rPr>
        <w:t xml:space="preserve">affiche </w:t>
      </w:r>
      <w:r w:rsidR="00D455FD">
        <w:rPr>
          <w:rFonts w:ascii="Segoe UI" w:hAnsi="Segoe UI" w:cs="Segoe UI"/>
          <w:szCs w:val="20"/>
        </w:rPr>
        <w:t xml:space="preserve">une remarquable stabilité (avec </w:t>
      </w:r>
      <w:r w:rsidR="00D455FD" w:rsidRPr="00F05B06">
        <w:rPr>
          <w:rFonts w:ascii="Segoe UI" w:hAnsi="Segoe UI" w:cs="Segoe UI"/>
          <w:szCs w:val="20"/>
        </w:rPr>
        <w:t>un retrait limité de 1</w:t>
      </w:r>
      <w:r w:rsidR="00C32059">
        <w:rPr>
          <w:rFonts w:ascii="Segoe UI" w:hAnsi="Segoe UI" w:cs="Segoe UI"/>
          <w:szCs w:val="20"/>
        </w:rPr>
        <w:t xml:space="preserve"> </w:t>
      </w:r>
      <w:r w:rsidR="00D455FD" w:rsidRPr="00F05B06">
        <w:rPr>
          <w:rFonts w:ascii="Segoe UI" w:hAnsi="Segoe UI" w:cs="Segoe UI"/>
          <w:szCs w:val="20"/>
        </w:rPr>
        <w:t>% par rapport à 2019</w:t>
      </w:r>
      <w:r w:rsidR="00D455FD">
        <w:rPr>
          <w:rFonts w:ascii="Segoe UI" w:hAnsi="Segoe UI" w:cs="Segoe UI"/>
          <w:szCs w:val="20"/>
        </w:rPr>
        <w:t>)</w:t>
      </w:r>
      <w:r w:rsidRPr="00F25641">
        <w:t>. De plus, l’activit</w:t>
      </w:r>
      <w:r>
        <w:t>é</w:t>
      </w:r>
      <w:r w:rsidRPr="00F25641">
        <w:t xml:space="preserve"> </w:t>
      </w:r>
      <w:r w:rsidR="00D455FD">
        <w:rPr>
          <w:rFonts w:ascii="Segoe UI" w:hAnsi="Segoe UI" w:cs="Segoe UI"/>
          <w:szCs w:val="20"/>
        </w:rPr>
        <w:t xml:space="preserve">de l’ensemble de la zone </w:t>
      </w:r>
      <w:r w:rsidRPr="00F25641">
        <w:t>sur le 4</w:t>
      </w:r>
      <w:r w:rsidR="00C32059" w:rsidRPr="00ED63E1">
        <w:rPr>
          <w:rFonts w:ascii="Segoe UI" w:hAnsi="Segoe UI" w:cs="Segoe UI"/>
          <w:szCs w:val="20"/>
          <w:vertAlign w:val="superscript"/>
        </w:rPr>
        <w:t>ème</w:t>
      </w:r>
      <w:r w:rsidR="00C32059" w:rsidRPr="00F25641" w:rsidDel="00C32059">
        <w:t xml:space="preserve"> </w:t>
      </w:r>
      <w:r w:rsidRPr="00F25641">
        <w:t xml:space="preserve"> trimestre s'améliore par rapport aux deux trimestres précédents et affiche un repli mesuré de 23</w:t>
      </w:r>
      <w:r w:rsidR="00C32059">
        <w:t xml:space="preserve"> </w:t>
      </w:r>
      <w:r w:rsidRPr="00F25641">
        <w:t xml:space="preserve">% par rapport à 2019. Ainsi, le chiffre d'affaires annuel </w:t>
      </w:r>
      <w:r w:rsidR="00D455FD">
        <w:rPr>
          <w:rFonts w:ascii="Segoe UI" w:hAnsi="Segoe UI" w:cs="Segoe UI"/>
          <w:szCs w:val="20"/>
        </w:rPr>
        <w:t xml:space="preserve">en Amérique </w:t>
      </w:r>
      <w:r w:rsidR="00A54FC0">
        <w:rPr>
          <w:rFonts w:ascii="Segoe UI" w:hAnsi="Segoe UI" w:cs="Segoe UI"/>
          <w:szCs w:val="20"/>
        </w:rPr>
        <w:t xml:space="preserve">latine </w:t>
      </w:r>
      <w:r w:rsidRPr="00F25641">
        <w:t>s'établit à 1</w:t>
      </w:r>
      <w:r w:rsidR="005D044A">
        <w:t>.</w:t>
      </w:r>
      <w:r w:rsidRPr="00F25641">
        <w:t xml:space="preserve">494 </w:t>
      </w:r>
      <w:r>
        <w:t>K</w:t>
      </w:r>
      <w:r w:rsidRPr="00F25641">
        <w:t>€</w:t>
      </w:r>
      <w:r>
        <w:t xml:space="preserve"> </w:t>
      </w:r>
      <w:r w:rsidRPr="00F25641">
        <w:t>à fin 2020 (- 42</w:t>
      </w:r>
      <w:r w:rsidR="00C32059">
        <w:t xml:space="preserve"> </w:t>
      </w:r>
      <w:r w:rsidRPr="00F25641">
        <w:t xml:space="preserve">%) et représente </w:t>
      </w:r>
      <w:r w:rsidRPr="005D044A">
        <w:t>44</w:t>
      </w:r>
      <w:r w:rsidR="00C32059">
        <w:t xml:space="preserve"> </w:t>
      </w:r>
      <w:r w:rsidRPr="005D044A">
        <w:t xml:space="preserve">% du chiffre d’affaires </w:t>
      </w:r>
      <w:r w:rsidR="005D044A" w:rsidRPr="005D044A">
        <w:t>consolidé</w:t>
      </w:r>
      <w:r w:rsidRPr="005D044A">
        <w:t xml:space="preserve">. </w:t>
      </w:r>
    </w:p>
    <w:p w14:paraId="0CBFDA02" w14:textId="77777777" w:rsidR="001A03ED" w:rsidRPr="00F25641" w:rsidRDefault="001A03ED" w:rsidP="004B7C45"/>
    <w:p w14:paraId="6C598262" w14:textId="6484D4F5" w:rsidR="001A03ED" w:rsidRPr="00F25641" w:rsidRDefault="001A03ED">
      <w:r w:rsidRPr="00F25641">
        <w:t>L'Asie bénéficie pour sa part, d'une très forte progression de son activit</w:t>
      </w:r>
      <w:r>
        <w:t>é</w:t>
      </w:r>
      <w:r w:rsidRPr="00F25641">
        <w:t xml:space="preserve"> en décembre 2020 (+ 167</w:t>
      </w:r>
      <w:r w:rsidR="00C32059">
        <w:t xml:space="preserve"> </w:t>
      </w:r>
      <w:r w:rsidRPr="00F25641">
        <w:t>% par rapport à 2019) liée à</w:t>
      </w:r>
      <w:r w:rsidR="00D455FD" w:rsidRPr="00D455FD">
        <w:rPr>
          <w:rFonts w:ascii="Segoe UI" w:hAnsi="Segoe UI" w:cs="Segoe UI"/>
          <w:szCs w:val="20"/>
        </w:rPr>
        <w:t xml:space="preserve"> </w:t>
      </w:r>
      <w:r w:rsidR="00D455FD">
        <w:rPr>
          <w:rFonts w:ascii="Segoe UI" w:hAnsi="Segoe UI" w:cs="Segoe UI"/>
          <w:szCs w:val="20"/>
        </w:rPr>
        <w:t>au déploiement</w:t>
      </w:r>
      <w:r w:rsidR="00D455FD" w:rsidRPr="00F05B06">
        <w:rPr>
          <w:rFonts w:ascii="Segoe UI" w:hAnsi="Segoe UI" w:cs="Segoe UI"/>
          <w:szCs w:val="20"/>
        </w:rPr>
        <w:t xml:space="preserve"> </w:t>
      </w:r>
      <w:r w:rsidRPr="00F25641">
        <w:t>du contrat avec le Japon initié sur le 3</w:t>
      </w:r>
      <w:r w:rsidR="00C32059" w:rsidRPr="00ED63E1">
        <w:rPr>
          <w:rFonts w:ascii="Segoe UI" w:hAnsi="Segoe UI" w:cs="Segoe UI"/>
          <w:szCs w:val="20"/>
          <w:vertAlign w:val="superscript"/>
        </w:rPr>
        <w:t>ème</w:t>
      </w:r>
      <w:r w:rsidR="00C32059" w:rsidRPr="00F25641" w:rsidDel="00C32059">
        <w:t xml:space="preserve"> </w:t>
      </w:r>
      <w:r w:rsidRPr="00F25641">
        <w:t>trimestre 2020</w:t>
      </w:r>
      <w:r w:rsidR="00D455FD">
        <w:t>,</w:t>
      </w:r>
      <w:r w:rsidRPr="00F25641">
        <w:t xml:space="preserve"> en pleine crise Covid</w:t>
      </w:r>
      <w:r>
        <w:t>-19</w:t>
      </w:r>
      <w:r w:rsidR="00D455FD">
        <w:t xml:space="preserve">, et de </w:t>
      </w:r>
      <w:r w:rsidR="00D455FD" w:rsidRPr="00F05B06">
        <w:rPr>
          <w:rFonts w:ascii="Segoe UI" w:hAnsi="Segoe UI" w:cs="Segoe UI"/>
          <w:szCs w:val="20"/>
        </w:rPr>
        <w:t>la bonne performance de la Thaïlande, client historique</w:t>
      </w:r>
      <w:r w:rsidR="00D455FD">
        <w:rPr>
          <w:rFonts w:ascii="Segoe UI" w:hAnsi="Segoe UI" w:cs="Segoe UI"/>
          <w:szCs w:val="20"/>
        </w:rPr>
        <w:t xml:space="preserve"> sur un territoire peu touché par le virus</w:t>
      </w:r>
      <w:r w:rsidR="00D455FD" w:rsidRPr="00F05B06">
        <w:rPr>
          <w:rFonts w:ascii="Segoe UI" w:hAnsi="Segoe UI" w:cs="Segoe UI"/>
          <w:szCs w:val="20"/>
        </w:rPr>
        <w:t>. Cette progression</w:t>
      </w:r>
      <w:r w:rsidR="00D455FD">
        <w:rPr>
          <w:rFonts w:ascii="Segoe UI" w:hAnsi="Segoe UI" w:cs="Segoe UI"/>
          <w:szCs w:val="20"/>
        </w:rPr>
        <w:t xml:space="preserve"> </w:t>
      </w:r>
      <w:r w:rsidR="00D455FD" w:rsidRPr="00F05B06">
        <w:rPr>
          <w:rFonts w:ascii="Segoe UI" w:hAnsi="Segoe UI" w:cs="Segoe UI"/>
          <w:szCs w:val="20"/>
        </w:rPr>
        <w:t xml:space="preserve">permet à la zone </w:t>
      </w:r>
      <w:r w:rsidR="00D455FD">
        <w:rPr>
          <w:rFonts w:ascii="Segoe UI" w:hAnsi="Segoe UI" w:cs="Segoe UI"/>
          <w:szCs w:val="20"/>
        </w:rPr>
        <w:t>Asie</w:t>
      </w:r>
      <w:r w:rsidRPr="00F25641">
        <w:t xml:space="preserve"> de totalise</w:t>
      </w:r>
      <w:r>
        <w:t>r un chiffre d'affaires de 841 K</w:t>
      </w:r>
      <w:r w:rsidRPr="00F25641">
        <w:t>€</w:t>
      </w:r>
      <w:r>
        <w:t xml:space="preserve"> </w:t>
      </w:r>
      <w:r w:rsidRPr="00F25641">
        <w:t xml:space="preserve">sur l'année 2020 (+ </w:t>
      </w:r>
      <w:r w:rsidR="00E42D60">
        <w:t>20</w:t>
      </w:r>
      <w:r w:rsidR="00C32059">
        <w:t xml:space="preserve"> </w:t>
      </w:r>
      <w:r w:rsidRPr="00F25641">
        <w:t xml:space="preserve">%) et de voir sa contribution au </w:t>
      </w:r>
      <w:r>
        <w:t>chiffre d’affaires consolidé</w:t>
      </w:r>
      <w:r w:rsidRPr="00F25641">
        <w:t xml:space="preserve"> remonter à 25</w:t>
      </w:r>
      <w:r w:rsidR="00C32059">
        <w:t xml:space="preserve"> </w:t>
      </w:r>
      <w:r w:rsidRPr="00F25641">
        <w:t>% (contre 14</w:t>
      </w:r>
      <w:r w:rsidR="00C32059">
        <w:t xml:space="preserve"> </w:t>
      </w:r>
      <w:r w:rsidRPr="00F25641">
        <w:t xml:space="preserve">% </w:t>
      </w:r>
      <w:r>
        <w:t>en 2019</w:t>
      </w:r>
      <w:r w:rsidRPr="00F25641">
        <w:t xml:space="preserve">) tiré par le </w:t>
      </w:r>
      <w:r w:rsidR="002B1EAD">
        <w:t>4</w:t>
      </w:r>
      <w:r w:rsidR="002B1EAD" w:rsidRPr="00ED63E1">
        <w:rPr>
          <w:rFonts w:ascii="Segoe UI" w:hAnsi="Segoe UI" w:cs="Segoe UI"/>
          <w:szCs w:val="20"/>
          <w:vertAlign w:val="superscript"/>
        </w:rPr>
        <w:t>ème</w:t>
      </w:r>
      <w:r w:rsidR="002B1EAD" w:rsidRPr="00F25641">
        <w:t xml:space="preserve"> </w:t>
      </w:r>
      <w:r w:rsidRPr="00F25641">
        <w:t>trimestre en hausse de 71</w:t>
      </w:r>
      <w:r w:rsidR="00C32059">
        <w:t xml:space="preserve"> </w:t>
      </w:r>
      <w:r w:rsidRPr="00F25641">
        <w:t>% par rapport au 4</w:t>
      </w:r>
      <w:r w:rsidR="00C32059" w:rsidRPr="00ED63E1">
        <w:rPr>
          <w:rFonts w:ascii="Segoe UI" w:hAnsi="Segoe UI" w:cs="Segoe UI"/>
          <w:szCs w:val="20"/>
          <w:vertAlign w:val="superscript"/>
        </w:rPr>
        <w:t>ème</w:t>
      </w:r>
      <w:r w:rsidR="00C32059" w:rsidRPr="00F25641" w:rsidDel="00C32059">
        <w:t xml:space="preserve"> </w:t>
      </w:r>
      <w:r w:rsidRPr="00F25641">
        <w:t xml:space="preserve">trimestre 2019. </w:t>
      </w:r>
    </w:p>
    <w:p w14:paraId="0974E6B1" w14:textId="77777777" w:rsidR="001A03ED" w:rsidRDefault="001A03ED"/>
    <w:p w14:paraId="0C908114" w14:textId="6CE55A90" w:rsidR="00D455FD" w:rsidRPr="00F05B06" w:rsidRDefault="001A03ED">
      <w:pPr>
        <w:rPr>
          <w:rFonts w:ascii="Segoe UI" w:hAnsi="Segoe UI" w:cs="Segoe UI"/>
          <w:szCs w:val="20"/>
        </w:rPr>
      </w:pPr>
      <w:r w:rsidRPr="00F25641">
        <w:t xml:space="preserve">La zone Moyen-Orient/Afrique </w:t>
      </w:r>
      <w:r w:rsidR="00D455FD">
        <w:t>connaît des</w:t>
      </w:r>
      <w:r w:rsidRPr="00F25641">
        <w:t xml:space="preserve"> performances contrastées en fonction des pays </w:t>
      </w:r>
      <w:r w:rsidR="00D455FD">
        <w:t xml:space="preserve">et </w:t>
      </w:r>
      <w:r w:rsidRPr="00F25641">
        <w:t>marque une décroissance contenue de 31</w:t>
      </w:r>
      <w:r w:rsidR="00C32059">
        <w:t xml:space="preserve"> </w:t>
      </w:r>
      <w:r w:rsidRPr="00F25641">
        <w:t xml:space="preserve">% sur l'année 2020 pour s'inscrire à près de 300 </w:t>
      </w:r>
      <w:r>
        <w:t>K</w:t>
      </w:r>
      <w:r w:rsidRPr="00F25641">
        <w:t>€</w:t>
      </w:r>
      <w:r w:rsidR="00D455FD">
        <w:t xml:space="preserve"> (soit 10</w:t>
      </w:r>
      <w:r w:rsidR="00C32059">
        <w:t xml:space="preserve"> </w:t>
      </w:r>
      <w:r w:rsidR="00D455FD">
        <w:t>% du chiffre d’affaires consolidé</w:t>
      </w:r>
      <w:r w:rsidR="0099137E">
        <w:t>)</w:t>
      </w:r>
      <w:r>
        <w:t>.</w:t>
      </w:r>
      <w:r w:rsidR="00D455FD">
        <w:t xml:space="preserve"> </w:t>
      </w:r>
      <w:r w:rsidR="00D455FD">
        <w:rPr>
          <w:rFonts w:ascii="Segoe UI" w:hAnsi="Segoe UI" w:cs="Segoe UI"/>
          <w:szCs w:val="20"/>
        </w:rPr>
        <w:t>Ce résultat est notamment lié au 4ème trimestre en forte progression (meilleur trimestre 2020 et à + 128</w:t>
      </w:r>
      <w:r w:rsidR="00C32059">
        <w:rPr>
          <w:rFonts w:ascii="Segoe UI" w:hAnsi="Segoe UI" w:cs="Segoe UI"/>
          <w:szCs w:val="20"/>
        </w:rPr>
        <w:t xml:space="preserve"> </w:t>
      </w:r>
      <w:r w:rsidR="00D455FD">
        <w:rPr>
          <w:rFonts w:ascii="Segoe UI" w:hAnsi="Segoe UI" w:cs="Segoe UI"/>
          <w:szCs w:val="20"/>
        </w:rPr>
        <w:t>% par rapport au 4</w:t>
      </w:r>
      <w:r w:rsidR="00D455FD" w:rsidRPr="00ED63E1">
        <w:rPr>
          <w:rFonts w:ascii="Segoe UI" w:hAnsi="Segoe UI" w:cs="Segoe UI"/>
          <w:szCs w:val="20"/>
          <w:vertAlign w:val="superscript"/>
        </w:rPr>
        <w:t>ème</w:t>
      </w:r>
      <w:r w:rsidR="00D455FD">
        <w:rPr>
          <w:rFonts w:ascii="Segoe UI" w:hAnsi="Segoe UI" w:cs="Segoe UI"/>
          <w:szCs w:val="20"/>
        </w:rPr>
        <w:t xml:space="preserve"> trimestre 2019).</w:t>
      </w:r>
    </w:p>
    <w:p w14:paraId="40EBCFBB" w14:textId="7A75998C" w:rsidR="001A03ED" w:rsidRDefault="001A03ED" w:rsidP="001A03ED"/>
    <w:p w14:paraId="79495567" w14:textId="77777777" w:rsidR="001A03ED" w:rsidRPr="00F25641" w:rsidRDefault="001A03ED" w:rsidP="001A03ED"/>
    <w:p w14:paraId="318D0297" w14:textId="56EAA387" w:rsidR="001A03ED" w:rsidRPr="00F25641" w:rsidRDefault="001A03ED" w:rsidP="001A03ED">
      <w:r w:rsidRPr="00F25641">
        <w:lastRenderedPageBreak/>
        <w:t>L'activit</w:t>
      </w:r>
      <w:r>
        <w:t>é</w:t>
      </w:r>
      <w:r w:rsidRPr="00F25641">
        <w:t xml:space="preserve"> en Europe reste quant à elle limitée et totalise près</w:t>
      </w:r>
      <w:r>
        <w:t xml:space="preserve"> de 700 K</w:t>
      </w:r>
      <w:r w:rsidRPr="00F25641">
        <w:t>€</w:t>
      </w:r>
      <w:r>
        <w:t xml:space="preserve"> </w:t>
      </w:r>
      <w:r w:rsidRPr="00F25641">
        <w:t>sur l'année 2020 (- 39</w:t>
      </w:r>
      <w:r w:rsidR="00C32059">
        <w:t xml:space="preserve"> </w:t>
      </w:r>
      <w:r w:rsidRPr="00F25641">
        <w:t xml:space="preserve">% par rapport à 2019). La reprise constatée en France au </w:t>
      </w:r>
      <w:r w:rsidR="002B1EAD">
        <w:t>3</w:t>
      </w:r>
      <w:r w:rsidR="002B1EAD" w:rsidRPr="00ED63E1">
        <w:rPr>
          <w:rFonts w:ascii="Segoe UI" w:hAnsi="Segoe UI" w:cs="Segoe UI"/>
          <w:szCs w:val="20"/>
          <w:vertAlign w:val="superscript"/>
        </w:rPr>
        <w:t>ème</w:t>
      </w:r>
      <w:r w:rsidRPr="00F25641">
        <w:t xml:space="preserve"> trimestre a </w:t>
      </w:r>
      <w:r>
        <w:t>été</w:t>
      </w:r>
      <w:r w:rsidRPr="00F25641">
        <w:t xml:space="preserve"> freinée par la conjoncture et ne s'est pas confirmée sur la fin d'année. De même, en Lituanie et en Italie où les ventes ont également marqué un ralentissement lié à l'arrêt des chirurgies courantes dans les pays. </w:t>
      </w:r>
    </w:p>
    <w:p w14:paraId="4DE1F402" w14:textId="77777777" w:rsidR="001A03ED" w:rsidRDefault="001A03ED" w:rsidP="001A03ED"/>
    <w:p w14:paraId="09A9238A" w14:textId="02905ACC" w:rsidR="001A03ED" w:rsidRDefault="001A03ED" w:rsidP="001A03ED">
      <w:r w:rsidRPr="00F25641">
        <w:t>La reprise progressive de l'activit</w:t>
      </w:r>
      <w:r>
        <w:t>é</w:t>
      </w:r>
      <w:r w:rsidRPr="00F25641">
        <w:t xml:space="preserve"> confirmée trimestre après trimestre, l'accélération des ventes en Asie et les nouvelles perspectives en Amérique </w:t>
      </w:r>
      <w:r w:rsidR="00A54FC0">
        <w:t>l</w:t>
      </w:r>
      <w:r w:rsidR="00A54FC0" w:rsidRPr="00F25641">
        <w:t xml:space="preserve">atine </w:t>
      </w:r>
      <w:r w:rsidRPr="00F25641">
        <w:t>liées au décalage de certains marchés, devraient permettre au Groupe de retrouver graduellement une activit</w:t>
      </w:r>
      <w:r w:rsidR="0099137E">
        <w:t>é</w:t>
      </w:r>
      <w:r w:rsidRPr="00F25641">
        <w:t xml:space="preserve"> plus normative. </w:t>
      </w:r>
      <w:r w:rsidR="0099137E" w:rsidRPr="00F05B06">
        <w:rPr>
          <w:rFonts w:ascii="Segoe UI" w:hAnsi="Segoe UI" w:cs="Segoe UI"/>
          <w:szCs w:val="20"/>
        </w:rPr>
        <w:t>Fort de cette fin</w:t>
      </w:r>
      <w:r w:rsidR="0099137E">
        <w:rPr>
          <w:rFonts w:ascii="Segoe UI" w:hAnsi="Segoe UI" w:cs="Segoe UI"/>
          <w:szCs w:val="20"/>
        </w:rPr>
        <w:t xml:space="preserve"> </w:t>
      </w:r>
      <w:r w:rsidR="0099137E" w:rsidRPr="00F05B06">
        <w:rPr>
          <w:rFonts w:ascii="Segoe UI" w:hAnsi="Segoe UI" w:cs="Segoe UI"/>
          <w:szCs w:val="20"/>
        </w:rPr>
        <w:t xml:space="preserve">d'année dynamique, Spineway va poursuivre ses efforts commerciaux sur ses zones historiques </w:t>
      </w:r>
      <w:r w:rsidR="0099137E">
        <w:rPr>
          <w:rFonts w:ascii="Segoe UI" w:hAnsi="Segoe UI" w:cs="Segoe UI"/>
          <w:szCs w:val="20"/>
        </w:rPr>
        <w:t xml:space="preserve">en </w:t>
      </w:r>
      <w:r w:rsidR="0099137E" w:rsidRPr="00F05B06">
        <w:rPr>
          <w:rFonts w:ascii="Segoe UI" w:hAnsi="Segoe UI" w:cs="Segoe UI"/>
          <w:szCs w:val="20"/>
        </w:rPr>
        <w:t>rest</w:t>
      </w:r>
      <w:r w:rsidR="0099137E">
        <w:rPr>
          <w:rFonts w:ascii="Segoe UI" w:hAnsi="Segoe UI" w:cs="Segoe UI"/>
          <w:szCs w:val="20"/>
        </w:rPr>
        <w:t>ant</w:t>
      </w:r>
      <w:r w:rsidR="0099137E" w:rsidRPr="00F05B06">
        <w:rPr>
          <w:rFonts w:ascii="Segoe UI" w:hAnsi="Segoe UI" w:cs="Segoe UI"/>
          <w:szCs w:val="20"/>
        </w:rPr>
        <w:t xml:space="preserve"> attentif à toute</w:t>
      </w:r>
      <w:r w:rsidR="0099137E">
        <w:rPr>
          <w:rFonts w:ascii="Segoe UI" w:hAnsi="Segoe UI" w:cs="Segoe UI"/>
          <w:szCs w:val="20"/>
        </w:rPr>
        <w:t>s</w:t>
      </w:r>
      <w:r w:rsidR="0099137E" w:rsidRPr="00F05B06">
        <w:rPr>
          <w:rFonts w:ascii="Segoe UI" w:hAnsi="Segoe UI" w:cs="Segoe UI"/>
          <w:szCs w:val="20"/>
        </w:rPr>
        <w:t xml:space="preserve"> opportunités de </w:t>
      </w:r>
      <w:r w:rsidR="0099137E">
        <w:rPr>
          <w:rFonts w:ascii="Segoe UI" w:hAnsi="Segoe UI" w:cs="Segoe UI"/>
          <w:szCs w:val="20"/>
        </w:rPr>
        <w:t xml:space="preserve">développements sur de nouveaux territoires stratégiques et de </w:t>
      </w:r>
      <w:r w:rsidR="0099137E" w:rsidRPr="00F05B06">
        <w:rPr>
          <w:rFonts w:ascii="Segoe UI" w:hAnsi="Segoe UI" w:cs="Segoe UI"/>
          <w:szCs w:val="20"/>
        </w:rPr>
        <w:t>croissance externe créatrice de valeur.</w:t>
      </w:r>
    </w:p>
    <w:p w14:paraId="67970656" w14:textId="77777777" w:rsidR="001A03ED" w:rsidRDefault="001A03ED" w:rsidP="001A03ED"/>
    <w:p w14:paraId="536CB8BC" w14:textId="77777777" w:rsidR="00815F2F" w:rsidRDefault="00815F2F" w:rsidP="00610091"/>
    <w:p w14:paraId="4CC9BBFA" w14:textId="5C2880CB" w:rsidR="00920621" w:rsidRPr="00C1284B" w:rsidRDefault="00132FB9" w:rsidP="00C1284B">
      <w:pPr>
        <w:rPr>
          <w:b/>
          <w:u w:val="single"/>
        </w:rPr>
      </w:pPr>
      <w:r>
        <w:rPr>
          <w:b/>
          <w:u w:val="single"/>
        </w:rPr>
        <w:t>7</w:t>
      </w:r>
      <w:r w:rsidR="00610091" w:rsidRPr="006B3130">
        <w:rPr>
          <w:b/>
          <w:u w:val="single"/>
        </w:rPr>
        <w:t>.</w:t>
      </w:r>
      <w:r w:rsidR="00203EAC">
        <w:rPr>
          <w:b/>
          <w:u w:val="single"/>
        </w:rPr>
        <w:t>2</w:t>
      </w:r>
      <w:r w:rsidR="00610091" w:rsidRPr="006B3130">
        <w:rPr>
          <w:b/>
          <w:u w:val="single"/>
        </w:rPr>
        <w:t>.1.</w:t>
      </w:r>
      <w:r w:rsidR="00466153">
        <w:rPr>
          <w:b/>
          <w:u w:val="single"/>
        </w:rPr>
        <w:t>2</w:t>
      </w:r>
      <w:r w:rsidR="00610091" w:rsidRPr="006B3130">
        <w:rPr>
          <w:b/>
          <w:u w:val="single"/>
        </w:rPr>
        <w:t xml:space="preserve"> Résultat </w:t>
      </w:r>
      <w:r w:rsidR="00A7555C">
        <w:rPr>
          <w:b/>
          <w:u w:val="single"/>
        </w:rPr>
        <w:t>d’exploitation</w:t>
      </w:r>
      <w:r w:rsidR="00610091" w:rsidRPr="006B3130">
        <w:rPr>
          <w:b/>
          <w:u w:val="single"/>
        </w:rPr>
        <w:t xml:space="preserve"> </w:t>
      </w:r>
    </w:p>
    <w:p w14:paraId="7B301309" w14:textId="77777777" w:rsidR="000874E7" w:rsidRDefault="000874E7" w:rsidP="00610091">
      <w:pPr>
        <w:tabs>
          <w:tab w:val="left" w:pos="1125"/>
        </w:tabs>
      </w:pPr>
    </w:p>
    <w:p w14:paraId="02EF9283" w14:textId="5D0F3F3D" w:rsidR="00124725" w:rsidRPr="00F40C63" w:rsidRDefault="00F40C63" w:rsidP="00C622C2">
      <w:pPr>
        <w:pStyle w:val="Paragraphedeliste"/>
        <w:numPr>
          <w:ilvl w:val="0"/>
          <w:numId w:val="5"/>
        </w:numPr>
        <w:tabs>
          <w:tab w:val="left" w:pos="1125"/>
        </w:tabs>
        <w:spacing w:after="160" w:line="259" w:lineRule="auto"/>
        <w:rPr>
          <w:b/>
        </w:rPr>
      </w:pPr>
      <w:r>
        <w:rPr>
          <w:b/>
        </w:rPr>
        <w:t>P</w:t>
      </w:r>
      <w:r w:rsidR="00610091" w:rsidRPr="0072794C">
        <w:rPr>
          <w:b/>
        </w:rPr>
        <w:t>roduits d’exploitation</w:t>
      </w:r>
    </w:p>
    <w:p w14:paraId="5342170C" w14:textId="05446310" w:rsidR="0025641B" w:rsidRDefault="003B25CE" w:rsidP="00610091">
      <w:pPr>
        <w:tabs>
          <w:tab w:val="left" w:pos="1125"/>
        </w:tabs>
      </w:pPr>
      <w:r>
        <w:rPr>
          <w:noProof/>
        </w:rPr>
        <w:drawing>
          <wp:inline distT="0" distB="0" distL="0" distR="0" wp14:anchorId="13AA2E81" wp14:editId="677B6E53">
            <wp:extent cx="5325745" cy="1803400"/>
            <wp:effectExtent l="0" t="0" r="8255" b="0"/>
            <wp:docPr id="555"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325745" cy="1803400"/>
                    </a:xfrm>
                    <a:prstGeom prst="rect">
                      <a:avLst/>
                    </a:prstGeom>
                    <a:noFill/>
                    <a:ln>
                      <a:noFill/>
                    </a:ln>
                  </pic:spPr>
                </pic:pic>
              </a:graphicData>
            </a:graphic>
          </wp:inline>
        </w:drawing>
      </w:r>
    </w:p>
    <w:p w14:paraId="0063285D" w14:textId="77777777" w:rsidR="00E42D60" w:rsidRDefault="00E42D60" w:rsidP="00610091">
      <w:pPr>
        <w:tabs>
          <w:tab w:val="left" w:pos="1125"/>
        </w:tabs>
        <w:rPr>
          <w:color w:val="FF0000"/>
        </w:rPr>
      </w:pPr>
    </w:p>
    <w:p w14:paraId="77102065" w14:textId="716B5B73" w:rsidR="00E42D60" w:rsidRPr="00FC3BCE" w:rsidRDefault="00E42D60" w:rsidP="00610091">
      <w:pPr>
        <w:tabs>
          <w:tab w:val="left" w:pos="1125"/>
        </w:tabs>
      </w:pPr>
      <w:r w:rsidRPr="00FC3BCE">
        <w:t xml:space="preserve">Les autres produits (277 K€) sont </w:t>
      </w:r>
      <w:r w:rsidR="00D233EA" w:rsidRPr="00FC3BCE">
        <w:t xml:space="preserve">principalement </w:t>
      </w:r>
      <w:r w:rsidRPr="00FC3BCE">
        <w:t>constitués</w:t>
      </w:r>
      <w:r w:rsidR="00FC3BCE" w:rsidRPr="00FC3BCE">
        <w:t>,</w:t>
      </w:r>
      <w:r w:rsidRPr="00FC3BCE">
        <w:t> </w:t>
      </w:r>
      <w:r w:rsidR="00FC3BCE" w:rsidRPr="00FC3BCE">
        <w:t>au 31 décembre 2020</w:t>
      </w:r>
      <w:r w:rsidR="00150C23">
        <w:t xml:space="preserve"> </w:t>
      </w:r>
      <w:r w:rsidRPr="00FC3BCE">
        <w:t>:</w:t>
      </w:r>
    </w:p>
    <w:p w14:paraId="6A9B75E5" w14:textId="076C2213" w:rsidR="00E42D60" w:rsidRPr="00FC3BCE" w:rsidRDefault="00E42D60" w:rsidP="00C622C2">
      <w:pPr>
        <w:pStyle w:val="Paragraphedeliste"/>
        <w:numPr>
          <w:ilvl w:val="0"/>
          <w:numId w:val="5"/>
        </w:numPr>
        <w:tabs>
          <w:tab w:val="left" w:pos="1125"/>
        </w:tabs>
      </w:pPr>
      <w:r w:rsidRPr="00FC3BCE">
        <w:t>du crédit impôt recherche (CIR) de 220 K€</w:t>
      </w:r>
      <w:r w:rsidR="00D233EA" w:rsidRPr="00FC3BCE">
        <w:t> ;</w:t>
      </w:r>
    </w:p>
    <w:p w14:paraId="310C9E69" w14:textId="45254D70" w:rsidR="00E42D60" w:rsidRPr="00FC3BCE" w:rsidRDefault="00E42D60" w:rsidP="00C622C2">
      <w:pPr>
        <w:pStyle w:val="Paragraphedeliste"/>
        <w:numPr>
          <w:ilvl w:val="0"/>
          <w:numId w:val="5"/>
        </w:numPr>
        <w:tabs>
          <w:tab w:val="left" w:pos="1125"/>
        </w:tabs>
      </w:pPr>
      <w:r w:rsidRPr="00FC3BCE">
        <w:t>du crédit d’impôt innovation (CII)</w:t>
      </w:r>
      <w:r w:rsidR="00D233EA" w:rsidRPr="00FC3BCE">
        <w:t xml:space="preserve"> de 11 K€ ;</w:t>
      </w:r>
    </w:p>
    <w:p w14:paraId="3CF68776" w14:textId="13461482" w:rsidR="00E42D60" w:rsidRPr="00FC3BCE" w:rsidRDefault="00E42D60" w:rsidP="00C622C2">
      <w:pPr>
        <w:pStyle w:val="Paragraphedeliste"/>
        <w:numPr>
          <w:ilvl w:val="0"/>
          <w:numId w:val="5"/>
        </w:numPr>
        <w:tabs>
          <w:tab w:val="left" w:pos="1125"/>
        </w:tabs>
      </w:pPr>
      <w:r w:rsidRPr="00FC3BCE">
        <w:t>d’une subvention de 42 K€ attribuée à la filiale américaine en raison de la c</w:t>
      </w:r>
      <w:r w:rsidR="00D233EA" w:rsidRPr="00FC3BCE">
        <w:t>rise sanitaire Covid-19.</w:t>
      </w:r>
    </w:p>
    <w:p w14:paraId="028D7567" w14:textId="77777777" w:rsidR="00D233EA" w:rsidRDefault="00D233EA" w:rsidP="00610091">
      <w:pPr>
        <w:tabs>
          <w:tab w:val="left" w:pos="1125"/>
        </w:tabs>
        <w:rPr>
          <w:color w:val="FF0000"/>
        </w:rPr>
      </w:pPr>
    </w:p>
    <w:p w14:paraId="60A3F60B" w14:textId="52EDEE81" w:rsidR="00D24545" w:rsidRDefault="006B5458" w:rsidP="00610091">
      <w:pPr>
        <w:tabs>
          <w:tab w:val="left" w:pos="1125"/>
        </w:tabs>
      </w:pPr>
      <w:r w:rsidRPr="006D70CB">
        <w:t xml:space="preserve">La production immobilisée </w:t>
      </w:r>
      <w:r w:rsidR="006D70CB" w:rsidRPr="006D70CB">
        <w:t xml:space="preserve">(902 K€ au 31 décembre 2020) </w:t>
      </w:r>
      <w:r w:rsidRPr="006D70CB">
        <w:t xml:space="preserve">correspond </w:t>
      </w:r>
      <w:r w:rsidR="004B7C45">
        <w:t xml:space="preserve">aux frais de développement </w:t>
      </w:r>
      <w:r w:rsidR="004B7C45" w:rsidRPr="006D70CB">
        <w:t xml:space="preserve">qui </w:t>
      </w:r>
      <w:r w:rsidR="004B7C45">
        <w:t>sont</w:t>
      </w:r>
      <w:r w:rsidR="004B7C45" w:rsidRPr="006D70CB">
        <w:t xml:space="preserve"> activé</w:t>
      </w:r>
      <w:r w:rsidR="004B7C45">
        <w:t>s depuis le 2</w:t>
      </w:r>
      <w:r w:rsidR="004B7C45" w:rsidRPr="006D70CB">
        <w:rPr>
          <w:vertAlign w:val="superscript"/>
        </w:rPr>
        <w:t>ème</w:t>
      </w:r>
      <w:r w:rsidR="004B7C45">
        <w:t xml:space="preserve"> semestre 2019 (le montant alors activé avait été de 358 K€).</w:t>
      </w:r>
    </w:p>
    <w:p w14:paraId="76687E42" w14:textId="77777777" w:rsidR="006D70CB" w:rsidRPr="006D70CB" w:rsidRDefault="006D70CB" w:rsidP="00610091">
      <w:pPr>
        <w:tabs>
          <w:tab w:val="left" w:pos="1125"/>
        </w:tabs>
      </w:pPr>
    </w:p>
    <w:p w14:paraId="44B2281D" w14:textId="77777777" w:rsidR="00541807" w:rsidRDefault="00541807" w:rsidP="00610091">
      <w:pPr>
        <w:tabs>
          <w:tab w:val="left" w:pos="1125"/>
        </w:tabs>
      </w:pPr>
    </w:p>
    <w:p w14:paraId="7A5D3CCC" w14:textId="6CEBDF05" w:rsidR="00610091" w:rsidRPr="001C73F5" w:rsidRDefault="00A7555C" w:rsidP="00C622C2">
      <w:pPr>
        <w:pStyle w:val="Paragraphedeliste"/>
        <w:numPr>
          <w:ilvl w:val="0"/>
          <w:numId w:val="5"/>
        </w:numPr>
        <w:tabs>
          <w:tab w:val="left" w:pos="1125"/>
        </w:tabs>
        <w:spacing w:after="160" w:line="259" w:lineRule="auto"/>
        <w:rPr>
          <w:b/>
        </w:rPr>
      </w:pPr>
      <w:r>
        <w:rPr>
          <w:b/>
        </w:rPr>
        <w:t>Charges d’exploitation</w:t>
      </w:r>
    </w:p>
    <w:p w14:paraId="7E57318F" w14:textId="1D02A35B" w:rsidR="000874E7" w:rsidRDefault="00CB6D42" w:rsidP="00610091">
      <w:pPr>
        <w:tabs>
          <w:tab w:val="left" w:pos="1125"/>
        </w:tabs>
      </w:pPr>
      <w:r>
        <w:rPr>
          <w:noProof/>
        </w:rPr>
        <w:drawing>
          <wp:inline distT="0" distB="0" distL="0" distR="0" wp14:anchorId="2C998668" wp14:editId="4BA53C2F">
            <wp:extent cx="5325745" cy="2413000"/>
            <wp:effectExtent l="0" t="0" r="8255" b="0"/>
            <wp:docPr id="124"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325745" cy="2413000"/>
                    </a:xfrm>
                    <a:prstGeom prst="rect">
                      <a:avLst/>
                    </a:prstGeom>
                    <a:noFill/>
                    <a:ln>
                      <a:noFill/>
                    </a:ln>
                  </pic:spPr>
                </pic:pic>
              </a:graphicData>
            </a:graphic>
          </wp:inline>
        </w:drawing>
      </w:r>
    </w:p>
    <w:p w14:paraId="3DE2E9BF" w14:textId="77777777" w:rsidR="00E43869" w:rsidRDefault="00E43869" w:rsidP="00FC3BCE">
      <w:pPr>
        <w:tabs>
          <w:tab w:val="left" w:pos="1125"/>
        </w:tabs>
      </w:pPr>
    </w:p>
    <w:p w14:paraId="66BE009A" w14:textId="2883EAE2" w:rsidR="00004267" w:rsidRPr="00EE58D3" w:rsidRDefault="00EE58D3" w:rsidP="00004267">
      <w:pPr>
        <w:tabs>
          <w:tab w:val="left" w:pos="1125"/>
        </w:tabs>
      </w:pPr>
      <w:r w:rsidRPr="00EE58D3">
        <w:t>Le poste « </w:t>
      </w:r>
      <w:r w:rsidR="00004267" w:rsidRPr="00EE58D3">
        <w:t>autres achats et charges externes</w:t>
      </w:r>
      <w:r w:rsidRPr="00EE58D3">
        <w:t> » a été impacté</w:t>
      </w:r>
      <w:r w:rsidR="00004267" w:rsidRPr="00EE58D3">
        <w:t>, en 2020 par une économie réalisée sur les co</w:t>
      </w:r>
      <w:r w:rsidR="00ED12B5">
        <w:t>û</w:t>
      </w:r>
      <w:r w:rsidR="00004267" w:rsidRPr="00EE58D3">
        <w:t xml:space="preserve">ts de la filiale américaine </w:t>
      </w:r>
      <w:r w:rsidRPr="00EE58D3">
        <w:t>(</w:t>
      </w:r>
      <w:r w:rsidR="00004267" w:rsidRPr="00EE58D3">
        <w:t>pour 400 K€</w:t>
      </w:r>
      <w:r w:rsidRPr="00EE58D3">
        <w:t>)</w:t>
      </w:r>
      <w:r w:rsidR="00004267" w:rsidRPr="00EE58D3">
        <w:t xml:space="preserve"> sur les voyages et déplacements (99 K€) mais également par un montant plus élevé </w:t>
      </w:r>
      <w:r w:rsidR="00004267" w:rsidRPr="00EE58D3">
        <w:lastRenderedPageBreak/>
        <w:t>des honoraires</w:t>
      </w:r>
      <w:r w:rsidRPr="00EE58D3">
        <w:t xml:space="preserve"> </w:t>
      </w:r>
      <w:r w:rsidR="00BE7797">
        <w:t>(+ 36</w:t>
      </w:r>
      <w:r w:rsidR="00E02949">
        <w:t xml:space="preserve"> </w:t>
      </w:r>
      <w:r w:rsidR="00BE7797">
        <w:t xml:space="preserve">% entre le 31 décembre 2019 et le 31 décembre 2020) </w:t>
      </w:r>
      <w:r w:rsidRPr="00EE58D3">
        <w:t>qui comptent au 31 décembre 2020 pour plus de la moitié des charges externes</w:t>
      </w:r>
      <w:r w:rsidR="00004267" w:rsidRPr="00EE58D3">
        <w:t>.</w:t>
      </w:r>
    </w:p>
    <w:p w14:paraId="222A0ED4" w14:textId="77777777" w:rsidR="00004267" w:rsidRPr="00E43869" w:rsidRDefault="00004267" w:rsidP="00004267">
      <w:pPr>
        <w:tabs>
          <w:tab w:val="left" w:pos="1125"/>
        </w:tabs>
        <w:rPr>
          <w:color w:val="FF0000"/>
          <w:highlight w:val="yellow"/>
        </w:rPr>
      </w:pPr>
    </w:p>
    <w:p w14:paraId="120DCB34" w14:textId="45F12E61" w:rsidR="00FC3BCE" w:rsidRDefault="00004267" w:rsidP="00FC3BCE">
      <w:pPr>
        <w:tabs>
          <w:tab w:val="left" w:pos="1125"/>
        </w:tabs>
      </w:pPr>
      <w:r>
        <w:t>La</w:t>
      </w:r>
      <w:r w:rsidR="00FC3BCE" w:rsidRPr="00FC3BCE">
        <w:t xml:space="preserve"> </w:t>
      </w:r>
      <w:r w:rsidR="00FC3BCE">
        <w:t>S</w:t>
      </w:r>
      <w:r w:rsidR="00FC3BCE" w:rsidRPr="00FC3BCE">
        <w:t>ociété a procédé</w:t>
      </w:r>
      <w:r w:rsidR="00FC3BCE">
        <w:t>,</w:t>
      </w:r>
      <w:r w:rsidR="00FC3BCE" w:rsidRPr="00FC3BCE">
        <w:t xml:space="preserve"> en mai 2019</w:t>
      </w:r>
      <w:r w:rsidR="00FC3BCE">
        <w:t>,</w:t>
      </w:r>
      <w:r w:rsidR="00FC3BCE" w:rsidRPr="00FC3BCE">
        <w:t xml:space="preserve"> à une réorganisation structurelle de ses équipes</w:t>
      </w:r>
      <w:r w:rsidR="00FC3BCE">
        <w:t xml:space="preserve"> au travers</w:t>
      </w:r>
      <w:r w:rsidR="00FC3BCE" w:rsidRPr="00FC3BCE">
        <w:t xml:space="preserve"> la mise en place d’un </w:t>
      </w:r>
      <w:r w:rsidR="00A54FC0">
        <w:t>plan social économique (</w:t>
      </w:r>
      <w:r w:rsidR="00FC3BCE" w:rsidRPr="00FC3BCE">
        <w:t>PSE</w:t>
      </w:r>
      <w:r w:rsidR="00A54FC0">
        <w:t>)</w:t>
      </w:r>
      <w:r w:rsidR="00FC3BCE" w:rsidRPr="00FC3BCE">
        <w:t xml:space="preserve"> </w:t>
      </w:r>
      <w:r w:rsidR="00FC3BCE">
        <w:t>qui a amené la Société à se séparer de</w:t>
      </w:r>
      <w:r w:rsidR="00FC3BCE" w:rsidRPr="00FC3BCE">
        <w:t xml:space="preserve"> 8 salariés.</w:t>
      </w:r>
      <w:r>
        <w:t xml:space="preserve"> Les charges de personnel ont en conséquence diminué de </w:t>
      </w:r>
      <w:r w:rsidR="00CB6D42">
        <w:t>10</w:t>
      </w:r>
      <w:r w:rsidR="008B6603">
        <w:t xml:space="preserve"> </w:t>
      </w:r>
      <w:r>
        <w:t xml:space="preserve">% entre le 31 </w:t>
      </w:r>
      <w:r w:rsidR="00125518">
        <w:t>décembre</w:t>
      </w:r>
      <w:r>
        <w:t xml:space="preserve"> 2019 (</w:t>
      </w:r>
      <w:r w:rsidR="00CB6D42">
        <w:t>2.520</w:t>
      </w:r>
      <w:r>
        <w:t xml:space="preserve"> K€) et le 31 décembre 2020 (2.2</w:t>
      </w:r>
      <w:r w:rsidR="008B6603">
        <w:t>78</w:t>
      </w:r>
      <w:r>
        <w:t xml:space="preserve"> K€).</w:t>
      </w:r>
    </w:p>
    <w:p w14:paraId="6071C1E2" w14:textId="77777777" w:rsidR="00004267" w:rsidRPr="00125518" w:rsidRDefault="00004267" w:rsidP="00FC3BCE">
      <w:pPr>
        <w:tabs>
          <w:tab w:val="left" w:pos="1125"/>
        </w:tabs>
      </w:pPr>
    </w:p>
    <w:p w14:paraId="5FE61062" w14:textId="1DF0589B" w:rsidR="00FC3BCE" w:rsidRDefault="00EE58D3" w:rsidP="00FC3BCE">
      <w:pPr>
        <w:tabs>
          <w:tab w:val="left" w:pos="1125"/>
        </w:tabs>
      </w:pPr>
      <w:r w:rsidRPr="00125518">
        <w:t>Les d</w:t>
      </w:r>
      <w:r w:rsidR="006B5458" w:rsidRPr="00125518">
        <w:t xml:space="preserve">otations </w:t>
      </w:r>
      <w:r w:rsidRPr="00125518">
        <w:t xml:space="preserve">aux </w:t>
      </w:r>
      <w:r w:rsidR="00E43869" w:rsidRPr="00125518">
        <w:t>amortissements</w:t>
      </w:r>
      <w:r w:rsidR="006B5458" w:rsidRPr="00125518">
        <w:t xml:space="preserve"> sur </w:t>
      </w:r>
      <w:r w:rsidR="00E43869" w:rsidRPr="00125518">
        <w:t>immobilisation</w:t>
      </w:r>
      <w:r w:rsidRPr="00125518">
        <w:t xml:space="preserve">s ont diminué </w:t>
      </w:r>
      <w:r w:rsidR="00125518">
        <w:t>(- 20</w:t>
      </w:r>
      <w:r w:rsidR="00E02949">
        <w:t xml:space="preserve"> </w:t>
      </w:r>
      <w:r w:rsidR="00125518">
        <w:t xml:space="preserve">% entre le 31 décembre 2019 et le 31 décembre 2020) </w:t>
      </w:r>
      <w:r w:rsidRPr="00125518">
        <w:t xml:space="preserve">en raison d’économies réalisées sur les </w:t>
      </w:r>
      <w:r w:rsidR="00E43869" w:rsidRPr="00125518">
        <w:t>provision</w:t>
      </w:r>
      <w:r w:rsidRPr="00125518">
        <w:t>s</w:t>
      </w:r>
      <w:r w:rsidR="00E43869" w:rsidRPr="00125518">
        <w:t xml:space="preserve"> sur stocks </w:t>
      </w:r>
      <w:r w:rsidRPr="00125518">
        <w:t>pour les sociétés françaises et américaines et de la</w:t>
      </w:r>
      <w:r w:rsidR="00E43869" w:rsidRPr="00125518">
        <w:t xml:space="preserve"> diminution des </w:t>
      </w:r>
      <w:r w:rsidRPr="00125518">
        <w:t xml:space="preserve">amortissements </w:t>
      </w:r>
      <w:r w:rsidR="00125518" w:rsidRPr="00125518">
        <w:t>d’</w:t>
      </w:r>
      <w:r w:rsidR="00E43869" w:rsidRPr="00125518">
        <w:t>instruments immobilisés</w:t>
      </w:r>
      <w:r w:rsidR="00125518" w:rsidRPr="00125518">
        <w:t xml:space="preserve"> en raison de la baisse progressive des kits d’instruments mis à disposition des clients export.</w:t>
      </w:r>
    </w:p>
    <w:p w14:paraId="6FA043BC" w14:textId="77777777" w:rsidR="00FC3BCE" w:rsidRDefault="00FC3BCE" w:rsidP="00610091">
      <w:pPr>
        <w:tabs>
          <w:tab w:val="left" w:pos="1125"/>
        </w:tabs>
      </w:pPr>
    </w:p>
    <w:p w14:paraId="72538632" w14:textId="77777777" w:rsidR="00FC3BCE" w:rsidRDefault="00FC3BCE" w:rsidP="00610091">
      <w:pPr>
        <w:tabs>
          <w:tab w:val="left" w:pos="1125"/>
        </w:tabs>
      </w:pPr>
    </w:p>
    <w:p w14:paraId="1E555205" w14:textId="7D24B5F3" w:rsidR="00610091" w:rsidRPr="00D80B12" w:rsidRDefault="00132FB9" w:rsidP="00610091">
      <w:pPr>
        <w:tabs>
          <w:tab w:val="left" w:pos="1125"/>
        </w:tabs>
        <w:rPr>
          <w:b/>
        </w:rPr>
      </w:pPr>
      <w:r>
        <w:rPr>
          <w:b/>
        </w:rPr>
        <w:t>7</w:t>
      </w:r>
      <w:r w:rsidR="00610091" w:rsidRPr="00D80B12">
        <w:rPr>
          <w:b/>
        </w:rPr>
        <w:t>.</w:t>
      </w:r>
      <w:r w:rsidR="00B21BD4">
        <w:rPr>
          <w:b/>
        </w:rPr>
        <w:t>2</w:t>
      </w:r>
      <w:r w:rsidR="00610091" w:rsidRPr="00D80B12">
        <w:rPr>
          <w:b/>
        </w:rPr>
        <w:t>.1.</w:t>
      </w:r>
      <w:r w:rsidR="00ED7E44">
        <w:rPr>
          <w:b/>
        </w:rPr>
        <w:t>3</w:t>
      </w:r>
      <w:r w:rsidR="00610091" w:rsidRPr="00D80B12">
        <w:rPr>
          <w:b/>
        </w:rPr>
        <w:t xml:space="preserve"> Résultat </w:t>
      </w:r>
      <w:r w:rsidR="00A7555C">
        <w:rPr>
          <w:b/>
        </w:rPr>
        <w:t>financier</w:t>
      </w:r>
    </w:p>
    <w:p w14:paraId="4A385964" w14:textId="77777777" w:rsidR="002D4196" w:rsidRDefault="002D4196" w:rsidP="00610091">
      <w:pPr>
        <w:tabs>
          <w:tab w:val="left" w:pos="1125"/>
        </w:tabs>
      </w:pPr>
    </w:p>
    <w:p w14:paraId="7E584B8C" w14:textId="1EEB32C1" w:rsidR="00BB419F" w:rsidRDefault="00CB6D42" w:rsidP="00610091">
      <w:pPr>
        <w:tabs>
          <w:tab w:val="left" w:pos="1125"/>
        </w:tabs>
      </w:pPr>
      <w:r>
        <w:rPr>
          <w:noProof/>
        </w:rPr>
        <w:drawing>
          <wp:inline distT="0" distB="0" distL="0" distR="0" wp14:anchorId="28C0B3FD" wp14:editId="08AE39C7">
            <wp:extent cx="5325745" cy="2413000"/>
            <wp:effectExtent l="0" t="0" r="8255" b="0"/>
            <wp:docPr id="125"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325745" cy="2413000"/>
                    </a:xfrm>
                    <a:prstGeom prst="rect">
                      <a:avLst/>
                    </a:prstGeom>
                    <a:noFill/>
                    <a:ln>
                      <a:noFill/>
                    </a:ln>
                  </pic:spPr>
                </pic:pic>
              </a:graphicData>
            </a:graphic>
          </wp:inline>
        </w:drawing>
      </w:r>
    </w:p>
    <w:p w14:paraId="139C5EEB" w14:textId="77777777" w:rsidR="0028511E" w:rsidRDefault="0028511E" w:rsidP="00610091">
      <w:pPr>
        <w:tabs>
          <w:tab w:val="left" w:pos="1125"/>
        </w:tabs>
      </w:pPr>
    </w:p>
    <w:p w14:paraId="13443783" w14:textId="7DCFFBE2" w:rsidR="005E7ABE" w:rsidRPr="00A434C3" w:rsidRDefault="00E270DF" w:rsidP="005E7ABE">
      <w:pPr>
        <w:tabs>
          <w:tab w:val="left" w:pos="1125"/>
        </w:tabs>
      </w:pPr>
      <w:r>
        <w:t>Les pertes de change</w:t>
      </w:r>
      <w:r w:rsidR="005E7ABE" w:rsidRPr="00A434C3">
        <w:t xml:space="preserve"> (-290 K€ au 31 décembre 2020 contre 18 K€ au 31 décembre 2019) sont liées à une créance rattachée à une participation </w:t>
      </w:r>
      <w:r w:rsidR="00A434C3" w:rsidRPr="00A434C3">
        <w:t>laquelle</w:t>
      </w:r>
      <w:r w:rsidR="005E7ABE" w:rsidRPr="00A434C3">
        <w:t xml:space="preserve"> a été impactée par une </w:t>
      </w:r>
      <w:r w:rsidR="00A434C3" w:rsidRPr="00A434C3">
        <w:t xml:space="preserve">évolution défavorable du </w:t>
      </w:r>
      <w:r w:rsidR="005E7ABE" w:rsidRPr="00A434C3">
        <w:t>taux de change dollars</w:t>
      </w:r>
      <w:r w:rsidR="00A434C3" w:rsidRPr="00A434C3">
        <w:t>/euros</w:t>
      </w:r>
      <w:r w:rsidR="005E7ABE" w:rsidRPr="00A434C3">
        <w:t xml:space="preserve"> (taux de change moyen : 1</w:t>
      </w:r>
      <w:r w:rsidR="00E02949">
        <w:t xml:space="preserve"> </w:t>
      </w:r>
      <w:r w:rsidR="00441E19" w:rsidRPr="00A434C3">
        <w:t>€</w:t>
      </w:r>
      <w:r w:rsidR="005E7ABE" w:rsidRPr="00A434C3">
        <w:t xml:space="preserve"> = 1,12</w:t>
      </w:r>
      <w:r w:rsidR="00E02949">
        <w:t xml:space="preserve"> </w:t>
      </w:r>
      <w:r w:rsidR="00441E19" w:rsidRPr="00A434C3">
        <w:t>$</w:t>
      </w:r>
      <w:r w:rsidR="005E7ABE" w:rsidRPr="00A434C3">
        <w:t xml:space="preserve"> en 2019 versus 1</w:t>
      </w:r>
      <w:r w:rsidR="00E02949">
        <w:t xml:space="preserve"> </w:t>
      </w:r>
      <w:r w:rsidR="00441E19" w:rsidRPr="00A434C3">
        <w:t>€</w:t>
      </w:r>
      <w:r w:rsidR="005E7ABE" w:rsidRPr="00A434C3">
        <w:t xml:space="preserve"> = 1,15</w:t>
      </w:r>
      <w:r w:rsidR="00E02949">
        <w:t xml:space="preserve"> </w:t>
      </w:r>
      <w:r w:rsidR="005E7ABE" w:rsidRPr="00A434C3">
        <w:t xml:space="preserve">$ en 2020). </w:t>
      </w:r>
      <w:r w:rsidR="00A434C3" w:rsidRPr="00A434C3">
        <w:t xml:space="preserve">L’impact net </w:t>
      </w:r>
      <w:r w:rsidRPr="00A434C3">
        <w:t xml:space="preserve">sur le compte de résultat </w:t>
      </w:r>
      <w:r w:rsidR="00A434C3" w:rsidRPr="00A434C3">
        <w:t xml:space="preserve">est </w:t>
      </w:r>
      <w:r>
        <w:t xml:space="preserve">toutefois </w:t>
      </w:r>
      <w:r w:rsidR="00A434C3" w:rsidRPr="00A434C3">
        <w:t xml:space="preserve">neutre </w:t>
      </w:r>
      <w:r w:rsidR="005E7ABE" w:rsidRPr="00A434C3">
        <w:t xml:space="preserve">puisque cette perte de change est essentiellement liée à une créance rattachée </w:t>
      </w:r>
      <w:r>
        <w:t>à une</w:t>
      </w:r>
      <w:r w:rsidR="005E7ABE" w:rsidRPr="00A434C3">
        <w:t xml:space="preserve"> participation entièrement dépréciée.</w:t>
      </w:r>
    </w:p>
    <w:p w14:paraId="3B125C21" w14:textId="77777777" w:rsidR="005E7ABE" w:rsidRDefault="005E7ABE" w:rsidP="005E7ABE">
      <w:pPr>
        <w:tabs>
          <w:tab w:val="left" w:pos="1125"/>
        </w:tabs>
      </w:pPr>
    </w:p>
    <w:p w14:paraId="5A5EC464" w14:textId="0EAAB436" w:rsidR="00721886" w:rsidRPr="00721886" w:rsidRDefault="00642EF8" w:rsidP="00642259">
      <w:pPr>
        <w:tabs>
          <w:tab w:val="left" w:pos="1125"/>
        </w:tabs>
        <w:rPr>
          <w:rFonts w:ascii="Calibri" w:hAnsi="Calibri" w:cs="Calibri"/>
          <w:szCs w:val="20"/>
        </w:rPr>
      </w:pPr>
      <w:r>
        <w:t>L’importante progression des charges financières est inhérente à l’impact du mécanisme contractuel de compensation</w:t>
      </w:r>
      <w:r w:rsidR="00642259">
        <w:t xml:space="preserve"> (cf. paragraphe « </w:t>
      </w:r>
      <w:r w:rsidR="00642259">
        <w:fldChar w:fldCharType="begin"/>
      </w:r>
      <w:r w:rsidR="00642259">
        <w:instrText xml:space="preserve"> REF _Ref472611971 \h </w:instrText>
      </w:r>
      <w:r w:rsidR="00642259">
        <w:fldChar w:fldCharType="separate"/>
      </w:r>
      <w:r w:rsidR="003A0AD1">
        <w:t>8</w:t>
      </w:r>
      <w:r w:rsidR="003A0AD1" w:rsidRPr="00107035">
        <w:t>.1.1</w:t>
      </w:r>
      <w:r w:rsidR="003A0AD1">
        <w:t xml:space="preserve"> Financement par obligations convertibles Negma</w:t>
      </w:r>
      <w:r w:rsidR="00642259">
        <w:fldChar w:fldCharType="end"/>
      </w:r>
      <w:r w:rsidR="00642259">
        <w:t xml:space="preserve"> » du Document d’enregistrement universel). </w:t>
      </w:r>
      <w:r w:rsidR="00642259">
        <w:rPr>
          <w:rFonts w:ascii="Calibri" w:hAnsi="Calibri" w:cs="Calibri"/>
          <w:szCs w:val="20"/>
        </w:rPr>
        <w:t xml:space="preserve">Le contrat </w:t>
      </w:r>
      <w:r w:rsidR="005E7ABE">
        <w:rPr>
          <w:rFonts w:ascii="Calibri" w:hAnsi="Calibri" w:cs="Calibri"/>
          <w:szCs w:val="20"/>
        </w:rPr>
        <w:t>de financement qui lie</w:t>
      </w:r>
      <w:r w:rsidR="00642259">
        <w:rPr>
          <w:rFonts w:ascii="Calibri" w:hAnsi="Calibri" w:cs="Calibri"/>
          <w:szCs w:val="20"/>
        </w:rPr>
        <w:t xml:space="preserve"> Spineway à </w:t>
      </w:r>
      <w:r w:rsidR="00642259" w:rsidRPr="00173EEE">
        <w:rPr>
          <w:rFonts w:ascii="Calibri" w:hAnsi="Calibri" w:cs="Calibri"/>
          <w:szCs w:val="20"/>
        </w:rPr>
        <w:t xml:space="preserve">Negma </w:t>
      </w:r>
      <w:r w:rsidR="00A54FC0">
        <w:rPr>
          <w:rFonts w:ascii="Calibri" w:hAnsi="Calibri" w:cs="Calibri"/>
          <w:szCs w:val="20"/>
        </w:rPr>
        <w:t xml:space="preserve">Group Ltd </w:t>
      </w:r>
      <w:r w:rsidR="00642259" w:rsidRPr="00173EEE">
        <w:rPr>
          <w:rFonts w:ascii="Calibri" w:hAnsi="Calibri" w:cs="Calibri"/>
          <w:szCs w:val="20"/>
        </w:rPr>
        <w:t>prévoit</w:t>
      </w:r>
      <w:r w:rsidR="00642259">
        <w:rPr>
          <w:rFonts w:ascii="Calibri" w:hAnsi="Calibri" w:cs="Calibri"/>
          <w:szCs w:val="20"/>
        </w:rPr>
        <w:t xml:space="preserve"> effectivement</w:t>
      </w:r>
      <w:r w:rsidR="00642259" w:rsidRPr="00173EEE">
        <w:rPr>
          <w:rFonts w:ascii="Calibri" w:hAnsi="Calibri" w:cs="Calibri"/>
          <w:szCs w:val="20"/>
        </w:rPr>
        <w:t xml:space="preserve"> une indemnisation en cas de cours de bourse inférieur au nominal de l’action</w:t>
      </w:r>
      <w:r w:rsidR="00642259">
        <w:rPr>
          <w:rFonts w:ascii="Calibri" w:hAnsi="Calibri" w:cs="Calibri"/>
          <w:szCs w:val="20"/>
        </w:rPr>
        <w:t xml:space="preserve">. </w:t>
      </w:r>
      <w:r w:rsidR="00642259" w:rsidRPr="00173EEE">
        <w:rPr>
          <w:rFonts w:ascii="Calibri" w:hAnsi="Calibri" w:cs="Calibri"/>
          <w:szCs w:val="20"/>
        </w:rPr>
        <w:t xml:space="preserve">L’évolution boursière sur 2020 ayant été très défavorable au cours de l’action Spineway, les levées de tranches se sont accompagnées de très fortes compensations. </w:t>
      </w:r>
      <w:r w:rsidR="00642259">
        <w:t>L</w:t>
      </w:r>
      <w:r w:rsidR="00642259" w:rsidRPr="00173EEE">
        <w:rPr>
          <w:rFonts w:ascii="Calibri" w:hAnsi="Calibri" w:cs="Calibri"/>
          <w:szCs w:val="20"/>
        </w:rPr>
        <w:t xml:space="preserve">’ensemble de ces compensations </w:t>
      </w:r>
      <w:r w:rsidR="005E7ABE">
        <w:rPr>
          <w:rFonts w:ascii="Calibri" w:hAnsi="Calibri" w:cs="Calibri"/>
          <w:szCs w:val="20"/>
        </w:rPr>
        <w:t>a</w:t>
      </w:r>
      <w:r w:rsidR="00642259" w:rsidRPr="00173EEE">
        <w:rPr>
          <w:rFonts w:ascii="Calibri" w:hAnsi="Calibri" w:cs="Calibri"/>
          <w:szCs w:val="20"/>
        </w:rPr>
        <w:t xml:space="preserve"> abouti à une charge financière qui s’élève pour 2020 à </w:t>
      </w:r>
      <w:r w:rsidR="00642259">
        <w:rPr>
          <w:rFonts w:ascii="Calibri" w:hAnsi="Calibri" w:cs="Calibri"/>
          <w:szCs w:val="20"/>
        </w:rPr>
        <w:t>11.978 K</w:t>
      </w:r>
      <w:r w:rsidR="00642259" w:rsidRPr="00173EEE">
        <w:rPr>
          <w:rFonts w:ascii="Calibri" w:hAnsi="Calibri" w:cs="Calibri"/>
          <w:szCs w:val="20"/>
        </w:rPr>
        <w:t xml:space="preserve">€. Cette charge financière n’a fait l’objet d’aucune sortie de trésorerie pour le Groupe et a été intégralement financée en titres Spineway. </w:t>
      </w:r>
    </w:p>
    <w:p w14:paraId="03416C42" w14:textId="77777777" w:rsidR="00642259" w:rsidRDefault="00642259" w:rsidP="00642259">
      <w:pPr>
        <w:rPr>
          <w:rFonts w:ascii="Calibri" w:hAnsi="Calibri" w:cs="Calibri"/>
          <w:szCs w:val="20"/>
        </w:rPr>
      </w:pPr>
    </w:p>
    <w:p w14:paraId="1201608F" w14:textId="77777777" w:rsidR="0028511E" w:rsidRDefault="0028511E" w:rsidP="00610091">
      <w:pPr>
        <w:tabs>
          <w:tab w:val="left" w:pos="1125"/>
        </w:tabs>
      </w:pPr>
    </w:p>
    <w:p w14:paraId="7F005406" w14:textId="77777777" w:rsidR="00642259" w:rsidRDefault="00642259" w:rsidP="00610091">
      <w:pPr>
        <w:tabs>
          <w:tab w:val="left" w:pos="1125"/>
        </w:tabs>
      </w:pPr>
    </w:p>
    <w:p w14:paraId="291F39D8" w14:textId="77777777" w:rsidR="00E270DF" w:rsidRDefault="00E270DF">
      <w:pPr>
        <w:jc w:val="left"/>
        <w:rPr>
          <w:b/>
        </w:rPr>
      </w:pPr>
      <w:r>
        <w:rPr>
          <w:b/>
        </w:rPr>
        <w:br w:type="page"/>
      </w:r>
    </w:p>
    <w:p w14:paraId="5D15D928" w14:textId="7376A184" w:rsidR="00A7555C" w:rsidRDefault="00132FB9" w:rsidP="00A7555C">
      <w:pPr>
        <w:tabs>
          <w:tab w:val="left" w:pos="1125"/>
        </w:tabs>
        <w:rPr>
          <w:b/>
        </w:rPr>
      </w:pPr>
      <w:r>
        <w:rPr>
          <w:b/>
        </w:rPr>
        <w:lastRenderedPageBreak/>
        <w:t>7</w:t>
      </w:r>
      <w:r w:rsidR="00A7555C" w:rsidRPr="00D80B12">
        <w:rPr>
          <w:b/>
        </w:rPr>
        <w:t>.</w:t>
      </w:r>
      <w:r w:rsidR="00A7555C">
        <w:rPr>
          <w:b/>
        </w:rPr>
        <w:t>2</w:t>
      </w:r>
      <w:r w:rsidR="00A7555C" w:rsidRPr="00D80B12">
        <w:rPr>
          <w:b/>
        </w:rPr>
        <w:t>.1.</w:t>
      </w:r>
      <w:r w:rsidR="00ED7E44">
        <w:rPr>
          <w:b/>
        </w:rPr>
        <w:t>4</w:t>
      </w:r>
      <w:r w:rsidR="00A7555C" w:rsidRPr="00D80B12">
        <w:rPr>
          <w:b/>
        </w:rPr>
        <w:t xml:space="preserve"> Résultat </w:t>
      </w:r>
      <w:r w:rsidR="00A7555C">
        <w:rPr>
          <w:b/>
        </w:rPr>
        <w:t>exceptionnel</w:t>
      </w:r>
    </w:p>
    <w:p w14:paraId="19CFA2BD" w14:textId="77777777" w:rsidR="000C54A5" w:rsidRPr="00D80B12" w:rsidRDefault="000C54A5" w:rsidP="00A7555C">
      <w:pPr>
        <w:tabs>
          <w:tab w:val="left" w:pos="1125"/>
        </w:tabs>
        <w:rPr>
          <w:b/>
        </w:rPr>
      </w:pPr>
    </w:p>
    <w:p w14:paraId="2C26663E" w14:textId="1E34681F" w:rsidR="00A7555C" w:rsidRDefault="00943513">
      <w:pPr>
        <w:jc w:val="left"/>
      </w:pPr>
      <w:r>
        <w:rPr>
          <w:noProof/>
        </w:rPr>
        <w:drawing>
          <wp:inline distT="0" distB="0" distL="0" distR="0" wp14:anchorId="02ACE568" wp14:editId="603CF94A">
            <wp:extent cx="5325745" cy="2616200"/>
            <wp:effectExtent l="0" t="0" r="8255" b="0"/>
            <wp:docPr id="121"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325745" cy="2616200"/>
                    </a:xfrm>
                    <a:prstGeom prst="rect">
                      <a:avLst/>
                    </a:prstGeom>
                    <a:noFill/>
                    <a:ln>
                      <a:noFill/>
                    </a:ln>
                  </pic:spPr>
                </pic:pic>
              </a:graphicData>
            </a:graphic>
          </wp:inline>
        </w:drawing>
      </w:r>
    </w:p>
    <w:p w14:paraId="1130583A" w14:textId="77777777" w:rsidR="002B60C6" w:rsidRDefault="002B60C6">
      <w:pPr>
        <w:jc w:val="left"/>
      </w:pPr>
    </w:p>
    <w:p w14:paraId="62518016" w14:textId="45D02D12" w:rsidR="00FB4325" w:rsidRDefault="00FB4325" w:rsidP="00E679A6">
      <w:r w:rsidRPr="00FB4325">
        <w:t xml:space="preserve">Les produits sur exercices antérieurs </w:t>
      </w:r>
      <w:r w:rsidR="00EC719C">
        <w:t>comptent pour</w:t>
      </w:r>
      <w:r>
        <w:t xml:space="preserve"> 546 K€ au 31 décembre 2020 (contre 33 K€ au 31 décembre 2019)</w:t>
      </w:r>
      <w:r w:rsidR="00893A79">
        <w:t>. Inexistantes au 31 décembre 2019, les</w:t>
      </w:r>
      <w:r w:rsidR="00893A79" w:rsidRPr="00FB4325">
        <w:t xml:space="preserve"> charges sur exercices antérieurs </w:t>
      </w:r>
      <w:r w:rsidR="00893A79">
        <w:t xml:space="preserve">atteignent - 477 K€ au 31 décembre 2020. Ces produits et charges sur exercices antérieurs </w:t>
      </w:r>
      <w:r w:rsidRPr="00FB4325">
        <w:t>concernent majoritairement les stocks de la filiale américaine</w:t>
      </w:r>
      <w:r w:rsidR="00962B10">
        <w:t xml:space="preserve"> (incidence d’une régularisation de la marge sur stock </w:t>
      </w:r>
      <w:r w:rsidR="00A54FC0">
        <w:t xml:space="preserve">américain </w:t>
      </w:r>
      <w:r w:rsidR="00962B10">
        <w:t>pour un montant net de 153 K€)</w:t>
      </w:r>
      <w:r w:rsidRPr="00FB4325">
        <w:t>, un ajustement sur les immobilisations en-cours de 2019 et un produit reçu lié à un dénouement de contrôle fiscal de la société française</w:t>
      </w:r>
      <w:r w:rsidR="00572B3A">
        <w:t xml:space="preserve"> (reprise sur risque fiscal pour 192 K€)</w:t>
      </w:r>
      <w:r w:rsidRPr="00FB4325">
        <w:t>.</w:t>
      </w:r>
    </w:p>
    <w:p w14:paraId="0F459502" w14:textId="77777777" w:rsidR="00E679A6" w:rsidRPr="00FB4325" w:rsidRDefault="00E679A6" w:rsidP="00E679A6"/>
    <w:p w14:paraId="767B5ABA" w14:textId="5E5DE0E2" w:rsidR="002B60C6" w:rsidRDefault="00E679A6" w:rsidP="00E679A6">
      <w:r w:rsidRPr="00E679A6">
        <w:t xml:space="preserve">Les autres charges exceptionnelles avaient, au 31 décembre 2019 (- 429 K€), été impactées par le </w:t>
      </w:r>
      <w:r w:rsidR="00A54FC0">
        <w:t>PSE</w:t>
      </w:r>
      <w:r w:rsidRPr="00E679A6">
        <w:t xml:space="preserve"> réalisé au cours de l’exercice. Ce poste est donc mécaniquement amélioré au 31 décembre</w:t>
      </w:r>
      <w:r>
        <w:t xml:space="preserve"> </w:t>
      </w:r>
      <w:r w:rsidRPr="00E679A6">
        <w:t>2020 (- 2 K€)</w:t>
      </w:r>
      <w:r>
        <w:t>.</w:t>
      </w:r>
    </w:p>
    <w:p w14:paraId="2EBD475E" w14:textId="77777777" w:rsidR="00E679A6" w:rsidRDefault="00E679A6" w:rsidP="00E679A6"/>
    <w:p w14:paraId="6645E9D2" w14:textId="77777777" w:rsidR="007B4551" w:rsidRDefault="007B4551">
      <w:pPr>
        <w:jc w:val="left"/>
      </w:pPr>
    </w:p>
    <w:p w14:paraId="582D1A02" w14:textId="1124CFA2" w:rsidR="00A7555C" w:rsidRDefault="00132FB9" w:rsidP="00A7555C">
      <w:pPr>
        <w:tabs>
          <w:tab w:val="left" w:pos="1125"/>
        </w:tabs>
        <w:rPr>
          <w:b/>
        </w:rPr>
      </w:pPr>
      <w:r>
        <w:rPr>
          <w:b/>
        </w:rPr>
        <w:t>7</w:t>
      </w:r>
      <w:r w:rsidR="00A7555C" w:rsidRPr="00D80B12">
        <w:rPr>
          <w:b/>
        </w:rPr>
        <w:t>.</w:t>
      </w:r>
      <w:r w:rsidR="00A7555C">
        <w:rPr>
          <w:b/>
        </w:rPr>
        <w:t>2</w:t>
      </w:r>
      <w:r w:rsidR="00A7555C" w:rsidRPr="00D80B12">
        <w:rPr>
          <w:b/>
        </w:rPr>
        <w:t>.1.</w:t>
      </w:r>
      <w:r w:rsidR="00ED7E44">
        <w:rPr>
          <w:b/>
        </w:rPr>
        <w:t>5</w:t>
      </w:r>
      <w:r w:rsidR="00A7555C" w:rsidRPr="00D80B12">
        <w:rPr>
          <w:b/>
        </w:rPr>
        <w:t xml:space="preserve"> Résultat net</w:t>
      </w:r>
    </w:p>
    <w:p w14:paraId="530FD9FA" w14:textId="77777777" w:rsidR="000C54A5" w:rsidRDefault="000C54A5" w:rsidP="00A7555C">
      <w:pPr>
        <w:tabs>
          <w:tab w:val="left" w:pos="1125"/>
        </w:tabs>
        <w:rPr>
          <w:b/>
        </w:rPr>
      </w:pPr>
    </w:p>
    <w:p w14:paraId="2F546F7E" w14:textId="3E7ECCDA" w:rsidR="0026442A" w:rsidRDefault="0026442A" w:rsidP="009517F2">
      <w:pPr>
        <w:jc w:val="left"/>
        <w:rPr>
          <w:color w:val="FF0000"/>
        </w:rPr>
      </w:pPr>
      <w:bookmarkStart w:id="179" w:name="_Ref368848175"/>
      <w:bookmarkStart w:id="180" w:name="_Ref372814960"/>
      <w:r w:rsidRPr="0026442A">
        <w:rPr>
          <w:color w:val="FF0000"/>
        </w:rPr>
        <w:t xml:space="preserve"> </w:t>
      </w:r>
      <w:r w:rsidR="00CB6D42">
        <w:rPr>
          <w:noProof/>
          <w:color w:val="FF0000"/>
        </w:rPr>
        <w:drawing>
          <wp:inline distT="0" distB="0" distL="0" distR="0" wp14:anchorId="1F97C778" wp14:editId="4E5C1AD9">
            <wp:extent cx="5325745" cy="2006600"/>
            <wp:effectExtent l="0" t="0" r="8255" b="0"/>
            <wp:docPr id="126"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325745" cy="2006600"/>
                    </a:xfrm>
                    <a:prstGeom prst="rect">
                      <a:avLst/>
                    </a:prstGeom>
                    <a:noFill/>
                    <a:ln>
                      <a:noFill/>
                    </a:ln>
                  </pic:spPr>
                </pic:pic>
              </a:graphicData>
            </a:graphic>
          </wp:inline>
        </w:drawing>
      </w:r>
    </w:p>
    <w:p w14:paraId="7B3E339E" w14:textId="77777777" w:rsidR="0026442A" w:rsidRDefault="0026442A" w:rsidP="009517F2">
      <w:pPr>
        <w:jc w:val="left"/>
        <w:rPr>
          <w:color w:val="FF0000"/>
        </w:rPr>
      </w:pPr>
    </w:p>
    <w:p w14:paraId="04DFE7E0" w14:textId="52F0F011" w:rsidR="007B4551" w:rsidRPr="00E679A6" w:rsidRDefault="007B4551" w:rsidP="003B7F25">
      <w:r w:rsidRPr="00843A06">
        <w:t xml:space="preserve">La résultat </w:t>
      </w:r>
      <w:r w:rsidR="00843A06" w:rsidRPr="00843A06">
        <w:t>consolidé</w:t>
      </w:r>
      <w:r w:rsidRPr="00843A06">
        <w:t xml:space="preserve"> </w:t>
      </w:r>
      <w:r w:rsidR="00843A06" w:rsidRPr="00843A06">
        <w:t xml:space="preserve">2020 </w:t>
      </w:r>
      <w:r w:rsidR="003B7F25">
        <w:t>(- 14.</w:t>
      </w:r>
      <w:r w:rsidR="00EC719C">
        <w:t>105</w:t>
      </w:r>
      <w:r w:rsidR="003B7F25">
        <w:t xml:space="preserve"> K€ au 31 décembre 2020 contre - 2.87</w:t>
      </w:r>
      <w:r w:rsidR="00CB6D42">
        <w:t>6</w:t>
      </w:r>
      <w:r w:rsidR="003B7F25">
        <w:t xml:space="preserve"> K€ au 31 décembre 2019 : - 3</w:t>
      </w:r>
      <w:r w:rsidR="00CB6D42">
        <w:t>90</w:t>
      </w:r>
      <w:r w:rsidR="003B7F25">
        <w:t xml:space="preserve"> %)</w:t>
      </w:r>
      <w:r w:rsidR="003B7F25" w:rsidRPr="00843A06">
        <w:rPr>
          <w:color w:val="FF0000"/>
        </w:rPr>
        <w:t xml:space="preserve"> </w:t>
      </w:r>
      <w:r w:rsidRPr="00843A06">
        <w:t xml:space="preserve">est </w:t>
      </w:r>
      <w:r w:rsidR="00843A06" w:rsidRPr="00E679A6">
        <w:t xml:space="preserve">directement impacté par </w:t>
      </w:r>
      <w:r w:rsidR="00E679A6" w:rsidRPr="00E679A6">
        <w:t>la baisse d’activité due à la crise sanitaire (</w:t>
      </w:r>
      <w:r w:rsidR="00CB6D42">
        <w:t xml:space="preserve">chiffre d’affaires de </w:t>
      </w:r>
      <w:r w:rsidR="001034DF">
        <w:t>3.379</w:t>
      </w:r>
      <w:r w:rsidR="00E679A6" w:rsidRPr="00E679A6">
        <w:t xml:space="preserve"> K€ au 31 décembre 2020 contre 5.018 K€ au 31 décembre 2019 : - 33 %)  mais également, et surtout, par </w:t>
      </w:r>
      <w:r w:rsidRPr="00E679A6">
        <w:t xml:space="preserve">la </w:t>
      </w:r>
      <w:r w:rsidR="00843A06" w:rsidRPr="00E679A6">
        <w:t>charge</w:t>
      </w:r>
      <w:r w:rsidRPr="00E679A6">
        <w:t xml:space="preserve"> financière Negma</w:t>
      </w:r>
      <w:r w:rsidR="00843A06" w:rsidRPr="00E679A6">
        <w:t xml:space="preserve"> </w:t>
      </w:r>
      <w:r w:rsidR="00A54FC0">
        <w:t xml:space="preserve">Group Ltd </w:t>
      </w:r>
      <w:r w:rsidR="00843A06" w:rsidRPr="00E679A6">
        <w:t xml:space="preserve">et donc le résultat financier (-12.279 K€ au 31 décembre 2020 contre </w:t>
      </w:r>
      <w:r w:rsidR="003B7F25" w:rsidRPr="00E679A6">
        <w:t>-</w:t>
      </w:r>
      <w:r w:rsidR="00843A06" w:rsidRPr="00E679A6">
        <w:t xml:space="preserve"> 14</w:t>
      </w:r>
      <w:r w:rsidR="00CB6D42">
        <w:t>0</w:t>
      </w:r>
      <w:r w:rsidR="00843A06" w:rsidRPr="00E679A6">
        <w:t xml:space="preserve"> K€ au 31 décembre 2019)</w:t>
      </w:r>
      <w:r w:rsidRPr="00E679A6">
        <w:t>,</w:t>
      </w:r>
      <w:r w:rsidR="00843A06" w:rsidRPr="00E679A6">
        <w:t xml:space="preserve"> lequel impact est légèrement </w:t>
      </w:r>
      <w:r w:rsidR="003B7F25" w:rsidRPr="00E679A6">
        <w:t>contrebalancé</w:t>
      </w:r>
      <w:r w:rsidR="00843A06" w:rsidRPr="00E679A6">
        <w:t xml:space="preserve"> pa</w:t>
      </w:r>
      <w:r w:rsidR="003B7F25" w:rsidRPr="00E679A6">
        <w:t>r</w:t>
      </w:r>
      <w:r w:rsidR="00843A06" w:rsidRPr="00E679A6">
        <w:t xml:space="preserve"> une </w:t>
      </w:r>
      <w:r w:rsidR="003B7F25" w:rsidRPr="00E679A6">
        <w:t>amélioration du résultat d’exploitation (- 1.</w:t>
      </w:r>
      <w:r w:rsidR="00CB6D42">
        <w:t>910</w:t>
      </w:r>
      <w:r w:rsidR="003B7F25" w:rsidRPr="00E679A6">
        <w:t xml:space="preserve"> K€ au 31 décembre 2020 contre - 2.325 K€ au 31 décembre 2019 : + </w:t>
      </w:r>
      <w:r w:rsidR="00CB6D42">
        <w:t>18</w:t>
      </w:r>
      <w:r w:rsidR="003B7F25" w:rsidRPr="00E679A6">
        <w:t xml:space="preserve"> %)</w:t>
      </w:r>
      <w:r w:rsidRPr="00E679A6">
        <w:t xml:space="preserve"> et du </w:t>
      </w:r>
      <w:r w:rsidR="003B7F25" w:rsidRPr="00E679A6">
        <w:t>r</w:t>
      </w:r>
      <w:r w:rsidRPr="00E679A6">
        <w:t xml:space="preserve">ésultat </w:t>
      </w:r>
      <w:r w:rsidR="003B7F25" w:rsidRPr="00E679A6">
        <w:t>exceptionnel</w:t>
      </w:r>
      <w:r w:rsidRPr="00E679A6">
        <w:t xml:space="preserve"> </w:t>
      </w:r>
      <w:r w:rsidR="003B7F25" w:rsidRPr="00E679A6">
        <w:t>(84 K€ au 31 décembre 2020 contre - 411 K€ au 31 décembre 2019 : + 120 %)</w:t>
      </w:r>
      <w:r w:rsidR="00E679A6" w:rsidRPr="00E679A6">
        <w:t>.</w:t>
      </w:r>
    </w:p>
    <w:p w14:paraId="3FC22750" w14:textId="77777777" w:rsidR="007D6830" w:rsidRDefault="007D6830" w:rsidP="00203EAC">
      <w:pPr>
        <w:pStyle w:val="Titre3"/>
      </w:pPr>
    </w:p>
    <w:p w14:paraId="527F802E" w14:textId="77777777" w:rsidR="00E679A6" w:rsidRDefault="00E679A6">
      <w:pPr>
        <w:jc w:val="left"/>
        <w:rPr>
          <w:rFonts w:eastAsiaTheme="majorEastAsia" w:cstheme="majorBidi"/>
          <w:b/>
          <w:bCs/>
          <w:color w:val="4F81BD" w:themeColor="accent1"/>
        </w:rPr>
      </w:pPr>
      <w:r>
        <w:br w:type="page"/>
      </w:r>
    </w:p>
    <w:p w14:paraId="0EA703DE" w14:textId="59A60E4D" w:rsidR="00610091" w:rsidRPr="006E58F4" w:rsidRDefault="00132FB9" w:rsidP="00203EAC">
      <w:pPr>
        <w:pStyle w:val="Titre3"/>
      </w:pPr>
      <w:bookmarkStart w:id="181" w:name="_Ref473457882"/>
      <w:bookmarkStart w:id="182" w:name="_Ref473457885"/>
      <w:bookmarkStart w:id="183" w:name="_Toc475033211"/>
      <w:r>
        <w:lastRenderedPageBreak/>
        <w:t>7</w:t>
      </w:r>
      <w:r w:rsidR="00610091" w:rsidRPr="006E58F4">
        <w:t>.</w:t>
      </w:r>
      <w:r w:rsidR="00B21BD4">
        <w:t>2.</w:t>
      </w:r>
      <w:r w:rsidR="00610091" w:rsidRPr="006E58F4">
        <w:t>2 Commentaires sur le bilan au 31 décembre 20</w:t>
      </w:r>
      <w:bookmarkEnd w:id="179"/>
      <w:bookmarkEnd w:id="180"/>
      <w:r w:rsidR="00C1284B">
        <w:t>20</w:t>
      </w:r>
      <w:bookmarkEnd w:id="181"/>
      <w:bookmarkEnd w:id="182"/>
      <w:bookmarkEnd w:id="183"/>
    </w:p>
    <w:p w14:paraId="0FB7415D" w14:textId="77777777" w:rsidR="00610091" w:rsidRDefault="00610091" w:rsidP="00610091">
      <w:pPr>
        <w:tabs>
          <w:tab w:val="left" w:pos="1125"/>
        </w:tabs>
      </w:pPr>
    </w:p>
    <w:p w14:paraId="45722A50" w14:textId="5F48AFD1" w:rsidR="00FB4F26" w:rsidRDefault="00FB4F26" w:rsidP="00610091">
      <w:pPr>
        <w:tabs>
          <w:tab w:val="left" w:pos="1125"/>
        </w:tabs>
      </w:pPr>
      <w:r>
        <w:t xml:space="preserve">Au 31 décembre </w:t>
      </w:r>
      <w:r w:rsidR="00C1284B">
        <w:t>2020</w:t>
      </w:r>
      <w:r>
        <w:t>, le</w:t>
      </w:r>
      <w:r w:rsidR="003656A7">
        <w:t xml:space="preserve"> total du bilan s’élève à </w:t>
      </w:r>
      <w:r w:rsidR="0068578D" w:rsidRPr="0068578D">
        <w:t>14.74</w:t>
      </w:r>
      <w:r w:rsidR="00CB6D42">
        <w:t>8</w:t>
      </w:r>
      <w:r w:rsidR="00C1284B" w:rsidRPr="0068578D">
        <w:t xml:space="preserve"> </w:t>
      </w:r>
      <w:r w:rsidR="003656A7" w:rsidRPr="0068578D">
        <w:t>K€</w:t>
      </w:r>
      <w:r w:rsidR="003656A7">
        <w:t xml:space="preserve"> </w:t>
      </w:r>
      <w:r w:rsidR="003656A7" w:rsidRPr="00C1284B">
        <w:t xml:space="preserve">contre </w:t>
      </w:r>
      <w:r w:rsidR="00C1284B" w:rsidRPr="00C1284B">
        <w:t>12.774</w:t>
      </w:r>
      <w:r w:rsidR="00C1284B">
        <w:t xml:space="preserve"> </w:t>
      </w:r>
      <w:r w:rsidR="003656A7" w:rsidRPr="00C1284B">
        <w:t>K</w:t>
      </w:r>
      <w:r w:rsidR="00C1284B" w:rsidRPr="00C1284B">
        <w:t>€ au</w:t>
      </w:r>
      <w:r w:rsidR="00C1284B">
        <w:t xml:space="preserve"> 31 décembre 2019</w:t>
      </w:r>
      <w:r>
        <w:t>.</w:t>
      </w:r>
    </w:p>
    <w:p w14:paraId="3D73FA9E" w14:textId="77777777" w:rsidR="00FB4F26" w:rsidRDefault="00FB4F26" w:rsidP="00610091">
      <w:pPr>
        <w:tabs>
          <w:tab w:val="left" w:pos="1125"/>
        </w:tabs>
      </w:pPr>
    </w:p>
    <w:p w14:paraId="5AE9F35F" w14:textId="77777777" w:rsidR="00FB4325" w:rsidRDefault="00FB4325" w:rsidP="00610091">
      <w:pPr>
        <w:tabs>
          <w:tab w:val="left" w:pos="1125"/>
        </w:tabs>
        <w:rPr>
          <w:b/>
          <w:u w:val="single"/>
        </w:rPr>
      </w:pPr>
    </w:p>
    <w:p w14:paraId="04533A45" w14:textId="1FB4DC45" w:rsidR="00610091" w:rsidRDefault="00132FB9" w:rsidP="00610091">
      <w:pPr>
        <w:tabs>
          <w:tab w:val="left" w:pos="1125"/>
        </w:tabs>
        <w:rPr>
          <w:b/>
          <w:u w:val="single"/>
        </w:rPr>
      </w:pPr>
      <w:r>
        <w:rPr>
          <w:b/>
          <w:u w:val="single"/>
        </w:rPr>
        <w:t>7</w:t>
      </w:r>
      <w:r w:rsidR="00610091" w:rsidRPr="006E58F4">
        <w:rPr>
          <w:b/>
          <w:u w:val="single"/>
        </w:rPr>
        <w:t>.</w:t>
      </w:r>
      <w:r w:rsidR="00B21BD4">
        <w:rPr>
          <w:b/>
          <w:u w:val="single"/>
        </w:rPr>
        <w:t>2</w:t>
      </w:r>
      <w:r w:rsidR="00610091" w:rsidRPr="006E58F4">
        <w:rPr>
          <w:b/>
          <w:u w:val="single"/>
        </w:rPr>
        <w:t>.2.1 Eléments d’actifs</w:t>
      </w:r>
    </w:p>
    <w:p w14:paraId="07EF265D" w14:textId="77777777" w:rsidR="00B21BD4" w:rsidRDefault="00B21BD4" w:rsidP="00610091">
      <w:pPr>
        <w:tabs>
          <w:tab w:val="left" w:pos="1125"/>
        </w:tabs>
        <w:rPr>
          <w:b/>
          <w:u w:val="single"/>
        </w:rPr>
      </w:pPr>
    </w:p>
    <w:p w14:paraId="7C9F6139" w14:textId="55674FCE" w:rsidR="00610091" w:rsidRPr="00BE7C70" w:rsidRDefault="00610091" w:rsidP="00C622C2">
      <w:pPr>
        <w:pStyle w:val="Paragraphedeliste"/>
        <w:numPr>
          <w:ilvl w:val="0"/>
          <w:numId w:val="5"/>
        </w:numPr>
        <w:tabs>
          <w:tab w:val="left" w:pos="1125"/>
        </w:tabs>
        <w:rPr>
          <w:b/>
        </w:rPr>
      </w:pPr>
      <w:r w:rsidRPr="00BE7C70">
        <w:rPr>
          <w:b/>
        </w:rPr>
        <w:t xml:space="preserve">Actifs </w:t>
      </w:r>
      <w:r w:rsidR="001A599D" w:rsidRPr="00BE7C70">
        <w:rPr>
          <w:b/>
        </w:rPr>
        <w:t>immobilisés</w:t>
      </w:r>
    </w:p>
    <w:p w14:paraId="625C098E" w14:textId="77777777" w:rsidR="0026422D" w:rsidRDefault="0026422D" w:rsidP="0026422D">
      <w:pPr>
        <w:tabs>
          <w:tab w:val="left" w:pos="1125"/>
        </w:tabs>
      </w:pPr>
    </w:p>
    <w:p w14:paraId="6CC78996" w14:textId="3A46ED04" w:rsidR="0026422D" w:rsidRDefault="0026422D" w:rsidP="0026422D">
      <w:pPr>
        <w:tabs>
          <w:tab w:val="left" w:pos="1125"/>
        </w:tabs>
      </w:pPr>
      <w:r>
        <w:t xml:space="preserve">Au 31 décembre </w:t>
      </w:r>
      <w:r w:rsidR="00C1284B">
        <w:t>2020</w:t>
      </w:r>
      <w:r>
        <w:t xml:space="preserve">, les actifs immobilisés </w:t>
      </w:r>
      <w:r w:rsidRPr="000C4AB4">
        <w:t xml:space="preserve">s’élèvent à </w:t>
      </w:r>
      <w:r w:rsidR="000C4AB4" w:rsidRPr="000C4AB4">
        <w:t xml:space="preserve">6.332 </w:t>
      </w:r>
      <w:r w:rsidR="003656A7" w:rsidRPr="000C4AB4">
        <w:t>K€ contre</w:t>
      </w:r>
      <w:r w:rsidR="003656A7">
        <w:t xml:space="preserve"> </w:t>
      </w:r>
      <w:r w:rsidR="00C1284B">
        <w:t>5.828</w:t>
      </w:r>
      <w:r>
        <w:t xml:space="preserve"> </w:t>
      </w:r>
      <w:r w:rsidR="003656A7">
        <w:t>K</w:t>
      </w:r>
      <w:r>
        <w:t xml:space="preserve">€ au 31 décembre </w:t>
      </w:r>
      <w:r w:rsidR="00C1284B">
        <w:t>2019</w:t>
      </w:r>
      <w:r>
        <w:t>.</w:t>
      </w:r>
    </w:p>
    <w:p w14:paraId="612B5A0B" w14:textId="77777777" w:rsidR="00610091" w:rsidRDefault="00610091" w:rsidP="00610091">
      <w:pPr>
        <w:tabs>
          <w:tab w:val="left" w:pos="1125"/>
        </w:tabs>
      </w:pPr>
    </w:p>
    <w:p w14:paraId="0FE065DA" w14:textId="63634859" w:rsidR="000C4AB4" w:rsidRDefault="0032072A" w:rsidP="00610091">
      <w:pPr>
        <w:tabs>
          <w:tab w:val="left" w:pos="1125"/>
        </w:tabs>
      </w:pPr>
      <w:r>
        <w:rPr>
          <w:noProof/>
        </w:rPr>
        <w:drawing>
          <wp:inline distT="0" distB="0" distL="0" distR="0" wp14:anchorId="0254F2BF" wp14:editId="4965D9D9">
            <wp:extent cx="5249545" cy="4038600"/>
            <wp:effectExtent l="0" t="0" r="8255" b="0"/>
            <wp:docPr id="8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249545" cy="4038600"/>
                    </a:xfrm>
                    <a:prstGeom prst="rect">
                      <a:avLst/>
                    </a:prstGeom>
                    <a:noFill/>
                    <a:ln>
                      <a:noFill/>
                    </a:ln>
                  </pic:spPr>
                </pic:pic>
              </a:graphicData>
            </a:graphic>
          </wp:inline>
        </w:drawing>
      </w:r>
    </w:p>
    <w:p w14:paraId="2EB013A5" w14:textId="77777777" w:rsidR="000C4AB4" w:rsidRDefault="000C4AB4" w:rsidP="00610091">
      <w:pPr>
        <w:tabs>
          <w:tab w:val="left" w:pos="1125"/>
        </w:tabs>
      </w:pPr>
    </w:p>
    <w:p w14:paraId="2765F2B6" w14:textId="2075BCB2" w:rsidR="003E7DBE" w:rsidRDefault="003E7DBE" w:rsidP="003E7DBE">
      <w:pPr>
        <w:tabs>
          <w:tab w:val="left" w:pos="1125"/>
        </w:tabs>
        <w:rPr>
          <w:b/>
        </w:rPr>
      </w:pPr>
      <w:r w:rsidRPr="003E7DBE">
        <w:rPr>
          <w:b/>
        </w:rPr>
        <w:t>Immobilisations incorporelles :</w:t>
      </w:r>
    </w:p>
    <w:p w14:paraId="5FD4C730" w14:textId="77777777" w:rsidR="003E7DBE" w:rsidRPr="003E7DBE" w:rsidRDefault="003E7DBE" w:rsidP="003E7DBE">
      <w:pPr>
        <w:tabs>
          <w:tab w:val="left" w:pos="1125"/>
        </w:tabs>
        <w:rPr>
          <w:b/>
        </w:rPr>
      </w:pPr>
    </w:p>
    <w:p w14:paraId="11B9C6BA" w14:textId="3D849528" w:rsidR="00676F75" w:rsidRPr="00676F75" w:rsidRDefault="00676F75" w:rsidP="00676F75">
      <w:pPr>
        <w:tabs>
          <w:tab w:val="left" w:pos="1125"/>
        </w:tabs>
      </w:pPr>
      <w:r w:rsidRPr="00676F75">
        <w:t xml:space="preserve">Les frais d’homologations </w:t>
      </w:r>
      <w:r w:rsidR="00041AB8">
        <w:t>(9 K€ au 31 décembre 2020 contre 24 K€ au 31 décembre 2019) correspondent au</w:t>
      </w:r>
      <w:r w:rsidRPr="00676F75">
        <w:t xml:space="preserve"> coût supporté par le </w:t>
      </w:r>
      <w:r w:rsidR="00041AB8">
        <w:t>G</w:t>
      </w:r>
      <w:r w:rsidRPr="00676F75">
        <w:t>roupe pour acquérir des autorisations de commercialisation déjà existantes et ainsi éviter le coût de montage du dossier.</w:t>
      </w:r>
    </w:p>
    <w:p w14:paraId="4DEDA578" w14:textId="59341FC0" w:rsidR="0010477F" w:rsidRPr="00494965" w:rsidRDefault="00494965" w:rsidP="00676F75">
      <w:r w:rsidRPr="00494965">
        <w:t>La progression des i</w:t>
      </w:r>
      <w:r w:rsidR="0010477F" w:rsidRPr="00494965">
        <w:t>mmobilisations en cou</w:t>
      </w:r>
      <w:r w:rsidRPr="00494965">
        <w:t>r</w:t>
      </w:r>
      <w:r w:rsidR="0010477F" w:rsidRPr="00494965">
        <w:t xml:space="preserve">s et avances </w:t>
      </w:r>
      <w:r w:rsidR="006F09A3" w:rsidRPr="00494965">
        <w:t>(</w:t>
      </w:r>
      <w:r w:rsidR="006F09A3">
        <w:t xml:space="preserve">1.241 K€ au 31 décembre 2020 contre 358 K€ au 31 décembre 2019 : </w:t>
      </w:r>
      <w:r w:rsidR="006F09A3" w:rsidRPr="00494965">
        <w:t xml:space="preserve">+ 247 %) </w:t>
      </w:r>
      <w:r w:rsidRPr="00494965">
        <w:t>est</w:t>
      </w:r>
      <w:r w:rsidR="0010477F" w:rsidRPr="00494965">
        <w:t xml:space="preserve"> </w:t>
      </w:r>
      <w:r w:rsidRPr="00494965">
        <w:t xml:space="preserve">directement </w:t>
      </w:r>
      <w:r w:rsidR="0010477F" w:rsidRPr="00494965">
        <w:t>lié</w:t>
      </w:r>
      <w:r w:rsidRPr="00494965">
        <w:t>e</w:t>
      </w:r>
      <w:r w:rsidR="0010477F" w:rsidRPr="00494965">
        <w:t xml:space="preserve"> à l’activation des frais </w:t>
      </w:r>
      <w:r w:rsidR="004B7C45">
        <w:t xml:space="preserve">de développement </w:t>
      </w:r>
      <w:r w:rsidR="006F09A3" w:rsidRPr="00494965">
        <w:t xml:space="preserve">depuis mi 2019 </w:t>
      </w:r>
      <w:r w:rsidRPr="00494965">
        <w:t xml:space="preserve">(902 K€ au </w:t>
      </w:r>
      <w:r w:rsidR="006F09A3">
        <w:t xml:space="preserve">titre de l’exercice clos le </w:t>
      </w:r>
      <w:r w:rsidRPr="00494965">
        <w:t>31 décembre 2020</w:t>
      </w:r>
      <w:r w:rsidR="00A1450B">
        <w:t xml:space="preserve"> et 348 K€ </w:t>
      </w:r>
      <w:r w:rsidR="00A1450B" w:rsidRPr="00494965">
        <w:t xml:space="preserve">au </w:t>
      </w:r>
      <w:r w:rsidR="00A1450B">
        <w:t xml:space="preserve">titre de l’exercice clos le </w:t>
      </w:r>
      <w:r w:rsidR="00A1450B" w:rsidRPr="00494965">
        <w:t xml:space="preserve">31 décembre </w:t>
      </w:r>
      <w:r w:rsidR="00A1450B">
        <w:t>2019</w:t>
      </w:r>
      <w:r w:rsidRPr="00494965">
        <w:t xml:space="preserve">), dans la mesure où les projets concernés </w:t>
      </w:r>
      <w:r w:rsidR="0010477F" w:rsidRPr="00494965">
        <w:t xml:space="preserve">ne sont pas finalisés et </w:t>
      </w:r>
      <w:r w:rsidRPr="00494965">
        <w:t>qu’</w:t>
      </w:r>
      <w:r w:rsidR="0010477F" w:rsidRPr="00494965">
        <w:t xml:space="preserve">aucun amortissement n’a été effectué </w:t>
      </w:r>
      <w:r w:rsidRPr="00494965">
        <w:t xml:space="preserve">en 2020 (les amortissements </w:t>
      </w:r>
      <w:r w:rsidR="004B7C45" w:rsidRPr="00494965">
        <w:t>débute</w:t>
      </w:r>
      <w:r w:rsidR="004B7C45">
        <w:t>ront</w:t>
      </w:r>
      <w:r w:rsidR="004B7C45" w:rsidRPr="00494965">
        <w:t xml:space="preserve"> </w:t>
      </w:r>
      <w:r w:rsidRPr="00494965">
        <w:t xml:space="preserve">en </w:t>
      </w:r>
      <w:r w:rsidR="0010477F" w:rsidRPr="00494965">
        <w:t>2021)</w:t>
      </w:r>
      <w:r w:rsidRPr="00494965">
        <w:t>.</w:t>
      </w:r>
    </w:p>
    <w:p w14:paraId="5D49ACCF" w14:textId="77777777" w:rsidR="00C1284B" w:rsidRPr="00494965" w:rsidRDefault="00C1284B" w:rsidP="003E7DBE"/>
    <w:p w14:paraId="29AE428B" w14:textId="77777777" w:rsidR="003E7DBE" w:rsidRPr="003E7DBE" w:rsidRDefault="003E7DBE" w:rsidP="003E7DBE">
      <w:pPr>
        <w:tabs>
          <w:tab w:val="left" w:pos="1125"/>
        </w:tabs>
        <w:rPr>
          <w:b/>
        </w:rPr>
      </w:pPr>
      <w:r w:rsidRPr="003E7DBE">
        <w:rPr>
          <w:b/>
        </w:rPr>
        <w:t>Immobilisations corporelles :</w:t>
      </w:r>
    </w:p>
    <w:p w14:paraId="5D07B7BE" w14:textId="77777777" w:rsidR="003E7DBE" w:rsidRPr="00A1450B" w:rsidRDefault="003E7DBE" w:rsidP="003E7DBE"/>
    <w:p w14:paraId="775816A9" w14:textId="1B02C746" w:rsidR="00B66286" w:rsidRPr="00A1450B" w:rsidRDefault="00676F75" w:rsidP="00676F75">
      <w:pPr>
        <w:tabs>
          <w:tab w:val="left" w:pos="1125"/>
        </w:tabs>
      </w:pPr>
      <w:r w:rsidRPr="00676F75">
        <w:t xml:space="preserve">Les installations techniques </w:t>
      </w:r>
      <w:r w:rsidR="00041AB8">
        <w:t>(497 K€ au 31 décembre 2020 contre 821 K€ au 31 décembre 2019</w:t>
      </w:r>
      <w:r w:rsidR="00A1450B">
        <w:t xml:space="preserve">) </w:t>
      </w:r>
      <w:r w:rsidRPr="00676F75">
        <w:t>correspondent principalement à des kits d’instruments mis en dépôt ou en prêt chez les clients</w:t>
      </w:r>
      <w:r w:rsidRPr="00A1450B">
        <w:t>.</w:t>
      </w:r>
      <w:r w:rsidR="0010477F" w:rsidRPr="00A1450B">
        <w:t xml:space="preserve"> </w:t>
      </w:r>
      <w:r w:rsidR="00A1450B" w:rsidRPr="00A1450B">
        <w:t>Leur diminution (</w:t>
      </w:r>
      <w:r w:rsidR="00A1450B">
        <w:t xml:space="preserve">- 39 % entre le 31 décembre 2019 et le 31 décembre 2020) est liée à la nouvelle politique commerciale du Groupe qui consiste </w:t>
      </w:r>
      <w:r w:rsidR="00A160A6" w:rsidRPr="00A1450B">
        <w:t xml:space="preserve">désormais </w:t>
      </w:r>
      <w:r w:rsidR="00A1450B">
        <w:t xml:space="preserve">à </w:t>
      </w:r>
      <w:r w:rsidR="00A160A6">
        <w:t>limiter les</w:t>
      </w:r>
      <w:r w:rsidR="00A1450B" w:rsidRPr="00A1450B">
        <w:t xml:space="preserve"> kits d’instruments mis à disposition des clients combinée à l’échéance progressive de </w:t>
      </w:r>
      <w:r w:rsidR="00A160A6">
        <w:t>l’</w:t>
      </w:r>
      <w:r w:rsidR="00A1450B" w:rsidRPr="00A1450B">
        <w:t xml:space="preserve">amortissement des </w:t>
      </w:r>
      <w:r w:rsidR="00A1450B" w:rsidRPr="00676F75">
        <w:t>kits d’instruments</w:t>
      </w:r>
      <w:r w:rsidR="00A1450B">
        <w:t>.</w:t>
      </w:r>
    </w:p>
    <w:p w14:paraId="78EB86C0" w14:textId="77777777" w:rsidR="00C1284B" w:rsidRPr="003E7DBE" w:rsidRDefault="00C1284B" w:rsidP="00610091">
      <w:pPr>
        <w:tabs>
          <w:tab w:val="left" w:pos="1125"/>
        </w:tabs>
        <w:rPr>
          <w:color w:val="FF0000"/>
        </w:rPr>
      </w:pPr>
    </w:p>
    <w:p w14:paraId="089D616F" w14:textId="77777777" w:rsidR="00D80456" w:rsidRDefault="00D80456" w:rsidP="00610091">
      <w:pPr>
        <w:tabs>
          <w:tab w:val="left" w:pos="1125"/>
        </w:tabs>
        <w:rPr>
          <w:b/>
        </w:rPr>
      </w:pPr>
    </w:p>
    <w:p w14:paraId="6D5407ED" w14:textId="77777777" w:rsidR="000C0913" w:rsidRDefault="000C0913" w:rsidP="00610091">
      <w:pPr>
        <w:tabs>
          <w:tab w:val="left" w:pos="1125"/>
        </w:tabs>
        <w:rPr>
          <w:b/>
        </w:rPr>
      </w:pPr>
      <w:r w:rsidRPr="003E7DBE">
        <w:rPr>
          <w:b/>
        </w:rPr>
        <w:lastRenderedPageBreak/>
        <w:t>Immobilisations financières :</w:t>
      </w:r>
    </w:p>
    <w:p w14:paraId="76E54D72" w14:textId="77777777" w:rsidR="003E7DBE" w:rsidRDefault="003E7DBE" w:rsidP="00610091">
      <w:pPr>
        <w:tabs>
          <w:tab w:val="left" w:pos="1125"/>
        </w:tabs>
        <w:rPr>
          <w:b/>
        </w:rPr>
      </w:pPr>
    </w:p>
    <w:p w14:paraId="5F2BE4AD" w14:textId="3FB2DD6B" w:rsidR="000C4AB4" w:rsidRDefault="000C4AB4" w:rsidP="00676F75">
      <w:pPr>
        <w:tabs>
          <w:tab w:val="left" w:pos="1125"/>
        </w:tabs>
      </w:pPr>
      <w:r w:rsidRPr="00676F75">
        <w:t xml:space="preserve">Les titres de participations non consolidés </w:t>
      </w:r>
      <w:r w:rsidR="00041AB8">
        <w:t xml:space="preserve">(4.420 K€ au 31 décembre 2020 et 2019) </w:t>
      </w:r>
      <w:r w:rsidRPr="00676F75">
        <w:t>correspondent à une participation minoritaire d’I</w:t>
      </w:r>
      <w:r w:rsidR="00E02949">
        <w:t>ntegral</w:t>
      </w:r>
      <w:r w:rsidRPr="00676F75">
        <w:t xml:space="preserve"> M</w:t>
      </w:r>
      <w:r w:rsidR="00E02949">
        <w:t>edical</w:t>
      </w:r>
      <w:r w:rsidRPr="00676F75">
        <w:t xml:space="preserve"> S</w:t>
      </w:r>
      <w:r w:rsidR="00E02949">
        <w:t>olutions</w:t>
      </w:r>
      <w:r w:rsidRPr="00676F75">
        <w:t xml:space="preserve"> (IMS), société holding de tête d’un groupe de sociétés dans le secteur de la santé fortement investi dans la gestion d’hôpitaux en Amérique </w:t>
      </w:r>
      <w:r w:rsidR="00A54FC0">
        <w:t>l</w:t>
      </w:r>
      <w:r w:rsidR="00A54FC0" w:rsidRPr="00676F75">
        <w:t xml:space="preserve">atine </w:t>
      </w:r>
      <w:r w:rsidRPr="00676F75">
        <w:t>et en Afrique.</w:t>
      </w:r>
    </w:p>
    <w:p w14:paraId="60D4CA2D" w14:textId="334065FA" w:rsidR="000C7345" w:rsidRPr="00FA76DA" w:rsidRDefault="54FDD3F0" w:rsidP="00676F75">
      <w:pPr>
        <w:tabs>
          <w:tab w:val="left" w:pos="1125"/>
        </w:tabs>
      </w:pPr>
      <w:r>
        <w:t xml:space="preserve">Des difficultés de mise en œuvre du versant opérationnel ont conduit la </w:t>
      </w:r>
      <w:r w:rsidR="00FA76DA">
        <w:t>S</w:t>
      </w:r>
      <w:r>
        <w:t>ociété à négocier</w:t>
      </w:r>
      <w:r w:rsidR="00FA76DA">
        <w:t>,</w:t>
      </w:r>
      <w:r>
        <w:t xml:space="preserve"> </w:t>
      </w:r>
      <w:r w:rsidR="00FA76DA">
        <w:t>avec</w:t>
      </w:r>
      <w:r>
        <w:t xml:space="preserve"> IMS</w:t>
      </w:r>
      <w:r w:rsidR="00FA76DA">
        <w:t>,</w:t>
      </w:r>
      <w:r>
        <w:t xml:space="preserve"> l’issue de cette participation en accord avec une clause résolutoire du contrat. Une procédure a ainsi été initiée devant le tribunal arbitral de Genève. </w:t>
      </w:r>
      <w:r w:rsidR="00FA76DA">
        <w:t>Cf. paragraphe « </w:t>
      </w:r>
      <w:r w:rsidR="000C7345" w:rsidRPr="000C7345">
        <w:rPr>
          <w:color w:val="FF0000"/>
        </w:rPr>
        <w:fldChar w:fldCharType="begin"/>
      </w:r>
      <w:r w:rsidR="000C7345" w:rsidRPr="000C7345">
        <w:rPr>
          <w:color w:val="FF0000"/>
        </w:rPr>
        <w:instrText xml:space="preserve"> REF _Ref472870864 \h </w:instrText>
      </w:r>
      <w:r w:rsidR="000C7345" w:rsidRPr="000C7345">
        <w:rPr>
          <w:color w:val="FF0000"/>
        </w:rPr>
      </w:r>
      <w:r w:rsidR="000C7345" w:rsidRPr="000C7345">
        <w:rPr>
          <w:color w:val="FF0000"/>
        </w:rPr>
        <w:fldChar w:fldCharType="separate"/>
      </w:r>
      <w:r w:rsidR="003A0AD1">
        <w:t xml:space="preserve">18.6 Procédures judiciaires et d’arbitrage </w:t>
      </w:r>
      <w:r w:rsidR="000C7345" w:rsidRPr="000C7345">
        <w:rPr>
          <w:color w:val="FF0000"/>
        </w:rPr>
        <w:fldChar w:fldCharType="end"/>
      </w:r>
      <w:r w:rsidR="00490F6A">
        <w:t>»</w:t>
      </w:r>
      <w:r w:rsidR="00A54FC0">
        <w:t> </w:t>
      </w:r>
      <w:r w:rsidR="00FA76DA">
        <w:t>du Document d’enregistrement universel.</w:t>
      </w:r>
    </w:p>
    <w:p w14:paraId="317A30B6" w14:textId="77777777" w:rsidR="001C309A" w:rsidRDefault="001C309A" w:rsidP="00610091">
      <w:pPr>
        <w:tabs>
          <w:tab w:val="left" w:pos="1125"/>
        </w:tabs>
      </w:pPr>
    </w:p>
    <w:p w14:paraId="086D800E" w14:textId="5D942DD9" w:rsidR="0026422D" w:rsidRDefault="00610091" w:rsidP="00C622C2">
      <w:pPr>
        <w:pStyle w:val="Paragraphedeliste"/>
        <w:numPr>
          <w:ilvl w:val="0"/>
          <w:numId w:val="5"/>
        </w:numPr>
        <w:tabs>
          <w:tab w:val="left" w:pos="1125"/>
        </w:tabs>
        <w:spacing w:after="160" w:line="259" w:lineRule="auto"/>
        <w:rPr>
          <w:b/>
        </w:rPr>
      </w:pPr>
      <w:r w:rsidRPr="00A34FD3">
        <w:rPr>
          <w:b/>
        </w:rPr>
        <w:t xml:space="preserve">Actifs </w:t>
      </w:r>
      <w:r w:rsidR="001A599D">
        <w:rPr>
          <w:b/>
        </w:rPr>
        <w:t>circulants</w:t>
      </w:r>
    </w:p>
    <w:p w14:paraId="2F62157B" w14:textId="029A2BAD" w:rsidR="0026422D" w:rsidRDefault="0026422D" w:rsidP="0026422D">
      <w:pPr>
        <w:tabs>
          <w:tab w:val="left" w:pos="1125"/>
        </w:tabs>
      </w:pPr>
      <w:r>
        <w:t>Au 31 décembre 20</w:t>
      </w:r>
      <w:r w:rsidR="00C1284B">
        <w:t>20</w:t>
      </w:r>
      <w:r>
        <w:t xml:space="preserve">, les actifs circulants s’élèvent à </w:t>
      </w:r>
      <w:r w:rsidR="000C4AB4" w:rsidRPr="000C4AB4">
        <w:t>8.3</w:t>
      </w:r>
      <w:r w:rsidR="00D80456">
        <w:t>09</w:t>
      </w:r>
      <w:r w:rsidR="000C4AB4" w:rsidRPr="000C4AB4">
        <w:t xml:space="preserve"> </w:t>
      </w:r>
      <w:r w:rsidR="00D24545" w:rsidRPr="000C4AB4">
        <w:t>K</w:t>
      </w:r>
      <w:r w:rsidRPr="000C4AB4">
        <w:t xml:space="preserve">€ contre </w:t>
      </w:r>
      <w:r w:rsidR="00C1284B" w:rsidRPr="000C4AB4">
        <w:t>6.820</w:t>
      </w:r>
      <w:r w:rsidR="00D24545">
        <w:t xml:space="preserve"> K</w:t>
      </w:r>
      <w:r>
        <w:t>€ au 31 décemb</w:t>
      </w:r>
      <w:r w:rsidR="00C1284B">
        <w:t>re 2019</w:t>
      </w:r>
      <w:r>
        <w:t>.</w:t>
      </w:r>
    </w:p>
    <w:p w14:paraId="35A88DC6" w14:textId="77777777" w:rsidR="0026422D" w:rsidRPr="0026422D" w:rsidRDefault="0026422D" w:rsidP="0026422D">
      <w:pPr>
        <w:tabs>
          <w:tab w:val="left" w:pos="1125"/>
        </w:tabs>
      </w:pPr>
    </w:p>
    <w:p w14:paraId="0C0278B0" w14:textId="0B969770" w:rsidR="002A47AD" w:rsidRDefault="00D80456">
      <w:pPr>
        <w:jc w:val="left"/>
        <w:rPr>
          <w:color w:val="FF0000"/>
        </w:rPr>
      </w:pPr>
      <w:r>
        <w:rPr>
          <w:noProof/>
          <w:color w:val="FF0000"/>
        </w:rPr>
        <w:drawing>
          <wp:inline distT="0" distB="0" distL="0" distR="0" wp14:anchorId="6920F254" wp14:editId="4D6A8C56">
            <wp:extent cx="5249545" cy="2413000"/>
            <wp:effectExtent l="0" t="0" r="8255" b="0"/>
            <wp:docPr id="556"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249545" cy="2413000"/>
                    </a:xfrm>
                    <a:prstGeom prst="rect">
                      <a:avLst/>
                    </a:prstGeom>
                    <a:noFill/>
                    <a:ln>
                      <a:noFill/>
                    </a:ln>
                  </pic:spPr>
                </pic:pic>
              </a:graphicData>
            </a:graphic>
          </wp:inline>
        </w:drawing>
      </w:r>
    </w:p>
    <w:p w14:paraId="020E01AF" w14:textId="77777777" w:rsidR="002A47AD" w:rsidRDefault="002A47AD">
      <w:pPr>
        <w:jc w:val="left"/>
        <w:rPr>
          <w:color w:val="FF0000"/>
        </w:rPr>
      </w:pPr>
    </w:p>
    <w:p w14:paraId="14AAAD1C" w14:textId="018218DB" w:rsidR="002A47AD" w:rsidRDefault="002A47AD" w:rsidP="002A47AD">
      <w:pPr>
        <w:tabs>
          <w:tab w:val="left" w:pos="1125"/>
        </w:tabs>
      </w:pPr>
      <w:r w:rsidRPr="002A47AD">
        <w:t>Les stocks correspond</w:t>
      </w:r>
      <w:r>
        <w:t>ent</w:t>
      </w:r>
      <w:r w:rsidRPr="002A47AD">
        <w:t xml:space="preserve"> à des marchandises prêtes à être vendues. </w:t>
      </w:r>
    </w:p>
    <w:p w14:paraId="509453FF" w14:textId="77777777" w:rsidR="000C7345" w:rsidRPr="002A47AD" w:rsidRDefault="000C7345" w:rsidP="002A47AD">
      <w:pPr>
        <w:tabs>
          <w:tab w:val="left" w:pos="1125"/>
        </w:tabs>
      </w:pPr>
    </w:p>
    <w:p w14:paraId="72BFCD08" w14:textId="3B405987" w:rsidR="002A47AD" w:rsidRDefault="002A47AD" w:rsidP="002A47AD">
      <w:pPr>
        <w:tabs>
          <w:tab w:val="left" w:pos="1125"/>
        </w:tabs>
      </w:pPr>
      <w:r w:rsidRPr="002A47AD">
        <w:t xml:space="preserve">La provision pour dépréciation </w:t>
      </w:r>
      <w:r>
        <w:t xml:space="preserve">(950 K€ au 31 décembre 2020 contre 1.318 K€ au 31 décembre 2019) </w:t>
      </w:r>
      <w:r w:rsidRPr="002A47AD">
        <w:t xml:space="preserve">concerne </w:t>
      </w:r>
      <w:r>
        <w:t>des</w:t>
      </w:r>
      <w:r w:rsidRPr="002A47AD">
        <w:t xml:space="preserve"> lots de produits arrivés en fin de péremption, obsolètes, devant</w:t>
      </w:r>
      <w:r>
        <w:t xml:space="preserve"> </w:t>
      </w:r>
      <w:r w:rsidRPr="002A47AD">
        <w:t>être mis au rebut ou dont le numéro de marquage CE ne permet plus d’envisager une commercialisation. Elle concerne également des dépréciations pour rotation lente.</w:t>
      </w:r>
    </w:p>
    <w:p w14:paraId="38EBD097" w14:textId="77777777" w:rsidR="008201A6" w:rsidRDefault="008201A6" w:rsidP="002A47AD">
      <w:pPr>
        <w:tabs>
          <w:tab w:val="left" w:pos="1125"/>
        </w:tabs>
      </w:pPr>
    </w:p>
    <w:p w14:paraId="0773961E" w14:textId="77777777" w:rsidR="008201A6" w:rsidRDefault="008201A6" w:rsidP="008201A6">
      <w:r w:rsidRPr="008201A6">
        <w:t xml:space="preserve">Les utilisateurs finaux des produits du Groupe sont des hôpitaux et cliniques </w:t>
      </w:r>
      <w:r>
        <w:t>dont les</w:t>
      </w:r>
      <w:r w:rsidRPr="008201A6">
        <w:t xml:space="preserve"> délais de paiements </w:t>
      </w:r>
      <w:r>
        <w:t xml:space="preserve">sont </w:t>
      </w:r>
      <w:r w:rsidRPr="008201A6">
        <w:t xml:space="preserve">particulièrement longs, notamment dans certains pays. Ceci est la raison du volume de l'en-cours clients. </w:t>
      </w:r>
    </w:p>
    <w:p w14:paraId="0372AB2F" w14:textId="3D2BAE24" w:rsidR="008201A6" w:rsidRPr="008201A6" w:rsidRDefault="008201A6" w:rsidP="008201A6">
      <w:r w:rsidRPr="008201A6">
        <w:t xml:space="preserve">En 2020, la </w:t>
      </w:r>
      <w:r>
        <w:t>S</w:t>
      </w:r>
      <w:r w:rsidRPr="008201A6">
        <w:t xml:space="preserve">ociété a classé en clients douteux la créance d'un distributeur pour 10 </w:t>
      </w:r>
      <w:r>
        <w:t xml:space="preserve">K€ </w:t>
      </w:r>
      <w:r w:rsidRPr="008201A6">
        <w:t xml:space="preserve">et passé en perte des créances provisionnées les années précédentes pour 146 </w:t>
      </w:r>
      <w:r>
        <w:t>K€</w:t>
      </w:r>
      <w:r w:rsidRPr="008201A6">
        <w:t xml:space="preserve">. Le montant total des clients douteux au 31 décembre 2020 s'élève à 241 </w:t>
      </w:r>
      <w:r>
        <w:t>K€ et est</w:t>
      </w:r>
      <w:r w:rsidRPr="008201A6">
        <w:t xml:space="preserve"> entièrement déprécié. </w:t>
      </w:r>
    </w:p>
    <w:p w14:paraId="28EF5B89" w14:textId="77777777" w:rsidR="00C1284B" w:rsidRDefault="00C1284B">
      <w:pPr>
        <w:jc w:val="left"/>
        <w:rPr>
          <w:b/>
          <w:u w:val="single"/>
        </w:rPr>
      </w:pPr>
    </w:p>
    <w:p w14:paraId="6CC2708A" w14:textId="7DA583C9" w:rsidR="000C7345" w:rsidRDefault="00557D39" w:rsidP="000C7345">
      <w:pPr>
        <w:tabs>
          <w:tab w:val="left" w:pos="1125"/>
        </w:tabs>
      </w:pPr>
      <w:r>
        <w:t>Les disponibilités ont progressé de 89</w:t>
      </w:r>
      <w:r w:rsidR="00E02949">
        <w:t xml:space="preserve"> </w:t>
      </w:r>
      <w:r>
        <w:t xml:space="preserve">% (4.857 K€ au 31 décembre 2020 contre 2.575 K€ au 31 décembre 2019) : </w:t>
      </w:r>
      <w:r w:rsidRPr="000C7345">
        <w:t xml:space="preserve">ce solde excédentaire de trésorerie provient des augmentations du capital liées à la conversion des </w:t>
      </w:r>
      <w:r w:rsidR="000C7345" w:rsidRPr="000C7345">
        <w:t>obligations convertibles</w:t>
      </w:r>
      <w:r w:rsidRPr="000C7345">
        <w:t>, du solde d’emprunt obligataire non converti et de l’obtention des PGE.</w:t>
      </w:r>
      <w:r w:rsidR="000C7345" w:rsidRPr="000C7345">
        <w:t xml:space="preserve"> </w:t>
      </w:r>
    </w:p>
    <w:p w14:paraId="3E63EA6F" w14:textId="36FACC32" w:rsidR="000C7345" w:rsidRPr="000C7345" w:rsidRDefault="000C7345" w:rsidP="000C7345">
      <w:pPr>
        <w:tabs>
          <w:tab w:val="left" w:pos="1125"/>
        </w:tabs>
      </w:pPr>
      <w:r w:rsidRPr="000C7345">
        <w:t>Cf. paragraphe « </w:t>
      </w:r>
      <w:r w:rsidRPr="000C7345">
        <w:fldChar w:fldCharType="begin"/>
      </w:r>
      <w:r w:rsidRPr="000C7345">
        <w:instrText xml:space="preserve"> REF _Ref370385719 \h </w:instrText>
      </w:r>
      <w:r w:rsidRPr="000C7345">
        <w:fldChar w:fldCharType="separate"/>
      </w:r>
      <w:r w:rsidR="003A0AD1">
        <w:t xml:space="preserve">8.1 </w:t>
      </w:r>
      <w:r w:rsidR="003A0AD1" w:rsidRPr="00050AF3">
        <w:t>Informations sur les capitaux, liquidités et sources de financement du Groupe</w:t>
      </w:r>
      <w:r w:rsidRPr="000C7345">
        <w:fldChar w:fldCharType="end"/>
      </w:r>
      <w:r w:rsidRPr="000C7345">
        <w:t xml:space="preserve"> » du Document d’enregistrement Universel. </w:t>
      </w:r>
    </w:p>
    <w:p w14:paraId="43218373" w14:textId="77777777" w:rsidR="00557D39" w:rsidRDefault="00557D39">
      <w:pPr>
        <w:jc w:val="left"/>
        <w:rPr>
          <w:b/>
          <w:u w:val="single"/>
        </w:rPr>
      </w:pPr>
    </w:p>
    <w:p w14:paraId="01975BC8" w14:textId="77777777" w:rsidR="00C1284B" w:rsidRDefault="00C1284B">
      <w:pPr>
        <w:jc w:val="left"/>
        <w:rPr>
          <w:b/>
          <w:u w:val="single"/>
        </w:rPr>
      </w:pPr>
    </w:p>
    <w:p w14:paraId="50EC0661" w14:textId="77777777" w:rsidR="00557D39" w:rsidRDefault="00557D39">
      <w:pPr>
        <w:jc w:val="left"/>
        <w:rPr>
          <w:b/>
          <w:u w:val="single"/>
        </w:rPr>
      </w:pPr>
    </w:p>
    <w:p w14:paraId="6DE2B44B" w14:textId="77777777" w:rsidR="000C7345" w:rsidRDefault="000C7345">
      <w:pPr>
        <w:jc w:val="left"/>
        <w:rPr>
          <w:b/>
          <w:u w:val="single"/>
        </w:rPr>
      </w:pPr>
      <w:r>
        <w:rPr>
          <w:b/>
          <w:u w:val="single"/>
        </w:rPr>
        <w:br w:type="page"/>
      </w:r>
    </w:p>
    <w:p w14:paraId="6A6A9C47" w14:textId="73004EFA" w:rsidR="00610091" w:rsidRDefault="00132FB9" w:rsidP="00610091">
      <w:pPr>
        <w:tabs>
          <w:tab w:val="left" w:pos="1125"/>
        </w:tabs>
        <w:rPr>
          <w:b/>
          <w:u w:val="single"/>
        </w:rPr>
      </w:pPr>
      <w:r>
        <w:rPr>
          <w:b/>
          <w:u w:val="single"/>
        </w:rPr>
        <w:lastRenderedPageBreak/>
        <w:t>7</w:t>
      </w:r>
      <w:r w:rsidR="00610091" w:rsidRPr="006E58F4">
        <w:rPr>
          <w:b/>
          <w:u w:val="single"/>
        </w:rPr>
        <w:t>.</w:t>
      </w:r>
      <w:r w:rsidR="00B21BD4">
        <w:rPr>
          <w:b/>
          <w:u w:val="single"/>
        </w:rPr>
        <w:t>2</w:t>
      </w:r>
      <w:r w:rsidR="00610091" w:rsidRPr="006E58F4">
        <w:rPr>
          <w:b/>
          <w:u w:val="single"/>
        </w:rPr>
        <w:t>.2.</w:t>
      </w:r>
      <w:r w:rsidR="00F210C6">
        <w:rPr>
          <w:b/>
          <w:u w:val="single"/>
        </w:rPr>
        <w:t>2</w:t>
      </w:r>
      <w:r w:rsidR="00610091" w:rsidRPr="006E58F4">
        <w:rPr>
          <w:b/>
          <w:u w:val="single"/>
        </w:rPr>
        <w:t xml:space="preserve"> Eléments </w:t>
      </w:r>
      <w:r w:rsidR="00610091">
        <w:rPr>
          <w:b/>
          <w:u w:val="single"/>
        </w:rPr>
        <w:t>de passifs</w:t>
      </w:r>
    </w:p>
    <w:p w14:paraId="16FA310D" w14:textId="77777777" w:rsidR="00610091" w:rsidRDefault="00610091" w:rsidP="00610091">
      <w:pPr>
        <w:tabs>
          <w:tab w:val="left" w:pos="1125"/>
        </w:tabs>
        <w:rPr>
          <w:b/>
          <w:u w:val="single"/>
        </w:rPr>
      </w:pPr>
    </w:p>
    <w:p w14:paraId="32A82DB6" w14:textId="7F274CD2" w:rsidR="00610091" w:rsidRDefault="00610091" w:rsidP="00C622C2">
      <w:pPr>
        <w:pStyle w:val="Paragraphedeliste"/>
        <w:numPr>
          <w:ilvl w:val="0"/>
          <w:numId w:val="5"/>
        </w:numPr>
        <w:tabs>
          <w:tab w:val="left" w:pos="1125"/>
        </w:tabs>
        <w:spacing w:after="160" w:line="259" w:lineRule="auto"/>
        <w:rPr>
          <w:b/>
        </w:rPr>
      </w:pPr>
      <w:r w:rsidRPr="00E4700C">
        <w:rPr>
          <w:b/>
        </w:rPr>
        <w:t xml:space="preserve">Capitaux propres </w:t>
      </w:r>
    </w:p>
    <w:p w14:paraId="42995F1D" w14:textId="24B14A2E" w:rsidR="00966617" w:rsidRDefault="00966617" w:rsidP="00966617">
      <w:pPr>
        <w:tabs>
          <w:tab w:val="left" w:pos="1125"/>
        </w:tabs>
      </w:pPr>
      <w:r>
        <w:t xml:space="preserve">Au 31 décembre </w:t>
      </w:r>
      <w:r w:rsidR="00C1284B">
        <w:t>2020</w:t>
      </w:r>
      <w:r>
        <w:t>, les ca</w:t>
      </w:r>
      <w:r w:rsidR="003656A7">
        <w:t xml:space="preserve">pitaux propres </w:t>
      </w:r>
      <w:r w:rsidR="003656A7" w:rsidRPr="0025482B">
        <w:t xml:space="preserve">s’élèvent à </w:t>
      </w:r>
      <w:r w:rsidR="0025482B" w:rsidRPr="0025482B">
        <w:t>10.0</w:t>
      </w:r>
      <w:r w:rsidR="00B72BF3">
        <w:t>19</w:t>
      </w:r>
      <w:r w:rsidR="0025482B" w:rsidRPr="0025482B">
        <w:t xml:space="preserve"> </w:t>
      </w:r>
      <w:r w:rsidR="003656A7" w:rsidRPr="0025482B">
        <w:t xml:space="preserve">K€ contre </w:t>
      </w:r>
      <w:r w:rsidR="00C1284B" w:rsidRPr="0025482B">
        <w:t>6.49</w:t>
      </w:r>
      <w:r w:rsidR="00B72BF3">
        <w:t>3</w:t>
      </w:r>
      <w:r w:rsidR="0025482B" w:rsidRPr="0025482B">
        <w:t xml:space="preserve"> </w:t>
      </w:r>
      <w:r w:rsidR="003656A7" w:rsidRPr="0025482B">
        <w:t>K</w:t>
      </w:r>
      <w:r w:rsidRPr="0025482B">
        <w:t xml:space="preserve">€ au 31 décembre </w:t>
      </w:r>
      <w:r w:rsidR="00C1284B" w:rsidRPr="0025482B">
        <w:t>2019</w:t>
      </w:r>
      <w:r>
        <w:t>.</w:t>
      </w:r>
    </w:p>
    <w:p w14:paraId="176A9861" w14:textId="77777777" w:rsidR="00966617" w:rsidRDefault="00966617" w:rsidP="00966617">
      <w:pPr>
        <w:tabs>
          <w:tab w:val="left" w:pos="1125"/>
        </w:tabs>
      </w:pPr>
    </w:p>
    <w:p w14:paraId="4D1988B9" w14:textId="38F89E78" w:rsidR="0025482B" w:rsidRDefault="00853EBF" w:rsidP="00966617">
      <w:pPr>
        <w:tabs>
          <w:tab w:val="left" w:pos="1125"/>
        </w:tabs>
      </w:pPr>
      <w:r>
        <w:rPr>
          <w:noProof/>
        </w:rPr>
        <w:drawing>
          <wp:inline distT="0" distB="0" distL="0" distR="0" wp14:anchorId="1271778B" wp14:editId="7A8E1CED">
            <wp:extent cx="5249545" cy="1803400"/>
            <wp:effectExtent l="0" t="0" r="8255" b="0"/>
            <wp:docPr id="892276834" name="Imag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249545" cy="1803400"/>
                    </a:xfrm>
                    <a:prstGeom prst="rect">
                      <a:avLst/>
                    </a:prstGeom>
                    <a:noFill/>
                    <a:ln>
                      <a:noFill/>
                    </a:ln>
                  </pic:spPr>
                </pic:pic>
              </a:graphicData>
            </a:graphic>
          </wp:inline>
        </w:drawing>
      </w:r>
    </w:p>
    <w:p w14:paraId="679F0ADB" w14:textId="77777777" w:rsidR="0025482B" w:rsidRPr="00966617" w:rsidRDefault="0025482B" w:rsidP="00966617">
      <w:pPr>
        <w:tabs>
          <w:tab w:val="left" w:pos="1125"/>
        </w:tabs>
      </w:pPr>
    </w:p>
    <w:p w14:paraId="44D17C02" w14:textId="078EAC85" w:rsidR="00B7635C" w:rsidRDefault="54FDD3F0" w:rsidP="00B7635C">
      <w:r>
        <w:t>Au cours de l’exercice 2020, Spineway a augmenté son capital social d’un montant 17.365 K€ au titre de :</w:t>
      </w:r>
    </w:p>
    <w:p w14:paraId="69F8E42B" w14:textId="5C49BD53" w:rsidR="00B7635C" w:rsidRDefault="00A17F90" w:rsidP="00C622C2">
      <w:pPr>
        <w:pStyle w:val="Paragraphedeliste"/>
        <w:numPr>
          <w:ilvl w:val="0"/>
          <w:numId w:val="70"/>
        </w:numPr>
        <w:rPr>
          <w:rFonts w:eastAsiaTheme="majorEastAsia" w:cstheme="majorBidi"/>
          <w:szCs w:val="20"/>
        </w:rPr>
      </w:pPr>
      <w:r>
        <w:t>Diverses</w:t>
      </w:r>
      <w:r w:rsidR="54FDD3F0">
        <w:t xml:space="preserve"> augmentations de capital faisant suite à la conversion d’</w:t>
      </w:r>
      <w:r w:rsidR="00152D99">
        <w:t>o</w:t>
      </w:r>
      <w:r w:rsidR="54FDD3F0">
        <w:t xml:space="preserve">bligations </w:t>
      </w:r>
      <w:r w:rsidR="00152D99">
        <w:t>c</w:t>
      </w:r>
      <w:r w:rsidR="54FDD3F0">
        <w:t xml:space="preserve">onvertibles </w:t>
      </w:r>
      <w:r w:rsidR="00152D99">
        <w:t>en application</w:t>
      </w:r>
      <w:r w:rsidR="54FDD3F0">
        <w:t xml:space="preserve"> du contrat liant la société à Negma </w:t>
      </w:r>
      <w:r w:rsidR="00490F6A">
        <w:t xml:space="preserve">Group Ltd </w:t>
      </w:r>
      <w:r w:rsidR="54FDD3F0">
        <w:t>(Park Capital) pour un total de 12</w:t>
      </w:r>
      <w:r w:rsidR="00152D99">
        <w:t>.</w:t>
      </w:r>
      <w:r w:rsidR="54FDD3F0">
        <w:t xml:space="preserve">800 </w:t>
      </w:r>
      <w:r w:rsidR="00152D99">
        <w:t>K</w:t>
      </w:r>
      <w:r w:rsidR="54FDD3F0">
        <w:t>€ dont :</w:t>
      </w:r>
    </w:p>
    <w:p w14:paraId="36F1AF2D" w14:textId="63037D46" w:rsidR="00B7635C" w:rsidRPr="00152D99" w:rsidRDefault="00152D99" w:rsidP="00152D99">
      <w:pPr>
        <w:ind w:left="1069"/>
        <w:rPr>
          <w:szCs w:val="20"/>
        </w:rPr>
      </w:pPr>
      <w:r>
        <w:t>. 5.</w:t>
      </w:r>
      <w:r w:rsidR="54FDD3F0">
        <w:t xml:space="preserve">388 </w:t>
      </w:r>
      <w:r>
        <w:t>K</w:t>
      </w:r>
      <w:r w:rsidR="54FDD3F0">
        <w:t xml:space="preserve">€ </w:t>
      </w:r>
      <w:r>
        <w:t>par</w:t>
      </w:r>
      <w:r w:rsidR="54FDD3F0">
        <w:t xml:space="preserve"> apport en numérai</w:t>
      </w:r>
      <w:r>
        <w:t>re (3.</w:t>
      </w:r>
      <w:r w:rsidR="54FDD3F0">
        <w:t>388</w:t>
      </w:r>
      <w:r>
        <w:t xml:space="preserve"> K€ versés en 2020 et 2.000 K</w:t>
      </w:r>
      <w:r w:rsidR="54FDD3F0">
        <w:t>€ en 2019 au moment des levées de tranches d’obligations, obligations converties au fil de l’eau à compter de janvier 2020)</w:t>
      </w:r>
      <w:r w:rsidR="00A76DF0">
        <w:t xml:space="preserve"> </w:t>
      </w:r>
      <w:r w:rsidR="54FDD3F0">
        <w:t>;</w:t>
      </w:r>
    </w:p>
    <w:p w14:paraId="37564061" w14:textId="70DA7523" w:rsidR="00B7635C" w:rsidRPr="00152D99" w:rsidRDefault="00152D99" w:rsidP="00152D99">
      <w:pPr>
        <w:ind w:left="1069"/>
        <w:rPr>
          <w:rFonts w:eastAsiaTheme="majorEastAsia" w:cstheme="majorBidi"/>
          <w:szCs w:val="20"/>
        </w:rPr>
      </w:pPr>
      <w:r>
        <w:t xml:space="preserve">. </w:t>
      </w:r>
      <w:r w:rsidR="54FDD3F0">
        <w:t>7</w:t>
      </w:r>
      <w:r>
        <w:t>.</w:t>
      </w:r>
      <w:r w:rsidR="54FDD3F0">
        <w:t xml:space="preserve">413 </w:t>
      </w:r>
      <w:r>
        <w:t>K</w:t>
      </w:r>
      <w:r w:rsidR="54FDD3F0">
        <w:t>€ au titre de l’apurement d’une compensation issue de l’application de clauses contractuelles lorsque le cours de bourse est inférieur au nominal des actions.</w:t>
      </w:r>
    </w:p>
    <w:p w14:paraId="738A39E8" w14:textId="77777777" w:rsidR="00152D99" w:rsidRPr="00152D99" w:rsidRDefault="54FDD3F0" w:rsidP="00C622C2">
      <w:pPr>
        <w:pStyle w:val="Paragraphedeliste"/>
        <w:numPr>
          <w:ilvl w:val="0"/>
          <w:numId w:val="70"/>
        </w:numPr>
        <w:rPr>
          <w:szCs w:val="20"/>
        </w:rPr>
      </w:pPr>
      <w:r>
        <w:t xml:space="preserve">Une augmentation de capital </w:t>
      </w:r>
      <w:r w:rsidR="00152D99">
        <w:t>le 19 mai</w:t>
      </w:r>
      <w:r>
        <w:t xml:space="preserve"> 2020 </w:t>
      </w:r>
      <w:r w:rsidR="00152D99">
        <w:t>de 4.</w:t>
      </w:r>
      <w:r>
        <w:t xml:space="preserve">565 </w:t>
      </w:r>
      <w:r w:rsidR="00152D99">
        <w:t>K</w:t>
      </w:r>
      <w:r>
        <w:t>€ réservée à ce même partenaire financier et toujours en application de la clause de compensation. Les compensations peuvent en effet être apurées, selon choix à l’initiative de la société, soit par attribution d’</w:t>
      </w:r>
      <w:r w:rsidR="00152D99">
        <w:t>obligations convertibles</w:t>
      </w:r>
      <w:r>
        <w:t xml:space="preserve"> complémentaire</w:t>
      </w:r>
      <w:r w:rsidR="00152D99">
        <w:t>s</w:t>
      </w:r>
      <w:r>
        <w:t xml:space="preserve">, soit par augmentation de capital et émission d’actions nouvelles soit par un remboursement monétaire. </w:t>
      </w:r>
    </w:p>
    <w:p w14:paraId="0A47FE0F" w14:textId="7C460D27" w:rsidR="00B7635C" w:rsidRPr="00152D99" w:rsidRDefault="54FDD3F0" w:rsidP="00152D99">
      <w:pPr>
        <w:rPr>
          <w:szCs w:val="20"/>
        </w:rPr>
      </w:pPr>
      <w:r>
        <w:t xml:space="preserve">Le capital social est ainsi passé de </w:t>
      </w:r>
      <w:r w:rsidR="0038060C">
        <w:t>4.545.217</w:t>
      </w:r>
      <w:r>
        <w:t xml:space="preserve"> €</w:t>
      </w:r>
      <w:r w:rsidR="0038060C">
        <w:t xml:space="preserve"> au 31 décembre 2019</w:t>
      </w:r>
      <w:r>
        <w:t xml:space="preserve"> à 17</w:t>
      </w:r>
      <w:r w:rsidR="00152D99">
        <w:t>.</w:t>
      </w:r>
      <w:r>
        <w:t>160</w:t>
      </w:r>
      <w:r w:rsidR="00152D99">
        <w:t>.</w:t>
      </w:r>
      <w:r>
        <w:t>927,79 € à l’issue de cette opération pour un nombre total d’actions de 1</w:t>
      </w:r>
      <w:r w:rsidR="00152D99">
        <w:t>.</w:t>
      </w:r>
      <w:r w:rsidR="0038060C">
        <w:t>716</w:t>
      </w:r>
      <w:r w:rsidR="00152D99">
        <w:t>.</w:t>
      </w:r>
      <w:r w:rsidR="0038060C">
        <w:t>092</w:t>
      </w:r>
      <w:r w:rsidR="00152D99">
        <w:t>.</w:t>
      </w:r>
      <w:r w:rsidR="0038060C">
        <w:t>779</w:t>
      </w:r>
      <w:r>
        <w:t>.</w:t>
      </w:r>
    </w:p>
    <w:p w14:paraId="1185A2D7" w14:textId="44848137" w:rsidR="00B7635C" w:rsidRDefault="54FDD3F0" w:rsidP="00B7635C">
      <w:r>
        <w:t xml:space="preserve"> </w:t>
      </w:r>
    </w:p>
    <w:p w14:paraId="32E2DF6D" w14:textId="189B3EBD" w:rsidR="00B7635C" w:rsidRDefault="54FDD3F0" w:rsidP="00B7635C">
      <w:r>
        <w:t>Par ailleurs, la société a procédé à deux réductions de son capital social par diminution de la valeur nominale des actions pour un montant global de 19.648 K€</w:t>
      </w:r>
      <w:r w:rsidR="00A76DF0">
        <w:t xml:space="preserve"> </w:t>
      </w:r>
      <w:r>
        <w:t>:</w:t>
      </w:r>
    </w:p>
    <w:p w14:paraId="37D3A012" w14:textId="14276ECE" w:rsidR="00B7635C" w:rsidRDefault="54FDD3F0" w:rsidP="00C622C2">
      <w:pPr>
        <w:pStyle w:val="Paragraphedeliste"/>
        <w:numPr>
          <w:ilvl w:val="0"/>
          <w:numId w:val="71"/>
        </w:numPr>
        <w:rPr>
          <w:rFonts w:eastAsiaTheme="majorEastAsia" w:cstheme="majorBidi"/>
          <w:szCs w:val="20"/>
        </w:rPr>
      </w:pPr>
      <w:r>
        <w:t xml:space="preserve">En date du 26 mai 2020 pour </w:t>
      </w:r>
      <w:r w:rsidR="00283D1D">
        <w:t>12.</w:t>
      </w:r>
      <w:r>
        <w:t>013 K€. La valeur nominale des actions a été ramenée de 0,01 € à 0,003 €. Le capital social a été ainsi ramené de 17</w:t>
      </w:r>
      <w:r w:rsidR="00283D1D">
        <w:t>.</w:t>
      </w:r>
      <w:r>
        <w:t>160</w:t>
      </w:r>
      <w:r w:rsidR="00283D1D">
        <w:t>.</w:t>
      </w:r>
      <w:r>
        <w:t>927,79 € à un montant de 5</w:t>
      </w:r>
      <w:r w:rsidR="00283D1D">
        <w:t>.</w:t>
      </w:r>
      <w:r>
        <w:t>148</w:t>
      </w:r>
      <w:r w:rsidR="00283D1D">
        <w:t>.</w:t>
      </w:r>
      <w:r>
        <w:t>278,34 € pour un nombre d’actions de 1</w:t>
      </w:r>
      <w:r w:rsidR="00283D1D">
        <w:t>.</w:t>
      </w:r>
      <w:r>
        <w:t>716 092</w:t>
      </w:r>
      <w:r w:rsidR="00283D1D">
        <w:t>.</w:t>
      </w:r>
      <w:r>
        <w:t>779.</w:t>
      </w:r>
    </w:p>
    <w:p w14:paraId="5F2091F7" w14:textId="26737BCB" w:rsidR="00B7635C" w:rsidRDefault="54FDD3F0" w:rsidP="00C622C2">
      <w:pPr>
        <w:pStyle w:val="Paragraphedeliste"/>
        <w:numPr>
          <w:ilvl w:val="0"/>
          <w:numId w:val="71"/>
        </w:numPr>
        <w:rPr>
          <w:rFonts w:eastAsiaTheme="majorEastAsia" w:cstheme="majorBidi"/>
          <w:szCs w:val="20"/>
        </w:rPr>
      </w:pPr>
      <w:r>
        <w:t>En date du 16 septembre 2020 pour 7</w:t>
      </w:r>
      <w:r w:rsidR="00283D1D">
        <w:t>.</w:t>
      </w:r>
      <w:r>
        <w:t xml:space="preserve">635 K€. La valeur nominale des actions </w:t>
      </w:r>
      <w:r w:rsidR="00466FCE">
        <w:t>a été ramenée</w:t>
      </w:r>
      <w:r>
        <w:t xml:space="preserve"> de</w:t>
      </w:r>
      <w:r w:rsidR="00283D1D">
        <w:t xml:space="preserve"> </w:t>
      </w:r>
      <w:r>
        <w:t>0,003 € à 0,0001 €. Le capital social a été ainsi ramené de 7</w:t>
      </w:r>
      <w:r w:rsidR="00283D1D">
        <w:t>.</w:t>
      </w:r>
      <w:r>
        <w:t>898</w:t>
      </w:r>
      <w:r w:rsidR="00283D1D">
        <w:t>.</w:t>
      </w:r>
      <w:r>
        <w:t>278,34 € à un montant de 263</w:t>
      </w:r>
      <w:r w:rsidR="00283D1D">
        <w:t>.</w:t>
      </w:r>
      <w:r>
        <w:t>275,94 € pour un nombre d’actions de 2</w:t>
      </w:r>
      <w:r w:rsidR="00283D1D">
        <w:t>.</w:t>
      </w:r>
      <w:r>
        <w:t>632</w:t>
      </w:r>
      <w:r w:rsidR="00283D1D">
        <w:t>.</w:t>
      </w:r>
      <w:r>
        <w:t>759</w:t>
      </w:r>
      <w:r w:rsidR="00283D1D">
        <w:t>.</w:t>
      </w:r>
      <w:r>
        <w:t>445.</w:t>
      </w:r>
    </w:p>
    <w:p w14:paraId="51BD44FF" w14:textId="538DAEDA" w:rsidR="00466FCE" w:rsidRPr="0044426D" w:rsidRDefault="54FDD3F0" w:rsidP="0044426D">
      <w:r>
        <w:t xml:space="preserve">Ces réductions de capital </w:t>
      </w:r>
      <w:r w:rsidR="00152D99">
        <w:t xml:space="preserve">ont été </w:t>
      </w:r>
      <w:r w:rsidR="00466FCE">
        <w:t xml:space="preserve">réalisées </w:t>
      </w:r>
      <w:r>
        <w:t xml:space="preserve">par imputation </w:t>
      </w:r>
      <w:r w:rsidR="00152D99">
        <w:t>sur les</w:t>
      </w:r>
      <w:r>
        <w:t xml:space="preserve"> réserves indisponibles, </w:t>
      </w:r>
      <w:r w:rsidR="00466FCE" w:rsidRPr="0044426D">
        <w:t xml:space="preserve">sur lequel sera imputé, sur décision de l’Assemblée </w:t>
      </w:r>
      <w:r w:rsidR="00466FCE">
        <w:t>g</w:t>
      </w:r>
      <w:r w:rsidR="00466FCE" w:rsidRPr="0044426D">
        <w:t xml:space="preserve">énérale </w:t>
      </w:r>
      <w:r w:rsidR="00466FCE">
        <w:t>o</w:t>
      </w:r>
      <w:r w:rsidR="00466FCE" w:rsidRPr="0044426D">
        <w:t xml:space="preserve">rdinaire </w:t>
      </w:r>
      <w:r w:rsidR="00466FCE">
        <w:t>a</w:t>
      </w:r>
      <w:r w:rsidR="00466FCE" w:rsidRPr="0044426D">
        <w:t>nnuelle des actionnaires de la Société et à due concurrence, le résultat déficitaire de l’exercice clos le 31 décembre 2020.</w:t>
      </w:r>
    </w:p>
    <w:p w14:paraId="0EAD1103" w14:textId="77777777" w:rsidR="00466FCE" w:rsidRDefault="00466FCE" w:rsidP="54FDD3F0"/>
    <w:p w14:paraId="66C199E0" w14:textId="672F70EA" w:rsidR="00966617" w:rsidRDefault="00EB633B" w:rsidP="00B6623E">
      <w:r>
        <w:t>A</w:t>
      </w:r>
      <w:r w:rsidR="00B7635C">
        <w:t xml:space="preserve"> l’occasion des augmentations du capital réalisées au cours de l’exercice clos le 31 décembre 2020</w:t>
      </w:r>
      <w:r>
        <w:t>, 1.800 K€ de primes d’émission ont été constatées</w:t>
      </w:r>
      <w:r w:rsidR="00793CC5">
        <w:t>.</w:t>
      </w:r>
    </w:p>
    <w:p w14:paraId="37AB8D8F" w14:textId="77777777" w:rsidR="000874E7" w:rsidRDefault="000874E7" w:rsidP="00610091">
      <w:pPr>
        <w:tabs>
          <w:tab w:val="left" w:pos="1125"/>
        </w:tabs>
      </w:pPr>
    </w:p>
    <w:p w14:paraId="05671104" w14:textId="06C805AC" w:rsidR="001A599D" w:rsidRDefault="001A599D" w:rsidP="00C622C2">
      <w:pPr>
        <w:pStyle w:val="Paragraphedeliste"/>
        <w:numPr>
          <w:ilvl w:val="0"/>
          <w:numId w:val="5"/>
        </w:numPr>
        <w:tabs>
          <w:tab w:val="left" w:pos="1125"/>
        </w:tabs>
        <w:spacing w:after="160" w:line="259" w:lineRule="auto"/>
        <w:rPr>
          <w:b/>
        </w:rPr>
      </w:pPr>
      <w:r w:rsidRPr="001A599D">
        <w:rPr>
          <w:b/>
        </w:rPr>
        <w:t>Autres passifs</w:t>
      </w:r>
    </w:p>
    <w:p w14:paraId="1CCE38BD" w14:textId="0B0380D9" w:rsidR="000874E7" w:rsidRDefault="00966617" w:rsidP="008F7346">
      <w:pPr>
        <w:tabs>
          <w:tab w:val="left" w:pos="1125"/>
        </w:tabs>
        <w:spacing w:after="160" w:line="259" w:lineRule="auto"/>
      </w:pPr>
      <w:r w:rsidRPr="00966617">
        <w:t xml:space="preserve">Le total des passifs hors capitaux propres </w:t>
      </w:r>
      <w:r w:rsidRPr="000A3303">
        <w:t>s’élève à</w:t>
      </w:r>
      <w:r w:rsidR="00C1284B" w:rsidRPr="000A3303">
        <w:t xml:space="preserve"> </w:t>
      </w:r>
      <w:r w:rsidR="000A3303" w:rsidRPr="000A3303">
        <w:t>4.</w:t>
      </w:r>
      <w:r w:rsidR="006B6719">
        <w:t>729</w:t>
      </w:r>
      <w:r w:rsidRPr="000A3303">
        <w:t xml:space="preserve"> </w:t>
      </w:r>
      <w:r w:rsidR="003656A7" w:rsidRPr="000A3303">
        <w:t>K</w:t>
      </w:r>
      <w:r w:rsidRPr="000A3303">
        <w:t xml:space="preserve">€ au 31 décembre </w:t>
      </w:r>
      <w:r w:rsidR="00C1284B" w:rsidRPr="000A3303">
        <w:t>2020</w:t>
      </w:r>
      <w:r w:rsidRPr="000A3303">
        <w:t xml:space="preserve"> contre </w:t>
      </w:r>
      <w:r w:rsidR="000A3303" w:rsidRPr="000A3303">
        <w:t>6.281</w:t>
      </w:r>
      <w:r w:rsidR="003656A7" w:rsidRPr="000A3303">
        <w:t xml:space="preserve"> </w:t>
      </w:r>
      <w:r w:rsidR="008E3461" w:rsidRPr="000A3303">
        <w:t>K</w:t>
      </w:r>
      <w:r w:rsidRPr="000A3303">
        <w:t xml:space="preserve">€ au 31 décembre </w:t>
      </w:r>
      <w:bookmarkStart w:id="184" w:name="_Ref342307984"/>
      <w:r w:rsidR="008F7346" w:rsidRPr="000A3303">
        <w:t>2019.</w:t>
      </w:r>
    </w:p>
    <w:p w14:paraId="5AA9DEEA" w14:textId="4D571B2E" w:rsidR="00DA1280" w:rsidRDefault="006B6719" w:rsidP="008F7346">
      <w:pPr>
        <w:tabs>
          <w:tab w:val="left" w:pos="1125"/>
        </w:tabs>
        <w:spacing w:after="160" w:line="259" w:lineRule="auto"/>
      </w:pPr>
      <w:r>
        <w:rPr>
          <w:noProof/>
        </w:rPr>
        <w:lastRenderedPageBreak/>
        <w:drawing>
          <wp:inline distT="0" distB="0" distL="0" distR="0" wp14:anchorId="4EA95D5D" wp14:editId="1640C1CA">
            <wp:extent cx="5249545" cy="2819400"/>
            <wp:effectExtent l="0" t="0" r="8255" b="0"/>
            <wp:docPr id="560"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249545" cy="2819400"/>
                    </a:xfrm>
                    <a:prstGeom prst="rect">
                      <a:avLst/>
                    </a:prstGeom>
                    <a:noFill/>
                    <a:ln>
                      <a:noFill/>
                    </a:ln>
                  </pic:spPr>
                </pic:pic>
              </a:graphicData>
            </a:graphic>
          </wp:inline>
        </w:drawing>
      </w:r>
    </w:p>
    <w:p w14:paraId="17A66B07" w14:textId="77777777" w:rsidR="00B66286" w:rsidRDefault="00B66286" w:rsidP="00705318">
      <w:pPr>
        <w:rPr>
          <w:color w:val="FF0000"/>
        </w:rPr>
      </w:pPr>
    </w:p>
    <w:p w14:paraId="67EBC2AC" w14:textId="0D493C00" w:rsidR="00DA1280" w:rsidRDefault="009304D7" w:rsidP="008F7346">
      <w:pPr>
        <w:tabs>
          <w:tab w:val="left" w:pos="1125"/>
        </w:tabs>
        <w:spacing w:after="160" w:line="259" w:lineRule="auto"/>
      </w:pPr>
      <w:r>
        <w:t>S’agissant des emprunts bancaires</w:t>
      </w:r>
      <w:r w:rsidR="00DA6434">
        <w:t xml:space="preserve"> et l’échéancier des dettes financières</w:t>
      </w:r>
      <w:r w:rsidR="00793CC5">
        <w:t xml:space="preserve"> </w:t>
      </w:r>
      <w:r>
        <w:t>: cf. paragraphe « </w:t>
      </w:r>
      <w:r>
        <w:fldChar w:fldCharType="begin"/>
      </w:r>
      <w:r>
        <w:instrText xml:space="preserve"> REF _Ref472619797 \h </w:instrText>
      </w:r>
      <w:r>
        <w:fldChar w:fldCharType="separate"/>
      </w:r>
      <w:r w:rsidR="003A0AD1">
        <w:t>8.1.2.1 Emprunts bancaires</w:t>
      </w:r>
      <w:r>
        <w:fldChar w:fldCharType="end"/>
      </w:r>
      <w:r>
        <w:t> » du Document d’enregistrement universel.</w:t>
      </w:r>
    </w:p>
    <w:p w14:paraId="6524E274" w14:textId="0BA64085" w:rsidR="005164DC" w:rsidRDefault="005164DC">
      <w:pPr>
        <w:jc w:val="left"/>
        <w:rPr>
          <w:rFonts w:eastAsiaTheme="majorEastAsia" w:cstheme="majorBidi"/>
          <w:b/>
          <w:bCs/>
          <w:color w:val="345A8A" w:themeColor="accent1" w:themeShade="B5"/>
          <w:sz w:val="32"/>
          <w:szCs w:val="32"/>
        </w:rPr>
      </w:pPr>
      <w:r>
        <w:br w:type="page"/>
      </w:r>
    </w:p>
    <w:p w14:paraId="3A19E4BC" w14:textId="319FFA03" w:rsidR="00CF0C5B" w:rsidRDefault="00132FB9" w:rsidP="00EE50DB">
      <w:pPr>
        <w:pStyle w:val="Titre1"/>
      </w:pPr>
      <w:bookmarkStart w:id="185" w:name="_Ref474072534"/>
      <w:bookmarkStart w:id="186" w:name="_Toc475033212"/>
      <w:bookmarkEnd w:id="184"/>
      <w:r>
        <w:lastRenderedPageBreak/>
        <w:t>8</w:t>
      </w:r>
      <w:r w:rsidR="00EE50DB">
        <w:t xml:space="preserve">. </w:t>
      </w:r>
      <w:r w:rsidR="00CF0C5B" w:rsidRPr="00050AF3">
        <w:t>Trésorerie et capitaux</w:t>
      </w:r>
      <w:bookmarkEnd w:id="185"/>
      <w:bookmarkEnd w:id="186"/>
      <w:r w:rsidR="00CF0C5B" w:rsidRPr="00050AF3">
        <w:t xml:space="preserve"> </w:t>
      </w:r>
      <w:r w:rsidR="00CF0C5B" w:rsidRPr="00050AF3">
        <w:tab/>
      </w:r>
    </w:p>
    <w:p w14:paraId="0E68CEE6" w14:textId="77777777" w:rsidR="00F52711" w:rsidRDefault="00F52711" w:rsidP="00F52711"/>
    <w:p w14:paraId="7B345707" w14:textId="01E3A8E8" w:rsidR="003F69B5" w:rsidRDefault="003F69B5" w:rsidP="003F69B5">
      <w:pPr>
        <w:widowControl w:val="0"/>
        <w:autoSpaceDE w:val="0"/>
        <w:autoSpaceDN w:val="0"/>
        <w:adjustRightInd w:val="0"/>
      </w:pPr>
      <w:r w:rsidRPr="003F69B5">
        <w:t>Dans un contexte de crise sanit</w:t>
      </w:r>
      <w:r w:rsidR="00705318">
        <w:t>aire liée à l’épidémie de Covid-</w:t>
      </w:r>
      <w:r w:rsidRPr="003F69B5">
        <w:t>19, Spineway a mis en œuvre des mesures en lien avec les dispositifs et mesures gouvernementales</w:t>
      </w:r>
      <w:r>
        <w:t xml:space="preserve"> </w:t>
      </w:r>
      <w:r w:rsidRPr="003F69B5">
        <w:t>permettant d’optimiser les besoins de trésorerie à court terme (report de cotisations sociales,</w:t>
      </w:r>
      <w:r>
        <w:t xml:space="preserve"> </w:t>
      </w:r>
      <w:r w:rsidR="00705318">
        <w:t>remboursement anticipé du CIR</w:t>
      </w:r>
      <w:r w:rsidRPr="003F69B5">
        <w:t>…). Le Groupe précise que la continuité d’exploitation, sur la base des</w:t>
      </w:r>
      <w:r>
        <w:t xml:space="preserve"> </w:t>
      </w:r>
      <w:r w:rsidRPr="003F69B5">
        <w:t>éléments connus à date, n’est nullement remise en question et qu’il dispose du soutien de ses partenaires</w:t>
      </w:r>
      <w:r>
        <w:t xml:space="preserve"> </w:t>
      </w:r>
      <w:r w:rsidRPr="003F69B5">
        <w:t>financiers pour traverser cette période inédite.</w:t>
      </w:r>
    </w:p>
    <w:p w14:paraId="21FBA460" w14:textId="77777777" w:rsidR="003F69B5" w:rsidRDefault="003F69B5" w:rsidP="003F69B5">
      <w:pPr>
        <w:widowControl w:val="0"/>
        <w:autoSpaceDE w:val="0"/>
        <w:autoSpaceDN w:val="0"/>
        <w:adjustRightInd w:val="0"/>
      </w:pPr>
    </w:p>
    <w:p w14:paraId="65D615C9" w14:textId="7BB2FD58" w:rsidR="00F52711" w:rsidRDefault="00F52711" w:rsidP="008F7346">
      <w:pPr>
        <w:tabs>
          <w:tab w:val="left" w:pos="1125"/>
        </w:tabs>
      </w:pPr>
      <w:r w:rsidRPr="005C0180">
        <w:t xml:space="preserve">Au 31 décembre </w:t>
      </w:r>
      <w:r w:rsidR="008F7346" w:rsidRPr="005C0180">
        <w:t>2020</w:t>
      </w:r>
      <w:r w:rsidRPr="005C0180">
        <w:t xml:space="preserve">, les capitaux propres </w:t>
      </w:r>
      <w:r w:rsidR="002E1D9E" w:rsidRPr="005C0180">
        <w:t>de Spineway</w:t>
      </w:r>
      <w:r w:rsidR="000C54A5" w:rsidRPr="005C0180">
        <w:t xml:space="preserve"> </w:t>
      </w:r>
      <w:r w:rsidR="00705318">
        <w:t>atteignent</w:t>
      </w:r>
      <w:r w:rsidR="00340503" w:rsidRPr="005C0180">
        <w:t xml:space="preserve"> </w:t>
      </w:r>
      <w:r w:rsidR="00B53719" w:rsidRPr="005C0180">
        <w:t>10.0</w:t>
      </w:r>
      <w:r w:rsidR="009C4380">
        <w:t>19</w:t>
      </w:r>
      <w:r w:rsidR="00B53719" w:rsidRPr="005C0180">
        <w:t xml:space="preserve"> </w:t>
      </w:r>
      <w:r w:rsidR="00527F22" w:rsidRPr="005C0180">
        <w:t>K</w:t>
      </w:r>
      <w:r w:rsidR="000C54A5" w:rsidRPr="005C0180">
        <w:t xml:space="preserve">€ </w:t>
      </w:r>
      <w:r w:rsidR="00340503" w:rsidRPr="005C0180">
        <w:t>contre</w:t>
      </w:r>
      <w:r w:rsidR="008F7346" w:rsidRPr="005C0180">
        <w:t xml:space="preserve"> </w:t>
      </w:r>
      <w:r w:rsidR="003F69B5" w:rsidRPr="005C0180">
        <w:t xml:space="preserve">6.493 </w:t>
      </w:r>
      <w:r w:rsidR="00527F22" w:rsidRPr="005C0180">
        <w:t>K</w:t>
      </w:r>
      <w:r w:rsidR="000C54A5" w:rsidRPr="005C0180">
        <w:t>€</w:t>
      </w:r>
      <w:r w:rsidR="002E1D9E" w:rsidRPr="005C0180">
        <w:t xml:space="preserve"> au 31 décembre </w:t>
      </w:r>
      <w:r w:rsidR="008F7346" w:rsidRPr="005C0180">
        <w:t>2019</w:t>
      </w:r>
      <w:r w:rsidR="002E1D9E">
        <w:t xml:space="preserve"> (données </w:t>
      </w:r>
      <w:r w:rsidR="008F7346">
        <w:t>consolidées</w:t>
      </w:r>
      <w:r w:rsidR="002E1D9E">
        <w:t>)</w:t>
      </w:r>
      <w:r w:rsidR="00340503">
        <w:t>.</w:t>
      </w:r>
    </w:p>
    <w:p w14:paraId="47A8FBC4" w14:textId="4970A9EE" w:rsidR="002630BB" w:rsidRDefault="008F7346" w:rsidP="00F52711">
      <w:r>
        <w:t>En</w:t>
      </w:r>
      <w:r w:rsidR="002E56B4">
        <w:t xml:space="preserve"> l’absence d’intérêts minoritaires, les capitaux propres consolidés part du groupe sont équivalents aux capitaux propres consolidés.</w:t>
      </w:r>
    </w:p>
    <w:p w14:paraId="59E9A1B8" w14:textId="77777777" w:rsidR="003F69B5" w:rsidRDefault="003F69B5" w:rsidP="003F69B5"/>
    <w:p w14:paraId="5F532E7E" w14:textId="7B1D6244" w:rsidR="00203EAC" w:rsidRDefault="00132FB9" w:rsidP="00BB419F">
      <w:pPr>
        <w:pStyle w:val="Titre2"/>
      </w:pPr>
      <w:bookmarkStart w:id="187" w:name="_Ref370385719"/>
      <w:bookmarkStart w:id="188" w:name="_Toc475033213"/>
      <w:r>
        <w:t>8</w:t>
      </w:r>
      <w:r w:rsidR="00EE50DB">
        <w:t xml:space="preserve">.1 </w:t>
      </w:r>
      <w:r w:rsidR="00CF0C5B" w:rsidRPr="00050AF3">
        <w:t>Informations sur les capitaux, liquidités et sources de financement du Groupe</w:t>
      </w:r>
      <w:bookmarkEnd w:id="187"/>
      <w:bookmarkEnd w:id="188"/>
      <w:r w:rsidR="00F52711">
        <w:t xml:space="preserve"> </w:t>
      </w:r>
    </w:p>
    <w:p w14:paraId="3A7489CE" w14:textId="77777777" w:rsidR="00EC06F6" w:rsidRDefault="00EC06F6" w:rsidP="006A2CAD"/>
    <w:p w14:paraId="49A45F4D" w14:textId="453B0667" w:rsidR="00EC06F6" w:rsidRPr="00D00AC7" w:rsidRDefault="00D00AC7" w:rsidP="00D00AC7">
      <w:pPr>
        <w:widowControl w:val="0"/>
        <w:autoSpaceDE w:val="0"/>
        <w:autoSpaceDN w:val="0"/>
        <w:adjustRightInd w:val="0"/>
        <w:rPr>
          <w:rFonts w:ascii="Calibri" w:hAnsi="Calibri" w:cs="Calibri"/>
          <w:b/>
          <w:bCs/>
          <w:i/>
          <w:iCs/>
          <w:u w:val="single"/>
        </w:rPr>
      </w:pPr>
      <w:r w:rsidRPr="00D00AC7">
        <w:rPr>
          <w:rFonts w:ascii="Calibri" w:hAnsi="Calibri" w:cs="Calibri"/>
          <w:b/>
          <w:bCs/>
          <w:i/>
          <w:iCs/>
          <w:u w:val="single"/>
        </w:rPr>
        <w:t>C</w:t>
      </w:r>
      <w:r w:rsidR="00EC06F6" w:rsidRPr="00D00AC7">
        <w:rPr>
          <w:rFonts w:ascii="Calibri" w:hAnsi="Calibri" w:cs="Calibri"/>
          <w:b/>
          <w:bCs/>
          <w:i/>
          <w:iCs/>
          <w:u w:val="single"/>
        </w:rPr>
        <w:t>apitaux propres</w:t>
      </w:r>
      <w:r w:rsidRPr="00D00AC7">
        <w:rPr>
          <w:rFonts w:ascii="Calibri" w:hAnsi="Calibri" w:cs="Calibri"/>
          <w:b/>
          <w:bCs/>
          <w:i/>
          <w:iCs/>
          <w:u w:val="single"/>
        </w:rPr>
        <w:t> :</w:t>
      </w:r>
    </w:p>
    <w:p w14:paraId="773D8446" w14:textId="77777777" w:rsidR="00EC06F6" w:rsidRDefault="00EC06F6" w:rsidP="006A2CAD"/>
    <w:p w14:paraId="0D9911D5" w14:textId="5FFC090E" w:rsidR="008F206D" w:rsidRPr="00C44391" w:rsidRDefault="008F206D" w:rsidP="008F206D">
      <w:pPr>
        <w:rPr>
          <w:szCs w:val="20"/>
        </w:rPr>
      </w:pPr>
      <w:r w:rsidRPr="00C44391">
        <w:rPr>
          <w:szCs w:val="20"/>
        </w:rPr>
        <w:t xml:space="preserve">A la date du présent </w:t>
      </w:r>
      <w:r>
        <w:rPr>
          <w:szCs w:val="20"/>
        </w:rPr>
        <w:t>Document d’enregistrement universel</w:t>
      </w:r>
      <w:r w:rsidRPr="00C44391">
        <w:rPr>
          <w:szCs w:val="20"/>
        </w:rPr>
        <w:t xml:space="preserve">, le capital social s’élève à </w:t>
      </w:r>
      <w:r w:rsidR="006A4C74">
        <w:t>633.161,27</w:t>
      </w:r>
      <w:r w:rsidRPr="00C44391">
        <w:t>€</w:t>
      </w:r>
      <w:r w:rsidRPr="00C44391">
        <w:rPr>
          <w:szCs w:val="20"/>
        </w:rPr>
        <w:t xml:space="preserve">, divisé en </w:t>
      </w:r>
      <w:r w:rsidR="006A4C74">
        <w:rPr>
          <w:szCs w:val="20"/>
        </w:rPr>
        <w:t>6.331.612.656</w:t>
      </w:r>
      <w:r w:rsidR="006A4C74" w:rsidRPr="00C44391">
        <w:t xml:space="preserve"> </w:t>
      </w:r>
      <w:r w:rsidRPr="00C44391">
        <w:rPr>
          <w:szCs w:val="20"/>
        </w:rPr>
        <w:t xml:space="preserve">actions d’une valeur nominale de </w:t>
      </w:r>
      <w:r w:rsidRPr="00C44391">
        <w:t>0,</w:t>
      </w:r>
      <w:r>
        <w:t xml:space="preserve">0001 </w:t>
      </w:r>
      <w:r w:rsidRPr="00C44391">
        <w:t xml:space="preserve">€ </w:t>
      </w:r>
      <w:r w:rsidRPr="00C44391">
        <w:rPr>
          <w:szCs w:val="20"/>
        </w:rPr>
        <w:t xml:space="preserve">intégralement libérées. </w:t>
      </w:r>
    </w:p>
    <w:p w14:paraId="7B0F1B59" w14:textId="2C043F91" w:rsidR="008F206D" w:rsidRPr="00D00AC7" w:rsidRDefault="008F206D" w:rsidP="006A2CAD">
      <w:pPr>
        <w:rPr>
          <w:szCs w:val="20"/>
        </w:rPr>
      </w:pPr>
      <w:r>
        <w:rPr>
          <w:szCs w:val="20"/>
        </w:rPr>
        <w:t>Cf. paragraphe « </w:t>
      </w:r>
      <w:r>
        <w:rPr>
          <w:szCs w:val="20"/>
        </w:rPr>
        <w:fldChar w:fldCharType="begin"/>
      </w:r>
      <w:r>
        <w:rPr>
          <w:szCs w:val="20"/>
        </w:rPr>
        <w:instrText xml:space="preserve"> REF _Ref474073183 \h </w:instrText>
      </w:r>
      <w:r>
        <w:rPr>
          <w:szCs w:val="20"/>
        </w:rPr>
      </w:r>
      <w:r>
        <w:rPr>
          <w:szCs w:val="20"/>
        </w:rPr>
        <w:fldChar w:fldCharType="separate"/>
      </w:r>
      <w:r w:rsidR="003A0AD1">
        <w:t>19.1.1 Montant du capital social</w:t>
      </w:r>
      <w:r>
        <w:rPr>
          <w:szCs w:val="20"/>
        </w:rPr>
        <w:fldChar w:fldCharType="end"/>
      </w:r>
      <w:r>
        <w:rPr>
          <w:szCs w:val="20"/>
        </w:rPr>
        <w:t xml:space="preserve"> » du </w:t>
      </w:r>
      <w:r>
        <w:t>Document d’enregistrement universel, notamment sur la distinction à faire entre le capital social juridique</w:t>
      </w:r>
      <w:r w:rsidR="00D00AC7">
        <w:t xml:space="preserve"> et le capital comptable</w:t>
      </w:r>
      <w:r>
        <w:t>.</w:t>
      </w:r>
    </w:p>
    <w:p w14:paraId="02621096" w14:textId="77777777" w:rsidR="00DF0DBD" w:rsidRDefault="00DF0DBD" w:rsidP="006A2CAD"/>
    <w:p w14:paraId="65E5D436" w14:textId="3910D4E0" w:rsidR="00DF0DBD" w:rsidRPr="00D00AC7" w:rsidRDefault="00D00AC7" w:rsidP="00D00AC7">
      <w:pPr>
        <w:widowControl w:val="0"/>
        <w:autoSpaceDE w:val="0"/>
        <w:autoSpaceDN w:val="0"/>
        <w:adjustRightInd w:val="0"/>
        <w:rPr>
          <w:rFonts w:ascii="Calibri" w:hAnsi="Calibri" w:cs="Calibri"/>
          <w:b/>
          <w:bCs/>
          <w:i/>
          <w:iCs/>
          <w:u w:val="single"/>
        </w:rPr>
      </w:pPr>
      <w:r w:rsidRPr="00D00AC7">
        <w:rPr>
          <w:rFonts w:ascii="Calibri" w:hAnsi="Calibri" w:cs="Calibri"/>
          <w:b/>
          <w:bCs/>
          <w:i/>
          <w:iCs/>
          <w:u w:val="single"/>
        </w:rPr>
        <w:t>A</w:t>
      </w:r>
      <w:r w:rsidR="004774C3" w:rsidRPr="00D00AC7">
        <w:rPr>
          <w:rFonts w:ascii="Calibri" w:hAnsi="Calibri" w:cs="Calibri"/>
          <w:b/>
          <w:bCs/>
          <w:i/>
          <w:iCs/>
          <w:u w:val="single"/>
        </w:rPr>
        <w:t>ugmentations</w:t>
      </w:r>
      <w:r w:rsidR="00DF0DBD" w:rsidRPr="00D00AC7">
        <w:rPr>
          <w:rFonts w:ascii="Calibri" w:hAnsi="Calibri" w:cs="Calibri"/>
          <w:b/>
          <w:bCs/>
          <w:i/>
          <w:iCs/>
          <w:u w:val="single"/>
        </w:rPr>
        <w:t xml:space="preserve"> </w:t>
      </w:r>
      <w:r w:rsidR="004774C3" w:rsidRPr="00D00AC7">
        <w:rPr>
          <w:rFonts w:ascii="Calibri" w:hAnsi="Calibri" w:cs="Calibri"/>
          <w:b/>
          <w:bCs/>
          <w:i/>
          <w:iCs/>
          <w:u w:val="single"/>
        </w:rPr>
        <w:t>de capital réalisées depuis la création de Spineway</w:t>
      </w:r>
      <w:r w:rsidRPr="00D00AC7">
        <w:rPr>
          <w:rFonts w:ascii="Calibri" w:hAnsi="Calibri" w:cs="Calibri"/>
          <w:b/>
          <w:bCs/>
          <w:i/>
          <w:iCs/>
          <w:u w:val="single"/>
        </w:rPr>
        <w:t> :</w:t>
      </w:r>
    </w:p>
    <w:p w14:paraId="00338F85" w14:textId="77777777" w:rsidR="00D00AC7" w:rsidRDefault="00D00AC7" w:rsidP="00D00AC7">
      <w:pPr>
        <w:rPr>
          <w:szCs w:val="20"/>
        </w:rPr>
      </w:pPr>
    </w:p>
    <w:p w14:paraId="5F77FA3A" w14:textId="48AF17DF" w:rsidR="00D00AC7" w:rsidRPr="00D00AC7" w:rsidRDefault="00D00AC7" w:rsidP="00D00AC7">
      <w:pPr>
        <w:rPr>
          <w:szCs w:val="20"/>
        </w:rPr>
      </w:pPr>
      <w:r>
        <w:rPr>
          <w:szCs w:val="20"/>
        </w:rPr>
        <w:t>Cf. paragraphe « </w:t>
      </w:r>
      <w:r>
        <w:rPr>
          <w:szCs w:val="20"/>
        </w:rPr>
        <w:fldChar w:fldCharType="begin"/>
      </w:r>
      <w:r>
        <w:rPr>
          <w:szCs w:val="20"/>
        </w:rPr>
        <w:instrText xml:space="preserve"> REF _Ref472618033 \h </w:instrText>
      </w:r>
      <w:r>
        <w:rPr>
          <w:szCs w:val="20"/>
        </w:rPr>
      </w:r>
      <w:r>
        <w:rPr>
          <w:szCs w:val="20"/>
        </w:rPr>
        <w:fldChar w:fldCharType="separate"/>
      </w:r>
      <w:r w:rsidR="003A0AD1">
        <w:t>19.1.7 Historique du capital social</w:t>
      </w:r>
      <w:r>
        <w:rPr>
          <w:szCs w:val="20"/>
        </w:rPr>
        <w:fldChar w:fldCharType="end"/>
      </w:r>
      <w:r>
        <w:rPr>
          <w:szCs w:val="20"/>
        </w:rPr>
        <w:t xml:space="preserve"> » du </w:t>
      </w:r>
      <w:r>
        <w:t>Document d’enregistrement universel.</w:t>
      </w:r>
    </w:p>
    <w:p w14:paraId="7322CDD4" w14:textId="77777777" w:rsidR="00D00AC7" w:rsidRPr="004774C3" w:rsidRDefault="00D00AC7" w:rsidP="006A2CAD">
      <w:pPr>
        <w:rPr>
          <w:b/>
          <w:bCs/>
          <w:i/>
          <w:iCs/>
        </w:rPr>
      </w:pPr>
    </w:p>
    <w:p w14:paraId="683F512E" w14:textId="76ED4466" w:rsidR="00673B98" w:rsidRDefault="00132FB9" w:rsidP="00BE7EE6">
      <w:pPr>
        <w:pStyle w:val="Titre3"/>
      </w:pPr>
      <w:bookmarkStart w:id="189" w:name="_Ref472325173"/>
      <w:bookmarkStart w:id="190" w:name="_Ref472611971"/>
      <w:bookmarkStart w:id="191" w:name="_Ref341704580"/>
      <w:bookmarkStart w:id="192" w:name="_Ref341704584"/>
      <w:bookmarkStart w:id="193" w:name="_Toc475033214"/>
      <w:r>
        <w:t>8</w:t>
      </w:r>
      <w:r w:rsidR="00203EAC" w:rsidRPr="00107035">
        <w:t>.1.1</w:t>
      </w:r>
      <w:r w:rsidR="00203EAC">
        <w:t xml:space="preserve"> </w:t>
      </w:r>
      <w:r w:rsidR="008E265C">
        <w:t>Financement par obligations convertibles</w:t>
      </w:r>
      <w:bookmarkEnd w:id="189"/>
      <w:r w:rsidR="00A9269A">
        <w:t xml:space="preserve"> Negma</w:t>
      </w:r>
      <w:bookmarkEnd w:id="190"/>
      <w:r w:rsidR="00D00AC7">
        <w:t xml:space="preserve"> </w:t>
      </w:r>
      <w:r w:rsidR="00D00AC7" w:rsidRPr="54FDD3F0">
        <w:rPr>
          <w:rFonts w:cstheme="minorBidi"/>
        </w:rPr>
        <w:t xml:space="preserve">Group </w:t>
      </w:r>
      <w:r w:rsidR="00D00AC7" w:rsidRPr="54FDD3F0">
        <w:t>Ltd</w:t>
      </w:r>
      <w:r w:rsidR="00D00AC7">
        <w:t xml:space="preserve"> (OCABSA Negma)</w:t>
      </w:r>
      <w:bookmarkEnd w:id="193"/>
    </w:p>
    <w:p w14:paraId="18AD7208" w14:textId="57A9EC45" w:rsidR="54FDD3F0" w:rsidRDefault="54FDD3F0" w:rsidP="54FDD3F0">
      <w:pPr>
        <w:pStyle w:val="NormalWeb"/>
        <w:shd w:val="clear" w:color="auto" w:fill="FFFFFF" w:themeFill="background1"/>
        <w:rPr>
          <w:rFonts w:asciiTheme="majorHAnsi" w:hAnsiTheme="majorHAnsi" w:cstheme="minorBidi"/>
        </w:rPr>
      </w:pPr>
      <w:r w:rsidRPr="54FDD3F0">
        <w:rPr>
          <w:rFonts w:asciiTheme="majorHAnsi" w:hAnsiTheme="majorHAnsi" w:cstheme="minorBidi"/>
        </w:rPr>
        <w:t xml:space="preserve">Acté en octobre 2019 pour un montant total potentiel de 40 M€ correspondant à 16.000 Bons d’émission d’ici à juin 2022, le plan de financement par émissions d’OCABSA conclu avec Negma Group </w:t>
      </w:r>
      <w:r w:rsidRPr="54FDD3F0">
        <w:rPr>
          <w:rFonts w:asciiTheme="majorHAnsi" w:hAnsiTheme="majorHAnsi"/>
        </w:rPr>
        <w:t>Ltd</w:t>
      </w:r>
      <w:r w:rsidRPr="54FDD3F0">
        <w:rPr>
          <w:rFonts w:asciiTheme="majorHAnsi" w:hAnsiTheme="majorHAnsi" w:cstheme="minorBidi"/>
        </w:rPr>
        <w:t xml:space="preserve"> a pour objet de financer des projets de rapprochement capitalistique et accompagner sa stratégie mais aussi de supporter les besoins de trésorerie liés à l’activité courante notamment en lien avec la pandémie actuelle. </w:t>
      </w:r>
    </w:p>
    <w:p w14:paraId="453885DA" w14:textId="2CD9F8E5" w:rsidR="54FDD3F0" w:rsidRDefault="54FDD3F0" w:rsidP="00152D99">
      <w:pPr>
        <w:widowControl w:val="0"/>
        <w:autoSpaceDE w:val="0"/>
        <w:autoSpaceDN w:val="0"/>
        <w:adjustRightInd w:val="0"/>
        <w:rPr>
          <w:rFonts w:ascii="Calibri" w:hAnsi="Calibri" w:cs="Calibri"/>
          <w:b/>
          <w:bCs/>
          <w:i/>
          <w:iCs/>
        </w:rPr>
      </w:pPr>
      <w:r w:rsidRPr="54FDD3F0">
        <w:rPr>
          <w:rFonts w:ascii="Calibri" w:hAnsi="Calibri" w:cs="Calibri"/>
          <w:b/>
          <w:bCs/>
          <w:i/>
          <w:iCs/>
          <w:u w:val="single"/>
        </w:rPr>
        <w:t xml:space="preserve">Mise en œuvre du plan de financement </w:t>
      </w:r>
      <w:r w:rsidRPr="54FDD3F0">
        <w:rPr>
          <w:rFonts w:ascii="Calibri" w:hAnsi="Calibri" w:cs="Calibri"/>
          <w:b/>
          <w:bCs/>
          <w:i/>
          <w:iCs/>
        </w:rPr>
        <w:t>:</w:t>
      </w:r>
    </w:p>
    <w:p w14:paraId="61956E5D" w14:textId="412E3D43" w:rsidR="54FDD3F0" w:rsidRDefault="54FDD3F0" w:rsidP="54FDD3F0">
      <w:pPr>
        <w:pStyle w:val="NormalWeb"/>
        <w:shd w:val="clear" w:color="auto" w:fill="FFFFFF" w:themeFill="background1"/>
        <w:rPr>
          <w:rFonts w:asciiTheme="majorHAnsi" w:hAnsiTheme="majorHAnsi" w:cstheme="minorBidi"/>
        </w:rPr>
      </w:pPr>
      <w:r w:rsidRPr="54FDD3F0">
        <w:rPr>
          <w:rFonts w:asciiTheme="majorHAnsi" w:hAnsiTheme="majorHAnsi" w:cstheme="minorBidi"/>
        </w:rPr>
        <w:t>A ce jour Spineway a lancé trois phases de souscription.</w:t>
      </w:r>
    </w:p>
    <w:p w14:paraId="46DEB26F" w14:textId="37F6A3A8" w:rsidR="00283558" w:rsidRPr="009F3FB6" w:rsidRDefault="00283558" w:rsidP="00C622C2">
      <w:pPr>
        <w:pStyle w:val="NormalWeb"/>
        <w:numPr>
          <w:ilvl w:val="0"/>
          <w:numId w:val="58"/>
        </w:numPr>
        <w:shd w:val="clear" w:color="auto" w:fill="FFFFFF"/>
        <w:rPr>
          <w:rFonts w:asciiTheme="majorHAnsi" w:hAnsiTheme="majorHAnsi" w:cstheme="minorBidi"/>
          <w:szCs w:val="24"/>
          <w:u w:val="single"/>
        </w:rPr>
      </w:pPr>
      <w:r w:rsidRPr="009F3FB6">
        <w:rPr>
          <w:rFonts w:asciiTheme="majorHAnsi" w:hAnsiTheme="majorHAnsi" w:cstheme="minorBidi"/>
          <w:szCs w:val="24"/>
          <w:u w:val="single"/>
        </w:rPr>
        <w:t xml:space="preserve">1ère Phase : décembre 2019 </w:t>
      </w:r>
      <w:r w:rsidR="00912B16">
        <w:rPr>
          <w:rFonts w:asciiTheme="majorHAnsi" w:hAnsiTheme="majorHAnsi" w:cstheme="minorBidi"/>
          <w:szCs w:val="24"/>
          <w:u w:val="single"/>
        </w:rPr>
        <w:t>-</w:t>
      </w:r>
      <w:r w:rsidRPr="009F3FB6">
        <w:rPr>
          <w:rFonts w:asciiTheme="majorHAnsi" w:hAnsiTheme="majorHAnsi" w:cstheme="minorBidi"/>
          <w:szCs w:val="24"/>
          <w:u w:val="single"/>
        </w:rPr>
        <w:t xml:space="preserve"> mars 2020 pour un total de 5.250 M€</w:t>
      </w:r>
    </w:p>
    <w:p w14:paraId="6D376BD4" w14:textId="3760E081" w:rsidR="54FDD3F0" w:rsidRDefault="54FDD3F0" w:rsidP="54FDD3F0">
      <w:pPr>
        <w:pStyle w:val="NormalWeb"/>
        <w:shd w:val="clear" w:color="auto" w:fill="FFFFFF" w:themeFill="background1"/>
        <w:rPr>
          <w:rFonts w:asciiTheme="majorHAnsi" w:hAnsiTheme="majorHAnsi" w:cstheme="minorBidi"/>
        </w:rPr>
      </w:pPr>
      <w:r w:rsidRPr="54FDD3F0">
        <w:rPr>
          <w:rFonts w:asciiTheme="majorHAnsi" w:hAnsiTheme="majorHAnsi" w:cstheme="minorBidi"/>
        </w:rPr>
        <w:t xml:space="preserve">. Commitment fees pour un total de 1.450 M€ en date du 24 décembre 2019 qui correspond à 580 </w:t>
      </w:r>
      <w:r w:rsidR="00490F6A">
        <w:rPr>
          <w:rFonts w:asciiTheme="majorHAnsi" w:hAnsiTheme="majorHAnsi" w:cstheme="minorBidi"/>
        </w:rPr>
        <w:t>OC</w:t>
      </w:r>
      <w:r w:rsidRPr="54FDD3F0">
        <w:rPr>
          <w:rFonts w:asciiTheme="majorHAnsi" w:hAnsiTheme="majorHAnsi" w:cstheme="minorBidi"/>
        </w:rPr>
        <w:t xml:space="preserve"> débloqué</w:t>
      </w:r>
      <w:r w:rsidR="00F205CB">
        <w:rPr>
          <w:rFonts w:asciiTheme="majorHAnsi" w:hAnsiTheme="majorHAnsi" w:cstheme="minorBidi"/>
        </w:rPr>
        <w:t xml:space="preserve">es </w:t>
      </w:r>
      <w:r w:rsidRPr="54FDD3F0">
        <w:rPr>
          <w:rFonts w:asciiTheme="majorHAnsi" w:hAnsiTheme="majorHAnsi" w:cstheme="minorBidi"/>
        </w:rPr>
        <w:t>dès la première demande de levée d’obligations ;</w:t>
      </w:r>
    </w:p>
    <w:p w14:paraId="2977100F" w14:textId="1A9192D3" w:rsidR="54FDD3F0" w:rsidRDefault="54FDD3F0" w:rsidP="54FDD3F0">
      <w:pPr>
        <w:pStyle w:val="NormalWeb"/>
        <w:shd w:val="clear" w:color="auto" w:fill="FFFFFF" w:themeFill="background1"/>
        <w:rPr>
          <w:rFonts w:asciiTheme="majorHAnsi" w:hAnsiTheme="majorHAnsi" w:cstheme="minorBidi"/>
        </w:rPr>
      </w:pPr>
      <w:r w:rsidRPr="54FDD3F0">
        <w:rPr>
          <w:rFonts w:asciiTheme="majorHAnsi" w:hAnsiTheme="majorHAnsi" w:cstheme="minorBidi"/>
        </w:rPr>
        <w:t xml:space="preserve">. 1ère tranche de souscription en date du 23 décembre 2019 de 800 bons d'émission donnant droit à 800 </w:t>
      </w:r>
      <w:r w:rsidR="00490F6A">
        <w:rPr>
          <w:rFonts w:asciiTheme="majorHAnsi" w:hAnsiTheme="majorHAnsi" w:cstheme="minorBidi"/>
        </w:rPr>
        <w:t>OC</w:t>
      </w:r>
      <w:r w:rsidRPr="54FDD3F0">
        <w:rPr>
          <w:rFonts w:asciiTheme="majorHAnsi" w:hAnsiTheme="majorHAnsi" w:cstheme="minorBidi"/>
        </w:rPr>
        <w:t xml:space="preserve"> d'une valeur nominale de 2.500 €, soit un montant total entièrement converti et apporté en trésorerie pour 2.000 K€ ; </w:t>
      </w:r>
    </w:p>
    <w:p w14:paraId="34C780D3" w14:textId="5DBA79F3" w:rsidR="54FDD3F0" w:rsidRDefault="54FDD3F0" w:rsidP="54FDD3F0">
      <w:pPr>
        <w:pStyle w:val="NormalWeb"/>
        <w:shd w:val="clear" w:color="auto" w:fill="FFFFFF" w:themeFill="background1"/>
        <w:rPr>
          <w:rFonts w:asciiTheme="majorHAnsi" w:hAnsiTheme="majorHAnsi" w:cstheme="minorBidi"/>
        </w:rPr>
      </w:pPr>
      <w:r w:rsidRPr="54FDD3F0">
        <w:rPr>
          <w:rFonts w:asciiTheme="majorHAnsi" w:hAnsiTheme="majorHAnsi" w:cstheme="minorBidi"/>
        </w:rPr>
        <w:t xml:space="preserve">. La 2ème tranche de souscription est intervenue au 30 mars 2020 pour 720 bons d'émission donnant droit à 720 </w:t>
      </w:r>
      <w:r w:rsidR="00490F6A">
        <w:rPr>
          <w:rFonts w:asciiTheme="majorHAnsi" w:hAnsiTheme="majorHAnsi" w:cstheme="minorBidi"/>
        </w:rPr>
        <w:t>OC</w:t>
      </w:r>
      <w:r w:rsidRPr="54FDD3F0">
        <w:rPr>
          <w:rFonts w:asciiTheme="majorHAnsi" w:hAnsiTheme="majorHAnsi" w:cstheme="minorBidi"/>
        </w:rPr>
        <w:t xml:space="preserve"> d'une valeur nominale de 2.500 €, soit un montant total entièrement converti pour 1.800 K€ et apporté en trésorerie à hauteur de 300 K€. Le delta correspondant aux règlements de compensations au titre de l’application des clauses contractuelles lorsque le nominal des actions est inférieur au cours de bourse.</w:t>
      </w:r>
    </w:p>
    <w:p w14:paraId="3B5FF7C4" w14:textId="05C23E8F" w:rsidR="00283558" w:rsidRPr="009F3FB6" w:rsidRDefault="00283558" w:rsidP="00C622C2">
      <w:pPr>
        <w:pStyle w:val="NormalWeb"/>
        <w:numPr>
          <w:ilvl w:val="0"/>
          <w:numId w:val="58"/>
        </w:numPr>
        <w:shd w:val="clear" w:color="auto" w:fill="FFFFFF"/>
        <w:rPr>
          <w:rFonts w:asciiTheme="majorHAnsi" w:hAnsiTheme="majorHAnsi" w:cstheme="minorBidi"/>
          <w:szCs w:val="24"/>
          <w:u w:val="single"/>
        </w:rPr>
      </w:pPr>
      <w:r w:rsidRPr="009F3FB6">
        <w:rPr>
          <w:rFonts w:asciiTheme="majorHAnsi" w:hAnsiTheme="majorHAnsi" w:cstheme="minorBidi"/>
          <w:szCs w:val="24"/>
          <w:u w:val="single"/>
        </w:rPr>
        <w:t xml:space="preserve">2ème phase : avril 2020 </w:t>
      </w:r>
      <w:r w:rsidR="00912B16">
        <w:rPr>
          <w:rFonts w:asciiTheme="majorHAnsi" w:hAnsiTheme="majorHAnsi" w:cstheme="minorBidi"/>
          <w:szCs w:val="24"/>
          <w:u w:val="single"/>
        </w:rPr>
        <w:t>-</w:t>
      </w:r>
      <w:r w:rsidRPr="009F3FB6">
        <w:rPr>
          <w:rFonts w:asciiTheme="majorHAnsi" w:hAnsiTheme="majorHAnsi" w:cstheme="minorBidi"/>
          <w:szCs w:val="24"/>
          <w:u w:val="single"/>
        </w:rPr>
        <w:t xml:space="preserve"> septembre 2020 pour un maximum de 6 M€</w:t>
      </w:r>
    </w:p>
    <w:p w14:paraId="6BB0F709" w14:textId="55E53C30" w:rsidR="00283558" w:rsidRPr="00283558" w:rsidRDefault="54FDD3F0" w:rsidP="54FDD3F0">
      <w:pPr>
        <w:pStyle w:val="NormalWeb"/>
        <w:shd w:val="clear" w:color="auto" w:fill="FFFFFF" w:themeFill="background1"/>
        <w:rPr>
          <w:rFonts w:asciiTheme="majorHAnsi" w:hAnsiTheme="majorHAnsi" w:cstheme="minorBidi"/>
        </w:rPr>
      </w:pPr>
      <w:r w:rsidRPr="54FDD3F0">
        <w:rPr>
          <w:rFonts w:asciiTheme="majorHAnsi" w:hAnsiTheme="majorHAnsi" w:cstheme="minorBidi"/>
        </w:rPr>
        <w:lastRenderedPageBreak/>
        <w:t xml:space="preserve">. La 1ère tranche de souscription est intervenue au 16 avril 2020 pour 1.120 bons d'émission donnant droit à 1120 </w:t>
      </w:r>
      <w:r w:rsidR="00490F6A">
        <w:rPr>
          <w:rFonts w:asciiTheme="majorHAnsi" w:hAnsiTheme="majorHAnsi" w:cstheme="minorBidi"/>
        </w:rPr>
        <w:t>OC</w:t>
      </w:r>
      <w:r w:rsidRPr="54FDD3F0">
        <w:rPr>
          <w:rFonts w:asciiTheme="majorHAnsi" w:hAnsiTheme="majorHAnsi" w:cstheme="minorBidi"/>
        </w:rPr>
        <w:t xml:space="preserve"> d'une valeur nominale de 2.500 €, soit un montant total converti de 2 800 K€, uniquement au titre de </w:t>
      </w:r>
      <w:r w:rsidR="003D1BAA" w:rsidRPr="54FDD3F0">
        <w:rPr>
          <w:rFonts w:asciiTheme="majorHAnsi" w:hAnsiTheme="majorHAnsi" w:cstheme="minorBidi"/>
        </w:rPr>
        <w:t>compensations ;</w:t>
      </w:r>
    </w:p>
    <w:p w14:paraId="7F02167E" w14:textId="5642E044" w:rsidR="00283558" w:rsidRPr="00283558" w:rsidRDefault="54FDD3F0" w:rsidP="54FDD3F0">
      <w:pPr>
        <w:pStyle w:val="NormalWeb"/>
        <w:shd w:val="clear" w:color="auto" w:fill="FFFFFF" w:themeFill="background1"/>
        <w:rPr>
          <w:rFonts w:asciiTheme="majorHAnsi" w:hAnsiTheme="majorHAnsi" w:cstheme="minorBidi"/>
        </w:rPr>
      </w:pPr>
      <w:r w:rsidRPr="54FDD3F0">
        <w:rPr>
          <w:rFonts w:asciiTheme="majorHAnsi" w:hAnsiTheme="majorHAnsi" w:cstheme="minorBidi"/>
        </w:rPr>
        <w:t xml:space="preserve">. La 2ème tranche de souscription est intervenue au 21 mai 2020 pour 300 bons d'émission donnant droit à 300 </w:t>
      </w:r>
      <w:r w:rsidR="00490F6A">
        <w:rPr>
          <w:rFonts w:asciiTheme="majorHAnsi" w:hAnsiTheme="majorHAnsi" w:cstheme="minorBidi"/>
        </w:rPr>
        <w:t>OC</w:t>
      </w:r>
      <w:r w:rsidRPr="54FDD3F0">
        <w:rPr>
          <w:rFonts w:asciiTheme="majorHAnsi" w:hAnsiTheme="majorHAnsi" w:cstheme="minorBidi"/>
        </w:rPr>
        <w:t xml:space="preserve"> d'une valeur nominale de 2.500 €, soit un montant total entièrement converti en période subséquente de 750 K€ et intégralement apporté en trésorerie ;</w:t>
      </w:r>
    </w:p>
    <w:p w14:paraId="0E25D44A" w14:textId="5EA280F2" w:rsidR="00283558" w:rsidRPr="00283558" w:rsidRDefault="54FDD3F0" w:rsidP="54FDD3F0">
      <w:pPr>
        <w:pStyle w:val="NormalWeb"/>
        <w:shd w:val="clear" w:color="auto" w:fill="FFFFFF" w:themeFill="background1"/>
        <w:rPr>
          <w:rFonts w:asciiTheme="majorHAnsi" w:hAnsiTheme="majorHAnsi" w:cstheme="minorBidi"/>
        </w:rPr>
      </w:pPr>
      <w:r w:rsidRPr="54FDD3F0">
        <w:rPr>
          <w:rFonts w:asciiTheme="majorHAnsi" w:hAnsiTheme="majorHAnsi" w:cstheme="minorBidi"/>
        </w:rPr>
        <w:t xml:space="preserve">. La 3ème tranche </w:t>
      </w:r>
      <w:r w:rsidR="00490F6A" w:rsidRPr="54FDD3F0">
        <w:rPr>
          <w:rFonts w:asciiTheme="majorHAnsi" w:hAnsiTheme="majorHAnsi" w:cstheme="minorBidi"/>
        </w:rPr>
        <w:t xml:space="preserve">de souscription </w:t>
      </w:r>
      <w:r w:rsidRPr="54FDD3F0">
        <w:rPr>
          <w:rFonts w:asciiTheme="majorHAnsi" w:hAnsiTheme="majorHAnsi" w:cstheme="minorBidi"/>
        </w:rPr>
        <w:t>est intervenue le 7 septembre</w:t>
      </w:r>
      <w:r w:rsidR="003A314F">
        <w:rPr>
          <w:rFonts w:asciiTheme="majorHAnsi" w:hAnsiTheme="majorHAnsi" w:cstheme="minorBidi"/>
        </w:rPr>
        <w:t xml:space="preserve"> 2020</w:t>
      </w:r>
      <w:r w:rsidRPr="54FDD3F0">
        <w:rPr>
          <w:rFonts w:asciiTheme="majorHAnsi" w:hAnsiTheme="majorHAnsi" w:cstheme="minorBidi"/>
        </w:rPr>
        <w:t xml:space="preserve"> pour 800 bons d’émission donnant droit à 800 </w:t>
      </w:r>
      <w:r w:rsidR="00490F6A">
        <w:rPr>
          <w:rFonts w:asciiTheme="majorHAnsi" w:hAnsiTheme="majorHAnsi" w:cstheme="minorBidi"/>
        </w:rPr>
        <w:t>OC</w:t>
      </w:r>
      <w:r w:rsidRPr="54FDD3F0">
        <w:rPr>
          <w:rFonts w:asciiTheme="majorHAnsi" w:hAnsiTheme="majorHAnsi" w:cstheme="minorBidi"/>
        </w:rPr>
        <w:t xml:space="preserve"> d'une valeur nominale de 2.500 €, soit un montant total 2</w:t>
      </w:r>
      <w:r w:rsidRPr="54FDD3F0">
        <w:rPr>
          <w:rFonts w:ascii="Calibri" w:hAnsi="Calibri" w:cs="Calibri"/>
        </w:rPr>
        <w:t xml:space="preserve">.000 K€ </w:t>
      </w:r>
      <w:r w:rsidRPr="54FDD3F0">
        <w:rPr>
          <w:rFonts w:asciiTheme="majorHAnsi" w:hAnsiTheme="majorHAnsi" w:cstheme="minorBidi"/>
        </w:rPr>
        <w:t>d’emprunt obligataire dont 1.313 K€ en trésorerie ;</w:t>
      </w:r>
    </w:p>
    <w:p w14:paraId="351F96C2" w14:textId="57471B65" w:rsidR="54FDD3F0" w:rsidRPr="00152D99" w:rsidRDefault="54FDD3F0" w:rsidP="54FDD3F0">
      <w:pPr>
        <w:pStyle w:val="NormalWeb"/>
        <w:shd w:val="clear" w:color="auto" w:fill="FFFFFF" w:themeFill="background1"/>
        <w:rPr>
          <w:rFonts w:asciiTheme="majorHAnsi" w:hAnsiTheme="majorHAnsi" w:cstheme="minorBidi"/>
        </w:rPr>
      </w:pPr>
      <w:r w:rsidRPr="54FDD3F0">
        <w:rPr>
          <w:rFonts w:asciiTheme="majorHAnsi" w:hAnsiTheme="majorHAnsi" w:cstheme="minorBidi"/>
        </w:rPr>
        <w:t xml:space="preserve">. La 4ème tranche </w:t>
      </w:r>
      <w:r w:rsidR="00490F6A" w:rsidRPr="54FDD3F0">
        <w:rPr>
          <w:rFonts w:asciiTheme="majorHAnsi" w:hAnsiTheme="majorHAnsi" w:cstheme="minorBidi"/>
        </w:rPr>
        <w:t xml:space="preserve">de souscription </w:t>
      </w:r>
      <w:r w:rsidRPr="54FDD3F0">
        <w:rPr>
          <w:rFonts w:asciiTheme="majorHAnsi" w:hAnsiTheme="majorHAnsi" w:cstheme="minorBidi"/>
        </w:rPr>
        <w:t xml:space="preserve">est intervenue le 13 novembre </w:t>
      </w:r>
      <w:r w:rsidR="003A314F">
        <w:rPr>
          <w:rFonts w:asciiTheme="majorHAnsi" w:hAnsiTheme="majorHAnsi" w:cstheme="minorBidi"/>
        </w:rPr>
        <w:t xml:space="preserve">2020 </w:t>
      </w:r>
      <w:r w:rsidRPr="54FDD3F0">
        <w:rPr>
          <w:rFonts w:asciiTheme="majorHAnsi" w:hAnsiTheme="majorHAnsi" w:cstheme="minorBidi"/>
        </w:rPr>
        <w:t xml:space="preserve">pour 400 bons d’émission donnant droit à 400 </w:t>
      </w:r>
      <w:r w:rsidR="00490F6A">
        <w:rPr>
          <w:rFonts w:asciiTheme="majorHAnsi" w:hAnsiTheme="majorHAnsi" w:cstheme="minorBidi"/>
        </w:rPr>
        <w:t>OC</w:t>
      </w:r>
      <w:r w:rsidRPr="54FDD3F0">
        <w:rPr>
          <w:rFonts w:asciiTheme="majorHAnsi" w:hAnsiTheme="majorHAnsi" w:cstheme="minorBidi"/>
        </w:rPr>
        <w:t xml:space="preserve"> d'une valeur nominale de 2.500 €</w:t>
      </w:r>
      <w:r w:rsidR="00AA7391">
        <w:rPr>
          <w:rFonts w:asciiTheme="majorHAnsi" w:hAnsiTheme="majorHAnsi" w:cstheme="minorBidi"/>
        </w:rPr>
        <w:t xml:space="preserve"> donnant lieu à 900 K€ de prime d’émission</w:t>
      </w:r>
      <w:r w:rsidRPr="54FDD3F0">
        <w:rPr>
          <w:rFonts w:asciiTheme="majorHAnsi" w:hAnsiTheme="majorHAnsi" w:cstheme="minorBidi"/>
        </w:rPr>
        <w:t xml:space="preserve">, soit un montant </w:t>
      </w:r>
      <w:r w:rsidRPr="54FDD3F0">
        <w:rPr>
          <w:rFonts w:asciiTheme="majorHAnsi" w:hAnsiTheme="majorHAnsi"/>
        </w:rPr>
        <w:t>total 1.000 K€ d’emprunt obligataire, montant total entièrement converti et apporté en trésorerie pour 23 K€.</w:t>
      </w:r>
    </w:p>
    <w:p w14:paraId="328D5317" w14:textId="1D097B06" w:rsidR="00283558" w:rsidRPr="009F3FB6" w:rsidRDefault="00283558" w:rsidP="00C622C2">
      <w:pPr>
        <w:pStyle w:val="NormalWeb"/>
        <w:numPr>
          <w:ilvl w:val="0"/>
          <w:numId w:val="58"/>
        </w:numPr>
        <w:shd w:val="clear" w:color="auto" w:fill="FFFFFF"/>
        <w:rPr>
          <w:rFonts w:asciiTheme="majorHAnsi" w:hAnsiTheme="majorHAnsi" w:cstheme="minorBidi"/>
          <w:szCs w:val="24"/>
          <w:u w:val="single"/>
        </w:rPr>
      </w:pPr>
      <w:r w:rsidRPr="009F3FB6">
        <w:rPr>
          <w:rFonts w:asciiTheme="majorHAnsi" w:hAnsiTheme="majorHAnsi" w:cstheme="minorBidi"/>
          <w:szCs w:val="24"/>
          <w:u w:val="single"/>
        </w:rPr>
        <w:t xml:space="preserve">3ème phase : décembre 2020 </w:t>
      </w:r>
      <w:r w:rsidR="00912B16">
        <w:rPr>
          <w:rFonts w:asciiTheme="majorHAnsi" w:hAnsiTheme="majorHAnsi" w:cstheme="minorBidi"/>
          <w:szCs w:val="24"/>
          <w:u w:val="single"/>
        </w:rPr>
        <w:t>-</w:t>
      </w:r>
      <w:r w:rsidRPr="009F3FB6">
        <w:rPr>
          <w:rFonts w:asciiTheme="majorHAnsi" w:hAnsiTheme="majorHAnsi" w:cstheme="minorBidi"/>
          <w:szCs w:val="24"/>
          <w:u w:val="single"/>
        </w:rPr>
        <w:t xml:space="preserve"> mars 2021 pour un maximum de 6 M€</w:t>
      </w:r>
    </w:p>
    <w:p w14:paraId="72B975BD" w14:textId="28EBE465" w:rsidR="00283558" w:rsidRPr="009F3FB6" w:rsidRDefault="00283558" w:rsidP="009F3FB6">
      <w:pPr>
        <w:rPr>
          <w:rFonts w:ascii="Calibri" w:hAnsi="Calibri" w:cs="Calibri"/>
          <w:szCs w:val="20"/>
        </w:rPr>
      </w:pPr>
      <w:r w:rsidRPr="009F3FB6">
        <w:rPr>
          <w:rFonts w:ascii="Calibri" w:hAnsi="Calibri" w:cs="Calibri"/>
          <w:szCs w:val="20"/>
        </w:rPr>
        <w:t xml:space="preserve">. La 1ère tranche de souscription est intervenue le 22 décembre 2020 pour 400 bons d'émission donnant droit à 400 </w:t>
      </w:r>
      <w:r w:rsidR="00490F6A">
        <w:rPr>
          <w:rFonts w:ascii="Calibri" w:hAnsi="Calibri" w:cs="Calibri"/>
          <w:szCs w:val="20"/>
        </w:rPr>
        <w:t>OC</w:t>
      </w:r>
      <w:r w:rsidRPr="009F3FB6">
        <w:rPr>
          <w:rFonts w:ascii="Calibri" w:hAnsi="Calibri" w:cs="Calibri"/>
          <w:szCs w:val="20"/>
        </w:rPr>
        <w:t xml:space="preserve"> d'une valeur nominale de 2.500 </w:t>
      </w:r>
      <w:r w:rsidR="009F3FB6" w:rsidRPr="009F3FB6">
        <w:rPr>
          <w:rFonts w:ascii="Calibri" w:hAnsi="Calibri" w:cs="Calibri"/>
          <w:szCs w:val="20"/>
        </w:rPr>
        <w:t>€</w:t>
      </w:r>
      <w:r w:rsidR="00AA7391">
        <w:rPr>
          <w:rFonts w:ascii="Calibri" w:hAnsi="Calibri" w:cs="Calibri"/>
          <w:szCs w:val="20"/>
        </w:rPr>
        <w:t xml:space="preserve"> </w:t>
      </w:r>
      <w:r w:rsidR="00AA7391">
        <w:t>donnant lieu à 900 K€ de prime d’émission</w:t>
      </w:r>
      <w:r w:rsidRPr="009F3FB6">
        <w:rPr>
          <w:rFonts w:ascii="Calibri" w:hAnsi="Calibri" w:cs="Calibri"/>
          <w:szCs w:val="20"/>
        </w:rPr>
        <w:t xml:space="preserve">, soit un montant total </w:t>
      </w:r>
      <w:r w:rsidR="0059060F">
        <w:rPr>
          <w:rFonts w:ascii="Calibri" w:hAnsi="Calibri" w:cs="Calibri"/>
          <w:szCs w:val="20"/>
        </w:rPr>
        <w:t xml:space="preserve">de </w:t>
      </w:r>
      <w:r w:rsidR="009F3FB6" w:rsidRPr="009F3FB6">
        <w:rPr>
          <w:rFonts w:ascii="Calibri" w:hAnsi="Calibri" w:cs="Calibri"/>
          <w:szCs w:val="20"/>
        </w:rPr>
        <w:t xml:space="preserve">1.000 K€ </w:t>
      </w:r>
      <w:r w:rsidRPr="009F3FB6">
        <w:rPr>
          <w:rFonts w:ascii="Calibri" w:hAnsi="Calibri" w:cs="Calibri"/>
          <w:szCs w:val="20"/>
        </w:rPr>
        <w:t xml:space="preserve">d'emprunt obligataire, montant total entièrement converti </w:t>
      </w:r>
      <w:r w:rsidR="009F3FB6" w:rsidRPr="009F3FB6">
        <w:rPr>
          <w:rFonts w:ascii="Calibri" w:hAnsi="Calibri" w:cs="Calibri"/>
          <w:szCs w:val="20"/>
        </w:rPr>
        <w:t>et apporté en trésorerie pour 1.000 K€</w:t>
      </w:r>
      <w:r w:rsidRPr="009F3FB6">
        <w:rPr>
          <w:rFonts w:ascii="Calibri" w:hAnsi="Calibri" w:cs="Calibri"/>
          <w:szCs w:val="20"/>
        </w:rPr>
        <w:t xml:space="preserve">. </w:t>
      </w:r>
    </w:p>
    <w:p w14:paraId="2022849D" w14:textId="77777777" w:rsidR="009F3FB6" w:rsidRPr="009F3FB6" w:rsidRDefault="009F3FB6" w:rsidP="009F3FB6">
      <w:pPr>
        <w:rPr>
          <w:rFonts w:ascii="Calibri" w:hAnsi="Calibri" w:cs="Calibri"/>
          <w:szCs w:val="20"/>
        </w:rPr>
      </w:pPr>
    </w:p>
    <w:p w14:paraId="6A8389AC" w14:textId="7BBE6E5D" w:rsidR="00673B98" w:rsidRDefault="00283558" w:rsidP="009F3FB6">
      <w:pPr>
        <w:rPr>
          <w:rFonts w:ascii="Calibri" w:hAnsi="Calibri" w:cs="Calibri"/>
          <w:szCs w:val="20"/>
        </w:rPr>
      </w:pPr>
      <w:r w:rsidRPr="009F3FB6">
        <w:rPr>
          <w:rFonts w:ascii="Calibri" w:hAnsi="Calibri" w:cs="Calibri"/>
          <w:szCs w:val="20"/>
        </w:rPr>
        <w:t xml:space="preserve">. </w:t>
      </w:r>
      <w:r w:rsidR="00673B98" w:rsidRPr="009F3FB6">
        <w:rPr>
          <w:rFonts w:ascii="Calibri" w:hAnsi="Calibri" w:cs="Calibri"/>
          <w:szCs w:val="20"/>
        </w:rPr>
        <w:t xml:space="preserve">Une 2ème tranche de souscription </w:t>
      </w:r>
      <w:r w:rsidR="008E265C" w:rsidRPr="009F3FB6">
        <w:rPr>
          <w:rFonts w:ascii="Calibri" w:hAnsi="Calibri" w:cs="Calibri"/>
          <w:szCs w:val="20"/>
        </w:rPr>
        <w:t xml:space="preserve">est intervenue le </w:t>
      </w:r>
      <w:r w:rsidR="00673B98" w:rsidRPr="009F3FB6">
        <w:rPr>
          <w:rFonts w:ascii="Calibri" w:hAnsi="Calibri" w:cs="Calibri"/>
          <w:szCs w:val="20"/>
        </w:rPr>
        <w:t xml:space="preserve">4 janvier 2021 pour 400 bons d'émission donnant droit à 400 </w:t>
      </w:r>
      <w:r w:rsidR="00490F6A">
        <w:rPr>
          <w:rFonts w:ascii="Calibri" w:hAnsi="Calibri" w:cs="Calibri"/>
          <w:szCs w:val="20"/>
        </w:rPr>
        <w:t>OC</w:t>
      </w:r>
      <w:r w:rsidR="00673B98" w:rsidRPr="009F3FB6">
        <w:rPr>
          <w:rFonts w:ascii="Calibri" w:hAnsi="Calibri" w:cs="Calibri"/>
          <w:szCs w:val="20"/>
        </w:rPr>
        <w:t xml:space="preserve"> d'une valeur nominale de 2.500 €</w:t>
      </w:r>
      <w:r w:rsidR="00A47AF0">
        <w:rPr>
          <w:rFonts w:ascii="Calibri" w:hAnsi="Calibri" w:cs="Calibri"/>
          <w:szCs w:val="20"/>
        </w:rPr>
        <w:t xml:space="preserve"> </w:t>
      </w:r>
      <w:r w:rsidR="00A47AF0">
        <w:t>donnant lieu à 900 K€ de prime d’émission</w:t>
      </w:r>
      <w:r w:rsidR="00673B98" w:rsidRPr="009F3FB6">
        <w:rPr>
          <w:rFonts w:ascii="Calibri" w:hAnsi="Calibri" w:cs="Calibri"/>
          <w:szCs w:val="20"/>
        </w:rPr>
        <w:t xml:space="preserve">, soit un montant total </w:t>
      </w:r>
      <w:r w:rsidR="0059060F">
        <w:rPr>
          <w:rFonts w:ascii="Calibri" w:hAnsi="Calibri" w:cs="Calibri"/>
          <w:szCs w:val="20"/>
        </w:rPr>
        <w:t>de</w:t>
      </w:r>
      <w:r w:rsidR="00673B98" w:rsidRPr="009F3FB6">
        <w:rPr>
          <w:rFonts w:ascii="Calibri" w:hAnsi="Calibri" w:cs="Calibri"/>
          <w:szCs w:val="20"/>
        </w:rPr>
        <w:t xml:space="preserve"> 1.000 K€ d'emprunt obligataire, montant entièrement apporté en trésorerie pour 1.000 K€. </w:t>
      </w:r>
    </w:p>
    <w:p w14:paraId="06D57EDF" w14:textId="77777777" w:rsidR="00F05524" w:rsidRDefault="00F05524" w:rsidP="009F3FB6">
      <w:pPr>
        <w:rPr>
          <w:rFonts w:ascii="Calibri" w:hAnsi="Calibri" w:cs="Calibri"/>
          <w:szCs w:val="20"/>
        </w:rPr>
      </w:pPr>
    </w:p>
    <w:p w14:paraId="4770D367" w14:textId="0B6E5D01" w:rsidR="00F05524" w:rsidRDefault="00EB633B" w:rsidP="009F3FB6">
      <w:pPr>
        <w:rPr>
          <w:szCs w:val="20"/>
        </w:rPr>
      </w:pPr>
      <w:r>
        <w:rPr>
          <w:szCs w:val="20"/>
        </w:rPr>
        <w:t>.</w:t>
      </w:r>
      <w:r w:rsidR="54FDD3F0" w:rsidRPr="54FDD3F0">
        <w:rPr>
          <w:szCs w:val="20"/>
        </w:rPr>
        <w:t xml:space="preserve"> </w:t>
      </w:r>
      <w:r w:rsidR="54FDD3F0" w:rsidRPr="00152D99">
        <w:rPr>
          <w:szCs w:val="20"/>
        </w:rPr>
        <w:t xml:space="preserve">Une 3ème tranche </w:t>
      </w:r>
      <w:r w:rsidR="00490F6A" w:rsidRPr="54FDD3F0">
        <w:t xml:space="preserve">de souscription </w:t>
      </w:r>
      <w:r w:rsidR="54FDD3F0" w:rsidRPr="00152D99">
        <w:rPr>
          <w:szCs w:val="20"/>
        </w:rPr>
        <w:t xml:space="preserve">a été réalisée le 19 janvier 2021 pour 600 bons d’émission donnant droit à 600 </w:t>
      </w:r>
      <w:r w:rsidR="00490F6A">
        <w:rPr>
          <w:szCs w:val="20"/>
        </w:rPr>
        <w:t>OC</w:t>
      </w:r>
      <w:r w:rsidR="54FDD3F0" w:rsidRPr="00152D99">
        <w:rPr>
          <w:szCs w:val="20"/>
        </w:rPr>
        <w:t xml:space="preserve"> d’une valeur nominale de 2.500 €</w:t>
      </w:r>
      <w:r w:rsidR="00A47AF0">
        <w:rPr>
          <w:szCs w:val="20"/>
        </w:rPr>
        <w:t xml:space="preserve"> </w:t>
      </w:r>
      <w:r w:rsidR="00A47AF0">
        <w:t>donnant lieu à 1.350 K€ de prime d’émission</w:t>
      </w:r>
      <w:r w:rsidR="54FDD3F0" w:rsidRPr="00152D99">
        <w:rPr>
          <w:szCs w:val="20"/>
        </w:rPr>
        <w:t>, soit un montant total de 1.500 K€ d’emprunt obligataire intégralement apporté en trésorerie.</w:t>
      </w:r>
    </w:p>
    <w:p w14:paraId="10ED4139" w14:textId="77777777" w:rsidR="00EB633B" w:rsidRDefault="00EB633B" w:rsidP="009F3FB6">
      <w:pPr>
        <w:rPr>
          <w:rFonts w:ascii="Calibri" w:hAnsi="Calibri" w:cs="Calibri"/>
        </w:rPr>
      </w:pPr>
    </w:p>
    <w:p w14:paraId="0445E408" w14:textId="6009F3CB" w:rsidR="00EB633B" w:rsidRPr="002C5E5B" w:rsidRDefault="00EB633B" w:rsidP="00EB633B">
      <w:pPr>
        <w:rPr>
          <w:rFonts w:ascii="Calibri" w:hAnsi="Calibri" w:cs="Calibri"/>
        </w:rPr>
      </w:pPr>
      <w:r>
        <w:rPr>
          <w:szCs w:val="20"/>
        </w:rPr>
        <w:t>.</w:t>
      </w:r>
      <w:r w:rsidRPr="54FDD3F0">
        <w:rPr>
          <w:szCs w:val="20"/>
        </w:rPr>
        <w:t xml:space="preserve"> </w:t>
      </w:r>
      <w:r w:rsidRPr="00152D99">
        <w:rPr>
          <w:szCs w:val="20"/>
        </w:rPr>
        <w:t xml:space="preserve">Une </w:t>
      </w:r>
      <w:r>
        <w:rPr>
          <w:szCs w:val="20"/>
        </w:rPr>
        <w:t>4</w:t>
      </w:r>
      <w:r w:rsidRPr="00152D99">
        <w:rPr>
          <w:szCs w:val="20"/>
        </w:rPr>
        <w:t xml:space="preserve">ème tranche </w:t>
      </w:r>
      <w:r w:rsidRPr="54FDD3F0">
        <w:t xml:space="preserve">de souscription </w:t>
      </w:r>
      <w:r w:rsidRPr="00152D99">
        <w:rPr>
          <w:szCs w:val="20"/>
        </w:rPr>
        <w:t xml:space="preserve">a été réalisée le </w:t>
      </w:r>
      <w:r>
        <w:rPr>
          <w:szCs w:val="20"/>
        </w:rPr>
        <w:t>12 février</w:t>
      </w:r>
      <w:r w:rsidRPr="00152D99">
        <w:rPr>
          <w:szCs w:val="20"/>
        </w:rPr>
        <w:t xml:space="preserve"> 2021 pour </w:t>
      </w:r>
      <w:r>
        <w:rPr>
          <w:szCs w:val="20"/>
        </w:rPr>
        <w:t>4</w:t>
      </w:r>
      <w:r w:rsidRPr="00152D99">
        <w:rPr>
          <w:szCs w:val="20"/>
        </w:rPr>
        <w:t xml:space="preserve">00 bons d’émission donnant droit à </w:t>
      </w:r>
      <w:r>
        <w:rPr>
          <w:szCs w:val="20"/>
        </w:rPr>
        <w:t>4</w:t>
      </w:r>
      <w:r w:rsidRPr="00152D99">
        <w:rPr>
          <w:szCs w:val="20"/>
        </w:rPr>
        <w:t xml:space="preserve">00 </w:t>
      </w:r>
      <w:r>
        <w:rPr>
          <w:szCs w:val="20"/>
        </w:rPr>
        <w:t>OC</w:t>
      </w:r>
      <w:r w:rsidRPr="00152D99">
        <w:rPr>
          <w:szCs w:val="20"/>
        </w:rPr>
        <w:t xml:space="preserve"> d’une valeur nominale de 2.500 €</w:t>
      </w:r>
      <w:r w:rsidR="00AF00B1" w:rsidRPr="00AF00B1">
        <w:t xml:space="preserve"> </w:t>
      </w:r>
      <w:r w:rsidR="00AF00B1">
        <w:t>donnant lieu à 900 K€ de prime d’émission</w:t>
      </w:r>
      <w:r w:rsidRPr="00152D99">
        <w:rPr>
          <w:szCs w:val="20"/>
        </w:rPr>
        <w:t>, soit un montant total de 1.</w:t>
      </w:r>
      <w:r>
        <w:rPr>
          <w:szCs w:val="20"/>
        </w:rPr>
        <w:t>0</w:t>
      </w:r>
      <w:r w:rsidRPr="00152D99">
        <w:rPr>
          <w:szCs w:val="20"/>
        </w:rPr>
        <w:t>00 K€ d’emprunt obligataire intégralement apporté en trésorerie.</w:t>
      </w:r>
    </w:p>
    <w:p w14:paraId="61C9B2B1" w14:textId="77777777" w:rsidR="00283558" w:rsidRDefault="00283558" w:rsidP="00283558">
      <w:pPr>
        <w:widowControl w:val="0"/>
        <w:autoSpaceDE w:val="0"/>
        <w:autoSpaceDN w:val="0"/>
        <w:adjustRightInd w:val="0"/>
        <w:rPr>
          <w:rFonts w:ascii="Calibri" w:hAnsi="Calibri" w:cs="Calibri"/>
          <w:bCs/>
          <w:i/>
          <w:szCs w:val="20"/>
          <w:u w:val="single"/>
        </w:rPr>
      </w:pPr>
    </w:p>
    <w:p w14:paraId="2282E947" w14:textId="72749161" w:rsidR="00A43544" w:rsidRDefault="54FDD3F0" w:rsidP="54FDD3F0">
      <w:pPr>
        <w:widowControl w:val="0"/>
        <w:autoSpaceDE w:val="0"/>
        <w:autoSpaceDN w:val="0"/>
        <w:adjustRightInd w:val="0"/>
        <w:rPr>
          <w:rFonts w:ascii="Calibri" w:hAnsi="Calibri" w:cs="Calibri"/>
          <w:b/>
          <w:bCs/>
          <w:i/>
          <w:iCs/>
        </w:rPr>
      </w:pPr>
      <w:r w:rsidRPr="54FDD3F0">
        <w:rPr>
          <w:rFonts w:ascii="Calibri" w:hAnsi="Calibri" w:cs="Calibri"/>
          <w:b/>
          <w:bCs/>
          <w:i/>
          <w:iCs/>
          <w:u w:val="single"/>
        </w:rPr>
        <w:t xml:space="preserve">Apport en trésorerie du plan de financement </w:t>
      </w:r>
      <w:r w:rsidRPr="54FDD3F0">
        <w:rPr>
          <w:rFonts w:ascii="Calibri" w:hAnsi="Calibri" w:cs="Calibri"/>
          <w:b/>
          <w:bCs/>
          <w:i/>
          <w:iCs/>
        </w:rPr>
        <w:t>:</w:t>
      </w:r>
    </w:p>
    <w:p w14:paraId="7C0B3766" w14:textId="77777777" w:rsidR="00EB633B" w:rsidRDefault="00EB633B" w:rsidP="001426C7">
      <w:pPr>
        <w:widowControl w:val="0"/>
        <w:tabs>
          <w:tab w:val="left" w:pos="2907"/>
        </w:tabs>
        <w:autoSpaceDE w:val="0"/>
        <w:autoSpaceDN w:val="0"/>
        <w:adjustRightInd w:val="0"/>
        <w:rPr>
          <w:rFonts w:ascii="Calibri" w:hAnsi="Calibri" w:cs="Calibri"/>
          <w:b/>
          <w:bCs/>
          <w:i/>
          <w:iCs/>
        </w:rPr>
      </w:pPr>
      <w:r>
        <w:rPr>
          <w:rFonts w:ascii="Calibri" w:hAnsi="Calibri" w:cs="Calibri"/>
          <w:b/>
          <w:bCs/>
          <w:i/>
          <w:iCs/>
          <w:noProof/>
        </w:rPr>
        <w:drawing>
          <wp:inline distT="0" distB="0" distL="0" distR="0" wp14:anchorId="26EF3B55" wp14:editId="255E2001">
            <wp:extent cx="5935980" cy="3284759"/>
            <wp:effectExtent l="0" t="0" r="7620" b="0"/>
            <wp:docPr id="1214375490"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935980" cy="3284759"/>
                    </a:xfrm>
                    <a:prstGeom prst="rect">
                      <a:avLst/>
                    </a:prstGeom>
                    <a:noFill/>
                    <a:ln>
                      <a:noFill/>
                    </a:ln>
                  </pic:spPr>
                </pic:pic>
              </a:graphicData>
            </a:graphic>
          </wp:inline>
        </w:drawing>
      </w:r>
    </w:p>
    <w:p w14:paraId="1C2A5ED6" w14:textId="55594647" w:rsidR="0073491C" w:rsidRPr="00EB633B" w:rsidRDefault="001426C7" w:rsidP="001426C7">
      <w:pPr>
        <w:widowControl w:val="0"/>
        <w:tabs>
          <w:tab w:val="left" w:pos="2907"/>
        </w:tabs>
        <w:autoSpaceDE w:val="0"/>
        <w:autoSpaceDN w:val="0"/>
        <w:adjustRightInd w:val="0"/>
        <w:rPr>
          <w:rFonts w:ascii="Calibri" w:hAnsi="Calibri" w:cs="Calibri"/>
          <w:b/>
          <w:bCs/>
          <w:i/>
          <w:iCs/>
        </w:rPr>
      </w:pPr>
      <w:r w:rsidRPr="005B42F0">
        <w:rPr>
          <w:szCs w:val="20"/>
          <w:vertAlign w:val="superscript"/>
        </w:rPr>
        <w:t>(</w:t>
      </w:r>
      <w:r w:rsidR="0073491C" w:rsidRPr="001426C7">
        <w:rPr>
          <w:i/>
          <w:iCs/>
          <w:szCs w:val="20"/>
          <w:vertAlign w:val="superscript"/>
        </w:rPr>
        <w:t>1</w:t>
      </w:r>
      <w:r w:rsidRPr="009B1056">
        <w:rPr>
          <w:i/>
          <w:iCs/>
          <w:szCs w:val="20"/>
          <w:vertAlign w:val="superscript"/>
        </w:rPr>
        <w:t>)</w:t>
      </w:r>
      <w:r w:rsidR="0073491C" w:rsidRPr="0073491C">
        <w:rPr>
          <w:i/>
        </w:rPr>
        <w:t xml:space="preserve"> compensations directes au moment de la levée ou faisant suite à une levée sans apport de trésorerie pour </w:t>
      </w:r>
      <w:r w:rsidR="0073491C" w:rsidRPr="0073491C">
        <w:rPr>
          <w:i/>
        </w:rPr>
        <w:lastRenderedPageBreak/>
        <w:t>apurement de compensations.</w:t>
      </w:r>
    </w:p>
    <w:p w14:paraId="40078DB7" w14:textId="77777777" w:rsidR="0073491C" w:rsidRDefault="0073491C" w:rsidP="54FDD3F0">
      <w:pPr>
        <w:widowControl w:val="0"/>
        <w:autoSpaceDE w:val="0"/>
        <w:autoSpaceDN w:val="0"/>
        <w:adjustRightInd w:val="0"/>
      </w:pPr>
    </w:p>
    <w:p w14:paraId="7EFC79FE" w14:textId="42A2D609" w:rsidR="002C5E5B" w:rsidRDefault="0073491C" w:rsidP="54FDD3F0">
      <w:pPr>
        <w:widowControl w:val="0"/>
        <w:autoSpaceDE w:val="0"/>
        <w:autoSpaceDN w:val="0"/>
        <w:adjustRightInd w:val="0"/>
        <w:rPr>
          <w:rFonts w:ascii="Calibri" w:hAnsi="Calibri" w:cs="Calibri"/>
        </w:rPr>
      </w:pPr>
      <w:r>
        <w:rPr>
          <w:rFonts w:ascii="Calibri" w:hAnsi="Calibri" w:cs="Calibri"/>
        </w:rPr>
        <w:t>Au cours de l’exercice 2019,</w:t>
      </w:r>
      <w:r w:rsidR="54FDD3F0" w:rsidRPr="54FDD3F0">
        <w:rPr>
          <w:rFonts w:ascii="Calibri" w:hAnsi="Calibri" w:cs="Calibri"/>
        </w:rPr>
        <w:t xml:space="preserve"> l’apport en trésorerie de ce plan de financement Negma </w:t>
      </w:r>
      <w:r w:rsidR="00490F6A">
        <w:t xml:space="preserve">Group Ltd </w:t>
      </w:r>
      <w:r w:rsidR="54FDD3F0" w:rsidRPr="54FDD3F0">
        <w:rPr>
          <w:rFonts w:ascii="Calibri" w:hAnsi="Calibri" w:cs="Calibri"/>
        </w:rPr>
        <w:t>a atteint 2</w:t>
      </w:r>
      <w:r w:rsidR="002C5E5B">
        <w:rPr>
          <w:rFonts w:ascii="Calibri" w:hAnsi="Calibri" w:cs="Calibri"/>
        </w:rPr>
        <w:t>.</w:t>
      </w:r>
      <w:r w:rsidR="54FDD3F0" w:rsidRPr="54FDD3F0">
        <w:rPr>
          <w:rFonts w:ascii="Calibri" w:hAnsi="Calibri" w:cs="Calibri"/>
        </w:rPr>
        <w:t>000 K€</w:t>
      </w:r>
      <w:r w:rsidR="00FC73E4">
        <w:rPr>
          <w:rFonts w:ascii="Calibri" w:hAnsi="Calibri" w:cs="Calibri"/>
        </w:rPr>
        <w:t xml:space="preserve">. </w:t>
      </w:r>
      <w:r w:rsidR="00FC73E4">
        <w:rPr>
          <w:rFonts w:ascii="Calibri" w:hAnsi="Calibri" w:cs="Calibri"/>
        </w:rPr>
        <w:br/>
        <w:t xml:space="preserve">En </w:t>
      </w:r>
      <w:r w:rsidR="54FDD3F0" w:rsidRPr="54FDD3F0">
        <w:rPr>
          <w:rFonts w:ascii="Calibri" w:hAnsi="Calibri" w:cs="Calibri"/>
        </w:rPr>
        <w:t>2020</w:t>
      </w:r>
      <w:r w:rsidR="00FC73E4">
        <w:rPr>
          <w:rFonts w:ascii="Calibri" w:hAnsi="Calibri" w:cs="Calibri"/>
        </w:rPr>
        <w:t>,</w:t>
      </w:r>
      <w:r w:rsidR="54FDD3F0" w:rsidRPr="54FDD3F0">
        <w:rPr>
          <w:rFonts w:ascii="Calibri" w:hAnsi="Calibri" w:cs="Calibri"/>
        </w:rPr>
        <w:t xml:space="preserve"> </w:t>
      </w:r>
      <w:r w:rsidR="002C5E5B">
        <w:rPr>
          <w:rFonts w:ascii="Calibri" w:hAnsi="Calibri" w:cs="Calibri"/>
        </w:rPr>
        <w:t xml:space="preserve">cet </w:t>
      </w:r>
      <w:r w:rsidR="54FDD3F0" w:rsidRPr="54FDD3F0">
        <w:rPr>
          <w:rFonts w:ascii="Calibri" w:hAnsi="Calibri" w:cs="Calibri"/>
        </w:rPr>
        <w:t xml:space="preserve">apport était de 3.388 K€. </w:t>
      </w:r>
    </w:p>
    <w:p w14:paraId="31D05E46" w14:textId="50877095" w:rsidR="00BE1DBF" w:rsidRDefault="54FDD3F0" w:rsidP="54FDD3F0">
      <w:pPr>
        <w:widowControl w:val="0"/>
        <w:autoSpaceDE w:val="0"/>
        <w:autoSpaceDN w:val="0"/>
        <w:adjustRightInd w:val="0"/>
        <w:rPr>
          <w:rFonts w:ascii="Calibri" w:hAnsi="Calibri" w:cs="Calibri"/>
        </w:rPr>
      </w:pPr>
      <w:r w:rsidRPr="54FDD3F0">
        <w:rPr>
          <w:rFonts w:ascii="Calibri" w:hAnsi="Calibri" w:cs="Calibri"/>
        </w:rPr>
        <w:t xml:space="preserve">Depuis le début de l’exercice 2021, </w:t>
      </w:r>
      <w:r w:rsidR="002C5E5B">
        <w:rPr>
          <w:rFonts w:ascii="Calibri" w:hAnsi="Calibri" w:cs="Calibri"/>
        </w:rPr>
        <w:t>l’</w:t>
      </w:r>
      <w:r w:rsidRPr="54FDD3F0">
        <w:rPr>
          <w:rFonts w:ascii="Calibri" w:hAnsi="Calibri" w:cs="Calibri"/>
        </w:rPr>
        <w:t>apport en trésorerie s’établit à 2.500 K€.</w:t>
      </w:r>
    </w:p>
    <w:p w14:paraId="2360FD52" w14:textId="080D91C5" w:rsidR="007D2011" w:rsidRPr="007D2011" w:rsidRDefault="005C0AB9" w:rsidP="00283558">
      <w:pPr>
        <w:widowControl w:val="0"/>
        <w:autoSpaceDE w:val="0"/>
        <w:autoSpaceDN w:val="0"/>
        <w:adjustRightInd w:val="0"/>
        <w:rPr>
          <w:rFonts w:ascii="Calibri" w:hAnsi="Calibri" w:cs="Calibri"/>
          <w:bCs/>
          <w:szCs w:val="20"/>
        </w:rPr>
      </w:pPr>
      <w:r>
        <w:t xml:space="preserve">A la date du Document d’enregistrement universel, le solde de l’enveloppe de financements Negma </w:t>
      </w:r>
      <w:r w:rsidR="00490F6A">
        <w:t xml:space="preserve">Group Ltd </w:t>
      </w:r>
      <w:r>
        <w:t xml:space="preserve">est de </w:t>
      </w:r>
      <w:r w:rsidR="001709AE">
        <w:t>23,7</w:t>
      </w:r>
      <w:r>
        <w:t>M</w:t>
      </w:r>
      <w:r w:rsidR="001709AE">
        <w:t>€.</w:t>
      </w:r>
    </w:p>
    <w:p w14:paraId="5C75FA17" w14:textId="77777777" w:rsidR="00FC73E4" w:rsidRPr="007D2011" w:rsidRDefault="00FC73E4" w:rsidP="00283558">
      <w:pPr>
        <w:widowControl w:val="0"/>
        <w:autoSpaceDE w:val="0"/>
        <w:autoSpaceDN w:val="0"/>
        <w:adjustRightInd w:val="0"/>
        <w:rPr>
          <w:rFonts w:ascii="Calibri" w:hAnsi="Calibri" w:cs="Calibri"/>
          <w:bCs/>
          <w:szCs w:val="20"/>
        </w:rPr>
      </w:pPr>
    </w:p>
    <w:p w14:paraId="729EEFFE" w14:textId="39D79050" w:rsidR="00283558" w:rsidRPr="00283558" w:rsidRDefault="54FDD3F0" w:rsidP="54FDD3F0">
      <w:pPr>
        <w:widowControl w:val="0"/>
        <w:autoSpaceDE w:val="0"/>
        <w:autoSpaceDN w:val="0"/>
        <w:adjustRightInd w:val="0"/>
        <w:rPr>
          <w:rFonts w:ascii="Calibri" w:hAnsi="Calibri" w:cs="Calibri"/>
          <w:b/>
          <w:bCs/>
          <w:i/>
          <w:iCs/>
        </w:rPr>
      </w:pPr>
      <w:r w:rsidRPr="54FDD3F0">
        <w:rPr>
          <w:rFonts w:ascii="Calibri" w:hAnsi="Calibri" w:cs="Calibri"/>
          <w:b/>
          <w:bCs/>
          <w:i/>
          <w:iCs/>
          <w:u w:val="single"/>
        </w:rPr>
        <w:t>Mécanisme de compensation</w:t>
      </w:r>
      <w:r w:rsidR="003E6F86">
        <w:rPr>
          <w:rFonts w:ascii="Calibri" w:hAnsi="Calibri" w:cs="Calibri"/>
          <w:b/>
          <w:bCs/>
          <w:i/>
          <w:iCs/>
          <w:u w:val="single"/>
        </w:rPr>
        <w:t xml:space="preserve"> </w:t>
      </w:r>
      <w:r w:rsidRPr="54FDD3F0">
        <w:rPr>
          <w:rFonts w:ascii="Calibri" w:hAnsi="Calibri" w:cs="Calibri"/>
          <w:b/>
          <w:bCs/>
          <w:i/>
          <w:iCs/>
        </w:rPr>
        <w:t>:</w:t>
      </w:r>
    </w:p>
    <w:p w14:paraId="11D91588" w14:textId="77777777" w:rsidR="00283558" w:rsidRDefault="00283558" w:rsidP="00283558">
      <w:pPr>
        <w:rPr>
          <w:rFonts w:ascii="Calibri" w:hAnsi="Calibri" w:cs="Calibri"/>
          <w:szCs w:val="20"/>
        </w:rPr>
      </w:pPr>
    </w:p>
    <w:p w14:paraId="5669E918" w14:textId="68C7819E" w:rsidR="00283558" w:rsidRDefault="54FDD3F0" w:rsidP="54FDD3F0">
      <w:pPr>
        <w:rPr>
          <w:rFonts w:ascii="Calibri" w:hAnsi="Calibri" w:cs="Calibri"/>
        </w:rPr>
      </w:pPr>
      <w:r w:rsidRPr="54FDD3F0">
        <w:rPr>
          <w:rFonts w:ascii="Calibri" w:hAnsi="Calibri" w:cs="Calibri"/>
        </w:rPr>
        <w:t xml:space="preserve">Le contrat liant Spineway à Negma </w:t>
      </w:r>
      <w:r w:rsidR="00490F6A">
        <w:t xml:space="preserve">Group Ltd </w:t>
      </w:r>
      <w:r w:rsidRPr="54FDD3F0">
        <w:rPr>
          <w:rFonts w:ascii="Calibri" w:hAnsi="Calibri" w:cs="Calibri"/>
        </w:rPr>
        <w:t xml:space="preserve">prévoit une indemnisation en cas de cours de bourse inférieur au nominal de l’action. L’évolution boursière sur 2020 ayant été très défavorable au cours de l’action Spineway, les levées de tranches se sont accompagnées de très fortes compensations sur le premier semestre. </w:t>
      </w:r>
    </w:p>
    <w:p w14:paraId="4495FF34" w14:textId="40E9A36D" w:rsidR="00283558" w:rsidRDefault="00283558" w:rsidP="00283558">
      <w:pPr>
        <w:rPr>
          <w:rFonts w:ascii="Calibri" w:hAnsi="Calibri" w:cs="Calibri"/>
          <w:szCs w:val="20"/>
        </w:rPr>
      </w:pPr>
      <w:r w:rsidRPr="00173EEE">
        <w:rPr>
          <w:rFonts w:ascii="Calibri" w:hAnsi="Calibri" w:cs="Calibri"/>
          <w:szCs w:val="20"/>
        </w:rPr>
        <w:t xml:space="preserve">L’ensemble des compensations </w:t>
      </w:r>
      <w:r w:rsidR="00D474C8">
        <w:rPr>
          <w:rFonts w:ascii="Calibri" w:hAnsi="Calibri" w:cs="Calibri"/>
          <w:szCs w:val="20"/>
        </w:rPr>
        <w:t xml:space="preserve">a </w:t>
      </w:r>
      <w:r w:rsidRPr="00173EEE">
        <w:rPr>
          <w:rFonts w:ascii="Calibri" w:hAnsi="Calibri" w:cs="Calibri"/>
          <w:szCs w:val="20"/>
        </w:rPr>
        <w:t xml:space="preserve">débouché tant sur des </w:t>
      </w:r>
      <w:r>
        <w:rPr>
          <w:rFonts w:ascii="Calibri" w:hAnsi="Calibri" w:cs="Calibri"/>
          <w:szCs w:val="20"/>
        </w:rPr>
        <w:t xml:space="preserve">émissions d’obligations </w:t>
      </w:r>
      <w:r w:rsidRPr="00173EEE">
        <w:rPr>
          <w:rFonts w:ascii="Calibri" w:hAnsi="Calibri" w:cs="Calibri"/>
          <w:szCs w:val="20"/>
        </w:rPr>
        <w:t>que sur</w:t>
      </w:r>
      <w:r>
        <w:rPr>
          <w:rFonts w:ascii="Calibri" w:hAnsi="Calibri" w:cs="Calibri"/>
          <w:szCs w:val="20"/>
        </w:rPr>
        <w:t xml:space="preserve"> </w:t>
      </w:r>
      <w:r w:rsidRPr="00173EEE">
        <w:rPr>
          <w:rFonts w:ascii="Calibri" w:hAnsi="Calibri" w:cs="Calibri"/>
          <w:szCs w:val="20"/>
        </w:rPr>
        <w:t xml:space="preserve">une </w:t>
      </w:r>
      <w:r>
        <w:rPr>
          <w:rFonts w:ascii="Calibri" w:hAnsi="Calibri" w:cs="Calibri"/>
          <w:szCs w:val="20"/>
        </w:rPr>
        <w:t>a</w:t>
      </w:r>
      <w:r w:rsidRPr="00173EEE">
        <w:rPr>
          <w:rFonts w:ascii="Calibri" w:hAnsi="Calibri" w:cs="Calibri"/>
          <w:szCs w:val="20"/>
        </w:rPr>
        <w:t xml:space="preserve">ugmentation de capital réservée. </w:t>
      </w:r>
      <w:r>
        <w:rPr>
          <w:rFonts w:ascii="Calibri" w:hAnsi="Calibri" w:cs="Calibri"/>
          <w:szCs w:val="20"/>
        </w:rPr>
        <w:t>Afin</w:t>
      </w:r>
      <w:r w:rsidRPr="00173EEE">
        <w:rPr>
          <w:rFonts w:ascii="Calibri" w:hAnsi="Calibri" w:cs="Calibri"/>
          <w:szCs w:val="20"/>
        </w:rPr>
        <w:t xml:space="preserve"> de se protéger de ce mécanisme, Spineway a procédé à deux réductions du nominal de l’action sur l’exercice</w:t>
      </w:r>
      <w:r>
        <w:rPr>
          <w:rFonts w:ascii="Calibri" w:hAnsi="Calibri" w:cs="Calibri"/>
          <w:szCs w:val="20"/>
        </w:rPr>
        <w:t xml:space="preserve"> </w:t>
      </w:r>
      <w:r w:rsidR="00490F6A">
        <w:rPr>
          <w:rFonts w:ascii="Calibri" w:hAnsi="Calibri" w:cs="Calibri"/>
          <w:szCs w:val="20"/>
        </w:rPr>
        <w:t xml:space="preserve">2020 </w:t>
      </w:r>
      <w:r>
        <w:rPr>
          <w:rFonts w:ascii="Calibri" w:hAnsi="Calibri" w:cs="Calibri"/>
          <w:szCs w:val="20"/>
        </w:rPr>
        <w:t>(en date des 26 mai et 19 septembre 2020)</w:t>
      </w:r>
      <w:r w:rsidR="00BD7551">
        <w:rPr>
          <w:rFonts w:ascii="Calibri" w:hAnsi="Calibri" w:cs="Calibri"/>
          <w:szCs w:val="20"/>
        </w:rPr>
        <w:t xml:space="preserve"> et</w:t>
      </w:r>
      <w:r w:rsidRPr="00173EEE">
        <w:rPr>
          <w:rFonts w:ascii="Calibri" w:hAnsi="Calibri" w:cs="Calibri"/>
          <w:szCs w:val="20"/>
        </w:rPr>
        <w:t xml:space="preserve"> </w:t>
      </w:r>
      <w:r w:rsidR="00BD7551">
        <w:rPr>
          <w:rFonts w:ascii="Calibri" w:hAnsi="Calibri" w:cs="Calibri"/>
          <w:szCs w:val="20"/>
        </w:rPr>
        <w:t xml:space="preserve">signé, le </w:t>
      </w:r>
      <w:r w:rsidR="00BD7551" w:rsidRPr="00165A52">
        <w:t>19 mai 2020</w:t>
      </w:r>
      <w:r w:rsidR="00BD7551">
        <w:t>, un avenant</w:t>
      </w:r>
      <w:r w:rsidR="00BD7551" w:rsidRPr="00165A52">
        <w:t xml:space="preserve"> </w:t>
      </w:r>
      <w:r w:rsidR="00BD7551">
        <w:t xml:space="preserve">au contrat Negma </w:t>
      </w:r>
      <w:r w:rsidR="00490F6A">
        <w:t xml:space="preserve">Group Ltd </w:t>
      </w:r>
      <w:r w:rsidR="00BD7551">
        <w:t>qui modifie la règle de calcul des compensations</w:t>
      </w:r>
      <w:r w:rsidR="00BD7551">
        <w:rPr>
          <w:rFonts w:ascii="Calibri" w:hAnsi="Calibri" w:cs="Calibri"/>
          <w:szCs w:val="20"/>
        </w:rPr>
        <w:t xml:space="preserve">. </w:t>
      </w:r>
      <w:r>
        <w:rPr>
          <w:rFonts w:ascii="Calibri" w:hAnsi="Calibri" w:cs="Calibri"/>
          <w:szCs w:val="20"/>
        </w:rPr>
        <w:t>Cf. paragraphe « </w:t>
      </w:r>
      <w:r>
        <w:rPr>
          <w:rFonts w:ascii="Calibri" w:hAnsi="Calibri" w:cs="Calibri"/>
          <w:szCs w:val="20"/>
        </w:rPr>
        <w:fldChar w:fldCharType="begin"/>
      </w:r>
      <w:r>
        <w:rPr>
          <w:rFonts w:ascii="Calibri" w:hAnsi="Calibri" w:cs="Calibri"/>
          <w:szCs w:val="20"/>
        </w:rPr>
        <w:instrText xml:space="preserve"> REF _Ref472323874 \h </w:instrText>
      </w:r>
      <w:r>
        <w:rPr>
          <w:rFonts w:ascii="Calibri" w:hAnsi="Calibri" w:cs="Calibri"/>
          <w:szCs w:val="20"/>
        </w:rPr>
      </w:r>
      <w:r>
        <w:rPr>
          <w:rFonts w:ascii="Calibri" w:hAnsi="Calibri" w:cs="Calibri"/>
          <w:szCs w:val="20"/>
        </w:rPr>
        <w:fldChar w:fldCharType="separate"/>
      </w:r>
      <w:r w:rsidR="003A0AD1">
        <w:t>19</w:t>
      </w:r>
      <w:r w:rsidR="003A0AD1" w:rsidRPr="00782B86">
        <w:t xml:space="preserve">.1.4.1 </w:t>
      </w:r>
      <w:r w:rsidR="003A0AD1">
        <w:t>Les OCABSA Negma Group Ltd (ci-après « OCABSA Negma »)</w:t>
      </w:r>
      <w:r>
        <w:rPr>
          <w:rFonts w:ascii="Calibri" w:hAnsi="Calibri" w:cs="Calibri"/>
          <w:szCs w:val="20"/>
        </w:rPr>
        <w:fldChar w:fldCharType="end"/>
      </w:r>
      <w:r>
        <w:rPr>
          <w:rFonts w:ascii="Calibri" w:hAnsi="Calibri" w:cs="Calibri"/>
          <w:szCs w:val="20"/>
        </w:rPr>
        <w:t> » du Document d’enregistrement universel.</w:t>
      </w:r>
      <w:r w:rsidR="00BD7551" w:rsidRPr="00BD7551">
        <w:rPr>
          <w:rFonts w:ascii="Calibri" w:hAnsi="Calibri" w:cs="Calibri"/>
          <w:szCs w:val="20"/>
        </w:rPr>
        <w:t xml:space="preserve"> </w:t>
      </w:r>
    </w:p>
    <w:p w14:paraId="3653A39D" w14:textId="77777777" w:rsidR="00283558" w:rsidRDefault="00283558" w:rsidP="00283558">
      <w:pPr>
        <w:rPr>
          <w:rFonts w:ascii="Calibri" w:hAnsi="Calibri" w:cs="Calibri"/>
          <w:szCs w:val="20"/>
        </w:rPr>
      </w:pPr>
    </w:p>
    <w:p w14:paraId="496C4FF9" w14:textId="4FC900E7" w:rsidR="00283558" w:rsidRDefault="00D474C8" w:rsidP="54FDD3F0">
      <w:pPr>
        <w:rPr>
          <w:rFonts w:ascii="Calibri" w:hAnsi="Calibri" w:cs="Calibri"/>
        </w:rPr>
      </w:pPr>
      <w:r>
        <w:rPr>
          <w:rFonts w:ascii="Calibri" w:hAnsi="Calibri" w:cs="Calibri"/>
        </w:rPr>
        <w:t>L’impact de c</w:t>
      </w:r>
      <w:r w:rsidR="54FDD3F0" w:rsidRPr="54FDD3F0">
        <w:rPr>
          <w:rFonts w:ascii="Calibri" w:hAnsi="Calibri" w:cs="Calibri"/>
        </w:rPr>
        <w:t xml:space="preserve">es compensations </w:t>
      </w:r>
      <w:r>
        <w:rPr>
          <w:rFonts w:ascii="Calibri" w:hAnsi="Calibri" w:cs="Calibri"/>
        </w:rPr>
        <w:t>a consisté en</w:t>
      </w:r>
      <w:r w:rsidR="54FDD3F0" w:rsidRPr="54FDD3F0">
        <w:rPr>
          <w:rFonts w:ascii="Calibri" w:hAnsi="Calibri" w:cs="Calibri"/>
        </w:rPr>
        <w:t xml:space="preserve"> une charge financière qui s’élève pour 2020 à </w:t>
      </w:r>
      <w:r w:rsidR="004B7C45" w:rsidRPr="54FDD3F0">
        <w:rPr>
          <w:rFonts w:ascii="Calibri" w:hAnsi="Calibri" w:cs="Calibri"/>
        </w:rPr>
        <w:t>1</w:t>
      </w:r>
      <w:r w:rsidR="004B7C45">
        <w:rPr>
          <w:rFonts w:ascii="Calibri" w:hAnsi="Calibri" w:cs="Calibri"/>
        </w:rPr>
        <w:t>1,97</w:t>
      </w:r>
      <w:r w:rsidR="004B7C45" w:rsidRPr="54FDD3F0">
        <w:rPr>
          <w:rFonts w:ascii="Calibri" w:hAnsi="Calibri" w:cs="Calibri"/>
        </w:rPr>
        <w:t xml:space="preserve"> </w:t>
      </w:r>
      <w:r w:rsidR="004B7C45">
        <w:rPr>
          <w:rFonts w:ascii="Calibri" w:hAnsi="Calibri" w:cs="Calibri"/>
        </w:rPr>
        <w:t>K</w:t>
      </w:r>
      <w:r w:rsidR="54FDD3F0" w:rsidRPr="54FDD3F0">
        <w:rPr>
          <w:rFonts w:ascii="Calibri" w:hAnsi="Calibri" w:cs="Calibri"/>
        </w:rPr>
        <w:t xml:space="preserve">€ soit 0,3 M€ directement liée aux émissions et conversion </w:t>
      </w:r>
      <w:r w:rsidR="00490F6A">
        <w:rPr>
          <w:rFonts w:ascii="Calibri" w:hAnsi="Calibri" w:cs="Calibri"/>
        </w:rPr>
        <w:t>d’OC</w:t>
      </w:r>
      <w:r w:rsidR="007875DF">
        <w:rPr>
          <w:rFonts w:ascii="Calibri" w:hAnsi="Calibri" w:cs="Calibri"/>
        </w:rPr>
        <w:t xml:space="preserve"> liées et 2.</w:t>
      </w:r>
      <w:r w:rsidR="54FDD3F0" w:rsidRPr="54FDD3F0">
        <w:rPr>
          <w:rFonts w:ascii="Calibri" w:hAnsi="Calibri" w:cs="Calibri"/>
        </w:rPr>
        <w:t xml:space="preserve">655 K€ au titre de revalorisation de créance lors de l’augmentation de capital pour apurement de compensation et compensation due aux ventes d’actions issues de cette augmentation de capital. </w:t>
      </w:r>
    </w:p>
    <w:p w14:paraId="5B44D461" w14:textId="77777777" w:rsidR="00283558" w:rsidRDefault="00283558" w:rsidP="00283558">
      <w:pPr>
        <w:rPr>
          <w:rFonts w:ascii="Calibri" w:hAnsi="Calibri" w:cs="Calibri"/>
          <w:szCs w:val="20"/>
        </w:rPr>
      </w:pPr>
      <w:r w:rsidRPr="00173EEE">
        <w:rPr>
          <w:rFonts w:ascii="Calibri" w:hAnsi="Calibri" w:cs="Calibri"/>
          <w:szCs w:val="20"/>
        </w:rPr>
        <w:t xml:space="preserve">Cette charge financière n’a fait l’objet d’aucune sortie de trésorerie pour le Groupe et a été intégralement financée en titres Spineway. </w:t>
      </w:r>
    </w:p>
    <w:p w14:paraId="2BE0A151" w14:textId="66D6C26E" w:rsidR="00283558" w:rsidRDefault="00283558" w:rsidP="00283558">
      <w:pPr>
        <w:rPr>
          <w:rFonts w:cs="Times New Roman"/>
          <w:color w:val="FF0000"/>
          <w:highlight w:val="yellow"/>
        </w:rPr>
      </w:pPr>
    </w:p>
    <w:p w14:paraId="7D5155D4" w14:textId="201109BA" w:rsidR="007D2011" w:rsidRPr="00173EEE" w:rsidRDefault="007D2011" w:rsidP="002C5E5B">
      <w:pPr>
        <w:rPr>
          <w:noProof/>
          <w:spacing w:val="27"/>
        </w:rPr>
      </w:pPr>
      <w:r>
        <w:rPr>
          <w:noProof/>
        </w:rPr>
        <w:t xml:space="preserve">Le risque de compensation ayant été sécurisé par la </w:t>
      </w:r>
      <w:r>
        <w:rPr>
          <w:noProof/>
          <w:spacing w:val="1"/>
        </w:rPr>
        <w:t xml:space="preserve">réduction du nominal, Spineway a lancé </w:t>
      </w:r>
      <w:r>
        <w:rPr>
          <w:noProof/>
          <w:spacing w:val="3"/>
        </w:rPr>
        <w:t>une 3</w:t>
      </w:r>
      <w:r>
        <w:rPr>
          <w:noProof/>
          <w:spacing w:val="5"/>
          <w:vertAlign w:val="superscript"/>
        </w:rPr>
        <w:t>ème</w:t>
      </w:r>
      <w:r>
        <w:rPr>
          <w:noProof/>
          <w:spacing w:val="15"/>
        </w:rPr>
        <w:t xml:space="preserve"> </w:t>
      </w:r>
      <w:r>
        <w:rPr>
          <w:noProof/>
          <w:spacing w:val="-1"/>
        </w:rPr>
        <w:t>tranche</w:t>
      </w:r>
      <w:r>
        <w:rPr>
          <w:noProof/>
          <w:spacing w:val="15"/>
        </w:rPr>
        <w:t xml:space="preserve"> </w:t>
      </w:r>
      <w:r>
        <w:rPr>
          <w:noProof/>
        </w:rPr>
        <w:t>de souscription d’obligations convertibles en actions en décembre 2020 afin d’avoir la trésorerie disponible au financement de sa stratégie de développement et de partenariats.</w:t>
      </w:r>
    </w:p>
    <w:p w14:paraId="01014D75" w14:textId="77777777" w:rsidR="00283558" w:rsidRPr="00283558" w:rsidRDefault="00283558" w:rsidP="00283558">
      <w:pPr>
        <w:rPr>
          <w:rFonts w:ascii="Calibri" w:hAnsi="Calibri" w:cs="Calibri"/>
          <w:szCs w:val="20"/>
        </w:rPr>
      </w:pPr>
    </w:p>
    <w:p w14:paraId="052B8CA4" w14:textId="2003284C" w:rsidR="00203EAC" w:rsidRDefault="54FDD3F0" w:rsidP="001D2B3D">
      <w:pPr>
        <w:pStyle w:val="Titre3"/>
      </w:pPr>
      <w:bookmarkStart w:id="194" w:name="_Ref372904482"/>
      <w:bookmarkStart w:id="195" w:name="_Toc475033215"/>
      <w:bookmarkEnd w:id="191"/>
      <w:bookmarkEnd w:id="192"/>
      <w:r>
        <w:t>8.1.2 Financements par emprunts</w:t>
      </w:r>
      <w:bookmarkEnd w:id="195"/>
      <w:r>
        <w:t xml:space="preserve"> </w:t>
      </w:r>
      <w:bookmarkEnd w:id="194"/>
    </w:p>
    <w:p w14:paraId="4A044365" w14:textId="342DAA1A" w:rsidR="000346A8" w:rsidRPr="00A7412F" w:rsidRDefault="54FDD3F0" w:rsidP="00FB001F">
      <w:pPr>
        <w:pStyle w:val="Titre4"/>
      </w:pPr>
      <w:bookmarkStart w:id="196" w:name="_Ref472619797"/>
      <w:bookmarkStart w:id="197" w:name="_Ref337795630"/>
      <w:r>
        <w:t>8.1.2.1 Emprunts bancaires</w:t>
      </w:r>
      <w:bookmarkEnd w:id="196"/>
    </w:p>
    <w:p w14:paraId="03A67740" w14:textId="77777777" w:rsidR="008017FB" w:rsidRDefault="008017FB" w:rsidP="008017FB"/>
    <w:p w14:paraId="1EDA14E1" w14:textId="6F979460" w:rsidR="004D5A05" w:rsidRDefault="008017FB" w:rsidP="00283D1D">
      <w:pPr>
        <w:tabs>
          <w:tab w:val="left" w:pos="1125"/>
        </w:tabs>
        <w:rPr>
          <w:color w:val="FF0000"/>
        </w:rPr>
      </w:pPr>
      <w:r w:rsidRPr="00BF2120">
        <w:t xml:space="preserve">Au </w:t>
      </w:r>
      <w:r>
        <w:t>31 décembre</w:t>
      </w:r>
      <w:r w:rsidRPr="00BF2120">
        <w:t xml:space="preserve"> 2020, Spineway </w:t>
      </w:r>
      <w:r w:rsidR="00847F04" w:rsidRPr="002630BB">
        <w:t>disposait de passifs financiers d’un montant global de</w:t>
      </w:r>
      <w:r w:rsidR="00847F04">
        <w:t xml:space="preserve"> 2.881</w:t>
      </w:r>
      <w:r w:rsidR="00847F04">
        <w:rPr>
          <w:color w:val="FF0000"/>
        </w:rPr>
        <w:t xml:space="preserve"> </w:t>
      </w:r>
      <w:r w:rsidR="00847F04" w:rsidRPr="002630BB">
        <w:t xml:space="preserve">K€ </w:t>
      </w:r>
      <w:r w:rsidR="00847F04">
        <w:t xml:space="preserve">et </w:t>
      </w:r>
      <w:r w:rsidRPr="00BF2120">
        <w:t>comptabilise 8 emprunts bancaires en cours</w:t>
      </w:r>
      <w:r w:rsidR="00DD2092">
        <w:t xml:space="preserve"> tels que décrit ci-dessous :</w:t>
      </w:r>
    </w:p>
    <w:p w14:paraId="3A5F0949" w14:textId="51A2F2AF" w:rsidR="007875DF" w:rsidRDefault="009107CD" w:rsidP="54FDD3F0">
      <w:r>
        <w:rPr>
          <w:noProof/>
        </w:rPr>
        <w:drawing>
          <wp:inline distT="0" distB="0" distL="0" distR="0" wp14:anchorId="37B63CA1" wp14:editId="768BF8BB">
            <wp:extent cx="5935980" cy="1754179"/>
            <wp:effectExtent l="0" t="0" r="7620" b="0"/>
            <wp:docPr id="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935980" cy="1754179"/>
                    </a:xfrm>
                    <a:prstGeom prst="rect">
                      <a:avLst/>
                    </a:prstGeom>
                    <a:noFill/>
                    <a:ln>
                      <a:noFill/>
                    </a:ln>
                  </pic:spPr>
                </pic:pic>
              </a:graphicData>
            </a:graphic>
          </wp:inline>
        </w:drawing>
      </w:r>
    </w:p>
    <w:p w14:paraId="36F2476A" w14:textId="77777777" w:rsidR="0000697D" w:rsidRDefault="0000697D" w:rsidP="54FDD3F0"/>
    <w:p w14:paraId="0967573B" w14:textId="0610CEAB" w:rsidR="008017FB" w:rsidRPr="007875DF" w:rsidRDefault="54FDD3F0" w:rsidP="001709AE">
      <w:r>
        <w:t xml:space="preserve">Dans un contexte de </w:t>
      </w:r>
      <w:r w:rsidR="00016D04">
        <w:t>Covid-19</w:t>
      </w:r>
      <w:r>
        <w:t>, la Société a souscrit à quatre PGE pour un total de 1.270 K€ sur 12 mois au</w:t>
      </w:r>
      <w:r w:rsidR="007875DF">
        <w:t>près d’établissements bancaires. Cf. paragraphe «</w:t>
      </w:r>
      <w:r w:rsidR="001709AE">
        <w:fldChar w:fldCharType="begin"/>
      </w:r>
      <w:r w:rsidR="001709AE">
        <w:instrText xml:space="preserve"> REF _Ref475008190 \h </w:instrText>
      </w:r>
      <w:r w:rsidR="001709AE">
        <w:fldChar w:fldCharType="separate"/>
      </w:r>
      <w:r w:rsidR="001709AE">
        <w:t>8.3 Informations sur les conditions d’emprunt et structure de financement</w:t>
      </w:r>
      <w:r w:rsidR="001709AE">
        <w:fldChar w:fldCharType="end"/>
      </w:r>
      <w:r w:rsidR="007875DF">
        <w:t>» du Document d’enregistrement universel.</w:t>
      </w:r>
    </w:p>
    <w:p w14:paraId="1B177140" w14:textId="15F07754" w:rsidR="54FDD3F0" w:rsidRDefault="54FDD3F0" w:rsidP="005B42F0"/>
    <w:p w14:paraId="56A8EB75" w14:textId="04C276ED" w:rsidR="54FDD3F0" w:rsidRDefault="54FDD3F0" w:rsidP="54FDD3F0">
      <w:pPr>
        <w:tabs>
          <w:tab w:val="left" w:pos="1125"/>
        </w:tabs>
      </w:pPr>
      <w:r>
        <w:t>L’ensemble de ces prêts, conformément aux préconisations gouvernementales était assorti initialement d’une période de report de début d’amortissement de 12 mois, période pouvant-être prorogée à deux ans selon information récente, option retenue à ce jour par la Société. De même, les prêts pouvaient sur option de la société être, au choix, remboursés en totalité in fine à la fin de cette période de moratoire o</w:t>
      </w:r>
      <w:r w:rsidR="007875DF">
        <w:t xml:space="preserve">u être amortis </w:t>
      </w:r>
      <w:r w:rsidR="007006ED">
        <w:t xml:space="preserve">sur </w:t>
      </w:r>
      <w:r w:rsidR="007875DF">
        <w:t xml:space="preserve">1 </w:t>
      </w:r>
      <w:r w:rsidR="007006ED">
        <w:t>à</w:t>
      </w:r>
      <w:r w:rsidR="007875DF">
        <w:t xml:space="preserve"> 5 ans</w:t>
      </w:r>
      <w:r>
        <w:t xml:space="preserve">. La </w:t>
      </w:r>
      <w:r>
        <w:lastRenderedPageBreak/>
        <w:t>Société arrêtera les conditions de remboursement retenus selon la date de mise en place effective de chacun des prêts et  au plus tard la fin du second trimestre 2021.</w:t>
      </w:r>
    </w:p>
    <w:p w14:paraId="2C5FA7E6" w14:textId="58322C7E" w:rsidR="54FDD3F0" w:rsidRDefault="54FDD3F0" w:rsidP="54FDD3F0">
      <w:pPr>
        <w:tabs>
          <w:tab w:val="left" w:pos="1125"/>
        </w:tabs>
      </w:pPr>
    </w:p>
    <w:p w14:paraId="056CE72D" w14:textId="0C66BE8C" w:rsidR="004D5A05" w:rsidRPr="00BF2120" w:rsidRDefault="54FDD3F0" w:rsidP="00D00AC7">
      <w:pPr>
        <w:tabs>
          <w:tab w:val="left" w:pos="1125"/>
        </w:tabs>
      </w:pPr>
      <w:r>
        <w:t xml:space="preserve">Les </w:t>
      </w:r>
      <w:r w:rsidR="00DE60F2">
        <w:t>PGE</w:t>
      </w:r>
      <w:r>
        <w:t xml:space="preserve"> font tous l’objet d’une garantie par la BPI selon les conditions prévues </w:t>
      </w:r>
      <w:r w:rsidR="00C6029F">
        <w:t xml:space="preserve">par </w:t>
      </w:r>
      <w:r>
        <w:t>les directives gouvernementales.</w:t>
      </w:r>
      <w:r w:rsidR="00DE60F2">
        <w:t xml:space="preserve"> </w:t>
      </w:r>
      <w:r w:rsidR="004D5A05" w:rsidRPr="00BF2120">
        <w:t>Les billets financiers et les MCNE sont à taux variables.</w:t>
      </w:r>
    </w:p>
    <w:p w14:paraId="18EED24F" w14:textId="77777777" w:rsidR="008017FB" w:rsidRDefault="008017FB" w:rsidP="004D5A05"/>
    <w:p w14:paraId="3DED4C4D" w14:textId="77777777" w:rsidR="004D5A05" w:rsidRPr="00BF2120" w:rsidRDefault="004D5A05" w:rsidP="004D5A05">
      <w:r w:rsidRPr="00BF2120">
        <w:t xml:space="preserve">Le détail des outils court-terme utilisés au </w:t>
      </w:r>
      <w:r>
        <w:t>31/12</w:t>
      </w:r>
      <w:r w:rsidRPr="00BF2120">
        <w:t xml:space="preserve">/2020 est le suivant : </w:t>
      </w:r>
    </w:p>
    <w:p w14:paraId="539508D7" w14:textId="67AC1338" w:rsidR="004D5A05" w:rsidRPr="00BF2120" w:rsidRDefault="004D5A05" w:rsidP="00C622C2">
      <w:pPr>
        <w:pStyle w:val="Paragraphedeliste"/>
        <w:numPr>
          <w:ilvl w:val="0"/>
          <w:numId w:val="56"/>
        </w:numPr>
      </w:pPr>
      <w:r w:rsidRPr="00BF2120">
        <w:t xml:space="preserve">MCNE : </w:t>
      </w:r>
      <w:r w:rsidR="008017FB">
        <w:t xml:space="preserve">530 K€ </w:t>
      </w:r>
      <w:r w:rsidRPr="00BF2120">
        <w:t xml:space="preserve">sur un total de </w:t>
      </w:r>
      <w:r>
        <w:t>1</w:t>
      </w:r>
      <w:r w:rsidR="008017FB">
        <w:t>.</w:t>
      </w:r>
      <w:r>
        <w:t>040</w:t>
      </w:r>
      <w:r w:rsidRPr="00BF2120">
        <w:t xml:space="preserve"> </w:t>
      </w:r>
      <w:r w:rsidR="008017FB">
        <w:t>K€</w:t>
      </w:r>
      <w:r w:rsidRPr="00BF2120">
        <w:t>. Les MCNE arrivent à échéance au paiement de la facture par le client.</w:t>
      </w:r>
    </w:p>
    <w:p w14:paraId="4B015F13" w14:textId="2ABBE670" w:rsidR="004D5A05" w:rsidRPr="00BF2120" w:rsidRDefault="008017FB" w:rsidP="00C622C2">
      <w:pPr>
        <w:pStyle w:val="Paragraphedeliste"/>
        <w:numPr>
          <w:ilvl w:val="0"/>
          <w:numId w:val="56"/>
        </w:numPr>
      </w:pPr>
      <w:r>
        <w:t>Billets financiers</w:t>
      </w:r>
      <w:r w:rsidR="004D5A05" w:rsidRPr="00BF2120">
        <w:t xml:space="preserve"> : 350 </w:t>
      </w:r>
      <w:r>
        <w:t xml:space="preserve">K€ </w:t>
      </w:r>
      <w:r w:rsidR="004D5A05" w:rsidRPr="00BF2120">
        <w:t xml:space="preserve">sur un total de 350 </w:t>
      </w:r>
      <w:r>
        <w:t>K€</w:t>
      </w:r>
      <w:r w:rsidR="004D5A05" w:rsidRPr="00BF2120">
        <w:t xml:space="preserve">. Les billets financiers sont souscrits pour 90 jours. Les dates d'échéance des billets utilisés au </w:t>
      </w:r>
      <w:r w:rsidR="004D5A05">
        <w:t>31/12</w:t>
      </w:r>
      <w:r w:rsidR="004D5A05" w:rsidRPr="00BF2120">
        <w:t xml:space="preserve">/2020 vont du </w:t>
      </w:r>
      <w:r w:rsidR="004D5A05">
        <w:t>01/01/2021</w:t>
      </w:r>
      <w:r w:rsidR="004D5A05" w:rsidRPr="00BF2120">
        <w:t xml:space="preserve"> au 31/</w:t>
      </w:r>
      <w:r w:rsidR="004D5A05">
        <w:t>03/2021</w:t>
      </w:r>
      <w:r w:rsidR="004D5A05" w:rsidRPr="00BF2120">
        <w:t>, ils sont ensuite renouvelés.</w:t>
      </w:r>
    </w:p>
    <w:p w14:paraId="6A5B9B1B" w14:textId="7D2E25C8" w:rsidR="004D5A05" w:rsidRPr="007875DF" w:rsidRDefault="54FDD3F0" w:rsidP="54FDD3F0">
      <w:pPr>
        <w:rPr>
          <w:rFonts w:eastAsiaTheme="majorEastAsia" w:cstheme="majorBidi"/>
        </w:rPr>
      </w:pPr>
      <w:r w:rsidRPr="007875DF">
        <w:rPr>
          <w:rFonts w:eastAsiaTheme="majorEastAsia" w:cstheme="majorBidi"/>
        </w:rPr>
        <w:t>Ces outils court terme sont indexés sur le taux Euribor 3 mois. La société n’a pas jugé opportun pour l’instant de se couvrir sur une remontée de l’Euribor 3 mois, mais reste vigilante quant à son évolution et ne s’interdit pas cette possibilité dans le futur</w:t>
      </w:r>
      <w:r w:rsidRPr="54FDD3F0">
        <w:rPr>
          <w:rFonts w:eastAsiaTheme="majorEastAsia" w:cstheme="majorBidi"/>
        </w:rPr>
        <w:t>.</w:t>
      </w:r>
    </w:p>
    <w:p w14:paraId="46CC43A5" w14:textId="77777777" w:rsidR="00081097" w:rsidRDefault="00081097" w:rsidP="004D5A05">
      <w:pPr>
        <w:rPr>
          <w:highlight w:val="yellow"/>
        </w:rPr>
      </w:pPr>
    </w:p>
    <w:p w14:paraId="58D5483B" w14:textId="0654A9DC" w:rsidR="00847F04" w:rsidRPr="00B9197A" w:rsidRDefault="00847F04" w:rsidP="00847F04">
      <w:pPr>
        <w:rPr>
          <w:rFonts w:cstheme="minorHAnsi"/>
          <w:szCs w:val="20"/>
        </w:rPr>
      </w:pPr>
      <w:r w:rsidRPr="00B9197A">
        <w:rPr>
          <w:rFonts w:cstheme="minorHAnsi"/>
          <w:szCs w:val="20"/>
        </w:rPr>
        <w:t xml:space="preserve">La garantie COFACE est une subvention reçue concernant des frais de prospection engagés sur des zones où la Société ne </w:t>
      </w:r>
      <w:r w:rsidR="00B9197A" w:rsidRPr="00B9197A">
        <w:rPr>
          <w:rFonts w:cstheme="minorHAnsi"/>
          <w:szCs w:val="20"/>
        </w:rPr>
        <w:t>dégage</w:t>
      </w:r>
      <w:r w:rsidRPr="00B9197A">
        <w:rPr>
          <w:rFonts w:cstheme="minorHAnsi"/>
          <w:szCs w:val="20"/>
        </w:rPr>
        <w:t xml:space="preserve"> pas de chiffres d’affaires.</w:t>
      </w:r>
    </w:p>
    <w:p w14:paraId="46C042F3" w14:textId="77777777" w:rsidR="00847F04" w:rsidRPr="00B9197A" w:rsidRDefault="00847F04" w:rsidP="004D5A05">
      <w:pPr>
        <w:rPr>
          <w:highlight w:val="yellow"/>
        </w:rPr>
      </w:pPr>
    </w:p>
    <w:p w14:paraId="6E3A3E6B" w14:textId="5E9A7A89" w:rsidR="00847F04" w:rsidRPr="00847F04" w:rsidRDefault="00847F04" w:rsidP="004D5A05">
      <w:r>
        <w:t>E</w:t>
      </w:r>
      <w:r w:rsidRPr="00847F04">
        <w:t>chéancier des dettes financières au 31 décembre 2020 :</w:t>
      </w:r>
    </w:p>
    <w:p w14:paraId="19062A92" w14:textId="28A27993" w:rsidR="00847F04" w:rsidRDefault="00847F04" w:rsidP="004D5A05">
      <w:pPr>
        <w:rPr>
          <w:highlight w:val="yellow"/>
        </w:rPr>
      </w:pPr>
    </w:p>
    <w:p w14:paraId="5D63DB13" w14:textId="77777777" w:rsidR="009C4380" w:rsidRPr="00BF2120" w:rsidRDefault="009C4380" w:rsidP="009C4380">
      <w:pPr>
        <w:rPr>
          <w:highlight w:val="yellow"/>
        </w:rPr>
      </w:pPr>
      <w:r>
        <w:rPr>
          <w:noProof/>
        </w:rPr>
        <w:drawing>
          <wp:inline distT="0" distB="0" distL="0" distR="0" wp14:anchorId="5AD8578B" wp14:editId="38A36210">
            <wp:extent cx="5935980" cy="1835468"/>
            <wp:effectExtent l="0" t="0" r="7620" b="0"/>
            <wp:docPr id="998831552"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935980" cy="1835468"/>
                    </a:xfrm>
                    <a:prstGeom prst="rect">
                      <a:avLst/>
                    </a:prstGeom>
                    <a:noFill/>
                    <a:ln>
                      <a:noFill/>
                    </a:ln>
                  </pic:spPr>
                </pic:pic>
              </a:graphicData>
            </a:graphic>
          </wp:inline>
        </w:drawing>
      </w:r>
    </w:p>
    <w:p w14:paraId="6DE35CDE" w14:textId="5CA8C9C3" w:rsidR="00A04854" w:rsidRPr="00A04854" w:rsidRDefault="54FDD3F0" w:rsidP="00A7412F">
      <w:pPr>
        <w:pStyle w:val="Titre4"/>
      </w:pPr>
      <w:bookmarkStart w:id="198" w:name="_Ref372469616"/>
      <w:r>
        <w:t xml:space="preserve">8.1.2.2 Les </w:t>
      </w:r>
      <w:r w:rsidR="00383275">
        <w:t>engageme</w:t>
      </w:r>
      <w:r w:rsidR="009A707C">
        <w:t>nts au titre des prêts</w:t>
      </w:r>
      <w:r w:rsidR="00383275">
        <w:t xml:space="preserve"> </w:t>
      </w:r>
      <w:r>
        <w:t>bancaires</w:t>
      </w:r>
      <w:bookmarkEnd w:id="198"/>
    </w:p>
    <w:p w14:paraId="466EA6F6" w14:textId="77777777" w:rsidR="00A04854" w:rsidRDefault="00A04854" w:rsidP="00A04854">
      <w:pPr>
        <w:pStyle w:val="Paragraphedeliste"/>
        <w:ind w:left="1068"/>
      </w:pPr>
    </w:p>
    <w:p w14:paraId="434B4D39" w14:textId="4344ED30" w:rsidR="004D5A05" w:rsidRPr="004D5A05" w:rsidRDefault="54FDD3F0" w:rsidP="004D5A05">
      <w:pPr>
        <w:rPr>
          <w:color w:val="FF0000"/>
        </w:rPr>
      </w:pPr>
      <w:bookmarkStart w:id="199" w:name="_Ref341200135"/>
      <w:r>
        <w:t>S</w:t>
      </w:r>
      <w:r w:rsidR="009A707C">
        <w:t xml:space="preserve">ur les </w:t>
      </w:r>
      <w:r>
        <w:t>4 prêts</w:t>
      </w:r>
      <w:r w:rsidR="009A707C">
        <w:t xml:space="preserve"> bancaires souscrits par </w:t>
      </w:r>
      <w:r w:rsidR="00D178A6">
        <w:t>Spineway, l’</w:t>
      </w:r>
      <w:r w:rsidR="00540C89">
        <w:t xml:space="preserve">encours </w:t>
      </w:r>
      <w:r w:rsidR="00EB02BC">
        <w:t>restant dus au 31 décembre 2020 représente environ</w:t>
      </w:r>
      <w:r>
        <w:t xml:space="preserve">  30% d</w:t>
      </w:r>
      <w:r w:rsidR="006B2AB2">
        <w:t>u montant total de</w:t>
      </w:r>
      <w:r w:rsidR="00330558">
        <w:t xml:space="preserve"> l’engagement des banques au titre desdits prêts</w:t>
      </w:r>
      <w:r>
        <w:t xml:space="preserve"> (soit 534 K€ restants dus au 31 décembre 2020)</w:t>
      </w:r>
      <w:r w:rsidR="00330558">
        <w:t>. Les engagements principaux sont les suivants</w:t>
      </w:r>
      <w:r>
        <w:t>:</w:t>
      </w:r>
    </w:p>
    <w:p w14:paraId="3ADE5036" w14:textId="4F96CFDC" w:rsidR="004D5A05" w:rsidRPr="00BF2120" w:rsidRDefault="004D5A05" w:rsidP="00C622C2">
      <w:pPr>
        <w:pStyle w:val="Paragraphedeliste"/>
        <w:numPr>
          <w:ilvl w:val="0"/>
          <w:numId w:val="5"/>
        </w:numPr>
      </w:pPr>
      <w:r w:rsidRPr="00BF2120">
        <w:t>Permettre des contrôles sur place ou sur pièce de l'exactitude des justifications fournies ;</w:t>
      </w:r>
    </w:p>
    <w:p w14:paraId="7DB7EC8C" w14:textId="572C39C1" w:rsidR="004D5A05" w:rsidRPr="007E2AA9" w:rsidRDefault="004D5A05" w:rsidP="00C622C2">
      <w:pPr>
        <w:pStyle w:val="Paragraphedeliste"/>
        <w:numPr>
          <w:ilvl w:val="0"/>
          <w:numId w:val="5"/>
        </w:numPr>
      </w:pPr>
      <w:r w:rsidRPr="007E2AA9">
        <w:t>Obligation d'information :</w:t>
      </w:r>
    </w:p>
    <w:p w14:paraId="13FABB43" w14:textId="7D27E8FC" w:rsidR="004D5A05" w:rsidRPr="00012805" w:rsidRDefault="003279AA" w:rsidP="004D5A05">
      <w:pPr>
        <w:ind w:firstLine="709"/>
      </w:pPr>
      <w:r>
        <w:t xml:space="preserve">. </w:t>
      </w:r>
      <w:r w:rsidR="004D5A05" w:rsidRPr="00012805">
        <w:t xml:space="preserve">Documents comptables (comptes annuels, situation intermédiaire…), </w:t>
      </w:r>
    </w:p>
    <w:p w14:paraId="14EEAB52" w14:textId="7F21FA36" w:rsidR="004D5A05" w:rsidRPr="00012805" w:rsidRDefault="003279AA" w:rsidP="004D5A05">
      <w:pPr>
        <w:ind w:left="709"/>
      </w:pPr>
      <w:r>
        <w:t xml:space="preserve">. </w:t>
      </w:r>
      <w:r w:rsidR="004D5A05" w:rsidRPr="00012805">
        <w:t xml:space="preserve">Changement majeur dans la situation financière (événement susceptible d’affecter sensiblement le volume des engagements financiers, toute décision de rupture ou non renouvellement de concours bancaire par une autre banque…) ou juridique (changement de forme sociale, changement de représentant, procédure collective, perte de la moitié du capital social, fusion…). </w:t>
      </w:r>
    </w:p>
    <w:p w14:paraId="232F2230" w14:textId="1BAE27E8" w:rsidR="004D5A05" w:rsidRPr="00BF2120" w:rsidRDefault="004D5A05" w:rsidP="00C622C2">
      <w:pPr>
        <w:pStyle w:val="Paragraphedeliste"/>
        <w:numPr>
          <w:ilvl w:val="0"/>
          <w:numId w:val="5"/>
        </w:numPr>
      </w:pPr>
      <w:r w:rsidRPr="00BF2120">
        <w:t>Réaliser l’intégralité du projet objet du prêt et informer le prêteur de toute évolution conduisant à modifier le projet initialement présenté et financé ;</w:t>
      </w:r>
    </w:p>
    <w:p w14:paraId="623F4428" w14:textId="0557C819" w:rsidR="004D5A05" w:rsidRPr="00BF2120" w:rsidRDefault="004D5A05" w:rsidP="00C622C2">
      <w:pPr>
        <w:pStyle w:val="Paragraphedeliste"/>
        <w:numPr>
          <w:ilvl w:val="0"/>
          <w:numId w:val="5"/>
        </w:numPr>
      </w:pPr>
      <w:r w:rsidRPr="00BF2120">
        <w:t>Fournir toutes justifications relatives à l'objet d</w:t>
      </w:r>
      <w:r>
        <w:t>u prêt ou montant de la dépense.</w:t>
      </w:r>
    </w:p>
    <w:p w14:paraId="13A40B80" w14:textId="77777777" w:rsidR="004D5A05" w:rsidRDefault="004D5A05" w:rsidP="004D5A05"/>
    <w:p w14:paraId="30269FA1" w14:textId="464C1C2F" w:rsidR="004D5A05" w:rsidRDefault="003279AA" w:rsidP="004D5A05">
      <w:r>
        <w:t xml:space="preserve">S’agissant des </w:t>
      </w:r>
      <w:r w:rsidR="004D5712">
        <w:t xml:space="preserve">engagements </w:t>
      </w:r>
      <w:r>
        <w:t>spécifiques au</w:t>
      </w:r>
      <w:r w:rsidR="004D5A05" w:rsidRPr="00BF2120">
        <w:t xml:space="preserve"> </w:t>
      </w:r>
      <w:r w:rsidR="004D5712">
        <w:t xml:space="preserve">titre du </w:t>
      </w:r>
      <w:r w:rsidR="004D5A05" w:rsidRPr="00BF2120">
        <w:t xml:space="preserve">prêt contracté en dollars : </w:t>
      </w:r>
      <w:r w:rsidR="004D5A05">
        <w:t>s</w:t>
      </w:r>
      <w:r w:rsidR="004D5A05" w:rsidRPr="00BF2120">
        <w:t>upporter le risque de change et établir tout compte rendu requis par la réglementation des changes</w:t>
      </w:r>
      <w:r w:rsidR="004D5A05">
        <w:t>.</w:t>
      </w:r>
    </w:p>
    <w:p w14:paraId="7D146D59" w14:textId="77777777" w:rsidR="004D5A05" w:rsidRPr="00BF2120" w:rsidRDefault="004D5A05" w:rsidP="004D5A05"/>
    <w:p w14:paraId="54C6A8F2" w14:textId="70E2176E" w:rsidR="004D5A05" w:rsidRDefault="004D5A05" w:rsidP="004D5A05">
      <w:r w:rsidRPr="00BF2120">
        <w:t xml:space="preserve">La conséquence qui pourrait découler du non-respect des </w:t>
      </w:r>
      <w:r w:rsidR="004D5712">
        <w:t>engagements ci-dessus visés</w:t>
      </w:r>
      <w:r w:rsidR="004D5712" w:rsidRPr="00BF2120">
        <w:t xml:space="preserve"> </w:t>
      </w:r>
      <w:r w:rsidRPr="00BF2120">
        <w:t>est une exigibilité anticipée de l’emprunt concerné.</w:t>
      </w:r>
    </w:p>
    <w:p w14:paraId="462ED329" w14:textId="77777777" w:rsidR="004D5A05" w:rsidRPr="00BF2120" w:rsidRDefault="004D5A05" w:rsidP="004D5A05"/>
    <w:p w14:paraId="644C345D" w14:textId="0854932B" w:rsidR="004D5A05" w:rsidRDefault="0009471C" w:rsidP="004D5A05">
      <w:r>
        <w:t>Au</w:t>
      </w:r>
      <w:r w:rsidR="004D5A05" w:rsidRPr="00BF2120">
        <w:t xml:space="preserve"> </w:t>
      </w:r>
      <w:r w:rsidR="004D5A05">
        <w:t>31 décembre</w:t>
      </w:r>
      <w:r w:rsidR="004D5A05" w:rsidRPr="00BF2120">
        <w:t xml:space="preserve"> 2020</w:t>
      </w:r>
      <w:r w:rsidR="00C6029F">
        <w:t>,</w:t>
      </w:r>
      <w:r w:rsidR="004D5A05" w:rsidRPr="00BF2120">
        <w:t xml:space="preserve"> Spineway respecte </w:t>
      </w:r>
      <w:r>
        <w:t>l’ensemble de ses engagements au titre de ses prêts bancaires</w:t>
      </w:r>
      <w:r w:rsidR="004D5A05" w:rsidRPr="00BF2120">
        <w:t xml:space="preserve">. </w:t>
      </w:r>
    </w:p>
    <w:p w14:paraId="6598E226" w14:textId="77777777" w:rsidR="004D5A05" w:rsidRPr="00BF2120" w:rsidRDefault="004D5A05" w:rsidP="004D5A05"/>
    <w:p w14:paraId="031C44CD" w14:textId="4DD53270" w:rsidR="007875DF" w:rsidRPr="007875DF" w:rsidRDefault="54FDD3F0" w:rsidP="005B42F0">
      <w:pPr>
        <w:pStyle w:val="Titre2"/>
      </w:pPr>
      <w:bookmarkStart w:id="200" w:name="_Toc475033216"/>
      <w:r>
        <w:lastRenderedPageBreak/>
        <w:t>8.2 Flux de trésorerie</w:t>
      </w:r>
      <w:bookmarkEnd w:id="197"/>
      <w:bookmarkEnd w:id="199"/>
      <w:bookmarkEnd w:id="200"/>
    </w:p>
    <w:p w14:paraId="7E8C74A0" w14:textId="06FCD4FF" w:rsidR="005516B3" w:rsidRDefault="005516B3" w:rsidP="00944DB2"/>
    <w:p w14:paraId="433E417C" w14:textId="45209358" w:rsidR="00705318" w:rsidRDefault="00F42716" w:rsidP="00944DB2">
      <w:r>
        <w:rPr>
          <w:noProof/>
        </w:rPr>
        <w:drawing>
          <wp:inline distT="0" distB="0" distL="0" distR="0" wp14:anchorId="63C7E774" wp14:editId="04F84FF8">
            <wp:extent cx="5757545" cy="7078345"/>
            <wp:effectExtent l="0" t="0" r="8255" b="8255"/>
            <wp:docPr id="1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757545" cy="7078345"/>
                    </a:xfrm>
                    <a:prstGeom prst="rect">
                      <a:avLst/>
                    </a:prstGeom>
                    <a:noFill/>
                    <a:ln>
                      <a:noFill/>
                    </a:ln>
                  </pic:spPr>
                </pic:pic>
              </a:graphicData>
            </a:graphic>
          </wp:inline>
        </w:drawing>
      </w:r>
    </w:p>
    <w:p w14:paraId="0DC15DEE" w14:textId="77777777" w:rsidR="00F42716" w:rsidRDefault="00F42716" w:rsidP="00944DB2"/>
    <w:p w14:paraId="797D9B62" w14:textId="4733645D" w:rsidR="00944DB2" w:rsidRDefault="00944DB2" w:rsidP="00944DB2">
      <w:r>
        <w:t>L’activité de Spineway induit un besoin en fonds de roulement important lié aux délais d’encaissements des créances clients, établissements de santé en France et distributeurs hors France, et un niveau de stocks élevé rendu nécessaire par la disponibilité des gammes d’implants.</w:t>
      </w:r>
    </w:p>
    <w:p w14:paraId="3DC45B60" w14:textId="77777777" w:rsidR="00515D2E" w:rsidRDefault="00515D2E" w:rsidP="00944DB2"/>
    <w:p w14:paraId="2A94348C" w14:textId="77777777" w:rsidR="00F42716" w:rsidRDefault="00F42716">
      <w:pPr>
        <w:jc w:val="left"/>
      </w:pPr>
      <w:r>
        <w:br w:type="page"/>
      </w:r>
    </w:p>
    <w:p w14:paraId="62BF0A31" w14:textId="1B1FB5F5" w:rsidR="00944DB2" w:rsidRPr="00515D2E" w:rsidRDefault="00944DB2" w:rsidP="00944DB2">
      <w:r w:rsidRPr="00515D2E">
        <w:lastRenderedPageBreak/>
        <w:t>La continuité d'exploitation 2020 est basée sur :</w:t>
      </w:r>
    </w:p>
    <w:p w14:paraId="4A82EB00" w14:textId="77723C9F" w:rsidR="00515D2E" w:rsidRPr="005A7DC4" w:rsidRDefault="007875DF" w:rsidP="00C622C2">
      <w:pPr>
        <w:pStyle w:val="Paragraphedeliste"/>
        <w:numPr>
          <w:ilvl w:val="0"/>
          <w:numId w:val="57"/>
        </w:numPr>
        <w:autoSpaceDE w:val="0"/>
        <w:autoSpaceDN w:val="0"/>
        <w:adjustRightInd w:val="0"/>
        <w:spacing w:after="200" w:line="276" w:lineRule="auto"/>
        <w:rPr>
          <w:rFonts w:eastAsia="Times New Roman" w:cstheme="minorHAnsi"/>
        </w:rPr>
      </w:pPr>
      <w:r>
        <w:rPr>
          <w:rFonts w:eastAsia="Times New Roman" w:cstheme="minorHAnsi"/>
        </w:rPr>
        <w:t>d</w:t>
      </w:r>
      <w:r w:rsidR="00515D2E" w:rsidRPr="005A7DC4">
        <w:rPr>
          <w:rFonts w:eastAsia="Times New Roman" w:cstheme="minorHAnsi"/>
        </w:rPr>
        <w:t>es hypothèses d'encaissements liées au budget de chiffre d’affaires</w:t>
      </w:r>
      <w:r w:rsidR="00515D2E">
        <w:rPr>
          <w:rFonts w:eastAsia="Times New Roman" w:cstheme="minorHAnsi"/>
        </w:rPr>
        <w:t> ;</w:t>
      </w:r>
    </w:p>
    <w:p w14:paraId="1B7E30C0" w14:textId="4FE7AF3D" w:rsidR="00515D2E" w:rsidRPr="00BF2120" w:rsidRDefault="007875DF" w:rsidP="00C622C2">
      <w:pPr>
        <w:pStyle w:val="Paragraphedeliste"/>
        <w:numPr>
          <w:ilvl w:val="0"/>
          <w:numId w:val="57"/>
        </w:numPr>
        <w:autoSpaceDE w:val="0"/>
        <w:autoSpaceDN w:val="0"/>
        <w:adjustRightInd w:val="0"/>
        <w:spacing w:after="200" w:line="276" w:lineRule="auto"/>
        <w:rPr>
          <w:rFonts w:eastAsia="Times New Roman" w:cstheme="minorHAnsi"/>
        </w:rPr>
      </w:pPr>
      <w:r>
        <w:rPr>
          <w:rFonts w:eastAsia="Times New Roman" w:cstheme="minorHAnsi"/>
        </w:rPr>
        <w:t>l</w:t>
      </w:r>
      <w:r w:rsidR="00515D2E">
        <w:rPr>
          <w:rFonts w:eastAsia="Times New Roman" w:cstheme="minorHAnsi"/>
        </w:rPr>
        <w:t>es</w:t>
      </w:r>
      <w:r w:rsidR="00515D2E" w:rsidRPr="000B7199">
        <w:rPr>
          <w:rFonts w:eastAsia="Times New Roman" w:cstheme="minorHAnsi"/>
        </w:rPr>
        <w:t xml:space="preserve"> lignes de financement du BFR par le pool </w:t>
      </w:r>
      <w:r w:rsidR="00515D2E" w:rsidRPr="00D3398D">
        <w:rPr>
          <w:rFonts w:eastAsia="Times New Roman" w:cstheme="minorHAnsi"/>
        </w:rPr>
        <w:t xml:space="preserve">bancaire. </w:t>
      </w:r>
      <w:r w:rsidR="00515D2E">
        <w:rPr>
          <w:rFonts w:eastAsia="Times New Roman" w:cstheme="minorHAnsi"/>
        </w:rPr>
        <w:t>Au 31 décembre 2020, 46% des lignes ont été renouvelées. U</w:t>
      </w:r>
      <w:r w:rsidR="00515D2E" w:rsidRPr="00D3398D">
        <w:rPr>
          <w:rFonts w:eastAsia="Times New Roman" w:cstheme="minorHAnsi"/>
        </w:rPr>
        <w:t xml:space="preserve">ne ligne de billets financiers a été réduite pour un total de </w:t>
      </w:r>
      <w:r w:rsidR="00515D2E" w:rsidRPr="00BF2120">
        <w:rPr>
          <w:rFonts w:eastAsia="Times New Roman" w:cstheme="minorHAnsi"/>
        </w:rPr>
        <w:t xml:space="preserve">380 </w:t>
      </w:r>
      <w:r w:rsidR="00515D2E" w:rsidRPr="00D3398D">
        <w:rPr>
          <w:rFonts w:eastAsia="Times New Roman" w:cstheme="minorHAnsi"/>
        </w:rPr>
        <w:t>K€</w:t>
      </w:r>
      <w:r w:rsidR="00515D2E">
        <w:rPr>
          <w:rFonts w:eastAsia="Times New Roman" w:cstheme="minorHAnsi"/>
        </w:rPr>
        <w:t>. Ces lignes de financement seront renégociées sur l’exercice 2021 ;</w:t>
      </w:r>
    </w:p>
    <w:p w14:paraId="5320EFBE" w14:textId="7460AA9B" w:rsidR="00515D2E" w:rsidRPr="000B7199" w:rsidRDefault="007875DF" w:rsidP="00C622C2">
      <w:pPr>
        <w:pStyle w:val="Paragraphedeliste"/>
        <w:numPr>
          <w:ilvl w:val="0"/>
          <w:numId w:val="57"/>
        </w:numPr>
        <w:autoSpaceDE w:val="0"/>
        <w:autoSpaceDN w:val="0"/>
        <w:adjustRightInd w:val="0"/>
        <w:spacing w:after="200" w:line="276" w:lineRule="auto"/>
        <w:rPr>
          <w:rFonts w:eastAsia="Times New Roman" w:cstheme="minorHAnsi"/>
        </w:rPr>
      </w:pPr>
      <w:r>
        <w:rPr>
          <w:rFonts w:eastAsia="Times New Roman" w:cstheme="minorHAnsi"/>
        </w:rPr>
        <w:t>l</w:t>
      </w:r>
      <w:r w:rsidR="00515D2E" w:rsidRPr="00BF2120">
        <w:rPr>
          <w:rFonts w:eastAsia="Times New Roman" w:cstheme="minorHAnsi"/>
        </w:rPr>
        <w:t xml:space="preserve">’obtention des </w:t>
      </w:r>
      <w:r w:rsidR="00515D2E">
        <w:rPr>
          <w:rFonts w:eastAsia="Times New Roman" w:cstheme="minorHAnsi"/>
        </w:rPr>
        <w:t>PGE à hauteur 1.</w:t>
      </w:r>
      <w:r w:rsidR="00515D2E" w:rsidRPr="00BF2120">
        <w:rPr>
          <w:rFonts w:eastAsia="Times New Roman" w:cstheme="minorHAnsi"/>
        </w:rPr>
        <w:t>270 </w:t>
      </w:r>
      <w:r w:rsidR="00515D2E">
        <w:rPr>
          <w:rFonts w:eastAsia="Times New Roman" w:cstheme="minorHAnsi"/>
        </w:rPr>
        <w:t xml:space="preserve">K€ </w:t>
      </w:r>
      <w:r w:rsidR="00515D2E" w:rsidRPr="00BF2120">
        <w:rPr>
          <w:rFonts w:eastAsia="Times New Roman" w:cstheme="minorHAnsi"/>
        </w:rPr>
        <w:t>;</w:t>
      </w:r>
    </w:p>
    <w:p w14:paraId="21CCF6FA" w14:textId="3B7DFA6A" w:rsidR="00F42716" w:rsidRDefault="007875DF" w:rsidP="005B42F0">
      <w:pPr>
        <w:pStyle w:val="Paragraphedeliste"/>
        <w:autoSpaceDE w:val="0"/>
        <w:autoSpaceDN w:val="0"/>
        <w:adjustRightInd w:val="0"/>
        <w:spacing w:after="200" w:line="276" w:lineRule="auto"/>
        <w:ind w:left="1068"/>
        <w:rPr>
          <w:rFonts w:eastAsia="Times New Roman" w:cstheme="minorHAnsi"/>
        </w:rPr>
      </w:pPr>
      <w:r>
        <w:rPr>
          <w:rFonts w:eastAsia="Times New Roman" w:cstheme="minorHAnsi"/>
        </w:rPr>
        <w:t>l</w:t>
      </w:r>
      <w:r w:rsidR="00515D2E">
        <w:rPr>
          <w:rFonts w:eastAsia="Times New Roman" w:cstheme="minorHAnsi"/>
        </w:rPr>
        <w:t xml:space="preserve">es financements garantis dans le cadre du contrat Negma </w:t>
      </w:r>
      <w:r w:rsidR="00490F6A">
        <w:t xml:space="preserve">Group Ltd </w:t>
      </w:r>
      <w:r w:rsidR="00515D2E">
        <w:rPr>
          <w:rFonts w:eastAsia="Times New Roman" w:cstheme="minorHAnsi"/>
        </w:rPr>
        <w:t>dédiés aux besoins de trésorerie liés à l’activité et à la croissance organique qui sécurisent les besoins de trésorerie a minima de l’année à venir.</w:t>
      </w:r>
    </w:p>
    <w:p w14:paraId="4DCFFC80" w14:textId="77777777" w:rsidR="00944DB2" w:rsidRPr="00944DB2" w:rsidRDefault="00944DB2" w:rsidP="00F42716">
      <w:pPr>
        <w:pStyle w:val="Paragraphedeliste"/>
        <w:jc w:val="left"/>
      </w:pPr>
    </w:p>
    <w:p w14:paraId="3058D57D" w14:textId="665170E1" w:rsidR="00203EAC" w:rsidRDefault="00132FB9" w:rsidP="005B42F0">
      <w:pPr>
        <w:pStyle w:val="Titre3"/>
        <w:spacing w:before="240"/>
      </w:pPr>
      <w:bookmarkStart w:id="201" w:name="_Toc475033217"/>
      <w:r>
        <w:t>8</w:t>
      </w:r>
      <w:r w:rsidR="00203EAC">
        <w:t>.2.1 Commentaires sur les flux de trésorerie liés à l’activité</w:t>
      </w:r>
      <w:r w:rsidR="00DE23F4" w:rsidRPr="00DE23F4">
        <w:t xml:space="preserve"> </w:t>
      </w:r>
      <w:r w:rsidR="00DE23F4">
        <w:t>sur l’année 2020</w:t>
      </w:r>
      <w:bookmarkEnd w:id="201"/>
    </w:p>
    <w:p w14:paraId="2DDE28F1" w14:textId="77777777" w:rsidR="00CB2614" w:rsidRDefault="00CB2614" w:rsidP="00CB2614">
      <w:pPr>
        <w:tabs>
          <w:tab w:val="left" w:pos="1125"/>
        </w:tabs>
      </w:pPr>
    </w:p>
    <w:p w14:paraId="6F9D5674" w14:textId="77777777" w:rsidR="007875DF" w:rsidRDefault="54FDD3F0" w:rsidP="007875DF">
      <w:r>
        <w:t>La capacité d’autofinancement passe de -2.041 K€ au 31 décembre 2019 à -1.394 K€ au 31 décembre 2020.</w:t>
      </w:r>
      <w:r w:rsidRPr="54FDD3F0">
        <w:t xml:space="preserve"> </w:t>
      </w:r>
    </w:p>
    <w:p w14:paraId="1F19A668" w14:textId="6AFC82F5" w:rsidR="00E72CF9" w:rsidRPr="00E72CF9" w:rsidRDefault="54FDD3F0" w:rsidP="007875DF">
      <w:r w:rsidRPr="54FDD3F0">
        <w:t xml:space="preserve">Cette amélioration provient principalement d’une perte retraitée de la charge financière de 12 M€ non accompagnée de flux de trésorerie (uniquement compensée via émission d’obligations </w:t>
      </w:r>
      <w:r w:rsidR="007875DF" w:rsidRPr="54FDD3F0">
        <w:t>convertibles</w:t>
      </w:r>
      <w:r w:rsidRPr="54FDD3F0">
        <w:t xml:space="preserve"> additionnelles) moindre à</w:t>
      </w:r>
      <w:r w:rsidR="007875DF">
        <w:t xml:space="preserve"> -2.</w:t>
      </w:r>
      <w:r w:rsidRPr="54FDD3F0">
        <w:t>127 K€</w:t>
      </w:r>
      <w:r w:rsidR="007875DF">
        <w:t xml:space="preserve"> au 31 décembre 2020 contre </w:t>
      </w:r>
      <w:r w:rsidR="00D474C8">
        <w:t>-</w:t>
      </w:r>
      <w:r w:rsidR="007875DF">
        <w:t>2.</w:t>
      </w:r>
      <w:r w:rsidRPr="54FDD3F0">
        <w:t>876 K€ au 31 décembre 20219, les autres éléments non monétaires retraités du résultat restant relativement comparables.</w:t>
      </w:r>
    </w:p>
    <w:p w14:paraId="6D993792" w14:textId="77777777" w:rsidR="007875DF" w:rsidRDefault="007875DF" w:rsidP="007875DF"/>
    <w:p w14:paraId="6FC12CDE" w14:textId="6A2A82B3" w:rsidR="007875DF" w:rsidRDefault="54FDD3F0" w:rsidP="007875DF">
      <w:r>
        <w:t xml:space="preserve">Les flux générés par l’exploitation s’améliorent à (- 408 K€ au 31 décembre 2020 contre </w:t>
      </w:r>
      <w:r w:rsidR="007875DF">
        <w:t>-</w:t>
      </w:r>
      <w:r>
        <w:t xml:space="preserve"> 1.161 K€ au 31 décembre 2019). Cette amélioration est la résultante directe de l’évolution de la capacité d’autofinancement mais aussi d’une amélioration du BFR en lien avec la diminution du niveau de stock et la hausse des dettes sociales suite au report de paiement de nombreuses charges sociales en lien avec les dispositions offertes dans le cadre de la gestion du </w:t>
      </w:r>
      <w:r w:rsidR="007875DF">
        <w:t>C</w:t>
      </w:r>
      <w:r>
        <w:t>ovid</w:t>
      </w:r>
      <w:r w:rsidR="007875DF">
        <w:t>-19</w:t>
      </w:r>
      <w:r>
        <w:t xml:space="preserve">.  </w:t>
      </w:r>
    </w:p>
    <w:p w14:paraId="60E329D9" w14:textId="77777777" w:rsidR="007875DF" w:rsidRDefault="007875DF" w:rsidP="007875DF"/>
    <w:p w14:paraId="3DAECBA2" w14:textId="1BD905D3" w:rsidR="00203EAC" w:rsidRPr="00CF2843" w:rsidRDefault="00132FB9" w:rsidP="007875DF">
      <w:pPr>
        <w:pStyle w:val="Titre3"/>
      </w:pPr>
      <w:bookmarkStart w:id="202" w:name="_Toc475033218"/>
      <w:r>
        <w:t>8</w:t>
      </w:r>
      <w:r w:rsidR="00203EAC" w:rsidRPr="00CF2843">
        <w:t xml:space="preserve">.2.2 </w:t>
      </w:r>
      <w:r w:rsidR="00DE23F4">
        <w:t xml:space="preserve">Commentaires sur les flux </w:t>
      </w:r>
      <w:r w:rsidR="00203EAC" w:rsidRPr="00CF2843">
        <w:t>de trésorerie liés aux opérations d’investissement</w:t>
      </w:r>
      <w:bookmarkEnd w:id="202"/>
    </w:p>
    <w:p w14:paraId="3ED56B9C" w14:textId="77777777" w:rsidR="00CB2614" w:rsidRDefault="00CB2614" w:rsidP="007875DF"/>
    <w:p w14:paraId="46D6C340" w14:textId="7438D1A9" w:rsidR="007875DF" w:rsidRDefault="54FDD3F0" w:rsidP="007875DF">
      <w:r w:rsidRPr="54FDD3F0">
        <w:t xml:space="preserve">Les flux correspondent principalement à l’activation des dépenses de </w:t>
      </w:r>
      <w:r w:rsidR="004B7C45">
        <w:t>développement</w:t>
      </w:r>
      <w:r w:rsidRPr="54FDD3F0">
        <w:t xml:space="preserve"> (option reten</w:t>
      </w:r>
      <w:r w:rsidR="007875DF">
        <w:t xml:space="preserve">ue à compter du second semestre </w:t>
      </w:r>
      <w:r w:rsidR="00283D1D">
        <w:t>2019</w:t>
      </w:r>
      <w:r w:rsidRPr="54FDD3F0">
        <w:t>), ces dépenses étant globalement en hausse avec la reprise des projets d’innovation et développement</w:t>
      </w:r>
    </w:p>
    <w:p w14:paraId="4504BF03" w14:textId="77777777" w:rsidR="007875DF" w:rsidRDefault="007875DF" w:rsidP="007875DF"/>
    <w:p w14:paraId="690FB153" w14:textId="380D4B76" w:rsidR="00203EAC" w:rsidRPr="009F5AF5" w:rsidRDefault="00132FB9" w:rsidP="007875DF">
      <w:pPr>
        <w:pStyle w:val="Titre3"/>
      </w:pPr>
      <w:bookmarkStart w:id="203" w:name="_Toc475033219"/>
      <w:r>
        <w:t>8</w:t>
      </w:r>
      <w:r w:rsidR="00203EAC" w:rsidRPr="009F5AF5">
        <w:t xml:space="preserve">.2.3 </w:t>
      </w:r>
      <w:r w:rsidR="00DE23F4">
        <w:t xml:space="preserve">Commentaires sur les flux de trésorerie </w:t>
      </w:r>
      <w:r w:rsidR="00203EAC" w:rsidRPr="009F5AF5">
        <w:t>liés aux opérations de financement</w:t>
      </w:r>
      <w:bookmarkEnd w:id="203"/>
    </w:p>
    <w:p w14:paraId="3AB58E9C" w14:textId="104194C1" w:rsidR="00B24553" w:rsidRDefault="00B24553" w:rsidP="007875DF">
      <w:pPr>
        <w:rPr>
          <w:rFonts w:cstheme="majorBidi"/>
        </w:rPr>
      </w:pPr>
    </w:p>
    <w:p w14:paraId="38A138BD" w14:textId="5610E997" w:rsidR="54FDD3F0" w:rsidRDefault="54FDD3F0" w:rsidP="007875DF">
      <w:pPr>
        <w:rPr>
          <w:rFonts w:cstheme="majorBidi"/>
        </w:rPr>
      </w:pPr>
      <w:r w:rsidRPr="54FDD3F0">
        <w:rPr>
          <w:rFonts w:cstheme="majorBidi"/>
        </w:rPr>
        <w:t xml:space="preserve">Les flux de trésorerie </w:t>
      </w:r>
      <w:r w:rsidR="007875DF">
        <w:rPr>
          <w:rFonts w:cstheme="majorBidi"/>
        </w:rPr>
        <w:t>de 3.</w:t>
      </w:r>
      <w:r w:rsidRPr="54FDD3F0">
        <w:rPr>
          <w:rFonts w:cstheme="majorBidi"/>
        </w:rPr>
        <w:t>669 K€ liés aux opérations de financement proviennent :</w:t>
      </w:r>
    </w:p>
    <w:p w14:paraId="3DF02A98" w14:textId="4BC8E4BF" w:rsidR="54FDD3F0" w:rsidRDefault="54FDD3F0" w:rsidP="007875DF">
      <w:r w:rsidRPr="007875DF">
        <w:rPr>
          <w:rFonts w:eastAsia="Times New Roman"/>
        </w:rPr>
        <w:t xml:space="preserve"> </w:t>
      </w:r>
    </w:p>
    <w:p w14:paraId="12DFFE4C" w14:textId="180EA7BE" w:rsidR="00B24553" w:rsidRPr="007875DF" w:rsidRDefault="54FDD3F0" w:rsidP="00C622C2">
      <w:pPr>
        <w:pStyle w:val="Paragraphedeliste"/>
        <w:numPr>
          <w:ilvl w:val="0"/>
          <w:numId w:val="79"/>
        </w:numPr>
        <w:rPr>
          <w:rFonts w:cstheme="majorHAnsi"/>
        </w:rPr>
      </w:pPr>
      <w:r w:rsidRPr="007875DF">
        <w:rPr>
          <w:rFonts w:eastAsia="Times New Roman"/>
        </w:rPr>
        <w:t xml:space="preserve">des conversions </w:t>
      </w:r>
      <w:r w:rsidR="00490F6A">
        <w:rPr>
          <w:rFonts w:eastAsia="Times New Roman"/>
        </w:rPr>
        <w:t>d’OC</w:t>
      </w:r>
      <w:r w:rsidRPr="007875DF">
        <w:rPr>
          <w:rFonts w:eastAsia="Times New Roman"/>
        </w:rPr>
        <w:t xml:space="preserve"> ayant fait l’objet d’apport en numéraire pour uniquement 3 388 K€ sur l’exercice 2020 (cf</w:t>
      </w:r>
      <w:r w:rsidR="007875DF">
        <w:rPr>
          <w:rFonts w:eastAsia="Times New Roman"/>
        </w:rPr>
        <w:t>.</w:t>
      </w:r>
      <w:r w:rsidRPr="007875DF">
        <w:rPr>
          <w:rFonts w:eastAsia="Times New Roman"/>
        </w:rPr>
        <w:t xml:space="preserve"> paragraphes </w:t>
      </w:r>
      <w:r w:rsidR="007875DF">
        <w:rPr>
          <w:rFonts w:eastAsia="Times New Roman"/>
        </w:rPr>
        <w:t>« </w:t>
      </w:r>
      <w:r w:rsidR="007875DF">
        <w:rPr>
          <w:rFonts w:eastAsia="Times New Roman"/>
        </w:rPr>
        <w:fldChar w:fldCharType="begin"/>
      </w:r>
      <w:r w:rsidR="007875DF">
        <w:rPr>
          <w:rFonts w:eastAsia="Times New Roman"/>
        </w:rPr>
        <w:instrText xml:space="preserve"> REF _Ref473457882 \h </w:instrText>
      </w:r>
      <w:r w:rsidR="007875DF">
        <w:rPr>
          <w:rFonts w:eastAsia="Times New Roman"/>
        </w:rPr>
      </w:r>
      <w:r w:rsidR="007875DF">
        <w:rPr>
          <w:rFonts w:eastAsia="Times New Roman"/>
        </w:rPr>
        <w:fldChar w:fldCharType="separate"/>
      </w:r>
      <w:r w:rsidR="003A0AD1">
        <w:t>7</w:t>
      </w:r>
      <w:r w:rsidR="003A0AD1" w:rsidRPr="006E58F4">
        <w:t>.</w:t>
      </w:r>
      <w:r w:rsidR="003A0AD1">
        <w:t>2.</w:t>
      </w:r>
      <w:r w:rsidR="003A0AD1" w:rsidRPr="006E58F4">
        <w:t>2 Commentaires sur le bilan au 31 décembre 20</w:t>
      </w:r>
      <w:r w:rsidR="003A0AD1">
        <w:t>20</w:t>
      </w:r>
      <w:r w:rsidR="007875DF">
        <w:rPr>
          <w:rFonts w:eastAsia="Times New Roman"/>
        </w:rPr>
        <w:fldChar w:fldCharType="end"/>
      </w:r>
      <w:r w:rsidR="007875DF">
        <w:rPr>
          <w:rFonts w:eastAsia="Times New Roman"/>
        </w:rPr>
        <w:t> » et « </w:t>
      </w:r>
      <w:r w:rsidR="007875DF">
        <w:rPr>
          <w:rFonts w:eastAsia="Times New Roman"/>
        </w:rPr>
        <w:fldChar w:fldCharType="begin"/>
      </w:r>
      <w:r w:rsidR="007875DF">
        <w:rPr>
          <w:rFonts w:eastAsia="Times New Roman"/>
        </w:rPr>
        <w:instrText xml:space="preserve"> REF _Ref370385719 \h </w:instrText>
      </w:r>
      <w:r w:rsidR="007875DF">
        <w:rPr>
          <w:rFonts w:eastAsia="Times New Roman"/>
        </w:rPr>
      </w:r>
      <w:r w:rsidR="007875DF">
        <w:rPr>
          <w:rFonts w:eastAsia="Times New Roman"/>
        </w:rPr>
        <w:fldChar w:fldCharType="separate"/>
      </w:r>
      <w:r w:rsidR="003A0AD1">
        <w:t xml:space="preserve">8.1 </w:t>
      </w:r>
      <w:r w:rsidR="003A0AD1" w:rsidRPr="00050AF3">
        <w:t>Informations sur les capitaux, liquidités et sources de financement du Groupe</w:t>
      </w:r>
      <w:r w:rsidR="007875DF">
        <w:rPr>
          <w:rFonts w:eastAsia="Times New Roman"/>
        </w:rPr>
        <w:fldChar w:fldCharType="end"/>
      </w:r>
      <w:r w:rsidR="007875DF">
        <w:rPr>
          <w:rFonts w:eastAsia="Times New Roman"/>
        </w:rPr>
        <w:t> » du</w:t>
      </w:r>
      <w:r w:rsidRPr="007875DF">
        <w:rPr>
          <w:rFonts w:eastAsia="Times New Roman"/>
        </w:rPr>
        <w:t xml:space="preserve"> </w:t>
      </w:r>
      <w:r w:rsidR="007875DF">
        <w:rPr>
          <w:rFonts w:eastAsia="Times New Roman"/>
        </w:rPr>
        <w:t>Document d’enregistrement universel</w:t>
      </w:r>
      <w:r w:rsidRPr="007875DF">
        <w:rPr>
          <w:rFonts w:eastAsia="Times New Roman"/>
        </w:rPr>
        <w:t xml:space="preserve">) </w:t>
      </w:r>
    </w:p>
    <w:p w14:paraId="4DE9A806" w14:textId="1A3D413A" w:rsidR="00E72CF9" w:rsidRPr="00E72CF9" w:rsidRDefault="00E72CF9" w:rsidP="007875DF">
      <w:pPr>
        <w:rPr>
          <w:rFonts w:cstheme="majorBidi"/>
        </w:rPr>
      </w:pPr>
    </w:p>
    <w:p w14:paraId="551C4D7C" w14:textId="4074CBB6" w:rsidR="54FDD3F0" w:rsidRPr="007875DF" w:rsidRDefault="007875DF" w:rsidP="00C622C2">
      <w:pPr>
        <w:pStyle w:val="Paragraphedeliste"/>
        <w:numPr>
          <w:ilvl w:val="0"/>
          <w:numId w:val="79"/>
        </w:numPr>
        <w:rPr>
          <w:rFonts w:eastAsiaTheme="majorEastAsia" w:cstheme="majorBidi"/>
          <w:szCs w:val="20"/>
        </w:rPr>
      </w:pPr>
      <w:r>
        <w:rPr>
          <w:rFonts w:cstheme="majorBidi"/>
        </w:rPr>
        <w:t>l</w:t>
      </w:r>
      <w:r w:rsidR="54FDD3F0" w:rsidRPr="007875DF">
        <w:rPr>
          <w:rFonts w:cstheme="majorBidi"/>
        </w:rPr>
        <w:t>a diminution de l’ensemble des financements court terme à hauteur de – 800 k€ au profit de l’obtention de PGE avant renégociation dès reprise de l’activité.</w:t>
      </w:r>
    </w:p>
    <w:p w14:paraId="270C3471" w14:textId="26F59FE3" w:rsidR="54FDD3F0" w:rsidRDefault="54FDD3F0" w:rsidP="007875DF">
      <w:pPr>
        <w:rPr>
          <w:rFonts w:cstheme="majorBidi"/>
        </w:rPr>
      </w:pPr>
    </w:p>
    <w:p w14:paraId="67A008D8" w14:textId="62B9C30F" w:rsidR="54FDD3F0" w:rsidRPr="007875DF" w:rsidRDefault="007875DF" w:rsidP="00C622C2">
      <w:pPr>
        <w:pStyle w:val="Paragraphedeliste"/>
        <w:numPr>
          <w:ilvl w:val="0"/>
          <w:numId w:val="79"/>
        </w:numPr>
        <w:rPr>
          <w:rFonts w:asciiTheme="minorHAnsi" w:hAnsiTheme="minorHAnsi"/>
          <w:szCs w:val="20"/>
        </w:rPr>
      </w:pPr>
      <w:r>
        <w:rPr>
          <w:rFonts w:eastAsia="Times New Roman"/>
        </w:rPr>
        <w:t>l</w:t>
      </w:r>
      <w:r w:rsidR="54FDD3F0" w:rsidRPr="007875DF">
        <w:rPr>
          <w:rFonts w:eastAsia="Times New Roman"/>
        </w:rPr>
        <w:t>’encaissement de nouveaux emprunts correspond aux PGE obtenus par Spineway pour 1.270 K€.</w:t>
      </w:r>
    </w:p>
    <w:p w14:paraId="7F4C3276" w14:textId="4C8C91F5" w:rsidR="54FDD3F0" w:rsidRDefault="54FDD3F0" w:rsidP="007875DF">
      <w:pPr>
        <w:rPr>
          <w:rFonts w:eastAsia="Times New Roman"/>
        </w:rPr>
      </w:pPr>
    </w:p>
    <w:p w14:paraId="7FC2AC30" w14:textId="010A8417" w:rsidR="54FDD3F0" w:rsidRDefault="54FDD3F0" w:rsidP="007875DF">
      <w:pPr>
        <w:rPr>
          <w:rFonts w:eastAsia="Times New Roman"/>
        </w:rPr>
      </w:pPr>
      <w:r w:rsidRPr="54FDD3F0">
        <w:rPr>
          <w:rFonts w:eastAsia="Times New Roman"/>
        </w:rPr>
        <w:t>Le soutien des établissements bancaires net sur l’exercice est ainsi uniquement de 470 K€.</w:t>
      </w:r>
    </w:p>
    <w:p w14:paraId="1EFC868D" w14:textId="46DA76FB" w:rsidR="54FDD3F0" w:rsidRDefault="54FDD3F0" w:rsidP="54FDD3F0">
      <w:pPr>
        <w:tabs>
          <w:tab w:val="left" w:pos="1125"/>
        </w:tabs>
        <w:rPr>
          <w:rFonts w:cstheme="majorBidi"/>
          <w:color w:val="FF0000"/>
        </w:rPr>
      </w:pPr>
    </w:p>
    <w:p w14:paraId="1890E6A7" w14:textId="77777777" w:rsidR="00F42716" w:rsidRDefault="00F42716">
      <w:pPr>
        <w:jc w:val="left"/>
        <w:rPr>
          <w:rFonts w:eastAsiaTheme="majorEastAsia" w:cstheme="majorBidi"/>
          <w:b/>
          <w:bCs/>
          <w:smallCaps/>
          <w:color w:val="4F81BD" w:themeColor="accent1"/>
          <w:sz w:val="26"/>
          <w:szCs w:val="26"/>
        </w:rPr>
      </w:pPr>
      <w:bookmarkStart w:id="204" w:name="_Ref340246349"/>
      <w:bookmarkStart w:id="205" w:name="_Ref368847972"/>
      <w:r>
        <w:br w:type="page"/>
      </w:r>
    </w:p>
    <w:p w14:paraId="0BEDA60C" w14:textId="6B0421C8" w:rsidR="00CF0C5B" w:rsidRPr="002630BB" w:rsidRDefault="00A247E0" w:rsidP="002630BB">
      <w:pPr>
        <w:pStyle w:val="Titre2"/>
      </w:pPr>
      <w:bookmarkStart w:id="206" w:name="_Ref475008190"/>
      <w:bookmarkStart w:id="207" w:name="_Toc475033220"/>
      <w:r>
        <w:lastRenderedPageBreak/>
        <w:t>8</w:t>
      </w:r>
      <w:r w:rsidR="00EE50DB">
        <w:t xml:space="preserve">.3 </w:t>
      </w:r>
      <w:r w:rsidR="00CF0C5B">
        <w:t>Informations sur les conditions d’emprunt et structure de financement</w:t>
      </w:r>
      <w:bookmarkEnd w:id="204"/>
      <w:bookmarkEnd w:id="205"/>
      <w:bookmarkEnd w:id="206"/>
      <w:bookmarkEnd w:id="207"/>
      <w:r w:rsidR="00CF0C5B">
        <w:t xml:space="preserve"> </w:t>
      </w:r>
      <w:r w:rsidR="00CF0C5B">
        <w:tab/>
      </w:r>
    </w:p>
    <w:p w14:paraId="3707DAA6" w14:textId="77777777" w:rsidR="00B21BD4" w:rsidRDefault="00B21BD4" w:rsidP="00B21BD4"/>
    <w:p w14:paraId="7D73615E" w14:textId="545FCF23" w:rsidR="00117B91" w:rsidRPr="00117B91" w:rsidRDefault="00117B91" w:rsidP="00117B91">
      <w:r w:rsidRPr="00117B91">
        <w:t>Au 31 décembre 2020, la dette de Spineway est principalement composée d</w:t>
      </w:r>
      <w:r w:rsidR="006C3BBD">
        <w:t xml:space="preserve">’emprunts </w:t>
      </w:r>
      <w:r w:rsidRPr="00117B91">
        <w:t>et de dettes court terme.</w:t>
      </w:r>
    </w:p>
    <w:p w14:paraId="0815C21A" w14:textId="77777777" w:rsidR="00117B91" w:rsidRDefault="00117B91" w:rsidP="00117B91">
      <w:pPr>
        <w:rPr>
          <w:color w:val="FF0000"/>
        </w:rPr>
      </w:pPr>
    </w:p>
    <w:p w14:paraId="3E7B1395" w14:textId="23BA6CB1" w:rsidR="007875DF" w:rsidRPr="00BD7551" w:rsidRDefault="007875DF" w:rsidP="007875DF">
      <w:r w:rsidRPr="002B1EAD">
        <w:t xml:space="preserve">Dans un contexte de </w:t>
      </w:r>
      <w:r w:rsidR="00016D04" w:rsidRPr="002B1EAD">
        <w:t>Covid-19</w:t>
      </w:r>
      <w:r w:rsidRPr="00E02949">
        <w:t xml:space="preserve">, la Société a souscrit à quatre </w:t>
      </w:r>
      <w:r w:rsidRPr="00BD7551">
        <w:t>PGE pour un total de 1.270 K€ sur 12 mois au taux de 0% auprès d’établissements bancaires partenaires :</w:t>
      </w:r>
    </w:p>
    <w:p w14:paraId="12AB2382" w14:textId="77777777" w:rsidR="007875DF" w:rsidRPr="002B1EAD" w:rsidRDefault="007875DF" w:rsidP="007875DF"/>
    <w:p w14:paraId="4A7DE6AD" w14:textId="77777777" w:rsidR="007875DF" w:rsidRPr="002B1EAD" w:rsidRDefault="007875DF" w:rsidP="00C622C2">
      <w:pPr>
        <w:pStyle w:val="Paragraphedeliste"/>
        <w:numPr>
          <w:ilvl w:val="0"/>
          <w:numId w:val="72"/>
        </w:numPr>
        <w:rPr>
          <w:rFonts w:eastAsiaTheme="majorEastAsia" w:cstheme="majorBidi"/>
        </w:rPr>
      </w:pPr>
      <w:r w:rsidRPr="002B1EAD">
        <w:t>381 K€ auprès du Crédit Agricole :</w:t>
      </w:r>
    </w:p>
    <w:p w14:paraId="5B075A61" w14:textId="104B4A54" w:rsidR="007875DF" w:rsidRPr="007875DF" w:rsidRDefault="00490F6A" w:rsidP="00C622C2">
      <w:pPr>
        <w:pStyle w:val="Paragraphedeliste"/>
        <w:numPr>
          <w:ilvl w:val="1"/>
          <w:numId w:val="74"/>
        </w:numPr>
        <w:rPr>
          <w:rFonts w:eastAsiaTheme="majorEastAsia" w:cstheme="majorBidi"/>
          <w:szCs w:val="20"/>
        </w:rPr>
      </w:pPr>
      <w:r>
        <w:t>l</w:t>
      </w:r>
      <w:r w:rsidR="007875DF" w:rsidRPr="002B1EAD">
        <w:t>e taux d’intérêt applicable sera égal au coût de refinancement de Crédit Agricole SA obtenu via les</w:t>
      </w:r>
      <w:r w:rsidR="007875DF" w:rsidRPr="007875DF">
        <w:t xml:space="preserve"> marchés obligataires pour la durée choisie au moment où l’</w:t>
      </w:r>
      <w:r w:rsidR="00CA60DD">
        <w:t>e</w:t>
      </w:r>
      <w:r w:rsidR="007875DF" w:rsidRPr="007875DF">
        <w:t xml:space="preserve">mprunteur demande d’amortir le </w:t>
      </w:r>
      <w:r w:rsidR="00EE2534">
        <w:t>p</w:t>
      </w:r>
      <w:r w:rsidR="007875DF" w:rsidRPr="007875DF">
        <w:t>rêt sur une période additionnelle. Ce taux d’intérêt ne pourra excéder les conditions financières applicables au refinancement senior préféré non sécurisé de Crédit Agricole SA obtenu via ces marchés pour une période équivalente ;</w:t>
      </w:r>
    </w:p>
    <w:p w14:paraId="44232BC8" w14:textId="77777777" w:rsidR="007875DF" w:rsidRPr="007875DF" w:rsidRDefault="007875DF" w:rsidP="00C622C2">
      <w:pPr>
        <w:pStyle w:val="Paragraphedeliste"/>
        <w:numPr>
          <w:ilvl w:val="1"/>
          <w:numId w:val="74"/>
        </w:numPr>
        <w:rPr>
          <w:szCs w:val="20"/>
        </w:rPr>
      </w:pPr>
      <w:r w:rsidRPr="007875DF">
        <w:t>accordé en date du 07 mai 2020 ;</w:t>
      </w:r>
    </w:p>
    <w:p w14:paraId="14536AC1" w14:textId="77777777" w:rsidR="007875DF" w:rsidRPr="007875DF" w:rsidRDefault="007875DF" w:rsidP="00C622C2">
      <w:pPr>
        <w:pStyle w:val="Paragraphedeliste"/>
        <w:numPr>
          <w:ilvl w:val="1"/>
          <w:numId w:val="74"/>
        </w:numPr>
        <w:rPr>
          <w:rFonts w:eastAsiaTheme="majorEastAsia" w:cstheme="majorBidi"/>
          <w:szCs w:val="20"/>
        </w:rPr>
      </w:pPr>
      <w:r w:rsidRPr="007875DF">
        <w:rPr>
          <w:rFonts w:eastAsiaTheme="majorEastAsia" w:cstheme="majorBidi"/>
        </w:rPr>
        <w:t>modalités de remboursement à communiquer au plus tard pour le 11/05/2021</w:t>
      </w:r>
      <w:r>
        <w:rPr>
          <w:rFonts w:eastAsiaTheme="majorEastAsia" w:cstheme="majorBidi"/>
        </w:rPr>
        <w:t>.</w:t>
      </w:r>
    </w:p>
    <w:p w14:paraId="5F333272" w14:textId="77777777" w:rsidR="007875DF" w:rsidRPr="007875DF" w:rsidRDefault="007875DF" w:rsidP="007875DF">
      <w:pPr>
        <w:pStyle w:val="Paragraphedeliste"/>
        <w:ind w:left="1080"/>
        <w:rPr>
          <w:rFonts w:eastAsiaTheme="majorEastAsia" w:cstheme="majorBidi"/>
          <w:szCs w:val="20"/>
        </w:rPr>
      </w:pPr>
    </w:p>
    <w:p w14:paraId="4A23326E" w14:textId="77777777" w:rsidR="007875DF" w:rsidRDefault="007875DF" w:rsidP="00C622C2">
      <w:pPr>
        <w:pStyle w:val="Paragraphedeliste"/>
        <w:numPr>
          <w:ilvl w:val="0"/>
          <w:numId w:val="73"/>
        </w:numPr>
      </w:pPr>
      <w:r>
        <w:t>317 K€ auprès de la BNP :</w:t>
      </w:r>
    </w:p>
    <w:p w14:paraId="435278D5" w14:textId="77777777" w:rsidR="007875DF" w:rsidRDefault="007875DF" w:rsidP="00C622C2">
      <w:pPr>
        <w:pStyle w:val="Paragraphedeliste"/>
        <w:numPr>
          <w:ilvl w:val="1"/>
          <w:numId w:val="75"/>
        </w:numPr>
      </w:pPr>
      <w:r>
        <w:t>au taux de 0,25% ;</w:t>
      </w:r>
    </w:p>
    <w:p w14:paraId="4DF2592C" w14:textId="77777777" w:rsidR="007875DF" w:rsidRPr="007875DF" w:rsidRDefault="007875DF" w:rsidP="00C622C2">
      <w:pPr>
        <w:pStyle w:val="Paragraphedeliste"/>
        <w:numPr>
          <w:ilvl w:val="1"/>
          <w:numId w:val="75"/>
        </w:numPr>
        <w:rPr>
          <w:rFonts w:eastAsiaTheme="majorEastAsia" w:cstheme="majorBidi"/>
          <w:szCs w:val="20"/>
        </w:rPr>
      </w:pPr>
      <w:r w:rsidRPr="007875DF">
        <w:t>l'avenant d'amortissement déterminera les nouvelles conditions financières applicables à cette date en fonction des choix de l'emprunteur, sur la base d'un taux d'intérêt établi selon une grille qui ne pourra ex</w:t>
      </w:r>
      <w:r>
        <w:t>c</w:t>
      </w:r>
      <w:r w:rsidRPr="007875DF">
        <w:t>éder les conditions de liquidité applicables au refinancement de la banque sur les marchés à la date d'émission de l'avenant d'amortissement ;</w:t>
      </w:r>
    </w:p>
    <w:p w14:paraId="6553C5FF" w14:textId="77777777" w:rsidR="007875DF" w:rsidRPr="007875DF" w:rsidRDefault="007875DF" w:rsidP="00C622C2">
      <w:pPr>
        <w:pStyle w:val="Paragraphedeliste"/>
        <w:numPr>
          <w:ilvl w:val="1"/>
          <w:numId w:val="75"/>
        </w:numPr>
      </w:pPr>
      <w:r w:rsidRPr="007875DF">
        <w:t>accordé en date du 7 mai 2020 ;</w:t>
      </w:r>
    </w:p>
    <w:p w14:paraId="59DFBFBF" w14:textId="77777777" w:rsidR="007875DF" w:rsidRPr="007875DF" w:rsidRDefault="007875DF" w:rsidP="00C622C2">
      <w:pPr>
        <w:pStyle w:val="Paragraphedeliste"/>
        <w:numPr>
          <w:ilvl w:val="1"/>
          <w:numId w:val="75"/>
        </w:numPr>
        <w:rPr>
          <w:rFonts w:eastAsiaTheme="majorEastAsia" w:cstheme="majorBidi"/>
          <w:szCs w:val="20"/>
        </w:rPr>
      </w:pPr>
      <w:r w:rsidRPr="007875DF">
        <w:rPr>
          <w:rFonts w:eastAsiaTheme="majorEastAsia" w:cstheme="majorBidi"/>
        </w:rPr>
        <w:t>modalités de remboursement à communiquer au plus tard pour le 28/03/2021</w:t>
      </w:r>
      <w:r>
        <w:rPr>
          <w:rFonts w:eastAsiaTheme="majorEastAsia" w:cstheme="majorBidi"/>
        </w:rPr>
        <w:t>.</w:t>
      </w:r>
    </w:p>
    <w:p w14:paraId="77CBE2BE" w14:textId="77777777" w:rsidR="007875DF" w:rsidRPr="007875DF" w:rsidRDefault="007875DF" w:rsidP="007875DF">
      <w:pPr>
        <w:ind w:left="1080"/>
      </w:pPr>
    </w:p>
    <w:p w14:paraId="63C6837D" w14:textId="77777777" w:rsidR="007875DF" w:rsidRPr="007875DF" w:rsidRDefault="007875DF" w:rsidP="00C622C2">
      <w:pPr>
        <w:pStyle w:val="Paragraphedeliste"/>
        <w:numPr>
          <w:ilvl w:val="0"/>
          <w:numId w:val="76"/>
        </w:numPr>
      </w:pPr>
      <w:r w:rsidRPr="007875DF">
        <w:t>432 K€ auprès de la Caisse d’Epargne</w:t>
      </w:r>
      <w:r>
        <w:t> :</w:t>
      </w:r>
    </w:p>
    <w:p w14:paraId="51AF44FA" w14:textId="77777777" w:rsidR="007875DF" w:rsidRPr="007875DF" w:rsidRDefault="007875DF" w:rsidP="00C622C2">
      <w:pPr>
        <w:pStyle w:val="Paragraphedeliste"/>
        <w:numPr>
          <w:ilvl w:val="1"/>
          <w:numId w:val="77"/>
        </w:numPr>
        <w:spacing w:line="259" w:lineRule="auto"/>
        <w:rPr>
          <w:rFonts w:eastAsiaTheme="majorEastAsia" w:cstheme="majorBidi"/>
          <w:szCs w:val="20"/>
        </w:rPr>
      </w:pPr>
      <w:r w:rsidRPr="007875DF">
        <w:t>à un taux qui varie entre 0,25% et 1% selon la durée de remboursement retenue</w:t>
      </w:r>
      <w:r>
        <w:t> ;</w:t>
      </w:r>
    </w:p>
    <w:p w14:paraId="4BF5FA3E" w14:textId="77777777" w:rsidR="007875DF" w:rsidRPr="007875DF" w:rsidRDefault="007875DF" w:rsidP="00C622C2">
      <w:pPr>
        <w:pStyle w:val="Paragraphedeliste"/>
        <w:numPr>
          <w:ilvl w:val="1"/>
          <w:numId w:val="77"/>
        </w:numPr>
        <w:spacing w:line="259" w:lineRule="auto"/>
        <w:rPr>
          <w:szCs w:val="20"/>
        </w:rPr>
      </w:pPr>
      <w:r w:rsidRPr="007875DF">
        <w:t>accordé en date du 23 avril 2020 ;</w:t>
      </w:r>
    </w:p>
    <w:p w14:paraId="368E0B0B" w14:textId="77777777" w:rsidR="007875DF" w:rsidRPr="007875DF" w:rsidRDefault="007875DF" w:rsidP="00C622C2">
      <w:pPr>
        <w:pStyle w:val="Paragraphedeliste"/>
        <w:numPr>
          <w:ilvl w:val="1"/>
          <w:numId w:val="77"/>
        </w:numPr>
        <w:spacing w:line="259" w:lineRule="auto"/>
        <w:rPr>
          <w:rFonts w:eastAsiaTheme="majorEastAsia" w:cstheme="majorBidi"/>
          <w:szCs w:val="20"/>
        </w:rPr>
      </w:pPr>
      <w:r w:rsidRPr="007875DF">
        <w:rPr>
          <w:rFonts w:eastAsiaTheme="majorEastAsia" w:cstheme="majorBidi"/>
        </w:rPr>
        <w:t>modalités de remboursement à communiquer au plus tard pour le 28/03/2021</w:t>
      </w:r>
      <w:r>
        <w:rPr>
          <w:rFonts w:eastAsiaTheme="majorEastAsia" w:cstheme="majorBidi"/>
        </w:rPr>
        <w:t>.</w:t>
      </w:r>
    </w:p>
    <w:p w14:paraId="024A7BC4" w14:textId="77777777" w:rsidR="007875DF" w:rsidRPr="007875DF" w:rsidRDefault="007875DF" w:rsidP="007875DF">
      <w:pPr>
        <w:spacing w:line="259" w:lineRule="auto"/>
        <w:ind w:left="1080" w:hanging="360"/>
      </w:pPr>
    </w:p>
    <w:p w14:paraId="7E7ACEB7" w14:textId="77777777" w:rsidR="007875DF" w:rsidRPr="007875DF" w:rsidRDefault="007875DF" w:rsidP="00C622C2">
      <w:pPr>
        <w:pStyle w:val="Paragraphedeliste"/>
        <w:numPr>
          <w:ilvl w:val="0"/>
          <w:numId w:val="78"/>
        </w:numPr>
      </w:pPr>
      <w:r w:rsidRPr="007875DF">
        <w:t>140 K€ auprès de la Société Générale</w:t>
      </w:r>
      <w:r>
        <w:t> :</w:t>
      </w:r>
    </w:p>
    <w:p w14:paraId="48592B62" w14:textId="77777777" w:rsidR="007875DF" w:rsidRPr="007875DF" w:rsidRDefault="007875DF" w:rsidP="00C622C2">
      <w:pPr>
        <w:pStyle w:val="Paragraphedeliste"/>
        <w:numPr>
          <w:ilvl w:val="1"/>
          <w:numId w:val="77"/>
        </w:numPr>
        <w:spacing w:line="259" w:lineRule="auto"/>
      </w:pPr>
      <w:r w:rsidRPr="007875DF">
        <w:t xml:space="preserve">à un taux d’intérêt qui sera déterminé à la date d’option d’amortissement fonction de sa durée ; </w:t>
      </w:r>
    </w:p>
    <w:p w14:paraId="1FE2248C" w14:textId="77777777" w:rsidR="007875DF" w:rsidRPr="007875DF" w:rsidRDefault="007875DF" w:rsidP="00C622C2">
      <w:pPr>
        <w:pStyle w:val="Paragraphedeliste"/>
        <w:numPr>
          <w:ilvl w:val="1"/>
          <w:numId w:val="77"/>
        </w:numPr>
        <w:spacing w:line="259" w:lineRule="auto"/>
      </w:pPr>
      <w:r w:rsidRPr="007875DF">
        <w:t>accordé en date du 19 juin 2020</w:t>
      </w:r>
      <w:r>
        <w:t xml:space="preserve"> </w:t>
      </w:r>
      <w:r w:rsidRPr="007875DF">
        <w:t>;</w:t>
      </w:r>
    </w:p>
    <w:p w14:paraId="08F873B1" w14:textId="336F2699" w:rsidR="007875DF" w:rsidRPr="005B42F0" w:rsidRDefault="007875DF" w:rsidP="005B42F0">
      <w:pPr>
        <w:pStyle w:val="Paragraphedeliste"/>
        <w:numPr>
          <w:ilvl w:val="1"/>
          <w:numId w:val="77"/>
        </w:numPr>
        <w:spacing w:line="259" w:lineRule="auto"/>
        <w:rPr>
          <w:rFonts w:eastAsia="Times New Roman" w:cstheme="minorHAnsi"/>
        </w:rPr>
      </w:pPr>
      <w:r w:rsidRPr="007875DF">
        <w:t>modalités de remboursement à communiquer au plus tard pour le 25/04/2021</w:t>
      </w:r>
      <w:r>
        <w:t>.</w:t>
      </w:r>
    </w:p>
    <w:p w14:paraId="51C81E68" w14:textId="77777777" w:rsidR="006C3BBD" w:rsidRDefault="006C3BBD" w:rsidP="00117B91">
      <w:pPr>
        <w:rPr>
          <w:rFonts w:eastAsia="Times New Roman" w:cstheme="minorHAnsi"/>
        </w:rPr>
      </w:pPr>
    </w:p>
    <w:p w14:paraId="1D40A368" w14:textId="1989AD40" w:rsidR="006C3BBD" w:rsidRDefault="006C3BBD" w:rsidP="00117B91">
      <w:pPr>
        <w:rPr>
          <w:rFonts w:eastAsia="Times New Roman" w:cstheme="minorHAnsi"/>
        </w:rPr>
      </w:pPr>
      <w:r>
        <w:rPr>
          <w:rFonts w:eastAsia="Times New Roman" w:cstheme="minorHAnsi"/>
        </w:rPr>
        <w:t>Spineway bénéficie également toujours de deux emprunts BPI d’un montant global de 1.000 K€ et au titre desquels 270 K€ restent dus (sur un total d’emprunts de 1.804 K€) :</w:t>
      </w:r>
    </w:p>
    <w:p w14:paraId="138D1261" w14:textId="77777777" w:rsidR="006C3BBD" w:rsidRDefault="006C3BBD" w:rsidP="006C3BBD">
      <w:pPr>
        <w:ind w:firstLine="709"/>
        <w:rPr>
          <w:rFonts w:eastAsia="Times New Roman" w:cstheme="minorHAnsi"/>
          <w:b/>
          <w:i/>
          <w:u w:val="single"/>
        </w:rPr>
      </w:pPr>
    </w:p>
    <w:p w14:paraId="48D86906" w14:textId="77777777" w:rsidR="006C3BBD" w:rsidRPr="007875DF" w:rsidRDefault="006C3BBD" w:rsidP="00C622C2">
      <w:pPr>
        <w:pStyle w:val="Paragraphedeliste"/>
        <w:numPr>
          <w:ilvl w:val="0"/>
          <w:numId w:val="80"/>
        </w:numPr>
        <w:tabs>
          <w:tab w:val="left" w:pos="567"/>
        </w:tabs>
        <w:ind w:left="709" w:hanging="425"/>
        <w:rPr>
          <w:rFonts w:eastAsia="Times New Roman" w:cstheme="minorHAnsi"/>
          <w:b/>
          <w:i/>
          <w:u w:val="single"/>
        </w:rPr>
      </w:pPr>
      <w:r w:rsidRPr="007875DF">
        <w:rPr>
          <w:rFonts w:eastAsia="Times New Roman" w:cstheme="minorHAnsi"/>
          <w:b/>
          <w:i/>
          <w:u w:val="single"/>
        </w:rPr>
        <w:t>Contrat BPI Prêt innovation souscrit le 10/12/2014</w:t>
      </w:r>
    </w:p>
    <w:p w14:paraId="3141F3A2" w14:textId="77777777" w:rsidR="006C3BBD" w:rsidRPr="006C3BBD" w:rsidRDefault="006C3BBD" w:rsidP="006C3BBD">
      <w:pPr>
        <w:ind w:firstLine="709"/>
        <w:rPr>
          <w:rFonts w:eastAsia="Times New Roman" w:cstheme="minorHAnsi"/>
        </w:rPr>
      </w:pPr>
      <w:r w:rsidRPr="006C3BBD">
        <w:rPr>
          <w:rFonts w:eastAsia="Times New Roman" w:cstheme="minorHAnsi"/>
        </w:rPr>
        <w:t>Montant initial emprunté : 400 K€</w:t>
      </w:r>
    </w:p>
    <w:p w14:paraId="4A2C4945" w14:textId="77777777" w:rsidR="006C3BBD" w:rsidRPr="006C3BBD" w:rsidRDefault="006C3BBD" w:rsidP="006C3BBD">
      <w:pPr>
        <w:ind w:firstLine="709"/>
        <w:rPr>
          <w:rFonts w:eastAsia="Times New Roman" w:cstheme="minorHAnsi"/>
        </w:rPr>
      </w:pPr>
      <w:r w:rsidRPr="006C3BBD">
        <w:rPr>
          <w:rFonts w:eastAsia="Times New Roman" w:cstheme="minorHAnsi"/>
        </w:rPr>
        <w:t>Taux : 4,12% (taux fixe)</w:t>
      </w:r>
    </w:p>
    <w:p w14:paraId="2003B77B" w14:textId="77777777" w:rsidR="006C3BBD" w:rsidRPr="006C3BBD" w:rsidRDefault="006C3BBD" w:rsidP="006C3BBD">
      <w:pPr>
        <w:ind w:firstLine="709"/>
        <w:rPr>
          <w:rFonts w:eastAsia="Times New Roman" w:cstheme="minorHAnsi"/>
        </w:rPr>
      </w:pPr>
      <w:r w:rsidRPr="006C3BBD">
        <w:rPr>
          <w:rFonts w:eastAsia="Times New Roman" w:cstheme="minorHAnsi"/>
        </w:rPr>
        <w:t xml:space="preserve">Durée : 7 années </w:t>
      </w:r>
    </w:p>
    <w:p w14:paraId="49A2B43D" w14:textId="77777777" w:rsidR="006C3BBD" w:rsidRPr="006C3BBD" w:rsidRDefault="006C3BBD" w:rsidP="006C3BBD">
      <w:pPr>
        <w:ind w:firstLine="709"/>
        <w:rPr>
          <w:rFonts w:eastAsia="Times New Roman" w:cstheme="minorHAnsi"/>
        </w:rPr>
      </w:pPr>
      <w:r w:rsidRPr="006C3BBD">
        <w:rPr>
          <w:rFonts w:eastAsia="Times New Roman" w:cstheme="minorHAnsi"/>
        </w:rPr>
        <w:t>Échéance initiale : 31/12/2021. En attente du nouvel échéancier</w:t>
      </w:r>
    </w:p>
    <w:p w14:paraId="01E957BD" w14:textId="77777777" w:rsidR="006C3BBD" w:rsidRPr="006C3BBD" w:rsidRDefault="006C3BBD" w:rsidP="006C3BBD">
      <w:pPr>
        <w:ind w:firstLine="709"/>
        <w:rPr>
          <w:rFonts w:eastAsia="Times New Roman" w:cstheme="minorHAnsi"/>
        </w:rPr>
      </w:pPr>
      <w:r w:rsidRPr="006C3BBD">
        <w:rPr>
          <w:rFonts w:eastAsia="Times New Roman" w:cstheme="minorHAnsi"/>
        </w:rPr>
        <w:t>Périodicité : trimestrielle</w:t>
      </w:r>
    </w:p>
    <w:p w14:paraId="6FD79D63" w14:textId="77777777" w:rsidR="006C3BBD" w:rsidRPr="006C3BBD" w:rsidRDefault="006C3BBD" w:rsidP="006C3BBD">
      <w:pPr>
        <w:ind w:left="709"/>
        <w:rPr>
          <w:rFonts w:eastAsia="Times New Roman" w:cstheme="minorHAnsi"/>
        </w:rPr>
      </w:pPr>
      <w:r w:rsidRPr="006C3BBD">
        <w:rPr>
          <w:rFonts w:eastAsia="Times New Roman" w:cstheme="minorHAnsi"/>
        </w:rPr>
        <w:t>Modalités de remboursement : 8 trimestres de différés d’amortissements du capital suivis de 20 versements trimestriels (amortissement du capital + intérêts)</w:t>
      </w:r>
    </w:p>
    <w:p w14:paraId="7EF34389" w14:textId="5AF21143" w:rsidR="006C3BBD" w:rsidRPr="006C3BBD" w:rsidRDefault="006C3BBD" w:rsidP="006C3BBD">
      <w:pPr>
        <w:ind w:firstLine="709"/>
        <w:rPr>
          <w:rFonts w:eastAsia="Times New Roman" w:cstheme="minorHAnsi"/>
        </w:rPr>
      </w:pPr>
      <w:r w:rsidRPr="006C3BBD">
        <w:rPr>
          <w:rFonts w:eastAsia="Times New Roman" w:cstheme="minorHAnsi"/>
        </w:rPr>
        <w:t>Objet du prêt : Renforcement de la structure financière</w:t>
      </w:r>
    </w:p>
    <w:p w14:paraId="2606E151" w14:textId="77777777" w:rsidR="006C3BBD" w:rsidRDefault="006C3BBD" w:rsidP="006C3BBD">
      <w:pPr>
        <w:ind w:firstLine="709"/>
        <w:rPr>
          <w:rFonts w:eastAsia="Times New Roman" w:cstheme="minorHAnsi"/>
          <w:b/>
          <w:i/>
          <w:u w:val="single"/>
        </w:rPr>
      </w:pPr>
    </w:p>
    <w:p w14:paraId="5572CA97" w14:textId="77777777" w:rsidR="006C3BBD" w:rsidRPr="007875DF" w:rsidRDefault="006C3BBD" w:rsidP="00C622C2">
      <w:pPr>
        <w:pStyle w:val="Paragraphedeliste"/>
        <w:numPr>
          <w:ilvl w:val="0"/>
          <w:numId w:val="80"/>
        </w:numPr>
        <w:ind w:left="709" w:hanging="425"/>
        <w:rPr>
          <w:rFonts w:eastAsia="Times New Roman" w:cstheme="minorHAnsi"/>
          <w:b/>
          <w:i/>
          <w:u w:val="single"/>
        </w:rPr>
      </w:pPr>
      <w:r w:rsidRPr="007875DF">
        <w:rPr>
          <w:rFonts w:eastAsia="Times New Roman" w:cstheme="minorHAnsi"/>
          <w:b/>
          <w:i/>
          <w:u w:val="single"/>
        </w:rPr>
        <w:t xml:space="preserve">Contrat BPI Prêt export du 14/10/2014 </w:t>
      </w:r>
    </w:p>
    <w:p w14:paraId="2FD2EB62" w14:textId="77777777" w:rsidR="006C3BBD" w:rsidRPr="006C3BBD" w:rsidRDefault="006C3BBD" w:rsidP="006C3BBD">
      <w:pPr>
        <w:ind w:firstLine="709"/>
        <w:rPr>
          <w:rFonts w:eastAsia="Times New Roman" w:cstheme="minorHAnsi"/>
        </w:rPr>
      </w:pPr>
      <w:r w:rsidRPr="006C3BBD">
        <w:rPr>
          <w:rFonts w:eastAsia="Times New Roman" w:cstheme="minorHAnsi"/>
        </w:rPr>
        <w:t>Montant initial emprunté : 600 K€</w:t>
      </w:r>
    </w:p>
    <w:p w14:paraId="499CD0FD" w14:textId="77777777" w:rsidR="006C3BBD" w:rsidRPr="006C3BBD" w:rsidRDefault="006C3BBD" w:rsidP="006C3BBD">
      <w:pPr>
        <w:ind w:firstLine="709"/>
        <w:rPr>
          <w:rFonts w:eastAsia="Times New Roman" w:cstheme="minorHAnsi"/>
        </w:rPr>
      </w:pPr>
      <w:r w:rsidRPr="006C3BBD">
        <w:rPr>
          <w:rFonts w:eastAsia="Times New Roman" w:cstheme="minorHAnsi"/>
        </w:rPr>
        <w:t>Taux : 3,15% (taux fixe)</w:t>
      </w:r>
    </w:p>
    <w:p w14:paraId="200A5134" w14:textId="77777777" w:rsidR="006C3BBD" w:rsidRPr="006C3BBD" w:rsidRDefault="006C3BBD" w:rsidP="006C3BBD">
      <w:pPr>
        <w:ind w:firstLine="709"/>
        <w:rPr>
          <w:rFonts w:eastAsia="Times New Roman" w:cstheme="minorHAnsi"/>
        </w:rPr>
      </w:pPr>
      <w:r w:rsidRPr="006C3BBD">
        <w:rPr>
          <w:rFonts w:eastAsia="Times New Roman" w:cstheme="minorHAnsi"/>
        </w:rPr>
        <w:t>Durée : 6 années et 9 mois</w:t>
      </w:r>
    </w:p>
    <w:p w14:paraId="46DA02D2" w14:textId="77777777" w:rsidR="006C3BBD" w:rsidRPr="006C3BBD" w:rsidRDefault="006C3BBD" w:rsidP="006C3BBD">
      <w:pPr>
        <w:ind w:firstLine="709"/>
        <w:rPr>
          <w:rFonts w:eastAsia="Times New Roman" w:cstheme="minorHAnsi"/>
        </w:rPr>
      </w:pPr>
      <w:r w:rsidRPr="006C3BBD">
        <w:rPr>
          <w:rFonts w:eastAsia="Times New Roman" w:cstheme="minorHAnsi"/>
        </w:rPr>
        <w:t>Échéance initiale : 30/09/2021. En attente du nouvel échéancier</w:t>
      </w:r>
    </w:p>
    <w:p w14:paraId="34AAFE58" w14:textId="77777777" w:rsidR="006C3BBD" w:rsidRPr="006C3BBD" w:rsidRDefault="006C3BBD" w:rsidP="006C3BBD">
      <w:pPr>
        <w:ind w:firstLine="709"/>
        <w:rPr>
          <w:rFonts w:eastAsia="Times New Roman" w:cstheme="minorHAnsi"/>
        </w:rPr>
      </w:pPr>
      <w:r w:rsidRPr="006C3BBD">
        <w:rPr>
          <w:rFonts w:eastAsia="Times New Roman" w:cstheme="minorHAnsi"/>
        </w:rPr>
        <w:t>Périodicité : trimestrielle</w:t>
      </w:r>
    </w:p>
    <w:p w14:paraId="1EEC3775" w14:textId="77777777" w:rsidR="006C3BBD" w:rsidRPr="006C3BBD" w:rsidRDefault="006C3BBD" w:rsidP="006C3BBD">
      <w:pPr>
        <w:ind w:left="709"/>
        <w:rPr>
          <w:rFonts w:eastAsia="Times New Roman" w:cstheme="minorHAnsi"/>
        </w:rPr>
      </w:pPr>
      <w:r w:rsidRPr="006C3BBD">
        <w:rPr>
          <w:rFonts w:eastAsia="Times New Roman" w:cstheme="minorHAnsi"/>
        </w:rPr>
        <w:t>Modalités de remboursement : 7 trimestres de différés d’amortissements du capital suivis de 20 versements trimestriels (amortissement du capital + intérêts)</w:t>
      </w:r>
    </w:p>
    <w:p w14:paraId="671853E6" w14:textId="77777777" w:rsidR="006C3BBD" w:rsidRPr="006C3BBD" w:rsidRDefault="006C3BBD" w:rsidP="006C3BBD">
      <w:pPr>
        <w:ind w:left="709"/>
        <w:rPr>
          <w:rFonts w:eastAsia="Times New Roman" w:cstheme="minorHAnsi"/>
        </w:rPr>
      </w:pPr>
      <w:r w:rsidRPr="006C3BBD">
        <w:rPr>
          <w:rFonts w:eastAsia="Times New Roman" w:cstheme="minorHAnsi"/>
        </w:rPr>
        <w:lastRenderedPageBreak/>
        <w:t>Objet du prêt : Financement des dépenses immatérielles liées au lancement industriel et commercial d’une innovation.</w:t>
      </w:r>
    </w:p>
    <w:p w14:paraId="7CB6F653" w14:textId="77777777" w:rsidR="00D71477" w:rsidRDefault="00D71477" w:rsidP="00117B91">
      <w:pPr>
        <w:rPr>
          <w:color w:val="FF0000"/>
        </w:rPr>
      </w:pPr>
    </w:p>
    <w:p w14:paraId="51955CCA" w14:textId="0DFCDA93" w:rsidR="00117B91" w:rsidRPr="00AB2CCD" w:rsidRDefault="00117B91" w:rsidP="00117B91">
      <w:r>
        <w:t>Les</w:t>
      </w:r>
      <w:r w:rsidRPr="00AB2CCD">
        <w:t xml:space="preserve"> dettes court terme sont composées de :</w:t>
      </w:r>
    </w:p>
    <w:p w14:paraId="6A15806E" w14:textId="0CF9AB48" w:rsidR="00117B91" w:rsidRPr="00AB2CCD" w:rsidRDefault="00117B91" w:rsidP="00C622C2">
      <w:pPr>
        <w:pStyle w:val="Paragraphedeliste"/>
        <w:numPr>
          <w:ilvl w:val="0"/>
          <w:numId w:val="5"/>
        </w:numPr>
      </w:pPr>
      <w:r w:rsidRPr="00AB2CCD">
        <w:rPr>
          <w:b/>
        </w:rPr>
        <w:t>billets financiers court terme </w:t>
      </w:r>
      <w:r>
        <w:t xml:space="preserve">: Spineway utilise 350 K€ au 31 décembre 2020. Ils sont souscrits pour 90 jours. </w:t>
      </w:r>
      <w:r w:rsidR="00F4211D">
        <w:t>L</w:t>
      </w:r>
      <w:r w:rsidR="00F4211D" w:rsidRPr="00F4211D">
        <w:t>es dates d'échéance des billets utilisés au 31 décembre 2020 vont du 1er janvier 2021 au 31 mars 2021. Ils sont ensuite renouvelés.</w:t>
      </w:r>
    </w:p>
    <w:p w14:paraId="55ECEE00" w14:textId="07CC812A" w:rsidR="00117B91" w:rsidRPr="00AB2CCD" w:rsidRDefault="00117B91" w:rsidP="00C622C2">
      <w:pPr>
        <w:pStyle w:val="Paragraphedeliste"/>
        <w:numPr>
          <w:ilvl w:val="0"/>
          <w:numId w:val="5"/>
        </w:numPr>
      </w:pPr>
      <w:r w:rsidRPr="00AB2CCD">
        <w:rPr>
          <w:b/>
        </w:rPr>
        <w:t>mobilisations de créances nées à l’étranger</w:t>
      </w:r>
      <w:r>
        <w:rPr>
          <w:b/>
        </w:rPr>
        <w:t xml:space="preserve"> (MCNE) </w:t>
      </w:r>
      <w:r>
        <w:t xml:space="preserve">: Spineway utilise 530 K€ au 31 décembre 2020, pour </w:t>
      </w:r>
      <w:r w:rsidRPr="00F4211D">
        <w:t>un montant de</w:t>
      </w:r>
      <w:r w:rsidR="00F4211D" w:rsidRPr="00F4211D">
        <w:t xml:space="preserve"> 1.040</w:t>
      </w:r>
      <w:r w:rsidRPr="00F4211D">
        <w:t xml:space="preserve"> K€ disponibles. Ces mobilisations de créances nées à l’étranger arrivent à échéance</w:t>
      </w:r>
      <w:r>
        <w:t xml:space="preserve"> au paiement de la facture par le client.</w:t>
      </w:r>
    </w:p>
    <w:p w14:paraId="0A6BEA02" w14:textId="77777777" w:rsidR="00117B91" w:rsidRDefault="00117B91" w:rsidP="00B21BD4"/>
    <w:p w14:paraId="6E9556D8" w14:textId="5CF5041C" w:rsidR="00A878BB" w:rsidRDefault="00117B91" w:rsidP="00B21BD4">
      <w:r>
        <w:t>Les</w:t>
      </w:r>
      <w:r w:rsidRPr="00F46A72">
        <w:t xml:space="preserve"> outils de financement court terme (MCNE, billets de trésorerie, découverts) </w:t>
      </w:r>
      <w:r>
        <w:t xml:space="preserve">doivent être </w:t>
      </w:r>
      <w:r w:rsidR="00D71477">
        <w:t>renégociés en 2021</w:t>
      </w:r>
      <w:r>
        <w:t>.</w:t>
      </w:r>
    </w:p>
    <w:p w14:paraId="6460F0A5" w14:textId="77777777" w:rsidR="00D71477" w:rsidRDefault="00D71477" w:rsidP="00B21BD4"/>
    <w:p w14:paraId="0DC44F8C" w14:textId="4FAB7B7B" w:rsidR="00117B91" w:rsidRDefault="00D71477" w:rsidP="00B21BD4">
      <w:pPr>
        <w:rPr>
          <w:rFonts w:eastAsia="Times New Roman" w:cstheme="minorHAnsi"/>
        </w:rPr>
      </w:pPr>
      <w:r>
        <w:rPr>
          <w:rFonts w:eastAsia="Times New Roman" w:cstheme="minorHAnsi"/>
        </w:rPr>
        <w:t>Au 31 décembre 2020, 46</w:t>
      </w:r>
      <w:r w:rsidR="002B1EAD">
        <w:rPr>
          <w:rFonts w:eastAsia="Times New Roman" w:cstheme="minorHAnsi"/>
        </w:rPr>
        <w:t xml:space="preserve"> </w:t>
      </w:r>
      <w:r>
        <w:rPr>
          <w:rFonts w:eastAsia="Times New Roman" w:cstheme="minorHAnsi"/>
        </w:rPr>
        <w:t xml:space="preserve">% des lignes </w:t>
      </w:r>
      <w:r w:rsidRPr="000B7199">
        <w:rPr>
          <w:rFonts w:eastAsia="Times New Roman" w:cstheme="minorHAnsi"/>
        </w:rPr>
        <w:t xml:space="preserve">de financement du BFR par le pool </w:t>
      </w:r>
      <w:r w:rsidRPr="00D3398D">
        <w:rPr>
          <w:rFonts w:eastAsia="Times New Roman" w:cstheme="minorHAnsi"/>
        </w:rPr>
        <w:t>bancaire</w:t>
      </w:r>
      <w:r>
        <w:rPr>
          <w:rFonts w:eastAsia="Times New Roman" w:cstheme="minorHAnsi"/>
        </w:rPr>
        <w:t xml:space="preserve"> ont été renouvelées.</w:t>
      </w:r>
    </w:p>
    <w:p w14:paraId="336449D1" w14:textId="77777777" w:rsidR="0037444F" w:rsidRDefault="0037444F" w:rsidP="0037444F"/>
    <w:p w14:paraId="61853488" w14:textId="173599B9" w:rsidR="0037444F" w:rsidRPr="00081097" w:rsidRDefault="0037444F" w:rsidP="0037444F">
      <w:r w:rsidRPr="00081097">
        <w:t>Spineway a payé</w:t>
      </w:r>
      <w:r w:rsidR="00705318" w:rsidRPr="00081097">
        <w:t xml:space="preserve"> </w:t>
      </w:r>
      <w:r w:rsidR="00D71477" w:rsidRPr="00081097">
        <w:t>50</w:t>
      </w:r>
      <w:r w:rsidRPr="00081097">
        <w:t xml:space="preserve"> K€ d’intérêts et charges en 2020. </w:t>
      </w:r>
    </w:p>
    <w:p w14:paraId="1BB6309C" w14:textId="77777777" w:rsidR="0037444F" w:rsidRPr="00081097" w:rsidRDefault="0037444F" w:rsidP="0037444F"/>
    <w:p w14:paraId="6EEF1322" w14:textId="3C183B7A" w:rsidR="00081097" w:rsidRPr="00081097" w:rsidRDefault="00A878BB" w:rsidP="005B42F0">
      <w:r w:rsidRPr="00081097">
        <w:t>Les empru</w:t>
      </w:r>
      <w:r w:rsidR="00081097" w:rsidRPr="00081097">
        <w:t>nts moyens et long terme sont à taux fixe et ont été souscrits en euros sauf un emprunt de 500 K$ ayant servi à capitaliser la filiale américaine.</w:t>
      </w:r>
    </w:p>
    <w:p w14:paraId="71BC4207" w14:textId="647B72C6" w:rsidR="00A878BB" w:rsidRPr="00081097" w:rsidRDefault="00A878BB" w:rsidP="0037444F"/>
    <w:p w14:paraId="5E3DFF40" w14:textId="77777777" w:rsidR="00A878BB" w:rsidRPr="00081097" w:rsidRDefault="00A878BB" w:rsidP="00A878BB">
      <w:r w:rsidRPr="00081097">
        <w:t>Les outils court terme sont à taux variable. Ils sont indexés sur le taux Euribor 3 mois.</w:t>
      </w:r>
    </w:p>
    <w:p w14:paraId="0B762C12" w14:textId="3D9AEB58" w:rsidR="00A878BB" w:rsidRPr="00081097" w:rsidRDefault="00A878BB" w:rsidP="00A878BB">
      <w:r w:rsidRPr="00081097">
        <w:t>Spineway ne dispose pas de couverture sur la remontée de l’</w:t>
      </w:r>
      <w:r w:rsidR="00081097">
        <w:t>E</w:t>
      </w:r>
      <w:r w:rsidRPr="00081097">
        <w:t>uribor 3 mois.</w:t>
      </w:r>
    </w:p>
    <w:p w14:paraId="72318B5C" w14:textId="77777777" w:rsidR="00A878BB" w:rsidRPr="00B21BD4" w:rsidRDefault="00A878BB" w:rsidP="00B21BD4"/>
    <w:p w14:paraId="4C8F3F82" w14:textId="6578487D" w:rsidR="00CF0C5B" w:rsidRDefault="00A247E0" w:rsidP="00EE50DB">
      <w:pPr>
        <w:pStyle w:val="Titre2"/>
      </w:pPr>
      <w:bookmarkStart w:id="208" w:name="_Toc475033221"/>
      <w:r>
        <w:t>8</w:t>
      </w:r>
      <w:r w:rsidR="00EE50DB">
        <w:t xml:space="preserve">.4 </w:t>
      </w:r>
      <w:r w:rsidR="00CF0C5B">
        <w:t>Restriction à l’utilisation des capitaux</w:t>
      </w:r>
      <w:bookmarkEnd w:id="208"/>
      <w:r w:rsidR="00CF0C5B">
        <w:t xml:space="preserve"> </w:t>
      </w:r>
      <w:r w:rsidR="00CF0C5B">
        <w:tab/>
      </w:r>
    </w:p>
    <w:p w14:paraId="2E8436DE" w14:textId="77777777" w:rsidR="00B21BD4" w:rsidRDefault="00B21BD4" w:rsidP="00B21BD4"/>
    <w:p w14:paraId="3E5180F9" w14:textId="4E17DE8B" w:rsidR="00B21BD4" w:rsidRPr="009107CD" w:rsidRDefault="00B9197A" w:rsidP="00B21BD4">
      <w:r w:rsidRPr="009107CD">
        <w:t>Néant.</w:t>
      </w:r>
    </w:p>
    <w:p w14:paraId="1C4337B3" w14:textId="77777777" w:rsidR="00F13840" w:rsidRPr="00B21BD4" w:rsidRDefault="00F13840" w:rsidP="00B21BD4"/>
    <w:p w14:paraId="57CD98B0" w14:textId="573A66EE" w:rsidR="00CF0C5B" w:rsidRDefault="00A247E0" w:rsidP="00EE50DB">
      <w:pPr>
        <w:pStyle w:val="Titre2"/>
      </w:pPr>
      <w:bookmarkStart w:id="209" w:name="_Toc475033222"/>
      <w:r>
        <w:t>8</w:t>
      </w:r>
      <w:r w:rsidR="00EE50DB">
        <w:t xml:space="preserve">.5 </w:t>
      </w:r>
      <w:r w:rsidR="00CF0C5B">
        <w:t>Sources de financement nécessaires à l’avenir</w:t>
      </w:r>
      <w:bookmarkEnd w:id="209"/>
      <w:r w:rsidR="00CF0C5B">
        <w:t xml:space="preserve"> </w:t>
      </w:r>
      <w:r w:rsidR="00CF0C5B">
        <w:tab/>
      </w:r>
    </w:p>
    <w:p w14:paraId="45163D55" w14:textId="77777777" w:rsidR="00F13840" w:rsidRPr="006C2D5C" w:rsidRDefault="00F13840" w:rsidP="000E4D41">
      <w:pPr>
        <w:tabs>
          <w:tab w:val="left" w:pos="1125"/>
        </w:tabs>
        <w:rPr>
          <w:szCs w:val="20"/>
        </w:rPr>
      </w:pPr>
    </w:p>
    <w:p w14:paraId="0A6C506F" w14:textId="77777777" w:rsidR="00847F04" w:rsidRPr="006C2D5C" w:rsidRDefault="00847F04" w:rsidP="00847F04">
      <w:pPr>
        <w:rPr>
          <w:szCs w:val="20"/>
        </w:rPr>
      </w:pPr>
      <w:r w:rsidRPr="006C2D5C">
        <w:rPr>
          <w:szCs w:val="20"/>
        </w:rPr>
        <w:t xml:space="preserve">L’activité de Spineway induit un besoin en fonds de roulement important lié aux délais d’encaissements des créances clients, établissements de santé en France et distributeurs hors </w:t>
      </w:r>
      <w:r>
        <w:rPr>
          <w:szCs w:val="20"/>
        </w:rPr>
        <w:t xml:space="preserve">de </w:t>
      </w:r>
      <w:r w:rsidRPr="006C2D5C">
        <w:rPr>
          <w:szCs w:val="20"/>
        </w:rPr>
        <w:t xml:space="preserve">France, et un niveau de stocks élevé </w:t>
      </w:r>
      <w:r>
        <w:rPr>
          <w:szCs w:val="20"/>
        </w:rPr>
        <w:t xml:space="preserve">causé </w:t>
      </w:r>
      <w:r w:rsidRPr="006C2D5C">
        <w:rPr>
          <w:szCs w:val="20"/>
        </w:rPr>
        <w:t xml:space="preserve">par la </w:t>
      </w:r>
      <w:r>
        <w:rPr>
          <w:szCs w:val="20"/>
        </w:rPr>
        <w:t xml:space="preserve">nécessaire </w:t>
      </w:r>
      <w:r w:rsidRPr="006C2D5C">
        <w:rPr>
          <w:szCs w:val="20"/>
        </w:rPr>
        <w:t xml:space="preserve">disponibilité des gammes d’implants. </w:t>
      </w:r>
    </w:p>
    <w:p w14:paraId="78567BC0" w14:textId="77777777" w:rsidR="00847F04" w:rsidRDefault="00847F04" w:rsidP="00847F04">
      <w:pPr>
        <w:rPr>
          <w:szCs w:val="20"/>
        </w:rPr>
      </w:pPr>
    </w:p>
    <w:p w14:paraId="0DED36AE" w14:textId="021F19C7" w:rsidR="0020594F" w:rsidRDefault="00552EA4" w:rsidP="00FB001F">
      <w:r>
        <w:rPr>
          <w:szCs w:val="20"/>
        </w:rPr>
        <w:t>La</w:t>
      </w:r>
      <w:r w:rsidR="00847F04" w:rsidRPr="006C2D5C">
        <w:rPr>
          <w:szCs w:val="20"/>
        </w:rPr>
        <w:t xml:space="preserve"> </w:t>
      </w:r>
      <w:r w:rsidR="00847F04">
        <w:rPr>
          <w:szCs w:val="20"/>
        </w:rPr>
        <w:t>S</w:t>
      </w:r>
      <w:r w:rsidR="00847F04" w:rsidRPr="006C2D5C">
        <w:rPr>
          <w:szCs w:val="20"/>
        </w:rPr>
        <w:t>ociété a</w:t>
      </w:r>
      <w:r w:rsidR="00847F04">
        <w:rPr>
          <w:szCs w:val="20"/>
        </w:rPr>
        <w:t xml:space="preserve"> conclu</w:t>
      </w:r>
      <w:r>
        <w:rPr>
          <w:szCs w:val="20"/>
        </w:rPr>
        <w:t>,</w:t>
      </w:r>
      <w:r w:rsidR="00847F04">
        <w:rPr>
          <w:szCs w:val="20"/>
        </w:rPr>
        <w:t xml:space="preserve"> </w:t>
      </w:r>
      <w:r>
        <w:rPr>
          <w:szCs w:val="20"/>
        </w:rPr>
        <w:t>avec Negma</w:t>
      </w:r>
      <w:r w:rsidRPr="00552EA4">
        <w:t xml:space="preserve"> </w:t>
      </w:r>
      <w:r w:rsidR="00490F6A">
        <w:t xml:space="preserve">Group Ltd </w:t>
      </w:r>
      <w:r>
        <w:t xml:space="preserve">et </w:t>
      </w:r>
      <w:r>
        <w:rPr>
          <w:szCs w:val="20"/>
        </w:rPr>
        <w:t xml:space="preserve">en octobre 2019, </w:t>
      </w:r>
      <w:r>
        <w:t>un</w:t>
      </w:r>
      <w:r w:rsidRPr="008E265C">
        <w:t xml:space="preserve"> plan de financement par émissions d’OCABSA</w:t>
      </w:r>
      <w:r>
        <w:t xml:space="preserve"> </w:t>
      </w:r>
      <w:r w:rsidR="00847F04" w:rsidRPr="008E265C">
        <w:t xml:space="preserve">pour un montant total potentiel de 40 M€ </w:t>
      </w:r>
      <w:r>
        <w:t xml:space="preserve">afin </w:t>
      </w:r>
      <w:r w:rsidR="00847F04" w:rsidRPr="008E265C">
        <w:t>de financer des projets de rapprochement capitalistique</w:t>
      </w:r>
      <w:r>
        <w:t xml:space="preserve">, </w:t>
      </w:r>
      <w:r w:rsidR="00847F04" w:rsidRPr="008E265C">
        <w:t xml:space="preserve">accompagner sa stratégie </w:t>
      </w:r>
      <w:r>
        <w:t>et</w:t>
      </w:r>
      <w:r w:rsidR="00847F04" w:rsidRPr="008E265C">
        <w:t xml:space="preserve"> supporter les besoins de trésorerie liés à l’activité courante notamment en lien avec la pandémie actuelle. </w:t>
      </w:r>
    </w:p>
    <w:p w14:paraId="7E2C9A2A" w14:textId="77777777" w:rsidR="00490F6A" w:rsidRPr="0044188B" w:rsidRDefault="00490F6A" w:rsidP="00FB001F">
      <w:pPr>
        <w:sectPr w:rsidR="00490F6A" w:rsidRPr="0044188B" w:rsidSect="008140D0">
          <w:pgSz w:w="11900" w:h="16820"/>
          <w:pgMar w:top="1389" w:right="1134" w:bottom="902" w:left="1418" w:header="425" w:footer="709" w:gutter="0"/>
          <w:cols w:space="708"/>
          <w:titlePg/>
          <w:docGrid w:linePitch="360"/>
        </w:sectPr>
      </w:pPr>
    </w:p>
    <w:p w14:paraId="7723FF93" w14:textId="6EB697AB" w:rsidR="00E82577" w:rsidRPr="00D00AC7" w:rsidRDefault="00A247E0" w:rsidP="00D00AC7">
      <w:pPr>
        <w:pStyle w:val="Titre1"/>
        <w:spacing w:before="0"/>
        <w:rPr>
          <w:caps/>
        </w:rPr>
      </w:pPr>
      <w:bookmarkStart w:id="210" w:name="_Ref367368395"/>
      <w:bookmarkStart w:id="211" w:name="_Ref367368397"/>
      <w:bookmarkStart w:id="212" w:name="_Ref474062560"/>
      <w:bookmarkStart w:id="213" w:name="_Toc475033223"/>
      <w:r w:rsidRPr="00D00AC7">
        <w:rPr>
          <w:caps/>
        </w:rPr>
        <w:lastRenderedPageBreak/>
        <w:t>9</w:t>
      </w:r>
      <w:r w:rsidR="00EE50DB" w:rsidRPr="00D00AC7">
        <w:rPr>
          <w:caps/>
        </w:rPr>
        <w:t xml:space="preserve">. </w:t>
      </w:r>
      <w:bookmarkEnd w:id="210"/>
      <w:bookmarkEnd w:id="211"/>
      <w:r w:rsidR="00676C25" w:rsidRPr="00D00AC7">
        <w:rPr>
          <w:caps/>
        </w:rPr>
        <w:t>Environnement règlementaire</w:t>
      </w:r>
      <w:bookmarkStart w:id="214" w:name="_Ref373073703"/>
      <w:bookmarkEnd w:id="212"/>
      <w:bookmarkEnd w:id="213"/>
    </w:p>
    <w:bookmarkEnd w:id="214"/>
    <w:p w14:paraId="6E71DCA9" w14:textId="4C24A91C" w:rsidR="009107CD" w:rsidRDefault="009107CD" w:rsidP="009107CD">
      <w:pPr>
        <w:rPr>
          <w:rFonts w:ascii="Calibri" w:hAnsi="Calibri"/>
          <w:color w:val="000000"/>
          <w:sz w:val="22"/>
          <w:szCs w:val="22"/>
        </w:rPr>
      </w:pPr>
    </w:p>
    <w:p w14:paraId="1A4B1116" w14:textId="2E594366" w:rsidR="0044188B" w:rsidRPr="0044188B" w:rsidRDefault="0044188B" w:rsidP="0044188B">
      <w:pPr>
        <w:pStyle w:val="Titre2"/>
        <w:rPr>
          <w:color w:val="345A8A" w:themeColor="accent1" w:themeShade="B5"/>
          <w:sz w:val="32"/>
          <w:szCs w:val="32"/>
        </w:rPr>
      </w:pPr>
      <w:bookmarkStart w:id="215" w:name="_Toc475033224"/>
      <w:r w:rsidRPr="0044188B">
        <w:t>9.1 Les contraintes réglementaires encadrant la commercialisation des dispositifs médicaux</w:t>
      </w:r>
      <w:bookmarkEnd w:id="215"/>
      <w:r>
        <w:t xml:space="preserve"> </w:t>
      </w:r>
    </w:p>
    <w:p w14:paraId="4CDB3A67" w14:textId="77777777" w:rsidR="0044188B" w:rsidRDefault="0044188B" w:rsidP="0044188B">
      <w:pPr>
        <w:jc w:val="left"/>
        <w:rPr>
          <w:b/>
        </w:rPr>
      </w:pPr>
    </w:p>
    <w:p w14:paraId="115C7137" w14:textId="4A4DD87F" w:rsidR="0044188B" w:rsidRPr="00E25ECA" w:rsidRDefault="0044188B" w:rsidP="0044188B">
      <w:pPr>
        <w:rPr>
          <w:szCs w:val="20"/>
        </w:rPr>
      </w:pPr>
      <w:r w:rsidRPr="00E25ECA">
        <w:rPr>
          <w:szCs w:val="20"/>
        </w:rPr>
        <w:t xml:space="preserve">Des dispositions législatives et règlementaires définies par la Commission Européenne, la </w:t>
      </w:r>
      <w:r w:rsidR="001B488F">
        <w:rPr>
          <w:szCs w:val="20"/>
        </w:rPr>
        <w:t>Food &amp; Drug Administration</w:t>
      </w:r>
      <w:r w:rsidR="001B488F" w:rsidRPr="00E25ECA">
        <w:rPr>
          <w:szCs w:val="20"/>
        </w:rPr>
        <w:t xml:space="preserve"> </w:t>
      </w:r>
      <w:r w:rsidRPr="00E25ECA">
        <w:rPr>
          <w:szCs w:val="20"/>
        </w:rPr>
        <w:t xml:space="preserve">aux </w:t>
      </w:r>
      <w:r>
        <w:rPr>
          <w:szCs w:val="20"/>
        </w:rPr>
        <w:t>Etats-Unis (</w:t>
      </w:r>
      <w:r w:rsidR="001B488F">
        <w:rPr>
          <w:szCs w:val="20"/>
        </w:rPr>
        <w:t>FDA</w:t>
      </w:r>
      <w:r>
        <w:rPr>
          <w:szCs w:val="20"/>
        </w:rPr>
        <w:t>)</w:t>
      </w:r>
      <w:r w:rsidRPr="00E25ECA">
        <w:rPr>
          <w:szCs w:val="20"/>
        </w:rPr>
        <w:t>, l’</w:t>
      </w:r>
      <w:r w:rsidR="001B488F" w:rsidRPr="00E25ECA">
        <w:rPr>
          <w:szCs w:val="20"/>
        </w:rPr>
        <w:t xml:space="preserve">Autorité Nationale de Sécurité du Médicament et des produits de santé </w:t>
      </w:r>
      <w:r w:rsidRPr="00E25ECA">
        <w:rPr>
          <w:szCs w:val="20"/>
        </w:rPr>
        <w:t>en France (</w:t>
      </w:r>
      <w:r w:rsidR="001B488F" w:rsidRPr="00E25ECA">
        <w:rPr>
          <w:szCs w:val="20"/>
        </w:rPr>
        <w:t>ANSM</w:t>
      </w:r>
      <w:r w:rsidRPr="00E25ECA">
        <w:rPr>
          <w:szCs w:val="20"/>
        </w:rPr>
        <w:t>) et les autorités règlementaires équivalentes dans les autres pays, encadrent les activités de mise en service et suivi après-vente des dispositifs médicaux de la Société.</w:t>
      </w:r>
    </w:p>
    <w:p w14:paraId="226FFEC2" w14:textId="77777777" w:rsidR="0044188B" w:rsidRPr="00E25ECA" w:rsidRDefault="0044188B" w:rsidP="0044188B">
      <w:pPr>
        <w:rPr>
          <w:szCs w:val="20"/>
        </w:rPr>
      </w:pPr>
    </w:p>
    <w:p w14:paraId="3D8D1FA9" w14:textId="3C01CA2D" w:rsidR="0044188B" w:rsidRPr="00E25ECA" w:rsidRDefault="0044188B" w:rsidP="0044188B">
      <w:pPr>
        <w:rPr>
          <w:szCs w:val="20"/>
        </w:rPr>
      </w:pPr>
      <w:r w:rsidRPr="00E25ECA">
        <w:rPr>
          <w:szCs w:val="20"/>
        </w:rPr>
        <w:t xml:space="preserve">Spineway fait partie du </w:t>
      </w:r>
      <w:r w:rsidR="00D37089">
        <w:rPr>
          <w:szCs w:val="20"/>
        </w:rPr>
        <w:t>s</w:t>
      </w:r>
      <w:r w:rsidR="00D37089" w:rsidRPr="00E25ECA">
        <w:rPr>
          <w:szCs w:val="20"/>
        </w:rPr>
        <w:t xml:space="preserve">yndicat </w:t>
      </w:r>
      <w:r w:rsidRPr="00E25ECA">
        <w:rPr>
          <w:szCs w:val="20"/>
        </w:rPr>
        <w:t>des entreprises industrielles du secteur des dispositifs médicaux</w:t>
      </w:r>
      <w:r w:rsidR="001B488F">
        <w:rPr>
          <w:szCs w:val="20"/>
        </w:rPr>
        <w:t xml:space="preserve"> (</w:t>
      </w:r>
      <w:r w:rsidR="001B488F" w:rsidRPr="00E25ECA">
        <w:rPr>
          <w:szCs w:val="20"/>
        </w:rPr>
        <w:t>SNITEM</w:t>
      </w:r>
      <w:r w:rsidR="00490F6A">
        <w:rPr>
          <w:szCs w:val="20"/>
        </w:rPr>
        <w:t xml:space="preserve">) </w:t>
      </w:r>
      <w:r w:rsidRPr="00E25ECA">
        <w:rPr>
          <w:szCs w:val="20"/>
        </w:rPr>
        <w:t>et participe à plusieurs groupes de travail. Le SNITEM est un interlocuteur reconnu et influent auprès de la Haute Autorité de Santé</w:t>
      </w:r>
      <w:r w:rsidR="001B488F">
        <w:rPr>
          <w:szCs w:val="20"/>
        </w:rPr>
        <w:t xml:space="preserve"> (HAS </w:t>
      </w:r>
      <w:r w:rsidRPr="00E25ECA">
        <w:rPr>
          <w:szCs w:val="20"/>
        </w:rPr>
        <w:t>)</w:t>
      </w:r>
      <w:r w:rsidR="00D37089">
        <w:rPr>
          <w:szCs w:val="20"/>
        </w:rPr>
        <w:t>. S</w:t>
      </w:r>
      <w:r w:rsidRPr="00E25ECA">
        <w:rPr>
          <w:szCs w:val="20"/>
        </w:rPr>
        <w:t>es fonctions incluent les discussions et négociations avec les autorités gouvernementales, de consultation de ses membres, ainsi que l'organisation de réunions d'information auprès des adhérents, et de rencontres régulières entre adhérents et autorité de santé.</w:t>
      </w:r>
    </w:p>
    <w:p w14:paraId="6A045F4C" w14:textId="77777777" w:rsidR="0044188B" w:rsidRPr="00E25ECA" w:rsidRDefault="0044188B" w:rsidP="0044188B">
      <w:pPr>
        <w:rPr>
          <w:szCs w:val="20"/>
        </w:rPr>
      </w:pPr>
      <w:r w:rsidRPr="00E25ECA">
        <w:rPr>
          <w:szCs w:val="20"/>
        </w:rPr>
        <w:t>Spineway travaille avec différents intervenants privés (avocats spécialisés en droit de la santé, consultants compétents en affaires réglementaires) afin d'évaluer en permanence l'adéquation de ses procédures avec les exigences en vigueur.</w:t>
      </w:r>
    </w:p>
    <w:p w14:paraId="44C8DCB2" w14:textId="77777777" w:rsidR="0044188B" w:rsidRPr="00E25ECA" w:rsidRDefault="0044188B" w:rsidP="0044188B">
      <w:pPr>
        <w:rPr>
          <w:b/>
          <w:bCs/>
          <w:i/>
          <w:iCs/>
          <w:szCs w:val="20"/>
        </w:rPr>
      </w:pPr>
    </w:p>
    <w:p w14:paraId="68C77CB1" w14:textId="77777777" w:rsidR="0044188B" w:rsidRPr="00C31726" w:rsidRDefault="0044188B" w:rsidP="0044188B">
      <w:pPr>
        <w:pStyle w:val="Paragraphedeliste"/>
        <w:numPr>
          <w:ilvl w:val="0"/>
          <w:numId w:val="38"/>
        </w:numPr>
        <w:rPr>
          <w:b/>
          <w:bCs/>
          <w:iCs/>
          <w:szCs w:val="20"/>
        </w:rPr>
      </w:pPr>
      <w:r w:rsidRPr="00C31726">
        <w:rPr>
          <w:b/>
          <w:bCs/>
          <w:iCs/>
          <w:szCs w:val="20"/>
        </w:rPr>
        <w:t>En Europe</w:t>
      </w:r>
    </w:p>
    <w:p w14:paraId="48077EF2" w14:textId="77777777" w:rsidR="0044188B" w:rsidRPr="00E25ECA" w:rsidRDefault="0044188B" w:rsidP="0044188B">
      <w:pPr>
        <w:rPr>
          <w:szCs w:val="20"/>
        </w:rPr>
      </w:pPr>
    </w:p>
    <w:p w14:paraId="629DF24A" w14:textId="7CD3718F" w:rsidR="0044188B" w:rsidRDefault="0044188B" w:rsidP="0044188B">
      <w:pPr>
        <w:rPr>
          <w:szCs w:val="20"/>
        </w:rPr>
      </w:pPr>
      <w:r w:rsidRPr="00E25ECA">
        <w:rPr>
          <w:szCs w:val="20"/>
        </w:rPr>
        <w:t xml:space="preserve">Le Règlement européen </w:t>
      </w:r>
      <w:r>
        <w:rPr>
          <w:szCs w:val="20"/>
        </w:rPr>
        <w:t xml:space="preserve">2017/745 </w:t>
      </w:r>
      <w:r w:rsidRPr="00E25ECA">
        <w:rPr>
          <w:szCs w:val="20"/>
        </w:rPr>
        <w:t>relatif aux Dispositifs Médi</w:t>
      </w:r>
      <w:r>
        <w:rPr>
          <w:szCs w:val="20"/>
        </w:rPr>
        <w:t>caux (</w:t>
      </w:r>
      <w:r w:rsidR="00490F6A">
        <w:rPr>
          <w:szCs w:val="20"/>
        </w:rPr>
        <w:t>RMD</w:t>
      </w:r>
      <w:r>
        <w:rPr>
          <w:szCs w:val="20"/>
        </w:rPr>
        <w:t xml:space="preserve">) en vigueur depuis le 25 </w:t>
      </w:r>
      <w:r w:rsidRPr="00E25ECA">
        <w:rPr>
          <w:szCs w:val="20"/>
        </w:rPr>
        <w:t xml:space="preserve">mai 2017 </w:t>
      </w:r>
      <w:r>
        <w:rPr>
          <w:szCs w:val="20"/>
        </w:rPr>
        <w:t>(</w:t>
      </w:r>
      <w:r w:rsidRPr="00E25ECA">
        <w:rPr>
          <w:szCs w:val="20"/>
        </w:rPr>
        <w:t>et abrogeant les directive</w:t>
      </w:r>
      <w:r>
        <w:rPr>
          <w:szCs w:val="20"/>
        </w:rPr>
        <w:t>s européennes applicables jusqu’en mai 2022) précise les dispositions</w:t>
      </w:r>
      <w:r w:rsidRPr="00E25ECA">
        <w:rPr>
          <w:szCs w:val="20"/>
        </w:rPr>
        <w:t xml:space="preserve"> de base de la législation applicable </w:t>
      </w:r>
      <w:r>
        <w:rPr>
          <w:szCs w:val="20"/>
        </w:rPr>
        <w:t>aux</w:t>
      </w:r>
      <w:r w:rsidRPr="00E25ECA">
        <w:rPr>
          <w:szCs w:val="20"/>
        </w:rPr>
        <w:t xml:space="preserve"> pays de la communauté européenne. </w:t>
      </w:r>
      <w:r>
        <w:rPr>
          <w:szCs w:val="20"/>
        </w:rPr>
        <w:t xml:space="preserve">Ce règlement </w:t>
      </w:r>
      <w:r w:rsidR="00490F6A">
        <w:rPr>
          <w:szCs w:val="20"/>
        </w:rPr>
        <w:t xml:space="preserve">ne sera pleinement applicable qu’à compter du 26 mai 2021 </w:t>
      </w:r>
      <w:r>
        <w:rPr>
          <w:szCs w:val="20"/>
        </w:rPr>
        <w:t xml:space="preserve">afin de permettre aux fabricants, autorités et organismes notifiés de s’adapter. </w:t>
      </w:r>
    </w:p>
    <w:p w14:paraId="6064DBB2" w14:textId="3E8C1766" w:rsidR="0044188B" w:rsidRPr="00E25ECA" w:rsidRDefault="0044188B" w:rsidP="0044188B">
      <w:pPr>
        <w:rPr>
          <w:szCs w:val="20"/>
        </w:rPr>
      </w:pPr>
      <w:r>
        <w:rPr>
          <w:szCs w:val="20"/>
        </w:rPr>
        <w:t>Celles</w:t>
      </w:r>
      <w:r w:rsidRPr="00E25ECA">
        <w:rPr>
          <w:szCs w:val="20"/>
        </w:rPr>
        <w:t>-ci fixent les exigences essentielles e</w:t>
      </w:r>
      <w:r>
        <w:rPr>
          <w:szCs w:val="20"/>
        </w:rPr>
        <w:t>n</w:t>
      </w:r>
      <w:r w:rsidRPr="00E25ECA">
        <w:rPr>
          <w:szCs w:val="20"/>
        </w:rPr>
        <w:t xml:space="preserve"> matière de sécurité et définissent les modes d’évaluation de la conformité. Leur application se traduit par l’apposition du Marquage CE</w:t>
      </w:r>
      <w:r>
        <w:rPr>
          <w:szCs w:val="20"/>
        </w:rPr>
        <w:t>, un étiquetage plus complet incluant les règles UDI actuellement en vigueur aux Etats-Unis (l’étiquetage devra inclure notamment : numéro de série du produit, avertissements, nom d’un représentant européen pour les fabricants hors UE</w:t>
      </w:r>
      <w:r w:rsidR="00490F6A">
        <w:rPr>
          <w:szCs w:val="20"/>
        </w:rPr>
        <w:t xml:space="preserve">, </w:t>
      </w:r>
      <w:r w:rsidR="00D16E63">
        <w:rPr>
          <w:szCs w:val="20"/>
        </w:rPr>
        <w:t>etc.</w:t>
      </w:r>
      <w:r w:rsidR="00490F6A">
        <w:rPr>
          <w:szCs w:val="20"/>
        </w:rPr>
        <w:t>)</w:t>
      </w:r>
      <w:r w:rsidR="00490F6A" w:rsidRPr="00E25ECA">
        <w:rPr>
          <w:szCs w:val="20"/>
        </w:rPr>
        <w:t>.</w:t>
      </w:r>
    </w:p>
    <w:p w14:paraId="184D1B33" w14:textId="77777777" w:rsidR="0044188B" w:rsidRPr="00E25ECA" w:rsidRDefault="0044188B" w:rsidP="0044188B">
      <w:pPr>
        <w:rPr>
          <w:szCs w:val="20"/>
        </w:rPr>
      </w:pPr>
    </w:p>
    <w:p w14:paraId="61193DB4" w14:textId="3358AA94" w:rsidR="0044188B" w:rsidRPr="00E25ECA" w:rsidRDefault="0044188B" w:rsidP="0044188B">
      <w:pPr>
        <w:tabs>
          <w:tab w:val="left" w:pos="3600"/>
        </w:tabs>
        <w:rPr>
          <w:szCs w:val="20"/>
        </w:rPr>
      </w:pPr>
      <w:r w:rsidRPr="00E25ECA">
        <w:rPr>
          <w:szCs w:val="20"/>
        </w:rPr>
        <w:t xml:space="preserve">Les dispositifs médicaux </w:t>
      </w:r>
      <w:r>
        <w:rPr>
          <w:szCs w:val="20"/>
        </w:rPr>
        <w:t>conformes</w:t>
      </w:r>
      <w:r w:rsidRPr="00E25ECA">
        <w:rPr>
          <w:szCs w:val="20"/>
        </w:rPr>
        <w:t xml:space="preserve"> </w:t>
      </w:r>
      <w:r>
        <w:rPr>
          <w:szCs w:val="20"/>
        </w:rPr>
        <w:t xml:space="preserve">au </w:t>
      </w:r>
      <w:r w:rsidR="00490F6A">
        <w:rPr>
          <w:szCs w:val="20"/>
        </w:rPr>
        <w:t>RMD</w:t>
      </w:r>
      <w:r>
        <w:rPr>
          <w:szCs w:val="20"/>
        </w:rPr>
        <w:t>,</w:t>
      </w:r>
      <w:r w:rsidRPr="00E25ECA">
        <w:rPr>
          <w:szCs w:val="20"/>
        </w:rPr>
        <w:t xml:space="preserve"> sont répartis en quatre classes principales en fonction des risques (croissants) qui leurs sont associés</w:t>
      </w:r>
      <w:r>
        <w:rPr>
          <w:szCs w:val="20"/>
        </w:rPr>
        <w:t xml:space="preserve"> </w:t>
      </w:r>
      <w:r w:rsidRPr="00E25ECA">
        <w:rPr>
          <w:szCs w:val="20"/>
        </w:rPr>
        <w:t>: I, IIa, IIb et III.</w:t>
      </w:r>
    </w:p>
    <w:p w14:paraId="20611BDA" w14:textId="77777777" w:rsidR="0044188B" w:rsidRPr="00E25ECA" w:rsidRDefault="0044188B" w:rsidP="0044188B">
      <w:pPr>
        <w:rPr>
          <w:b/>
          <w:szCs w:val="20"/>
        </w:rPr>
      </w:pP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503"/>
        <w:gridCol w:w="4394"/>
      </w:tblGrid>
      <w:tr w:rsidR="0044188B" w:rsidRPr="00E25ECA" w14:paraId="558D7652" w14:textId="77777777" w:rsidTr="009E2307">
        <w:tc>
          <w:tcPr>
            <w:tcW w:w="4503" w:type="dxa"/>
            <w:shd w:val="clear" w:color="auto" w:fill="1C388E"/>
          </w:tcPr>
          <w:p w14:paraId="48763E88" w14:textId="77777777" w:rsidR="0044188B" w:rsidRPr="00E25ECA" w:rsidRDefault="0044188B" w:rsidP="009E2307">
            <w:pPr>
              <w:jc w:val="center"/>
              <w:rPr>
                <w:b/>
                <w:color w:val="FFFFFF" w:themeColor="background1"/>
                <w:szCs w:val="20"/>
              </w:rPr>
            </w:pPr>
            <w:r w:rsidRPr="00E25ECA">
              <w:rPr>
                <w:b/>
                <w:color w:val="FFFFFF" w:themeColor="background1"/>
                <w:szCs w:val="20"/>
              </w:rPr>
              <w:t>Dispositifs Spineway</w:t>
            </w:r>
          </w:p>
        </w:tc>
        <w:tc>
          <w:tcPr>
            <w:tcW w:w="4394" w:type="dxa"/>
            <w:shd w:val="clear" w:color="auto" w:fill="1C388E"/>
          </w:tcPr>
          <w:p w14:paraId="7B49B40E" w14:textId="77777777" w:rsidR="0044188B" w:rsidRPr="00E25ECA" w:rsidRDefault="0044188B" w:rsidP="009E2307">
            <w:pPr>
              <w:jc w:val="center"/>
              <w:rPr>
                <w:b/>
                <w:color w:val="FFFFFF" w:themeColor="background1"/>
                <w:szCs w:val="20"/>
              </w:rPr>
            </w:pPr>
            <w:r w:rsidRPr="00E25ECA">
              <w:rPr>
                <w:b/>
                <w:color w:val="FFFFFF" w:themeColor="background1"/>
                <w:szCs w:val="20"/>
              </w:rPr>
              <w:t>Classe</w:t>
            </w:r>
          </w:p>
        </w:tc>
      </w:tr>
      <w:tr w:rsidR="0044188B" w:rsidRPr="00E25ECA" w14:paraId="71A42EF7" w14:textId="77777777" w:rsidTr="009E2307">
        <w:tc>
          <w:tcPr>
            <w:tcW w:w="4503" w:type="dxa"/>
          </w:tcPr>
          <w:p w14:paraId="2F00FDBC" w14:textId="77777777" w:rsidR="0044188B" w:rsidRPr="00E25ECA" w:rsidRDefault="0044188B" w:rsidP="009E2307">
            <w:pPr>
              <w:jc w:val="center"/>
              <w:rPr>
                <w:szCs w:val="20"/>
              </w:rPr>
            </w:pPr>
            <w:r w:rsidRPr="00E25ECA">
              <w:rPr>
                <w:szCs w:val="20"/>
              </w:rPr>
              <w:t>Instruments</w:t>
            </w:r>
          </w:p>
        </w:tc>
        <w:tc>
          <w:tcPr>
            <w:tcW w:w="4394" w:type="dxa"/>
          </w:tcPr>
          <w:p w14:paraId="5412D5E2" w14:textId="77777777" w:rsidR="0044188B" w:rsidRPr="00E25ECA" w:rsidRDefault="0044188B" w:rsidP="009E2307">
            <w:pPr>
              <w:jc w:val="center"/>
              <w:rPr>
                <w:szCs w:val="20"/>
              </w:rPr>
            </w:pPr>
            <w:r w:rsidRPr="00E25ECA">
              <w:rPr>
                <w:szCs w:val="20"/>
              </w:rPr>
              <w:t>I</w:t>
            </w:r>
          </w:p>
        </w:tc>
      </w:tr>
      <w:tr w:rsidR="0044188B" w:rsidRPr="00E25ECA" w14:paraId="66251BEB" w14:textId="77777777" w:rsidTr="009E2307">
        <w:tc>
          <w:tcPr>
            <w:tcW w:w="4503" w:type="dxa"/>
          </w:tcPr>
          <w:p w14:paraId="42AAC133" w14:textId="77777777" w:rsidR="0044188B" w:rsidRPr="00E25ECA" w:rsidRDefault="0044188B" w:rsidP="009E2307">
            <w:pPr>
              <w:jc w:val="center"/>
              <w:rPr>
                <w:szCs w:val="20"/>
              </w:rPr>
            </w:pPr>
            <w:r w:rsidRPr="00E25ECA">
              <w:rPr>
                <w:szCs w:val="20"/>
              </w:rPr>
              <w:t>Instrument relié à lumière froide (Rift)</w:t>
            </w:r>
          </w:p>
        </w:tc>
        <w:tc>
          <w:tcPr>
            <w:tcW w:w="4394" w:type="dxa"/>
          </w:tcPr>
          <w:p w14:paraId="2BC2AAF4" w14:textId="77777777" w:rsidR="0044188B" w:rsidRPr="00E25ECA" w:rsidRDefault="0044188B" w:rsidP="009E2307">
            <w:pPr>
              <w:jc w:val="center"/>
              <w:rPr>
                <w:szCs w:val="20"/>
              </w:rPr>
            </w:pPr>
            <w:r w:rsidRPr="00E25ECA">
              <w:rPr>
                <w:szCs w:val="20"/>
              </w:rPr>
              <w:t>IIa</w:t>
            </w:r>
          </w:p>
        </w:tc>
      </w:tr>
      <w:tr w:rsidR="0044188B" w:rsidRPr="00E25ECA" w14:paraId="7426F530" w14:textId="77777777" w:rsidTr="009E2307">
        <w:tc>
          <w:tcPr>
            <w:tcW w:w="4503" w:type="dxa"/>
          </w:tcPr>
          <w:p w14:paraId="38ACF8F0" w14:textId="77777777" w:rsidR="0044188B" w:rsidRPr="00E25ECA" w:rsidRDefault="0044188B" w:rsidP="009E2307">
            <w:pPr>
              <w:jc w:val="center"/>
              <w:rPr>
                <w:szCs w:val="20"/>
              </w:rPr>
            </w:pPr>
            <w:r w:rsidRPr="00E25ECA">
              <w:rPr>
                <w:szCs w:val="20"/>
              </w:rPr>
              <w:t>Implants</w:t>
            </w:r>
          </w:p>
        </w:tc>
        <w:tc>
          <w:tcPr>
            <w:tcW w:w="4394" w:type="dxa"/>
          </w:tcPr>
          <w:p w14:paraId="5ED6DE9C" w14:textId="77777777" w:rsidR="0044188B" w:rsidRPr="00E25ECA" w:rsidRDefault="0044188B" w:rsidP="009E2307">
            <w:pPr>
              <w:jc w:val="center"/>
              <w:rPr>
                <w:szCs w:val="20"/>
              </w:rPr>
            </w:pPr>
            <w:r w:rsidRPr="00E25ECA">
              <w:rPr>
                <w:szCs w:val="20"/>
              </w:rPr>
              <w:t>IIb</w:t>
            </w:r>
          </w:p>
        </w:tc>
      </w:tr>
      <w:tr w:rsidR="0044188B" w:rsidRPr="00E25ECA" w14:paraId="389B2DDD" w14:textId="77777777" w:rsidTr="009E2307">
        <w:tc>
          <w:tcPr>
            <w:tcW w:w="4503" w:type="dxa"/>
          </w:tcPr>
          <w:p w14:paraId="15992F92" w14:textId="77777777" w:rsidR="0044188B" w:rsidRPr="00E25ECA" w:rsidRDefault="0044188B" w:rsidP="009E2307">
            <w:pPr>
              <w:jc w:val="center"/>
              <w:rPr>
                <w:szCs w:val="20"/>
              </w:rPr>
            </w:pPr>
            <w:r w:rsidRPr="00E25ECA">
              <w:rPr>
                <w:szCs w:val="20"/>
              </w:rPr>
              <w:t>Substituts osseux (Neve)</w:t>
            </w:r>
          </w:p>
        </w:tc>
        <w:tc>
          <w:tcPr>
            <w:tcW w:w="4394" w:type="dxa"/>
          </w:tcPr>
          <w:p w14:paraId="30C2B4B4" w14:textId="77777777" w:rsidR="0044188B" w:rsidRPr="00E25ECA" w:rsidRDefault="0044188B" w:rsidP="009E2307">
            <w:pPr>
              <w:jc w:val="center"/>
              <w:rPr>
                <w:szCs w:val="20"/>
              </w:rPr>
            </w:pPr>
            <w:r w:rsidRPr="00E25ECA">
              <w:rPr>
                <w:szCs w:val="20"/>
              </w:rPr>
              <w:t>III</w:t>
            </w:r>
          </w:p>
        </w:tc>
      </w:tr>
    </w:tbl>
    <w:p w14:paraId="343B5446" w14:textId="77777777" w:rsidR="0044188B" w:rsidRDefault="0044188B" w:rsidP="0044188B">
      <w:pPr>
        <w:rPr>
          <w:szCs w:val="20"/>
        </w:rPr>
      </w:pPr>
    </w:p>
    <w:p w14:paraId="631CC4DD" w14:textId="4756F9F5" w:rsidR="0044188B" w:rsidRDefault="0044188B" w:rsidP="0044188B">
      <w:pPr>
        <w:rPr>
          <w:szCs w:val="20"/>
        </w:rPr>
      </w:pPr>
      <w:r w:rsidRPr="00E25ECA">
        <w:rPr>
          <w:szCs w:val="20"/>
        </w:rPr>
        <w:t>La classe I correspond au risque le plus faible (exemple</w:t>
      </w:r>
      <w:r>
        <w:rPr>
          <w:szCs w:val="20"/>
        </w:rPr>
        <w:t xml:space="preserve"> </w:t>
      </w:r>
      <w:r w:rsidRPr="00E25ECA">
        <w:rPr>
          <w:szCs w:val="20"/>
        </w:rPr>
        <w:t xml:space="preserve">: les instruments chirurgicaux réutilisables), la classe III étant celle au risque le plus important (stimulateur cardiaque). </w:t>
      </w:r>
      <w:r>
        <w:rPr>
          <w:szCs w:val="20"/>
        </w:rPr>
        <w:t>S’agissant des</w:t>
      </w:r>
      <w:r w:rsidRPr="00E25ECA">
        <w:rPr>
          <w:szCs w:val="20"/>
        </w:rPr>
        <w:t xml:space="preserve"> produits répondants aux 3 dernières classes </w:t>
      </w:r>
      <w:r>
        <w:rPr>
          <w:szCs w:val="20"/>
        </w:rPr>
        <w:t>et a</w:t>
      </w:r>
      <w:r w:rsidRPr="00E25ECA">
        <w:rPr>
          <w:szCs w:val="20"/>
        </w:rPr>
        <w:t>fin de garantir que les dispositifs sont conformes à ces directives, une revue par un organisme tiers, appelé organisme notifié, est impérati</w:t>
      </w:r>
      <w:r>
        <w:rPr>
          <w:szCs w:val="20"/>
        </w:rPr>
        <w:t>ve</w:t>
      </w:r>
      <w:r w:rsidRPr="00E25ECA">
        <w:rPr>
          <w:szCs w:val="20"/>
        </w:rPr>
        <w:t xml:space="preserve"> et donne lieu à la délivrance d’un certificat CE.</w:t>
      </w:r>
    </w:p>
    <w:p w14:paraId="61B93E68" w14:textId="653ABFC7" w:rsidR="0044188B" w:rsidRDefault="0044188B" w:rsidP="0044188B">
      <w:pPr>
        <w:rPr>
          <w:szCs w:val="20"/>
        </w:rPr>
      </w:pPr>
      <w:r>
        <w:rPr>
          <w:szCs w:val="20"/>
        </w:rPr>
        <w:t>Spineway a sélectionné T</w:t>
      </w:r>
      <w:r w:rsidR="00B2272B">
        <w:t>Ü</w:t>
      </w:r>
      <w:r>
        <w:rPr>
          <w:szCs w:val="20"/>
        </w:rPr>
        <w:t xml:space="preserve">V Rheinland, organisme indépendant de </w:t>
      </w:r>
      <w:r w:rsidRPr="003E4394">
        <w:rPr>
          <w:szCs w:val="20"/>
        </w:rPr>
        <w:t xml:space="preserve">premier plan </w:t>
      </w:r>
      <w:r w:rsidRPr="003E4394">
        <w:t xml:space="preserve">accrédité </w:t>
      </w:r>
      <w:r w:rsidR="001B488F">
        <w:t>MDR</w:t>
      </w:r>
      <w:r w:rsidR="001B488F" w:rsidRPr="003E4394">
        <w:rPr>
          <w:szCs w:val="20"/>
        </w:rPr>
        <w:t xml:space="preserve"> </w:t>
      </w:r>
      <w:r w:rsidRPr="003E4394">
        <w:rPr>
          <w:szCs w:val="20"/>
        </w:rPr>
        <w:t>reconnu</w:t>
      </w:r>
      <w:r>
        <w:rPr>
          <w:szCs w:val="20"/>
        </w:rPr>
        <w:t xml:space="preserve"> pour son sérieux et son niveau d’exigence, pour la certification de ses produits (</w:t>
      </w:r>
      <w:r w:rsidR="001B488F">
        <w:rPr>
          <w:szCs w:val="20"/>
        </w:rPr>
        <w:t xml:space="preserve">Cf. </w:t>
      </w:r>
      <w:r>
        <w:rPr>
          <w:szCs w:val="20"/>
        </w:rPr>
        <w:t xml:space="preserve">communiqué de presse </w:t>
      </w:r>
      <w:r w:rsidR="001B488F">
        <w:rPr>
          <w:szCs w:val="20"/>
        </w:rPr>
        <w:t xml:space="preserve">de la Société en date </w:t>
      </w:r>
      <w:r>
        <w:rPr>
          <w:szCs w:val="20"/>
        </w:rPr>
        <w:t>du 21 décembre 2020).</w:t>
      </w:r>
    </w:p>
    <w:p w14:paraId="1A9BF9BE" w14:textId="77777777" w:rsidR="0044188B" w:rsidRPr="00CF3AF7" w:rsidRDefault="0044188B" w:rsidP="0044188B">
      <w:pPr>
        <w:rPr>
          <w:szCs w:val="20"/>
        </w:rPr>
      </w:pPr>
      <w:r>
        <w:rPr>
          <w:szCs w:val="20"/>
        </w:rPr>
        <w:t xml:space="preserve">Ce </w:t>
      </w:r>
      <w:r>
        <w:t>nouveau référentiel</w:t>
      </w:r>
      <w:r w:rsidRPr="00EA2593">
        <w:t xml:space="preserve"> CE nécessite un</w:t>
      </w:r>
      <w:r>
        <w:t xml:space="preserve"> </w:t>
      </w:r>
      <w:r w:rsidRPr="00EA2593">
        <w:t>process d’homologation lourd et</w:t>
      </w:r>
      <w:r>
        <w:t xml:space="preserve"> </w:t>
      </w:r>
      <w:r w:rsidRPr="00EA2593">
        <w:t>coûteux.</w:t>
      </w:r>
    </w:p>
    <w:p w14:paraId="6CC8BF51" w14:textId="19DC23BD" w:rsidR="0044188B" w:rsidRPr="0046328F" w:rsidRDefault="0044188B" w:rsidP="0044188B">
      <w:pPr>
        <w:rPr>
          <w:szCs w:val="20"/>
        </w:rPr>
      </w:pPr>
      <w:r w:rsidRPr="0014468F">
        <w:t>Consciente des enjeux, Spineway a mobilisé de</w:t>
      </w:r>
      <w:r>
        <w:t>s budgets importants, et ce jusqu’en 2022,</w:t>
      </w:r>
      <w:r w:rsidRPr="0014468F">
        <w:t xml:space="preserve"> afin de garantir le passage sous le </w:t>
      </w:r>
      <w:r w:rsidRPr="0046328F">
        <w:rPr>
          <w:szCs w:val="20"/>
        </w:rPr>
        <w:t xml:space="preserve">nouveau référentiel CE </w:t>
      </w:r>
      <w:r w:rsidR="00490F6A">
        <w:rPr>
          <w:szCs w:val="20"/>
        </w:rPr>
        <w:t>RMD</w:t>
      </w:r>
      <w:r w:rsidRPr="0046328F">
        <w:rPr>
          <w:szCs w:val="20"/>
        </w:rPr>
        <w:t xml:space="preserve">. </w:t>
      </w:r>
    </w:p>
    <w:p w14:paraId="6C6089B3" w14:textId="2D53D976" w:rsidR="0044188B" w:rsidRDefault="0044188B" w:rsidP="0044188B">
      <w:r w:rsidRPr="0046328F">
        <w:rPr>
          <w:szCs w:val="20"/>
        </w:rPr>
        <w:lastRenderedPageBreak/>
        <w:t>T</w:t>
      </w:r>
      <w:r w:rsidR="00B2272B">
        <w:t>Ü</w:t>
      </w:r>
      <w:r w:rsidRPr="0046328F">
        <w:rPr>
          <w:szCs w:val="20"/>
        </w:rPr>
        <w:t>V Rheinland</w:t>
      </w:r>
      <w:r>
        <w:rPr>
          <w:szCs w:val="20"/>
        </w:rPr>
        <w:t xml:space="preserve"> a</w:t>
      </w:r>
      <w:r w:rsidRPr="0046328F">
        <w:rPr>
          <w:szCs w:val="20"/>
        </w:rPr>
        <w:t xml:space="preserve"> </w:t>
      </w:r>
      <w:r>
        <w:rPr>
          <w:szCs w:val="20"/>
        </w:rPr>
        <w:t>permis à Spineway de solliciter</w:t>
      </w:r>
      <w:r w:rsidRPr="0046328F">
        <w:rPr>
          <w:szCs w:val="20"/>
        </w:rPr>
        <w:t xml:space="preserve"> l’extension de l’ensemble de ses gammes sous marquage MDD</w:t>
      </w:r>
      <w:r>
        <w:rPr>
          <w:rStyle w:val="Marquenotebasdepage"/>
          <w:szCs w:val="20"/>
        </w:rPr>
        <w:footnoteReference w:id="8"/>
      </w:r>
      <w:r w:rsidRPr="0046328F">
        <w:rPr>
          <w:szCs w:val="20"/>
        </w:rPr>
        <w:t xml:space="preserve">. </w:t>
      </w:r>
      <w:r>
        <w:t xml:space="preserve">Ce processus d’extension est </w:t>
      </w:r>
      <w:r w:rsidRPr="0014468F">
        <w:t xml:space="preserve">en cours et sécurisera les homologations </w:t>
      </w:r>
      <w:r>
        <w:t xml:space="preserve">des produits Spineway </w:t>
      </w:r>
      <w:r w:rsidRPr="0014468F">
        <w:t xml:space="preserve">jusqu’en mai 2024. </w:t>
      </w:r>
    </w:p>
    <w:p w14:paraId="4E8F7ADB" w14:textId="0EA08F05" w:rsidR="0044188B" w:rsidRDefault="00490F6A" w:rsidP="0044188B">
      <w:r>
        <w:t>En ce sens, des</w:t>
      </w:r>
      <w:r w:rsidRPr="0014468F">
        <w:t xml:space="preserve"> efforts ont maintenus </w:t>
      </w:r>
      <w:r>
        <w:t>par Spineway via notamment le</w:t>
      </w:r>
      <w:r w:rsidRPr="0014468F">
        <w:t xml:space="preserve"> </w:t>
      </w:r>
      <w:r w:rsidR="0044188B" w:rsidRPr="0014468F">
        <w:t xml:space="preserve">recours à des intervenants extérieurs (CDD, free-lance, prestataire) notamment </w:t>
      </w:r>
      <w:r w:rsidR="0044188B">
        <w:t>sur</w:t>
      </w:r>
      <w:r w:rsidR="0044188B" w:rsidRPr="0014468F">
        <w:t xml:space="preserve"> la partie collecte des données clinique</w:t>
      </w:r>
      <w:r w:rsidR="0044188B">
        <w:t>s</w:t>
      </w:r>
      <w:r w:rsidR="0044188B" w:rsidRPr="0014468F">
        <w:t>. Ces renforts permettent de séc</w:t>
      </w:r>
      <w:r w:rsidR="0044188B">
        <w:t xml:space="preserve">uriser l’ensemble du process </w:t>
      </w:r>
      <w:r>
        <w:t>RMD</w:t>
      </w:r>
      <w:r w:rsidRPr="0014468F">
        <w:t xml:space="preserve"> </w:t>
      </w:r>
      <w:r w:rsidR="0044188B" w:rsidRPr="0014468F">
        <w:t>avec un 1</w:t>
      </w:r>
      <w:r w:rsidR="0044188B" w:rsidRPr="005B42F0">
        <w:rPr>
          <w:szCs w:val="20"/>
          <w:vertAlign w:val="superscript"/>
        </w:rPr>
        <w:t>er</w:t>
      </w:r>
      <w:r w:rsidR="0044188B" w:rsidRPr="0014468F">
        <w:t xml:space="preserve"> dossier (instruments) qui devrait voir la 1</w:t>
      </w:r>
      <w:r w:rsidR="0044188B" w:rsidRPr="005B42F0">
        <w:rPr>
          <w:szCs w:val="20"/>
          <w:vertAlign w:val="superscript"/>
        </w:rPr>
        <w:t>ère</w:t>
      </w:r>
      <w:r w:rsidR="0044188B" w:rsidRPr="0014468F">
        <w:t xml:space="preserve"> homologation en </w:t>
      </w:r>
      <w:r>
        <w:t>RMD</w:t>
      </w:r>
      <w:r w:rsidRPr="0014468F">
        <w:t xml:space="preserve"> </w:t>
      </w:r>
      <w:r w:rsidR="0044188B" w:rsidRPr="0014468F">
        <w:t>avant l’été 2021.</w:t>
      </w:r>
    </w:p>
    <w:p w14:paraId="716913E0" w14:textId="77777777" w:rsidR="0044188B" w:rsidRDefault="0044188B" w:rsidP="0044188B">
      <w:pPr>
        <w:rPr>
          <w:szCs w:val="20"/>
        </w:rPr>
      </w:pPr>
    </w:p>
    <w:p w14:paraId="672C5CED" w14:textId="77777777" w:rsidR="0044188B" w:rsidRPr="00771204" w:rsidRDefault="0044188B" w:rsidP="0044188B">
      <w:r>
        <w:t>Le nouveau règlement de l’UE sur les dispositifs médicaux est un dispositif indiquant comment obtenir la certification CE des produits, accroître la responsabilisation de tous les acteurs concernés et mettre l’accent sur l’ensemble du processus de production des dispositifs et non sur leur seule mise sur le marché.</w:t>
      </w:r>
    </w:p>
    <w:p w14:paraId="2BF5E74F" w14:textId="409B628C" w:rsidR="0044188B" w:rsidRPr="00771204" w:rsidRDefault="0044188B" w:rsidP="0044188B">
      <w:pPr>
        <w:rPr>
          <w:szCs w:val="20"/>
        </w:rPr>
      </w:pPr>
      <w:r w:rsidRPr="00771204">
        <w:rPr>
          <w:szCs w:val="20"/>
        </w:rPr>
        <w:br/>
        <w:t xml:space="preserve">Les modifications les plus significatives introduites par le nouveau </w:t>
      </w:r>
      <w:r w:rsidR="001B488F">
        <w:rPr>
          <w:szCs w:val="20"/>
        </w:rPr>
        <w:t>MDR</w:t>
      </w:r>
      <w:r w:rsidR="001B488F" w:rsidRPr="00771204">
        <w:rPr>
          <w:szCs w:val="20"/>
        </w:rPr>
        <w:t xml:space="preserve"> </w:t>
      </w:r>
      <w:r w:rsidRPr="00771204">
        <w:rPr>
          <w:szCs w:val="20"/>
        </w:rPr>
        <w:t>sont les suivantes :</w:t>
      </w:r>
    </w:p>
    <w:p w14:paraId="13B79B2B" w14:textId="24206363" w:rsidR="0044188B" w:rsidRPr="00771204" w:rsidRDefault="00490F6A" w:rsidP="0044188B">
      <w:pPr>
        <w:pStyle w:val="Paragraphedeliste"/>
        <w:numPr>
          <w:ilvl w:val="0"/>
          <w:numId w:val="38"/>
        </w:numPr>
        <w:rPr>
          <w:szCs w:val="20"/>
        </w:rPr>
      </w:pPr>
      <w:r>
        <w:rPr>
          <w:bCs/>
          <w:szCs w:val="20"/>
        </w:rPr>
        <w:t>v</w:t>
      </w:r>
      <w:r w:rsidRPr="00771204">
        <w:rPr>
          <w:bCs/>
          <w:szCs w:val="20"/>
        </w:rPr>
        <w:t xml:space="preserve">igilance </w:t>
      </w:r>
      <w:r w:rsidR="0044188B" w:rsidRPr="00771204">
        <w:rPr>
          <w:bCs/>
          <w:szCs w:val="20"/>
        </w:rPr>
        <w:t>et surveillance après la mise sur le marché : les fabricants de dispositifs médicaux doivent mettre en place des plans de surveillance post-commercialisation (sous forme de cycle d’évaluation et d’amélioration continue), qui devraient permettre une meilleure gestion des risques.</w:t>
      </w:r>
    </w:p>
    <w:p w14:paraId="05C86F75" w14:textId="09918E3B" w:rsidR="0044188B" w:rsidRPr="00771204" w:rsidRDefault="00490F6A" w:rsidP="0044188B">
      <w:pPr>
        <w:pStyle w:val="Paragraphedeliste"/>
        <w:numPr>
          <w:ilvl w:val="0"/>
          <w:numId w:val="38"/>
        </w:numPr>
        <w:rPr>
          <w:szCs w:val="20"/>
        </w:rPr>
      </w:pPr>
      <w:r>
        <w:rPr>
          <w:bCs/>
          <w:szCs w:val="20"/>
        </w:rPr>
        <w:t>r</w:t>
      </w:r>
      <w:r w:rsidRPr="00771204">
        <w:rPr>
          <w:bCs/>
          <w:szCs w:val="20"/>
        </w:rPr>
        <w:t xml:space="preserve">esponsabilité </w:t>
      </w:r>
      <w:r w:rsidR="0044188B" w:rsidRPr="00771204">
        <w:rPr>
          <w:bCs/>
          <w:szCs w:val="20"/>
        </w:rPr>
        <w:t xml:space="preserve">précisée et renforcée des fabricants, importateurs et autres acteurs impliqués dans le processus. </w:t>
      </w:r>
    </w:p>
    <w:p w14:paraId="75687CC5" w14:textId="300A28EE" w:rsidR="0044188B" w:rsidRPr="00771204" w:rsidRDefault="00490F6A" w:rsidP="0044188B">
      <w:pPr>
        <w:pStyle w:val="Paragraphedeliste"/>
        <w:numPr>
          <w:ilvl w:val="0"/>
          <w:numId w:val="38"/>
        </w:numPr>
        <w:rPr>
          <w:szCs w:val="20"/>
        </w:rPr>
      </w:pPr>
      <w:r>
        <w:rPr>
          <w:bCs/>
          <w:szCs w:val="20"/>
        </w:rPr>
        <w:t>c</w:t>
      </w:r>
      <w:r w:rsidRPr="00771204">
        <w:rPr>
          <w:bCs/>
          <w:szCs w:val="20"/>
        </w:rPr>
        <w:t xml:space="preserve">hamp </w:t>
      </w:r>
      <w:r w:rsidR="0044188B" w:rsidRPr="00771204">
        <w:rPr>
          <w:bCs/>
          <w:szCs w:val="20"/>
        </w:rPr>
        <w:t xml:space="preserve">d’application et classification des produits (logiciels, applications, et utilisation de substances dangereuses). </w:t>
      </w:r>
    </w:p>
    <w:p w14:paraId="44878448" w14:textId="10D0EE7B" w:rsidR="0044188B" w:rsidRPr="00771204" w:rsidRDefault="00490F6A" w:rsidP="0044188B">
      <w:pPr>
        <w:pStyle w:val="Paragraphedeliste"/>
        <w:numPr>
          <w:ilvl w:val="0"/>
          <w:numId w:val="38"/>
        </w:numPr>
        <w:rPr>
          <w:szCs w:val="20"/>
        </w:rPr>
      </w:pPr>
      <w:r>
        <w:rPr>
          <w:bCs/>
          <w:szCs w:val="20"/>
        </w:rPr>
        <w:t>p</w:t>
      </w:r>
      <w:r w:rsidRPr="00771204">
        <w:rPr>
          <w:bCs/>
          <w:szCs w:val="20"/>
        </w:rPr>
        <w:t xml:space="preserve">our </w:t>
      </w:r>
      <w:r w:rsidR="0044188B" w:rsidRPr="00771204">
        <w:rPr>
          <w:bCs/>
          <w:szCs w:val="20"/>
        </w:rPr>
        <w:t>les organismes notifiés</w:t>
      </w:r>
      <w:r w:rsidR="0044188B">
        <w:rPr>
          <w:bCs/>
          <w:szCs w:val="20"/>
        </w:rPr>
        <w:t xml:space="preserve"> </w:t>
      </w:r>
      <w:r w:rsidR="0044188B" w:rsidRPr="00771204">
        <w:rPr>
          <w:bCs/>
          <w:szCs w:val="20"/>
        </w:rPr>
        <w:t>: renforcement des processus de vérification et obligation de soumettre les programmes de vérification à l’approbation des entreprises de DM.</w:t>
      </w:r>
    </w:p>
    <w:p w14:paraId="1DEA9B98" w14:textId="3A59AB1E" w:rsidR="0044188B" w:rsidRPr="00771204" w:rsidRDefault="00490F6A" w:rsidP="0044188B">
      <w:pPr>
        <w:pStyle w:val="Paragraphedeliste"/>
        <w:numPr>
          <w:ilvl w:val="0"/>
          <w:numId w:val="38"/>
        </w:numPr>
        <w:rPr>
          <w:szCs w:val="20"/>
        </w:rPr>
      </w:pPr>
      <w:r>
        <w:rPr>
          <w:bCs/>
          <w:szCs w:val="20"/>
        </w:rPr>
        <w:t>i</w:t>
      </w:r>
      <w:r w:rsidR="0044188B" w:rsidRPr="00771204">
        <w:rPr>
          <w:bCs/>
          <w:szCs w:val="20"/>
        </w:rPr>
        <w:t>dentification des dispositifs</w:t>
      </w:r>
      <w:r w:rsidR="0044188B" w:rsidRPr="00771204">
        <w:rPr>
          <w:szCs w:val="20"/>
        </w:rPr>
        <w:t xml:space="preserve"> médicaux (obligation de traçabilité).</w:t>
      </w:r>
    </w:p>
    <w:p w14:paraId="4C5FDD1A" w14:textId="77777777" w:rsidR="0044188B" w:rsidRDefault="0044188B" w:rsidP="0044188B">
      <w:pPr>
        <w:pStyle w:val="Paragraphedeliste"/>
        <w:numPr>
          <w:ilvl w:val="0"/>
          <w:numId w:val="38"/>
        </w:numPr>
      </w:pPr>
      <w:r>
        <w:t>Sécurité et performances cliniques (résumé clair et compréhensible concernant la sécurité et les performances cliniques de certains dispositifs dressés par les fabricants).</w:t>
      </w:r>
    </w:p>
    <w:p w14:paraId="14B201D8" w14:textId="1D066DD9" w:rsidR="0044188B" w:rsidRPr="00A2613A" w:rsidRDefault="00490F6A" w:rsidP="0044188B">
      <w:pPr>
        <w:pStyle w:val="Paragraphedeliste"/>
        <w:numPr>
          <w:ilvl w:val="0"/>
          <w:numId w:val="38"/>
        </w:numPr>
        <w:rPr>
          <w:szCs w:val="20"/>
        </w:rPr>
      </w:pPr>
      <w:r>
        <w:rPr>
          <w:szCs w:val="20"/>
        </w:rPr>
        <w:t>é</w:t>
      </w:r>
      <w:r w:rsidRPr="00A2613A">
        <w:rPr>
          <w:szCs w:val="20"/>
        </w:rPr>
        <w:t xml:space="preserve">tiquetage </w:t>
      </w:r>
      <w:r w:rsidR="0044188B" w:rsidRPr="00A2613A">
        <w:rPr>
          <w:szCs w:val="20"/>
        </w:rPr>
        <w:t>plus détaillé des produits : l’étiquetage devra inclure les </w:t>
      </w:r>
      <w:r w:rsidR="0044188B">
        <w:fldChar w:fldCharType="begin"/>
      </w:r>
      <w:r w:rsidR="0044188B">
        <w:instrText xml:space="preserve"> HYPERLINK "https://www.fda.gov/medical-devices/device-advice-comprehensive-regulatory-assistance/unique-device-identification-system-udi-system" \t "_blank" </w:instrText>
      </w:r>
      <w:r w:rsidR="0044188B">
        <w:fldChar w:fldCharType="separate"/>
      </w:r>
      <w:r w:rsidR="0044188B" w:rsidRPr="00A2613A">
        <w:rPr>
          <w:szCs w:val="20"/>
        </w:rPr>
        <w:t>règles UDI</w:t>
      </w:r>
      <w:r w:rsidR="0044188B">
        <w:rPr>
          <w:szCs w:val="20"/>
        </w:rPr>
        <w:fldChar w:fldCharType="end"/>
      </w:r>
      <w:r w:rsidR="0044188B" w:rsidRPr="00A2613A">
        <w:rPr>
          <w:szCs w:val="20"/>
        </w:rPr>
        <w:t> (actuellement obligatoires aux États-Unis), le numéro de série du produit, le nom d’un représentant européen agréé pour les fabricants hors UE, des </w:t>
      </w:r>
      <w:r w:rsidR="0044188B" w:rsidRPr="00A2613A">
        <w:rPr>
          <w:bCs/>
          <w:szCs w:val="20"/>
        </w:rPr>
        <w:t xml:space="preserve">avertissements et précautions </w:t>
      </w:r>
      <w:r w:rsidR="0044188B" w:rsidRPr="00A2613A">
        <w:rPr>
          <w:szCs w:val="20"/>
        </w:rPr>
        <w:t>supplémentaires concernant le dispositif, et une liste de toutes les </w:t>
      </w:r>
      <w:r w:rsidR="0044188B" w:rsidRPr="00A2613A">
        <w:rPr>
          <w:bCs/>
          <w:szCs w:val="20"/>
        </w:rPr>
        <w:t>substances médicales qu’il contient</w:t>
      </w:r>
      <w:r w:rsidR="0044188B" w:rsidRPr="00A2613A">
        <w:rPr>
          <w:szCs w:val="20"/>
        </w:rPr>
        <w:t xml:space="preserve"> issues de tissus et de cellules, de toutes les substances cancérogènes ou mutagènes, ou de toutes les substances toxiques pour la reproduction, ainsi qu’un symbole clair indiquant que le produit est un dispositif médical. </w:t>
      </w:r>
    </w:p>
    <w:p w14:paraId="0BFD7551" w14:textId="1AB0F068" w:rsidR="0044188B" w:rsidRPr="00771204" w:rsidRDefault="00490F6A" w:rsidP="0044188B">
      <w:pPr>
        <w:pStyle w:val="Paragraphedeliste"/>
        <w:numPr>
          <w:ilvl w:val="0"/>
          <w:numId w:val="38"/>
        </w:numPr>
        <w:rPr>
          <w:szCs w:val="20"/>
        </w:rPr>
      </w:pPr>
      <w:r>
        <w:rPr>
          <w:bCs/>
          <w:szCs w:val="20"/>
        </w:rPr>
        <w:t>é</w:t>
      </w:r>
      <w:r w:rsidRPr="00771204">
        <w:rPr>
          <w:bCs/>
          <w:szCs w:val="20"/>
        </w:rPr>
        <w:t xml:space="preserve">valuation </w:t>
      </w:r>
      <w:r w:rsidR="0044188B" w:rsidRPr="00771204">
        <w:rPr>
          <w:bCs/>
          <w:szCs w:val="20"/>
        </w:rPr>
        <w:t>clinique, suivi post-commercialisation, recherches cliniques</w:t>
      </w:r>
      <w:r w:rsidR="0044188B" w:rsidRPr="00771204">
        <w:rPr>
          <w:szCs w:val="20"/>
        </w:rPr>
        <w:t> (règles plus strictes)</w:t>
      </w:r>
    </w:p>
    <w:p w14:paraId="158A6099" w14:textId="77777777" w:rsidR="0044188B" w:rsidRPr="00771204" w:rsidRDefault="0044188B" w:rsidP="0044188B">
      <w:pPr>
        <w:rPr>
          <w:szCs w:val="20"/>
        </w:rPr>
      </w:pPr>
    </w:p>
    <w:p w14:paraId="78A87B96" w14:textId="77777777" w:rsidR="0044188B" w:rsidRDefault="0044188B" w:rsidP="0044188B">
      <w:r w:rsidRPr="008140D0">
        <w:t>Les fabricants auront la possibilité de satisfaire d’ici au 26 mai 2021 et, de façon impérative avant le 25 mai 2024, aux nouvelles conditions applicables tant aux dispositifs ayant obtenu une certification CE au titre de la réglementation précédente qu’à tout nouveau dispositif, ce qui contraindra la plupart des entreprises à actualiser les données cliniques, la documentation technique et l’étiquetage.</w:t>
      </w:r>
    </w:p>
    <w:p w14:paraId="729A178F" w14:textId="77777777" w:rsidR="0044188B" w:rsidRPr="008140D0" w:rsidRDefault="0044188B" w:rsidP="0044188B">
      <w:r w:rsidRPr="008140D0">
        <w:rPr>
          <w:szCs w:val="20"/>
        </w:rPr>
        <w:br/>
      </w:r>
    </w:p>
    <w:p w14:paraId="1C86C2B6" w14:textId="11037FB4" w:rsidR="0044188B" w:rsidRDefault="0044188B" w:rsidP="0044188B">
      <w:pPr>
        <w:rPr>
          <w:b/>
          <w:bCs/>
        </w:rPr>
      </w:pPr>
      <w:r w:rsidRPr="2AE87FA7">
        <w:rPr>
          <w:b/>
          <w:bCs/>
        </w:rPr>
        <w:t xml:space="preserve">Grandes étapes du marquage CE </w:t>
      </w:r>
      <w:r w:rsidR="00490F6A">
        <w:rPr>
          <w:b/>
          <w:bCs/>
        </w:rPr>
        <w:t>RMD</w:t>
      </w:r>
    </w:p>
    <w:p w14:paraId="78E87A09" w14:textId="77777777" w:rsidR="0044188B" w:rsidRPr="00E25ECA" w:rsidRDefault="0044188B" w:rsidP="0044188B">
      <w:pPr>
        <w:rPr>
          <w:b/>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606"/>
        <w:gridCol w:w="4682"/>
      </w:tblGrid>
      <w:tr w:rsidR="0044188B" w14:paraId="60D3C980" w14:textId="77777777" w:rsidTr="009E2307">
        <w:tc>
          <w:tcPr>
            <w:tcW w:w="4786" w:type="dxa"/>
          </w:tcPr>
          <w:p w14:paraId="099E94C6" w14:textId="77777777" w:rsidR="0044188B" w:rsidRDefault="0044188B" w:rsidP="009E2307">
            <w:pPr>
              <w:pStyle w:val="Paragraphedeliste"/>
              <w:numPr>
                <w:ilvl w:val="0"/>
                <w:numId w:val="2"/>
              </w:numPr>
              <w:rPr>
                <w:rFonts w:eastAsiaTheme="majorEastAsia" w:cstheme="majorBidi"/>
                <w:szCs w:val="20"/>
              </w:rPr>
            </w:pPr>
            <w:r>
              <w:t>Constitution du dossier de conception</w:t>
            </w:r>
          </w:p>
        </w:tc>
        <w:tc>
          <w:tcPr>
            <w:tcW w:w="4778" w:type="dxa"/>
          </w:tcPr>
          <w:p w14:paraId="23BE19D1" w14:textId="07031B55" w:rsidR="0044188B" w:rsidRDefault="0044188B" w:rsidP="009E2307">
            <w:r>
              <w:t>Phase de R&amp;D et constitution du dossier de conception :</w:t>
            </w:r>
          </w:p>
          <w:p w14:paraId="4EF12F02" w14:textId="6150F793" w:rsidR="0044188B" w:rsidRDefault="0044188B" w:rsidP="009E2307">
            <w:r>
              <w:t>Protocoles, résultats d’essais d’ingénierie ou en laboratoire, simulations, essais sur des animaux et évaluations de contenus dans la littérature publiée qui sont applicables aux dispositifs relatifs aux thématiques suivantes :</w:t>
            </w:r>
          </w:p>
          <w:p w14:paraId="15A52F87" w14:textId="7A36BC02" w:rsidR="0044188B" w:rsidRDefault="0044188B" w:rsidP="009E2307">
            <w:pPr>
              <w:pStyle w:val="Paragraphedeliste"/>
              <w:numPr>
                <w:ilvl w:val="0"/>
                <w:numId w:val="1"/>
              </w:numPr>
              <w:rPr>
                <w:szCs w:val="20"/>
              </w:rPr>
            </w:pPr>
            <w:r w:rsidRPr="2AE87FA7">
              <w:rPr>
                <w:rFonts w:ascii="Calibri" w:eastAsia="Calibri" w:hAnsi="Calibri" w:cs="Calibri"/>
                <w:szCs w:val="20"/>
              </w:rPr>
              <w:t xml:space="preserve">Biocompatibilité du dispositif y compris le recensement de tous les matériaux en contact direct ou indirect avec le patient ou l'utilisateur, </w:t>
            </w:r>
          </w:p>
          <w:p w14:paraId="7D1D12AD" w14:textId="77777777" w:rsidR="0044188B" w:rsidRDefault="0044188B" w:rsidP="009E2307">
            <w:pPr>
              <w:pStyle w:val="Paragraphedeliste"/>
              <w:numPr>
                <w:ilvl w:val="0"/>
                <w:numId w:val="1"/>
              </w:numPr>
              <w:rPr>
                <w:rFonts w:eastAsiaTheme="majorEastAsia" w:cstheme="majorBidi"/>
                <w:szCs w:val="20"/>
              </w:rPr>
            </w:pPr>
            <w:r w:rsidRPr="2AE87FA7">
              <w:rPr>
                <w:rFonts w:ascii="Calibri" w:eastAsia="Calibri" w:hAnsi="Calibri" w:cs="Calibri"/>
                <w:szCs w:val="20"/>
              </w:rPr>
              <w:lastRenderedPageBreak/>
              <w:t>Caractérisation physico-chimique et microbiologique,</w:t>
            </w:r>
          </w:p>
          <w:p w14:paraId="5F625F5F" w14:textId="20D7915D" w:rsidR="0044188B" w:rsidRDefault="0044188B" w:rsidP="009E2307">
            <w:pPr>
              <w:pStyle w:val="Paragraphedeliste"/>
              <w:numPr>
                <w:ilvl w:val="0"/>
                <w:numId w:val="1"/>
              </w:numPr>
              <w:rPr>
                <w:rFonts w:eastAsiaTheme="majorEastAsia" w:cstheme="majorBidi"/>
                <w:szCs w:val="20"/>
              </w:rPr>
            </w:pPr>
            <w:r w:rsidRPr="2AE87FA7">
              <w:rPr>
                <w:rFonts w:ascii="Calibri" w:eastAsia="Calibri" w:hAnsi="Calibri" w:cs="Calibri"/>
                <w:szCs w:val="20"/>
              </w:rPr>
              <w:t>Sécurité électrique et compatibilité électromagnétique,</w:t>
            </w:r>
          </w:p>
          <w:p w14:paraId="5BF1A856" w14:textId="08F06159" w:rsidR="0044188B" w:rsidRDefault="0044188B" w:rsidP="009E2307">
            <w:pPr>
              <w:pStyle w:val="Paragraphedeliste"/>
              <w:numPr>
                <w:ilvl w:val="0"/>
                <w:numId w:val="1"/>
              </w:numPr>
              <w:rPr>
                <w:rFonts w:eastAsiaTheme="majorEastAsia" w:cstheme="majorBidi"/>
                <w:szCs w:val="20"/>
              </w:rPr>
            </w:pPr>
            <w:r w:rsidRPr="2AE87FA7">
              <w:rPr>
                <w:rFonts w:ascii="Calibri" w:eastAsia="Calibri" w:hAnsi="Calibri" w:cs="Calibri"/>
                <w:szCs w:val="20"/>
              </w:rPr>
              <w:t>Stabilité, y compris la durée de conservation en stock</w:t>
            </w:r>
          </w:p>
        </w:tc>
      </w:tr>
      <w:tr w:rsidR="0044188B" w:rsidRPr="00E25ECA" w14:paraId="5B2DF8F9" w14:textId="77777777" w:rsidTr="009E2307">
        <w:tc>
          <w:tcPr>
            <w:tcW w:w="5303" w:type="dxa"/>
          </w:tcPr>
          <w:p w14:paraId="37E620AC" w14:textId="77777777" w:rsidR="0044188B" w:rsidRPr="00E25ECA" w:rsidRDefault="0044188B" w:rsidP="009E2307">
            <w:pPr>
              <w:pStyle w:val="Paragraphedeliste"/>
              <w:numPr>
                <w:ilvl w:val="0"/>
                <w:numId w:val="2"/>
              </w:numPr>
              <w:rPr>
                <w:rFonts w:eastAsiaTheme="majorEastAsia" w:cstheme="majorBidi"/>
                <w:szCs w:val="20"/>
              </w:rPr>
            </w:pPr>
            <w:r>
              <w:lastRenderedPageBreak/>
              <w:t>Constitution du dossier Technique de marquage CE = dossier “Administratif” conforme aux exigences européennes</w:t>
            </w:r>
          </w:p>
        </w:tc>
        <w:tc>
          <w:tcPr>
            <w:tcW w:w="5303" w:type="dxa"/>
          </w:tcPr>
          <w:p w14:paraId="128032EA" w14:textId="17F20CFA" w:rsidR="0044188B" w:rsidRPr="00E25ECA" w:rsidRDefault="0044188B" w:rsidP="00490F6A">
            <w:pPr>
              <w:rPr>
                <w:szCs w:val="20"/>
              </w:rPr>
            </w:pPr>
            <w:r w:rsidRPr="00E25ECA">
              <w:rPr>
                <w:szCs w:val="20"/>
              </w:rPr>
              <w:t>Phase de R&amp;D et constitution du dossier technique</w:t>
            </w:r>
          </w:p>
        </w:tc>
      </w:tr>
      <w:tr w:rsidR="0044188B" w:rsidRPr="00E25ECA" w14:paraId="2E53A069" w14:textId="77777777" w:rsidTr="009E2307">
        <w:tc>
          <w:tcPr>
            <w:tcW w:w="5303" w:type="dxa"/>
            <w:vMerge w:val="restart"/>
          </w:tcPr>
          <w:p w14:paraId="0DB54A9E" w14:textId="77777777" w:rsidR="0044188B" w:rsidRPr="00E25ECA" w:rsidRDefault="0044188B" w:rsidP="009E2307">
            <w:pPr>
              <w:pStyle w:val="Paragraphedeliste"/>
              <w:numPr>
                <w:ilvl w:val="0"/>
                <w:numId w:val="2"/>
              </w:numPr>
              <w:rPr>
                <w:szCs w:val="20"/>
              </w:rPr>
            </w:pPr>
            <w:r w:rsidRPr="00E25ECA">
              <w:rPr>
                <w:szCs w:val="20"/>
              </w:rPr>
              <w:t>Constitution du dossier « Administratif » conforme aux exigences européennes</w:t>
            </w:r>
          </w:p>
        </w:tc>
        <w:tc>
          <w:tcPr>
            <w:tcW w:w="5303" w:type="dxa"/>
          </w:tcPr>
          <w:p w14:paraId="7EFC40EC" w14:textId="6C60A75D" w:rsidR="0044188B" w:rsidRPr="00C65D48" w:rsidRDefault="0044188B" w:rsidP="009E2307">
            <w:pPr>
              <w:rPr>
                <w:rFonts w:ascii="Calibri" w:eastAsia="Calibri" w:hAnsi="Calibri" w:cs="Calibri"/>
                <w:szCs w:val="20"/>
              </w:rPr>
            </w:pPr>
            <w:r w:rsidRPr="2AE87FA7">
              <w:rPr>
                <w:rFonts w:ascii="Calibri" w:eastAsia="Calibri" w:hAnsi="Calibri" w:cs="Calibri"/>
                <w:szCs w:val="20"/>
              </w:rPr>
              <w:t>Identification et qualification des processus de fabrication et leur validation</w:t>
            </w:r>
            <w:r>
              <w:rPr>
                <w:rFonts w:ascii="Calibri" w:eastAsia="Calibri" w:hAnsi="Calibri" w:cs="Calibri"/>
                <w:szCs w:val="20"/>
              </w:rPr>
              <w:t xml:space="preserve"> </w:t>
            </w:r>
            <w:r w:rsidRPr="2AE87FA7">
              <w:rPr>
                <w:rFonts w:ascii="Calibri" w:eastAsia="Calibri" w:hAnsi="Calibri" w:cs="Calibri"/>
                <w:szCs w:val="20"/>
              </w:rPr>
              <w:t>dont ceux de stérilisation des adjuvants, contrôle</w:t>
            </w:r>
            <w:r>
              <w:rPr>
                <w:rFonts w:ascii="Calibri" w:eastAsia="Calibri" w:hAnsi="Calibri" w:cs="Calibri"/>
                <w:szCs w:val="20"/>
              </w:rPr>
              <w:t xml:space="preserve"> </w:t>
            </w:r>
            <w:r w:rsidRPr="2AE87FA7">
              <w:rPr>
                <w:rFonts w:ascii="Calibri" w:eastAsia="Calibri" w:hAnsi="Calibri" w:cs="Calibri"/>
                <w:szCs w:val="20"/>
              </w:rPr>
              <w:t>continu de tous les sites, y compris ceux des fournisseurs et des sous-traitants où ont lieu les activités de conception et de fabrication</w:t>
            </w:r>
          </w:p>
        </w:tc>
      </w:tr>
      <w:tr w:rsidR="0044188B" w:rsidRPr="00E25ECA" w14:paraId="6AD927FA" w14:textId="77777777" w:rsidTr="009E2307">
        <w:tc>
          <w:tcPr>
            <w:tcW w:w="5303" w:type="dxa"/>
            <w:vMerge/>
          </w:tcPr>
          <w:p w14:paraId="593DAD97" w14:textId="77777777" w:rsidR="0044188B" w:rsidRPr="00E25ECA" w:rsidRDefault="0044188B" w:rsidP="009E2307">
            <w:pPr>
              <w:rPr>
                <w:szCs w:val="20"/>
              </w:rPr>
            </w:pPr>
          </w:p>
        </w:tc>
        <w:tc>
          <w:tcPr>
            <w:tcW w:w="5303" w:type="dxa"/>
          </w:tcPr>
          <w:p w14:paraId="2E3964B4" w14:textId="7BDAF950" w:rsidR="0044188B" w:rsidRPr="00E25ECA" w:rsidRDefault="0044188B" w:rsidP="009E2307">
            <w:r>
              <w:t xml:space="preserve">Validation </w:t>
            </w:r>
            <w:r w:rsidRPr="2AE87FA7">
              <w:rPr>
                <w:rFonts w:ascii="Calibri" w:eastAsia="Calibri" w:hAnsi="Calibri" w:cs="Calibri"/>
                <w:szCs w:val="20"/>
              </w:rPr>
              <w:t>des informations devant être fournies par le fabricant : étiquetage, notice d’utilisation et technique opératoire, et traduction dans les langues acceptées dans les États membres cibles</w:t>
            </w:r>
          </w:p>
        </w:tc>
      </w:tr>
      <w:tr w:rsidR="0044188B" w:rsidRPr="00E25ECA" w14:paraId="4DAD39C8" w14:textId="77777777" w:rsidTr="009E2307">
        <w:tc>
          <w:tcPr>
            <w:tcW w:w="5303" w:type="dxa"/>
            <w:vMerge/>
          </w:tcPr>
          <w:p w14:paraId="27DF92D0" w14:textId="77777777" w:rsidR="0044188B" w:rsidRPr="00E25ECA" w:rsidRDefault="0044188B" w:rsidP="009E2307">
            <w:pPr>
              <w:rPr>
                <w:szCs w:val="20"/>
              </w:rPr>
            </w:pPr>
          </w:p>
        </w:tc>
        <w:tc>
          <w:tcPr>
            <w:tcW w:w="5303" w:type="dxa"/>
          </w:tcPr>
          <w:p w14:paraId="47100C1B" w14:textId="77777777" w:rsidR="0044188B" w:rsidRPr="00E25ECA" w:rsidRDefault="0044188B" w:rsidP="009E2307">
            <w:pPr>
              <w:spacing w:line="259" w:lineRule="auto"/>
            </w:pPr>
            <w:r>
              <w:t>Démonstration du respect des exigences générales en matière de sécurité et de performance applicables au dispositif compte tenu de sa destination (justification, validation et vérification des solutions retenues par le fabricant)</w:t>
            </w:r>
          </w:p>
        </w:tc>
      </w:tr>
      <w:tr w:rsidR="0044188B" w:rsidRPr="00E25ECA" w14:paraId="3F5E4E8D" w14:textId="77777777" w:rsidTr="009E2307">
        <w:tc>
          <w:tcPr>
            <w:tcW w:w="5303" w:type="dxa"/>
            <w:vMerge/>
          </w:tcPr>
          <w:p w14:paraId="098E7C8F" w14:textId="77777777" w:rsidR="0044188B" w:rsidRPr="00E25ECA" w:rsidRDefault="0044188B" w:rsidP="009E2307">
            <w:pPr>
              <w:rPr>
                <w:szCs w:val="20"/>
              </w:rPr>
            </w:pPr>
          </w:p>
        </w:tc>
        <w:tc>
          <w:tcPr>
            <w:tcW w:w="5303" w:type="dxa"/>
          </w:tcPr>
          <w:p w14:paraId="3A4D37B1" w14:textId="77777777" w:rsidR="0044188B" w:rsidRPr="00E25ECA" w:rsidRDefault="0044188B" w:rsidP="009E2307">
            <w:pPr>
              <w:spacing w:line="259" w:lineRule="auto"/>
            </w:pPr>
            <w:r>
              <w:t>Analyse de la balance bénéfice / risque et gestion des risques</w:t>
            </w:r>
          </w:p>
        </w:tc>
      </w:tr>
      <w:tr w:rsidR="0044188B" w:rsidRPr="00E25ECA" w14:paraId="6ED0813C" w14:textId="77777777" w:rsidTr="009E2307">
        <w:tc>
          <w:tcPr>
            <w:tcW w:w="5303" w:type="dxa"/>
            <w:vMerge/>
          </w:tcPr>
          <w:p w14:paraId="1FF85B7B" w14:textId="77777777" w:rsidR="0044188B" w:rsidRPr="00E25ECA" w:rsidRDefault="0044188B" w:rsidP="009E2307">
            <w:pPr>
              <w:rPr>
                <w:szCs w:val="20"/>
              </w:rPr>
            </w:pPr>
          </w:p>
        </w:tc>
        <w:tc>
          <w:tcPr>
            <w:tcW w:w="5303" w:type="dxa"/>
          </w:tcPr>
          <w:p w14:paraId="15DA3283" w14:textId="77777777" w:rsidR="0044188B" w:rsidRPr="00E25ECA" w:rsidRDefault="0044188B" w:rsidP="009E2307">
            <w:r>
              <w:t xml:space="preserve">Evaluation et suivi clinique </w:t>
            </w:r>
          </w:p>
        </w:tc>
      </w:tr>
      <w:tr w:rsidR="0044188B" w:rsidRPr="00E25ECA" w14:paraId="4A2FF4AF" w14:textId="77777777" w:rsidTr="009E2307">
        <w:tc>
          <w:tcPr>
            <w:tcW w:w="5303" w:type="dxa"/>
            <w:vMerge/>
          </w:tcPr>
          <w:p w14:paraId="4FFADD19" w14:textId="77777777" w:rsidR="0044188B" w:rsidRPr="00E25ECA" w:rsidRDefault="0044188B" w:rsidP="009E2307">
            <w:pPr>
              <w:rPr>
                <w:szCs w:val="20"/>
              </w:rPr>
            </w:pPr>
          </w:p>
        </w:tc>
        <w:tc>
          <w:tcPr>
            <w:tcW w:w="5303" w:type="dxa"/>
          </w:tcPr>
          <w:p w14:paraId="6600DD20" w14:textId="77777777" w:rsidR="0044188B" w:rsidRPr="00E25ECA" w:rsidRDefault="0044188B" w:rsidP="009E2307">
            <w:pPr>
              <w:rPr>
                <w:szCs w:val="20"/>
              </w:rPr>
            </w:pPr>
            <w:r w:rsidRPr="00E25ECA">
              <w:rPr>
                <w:szCs w:val="20"/>
              </w:rPr>
              <w:t>Déclaration de conformité</w:t>
            </w:r>
          </w:p>
        </w:tc>
      </w:tr>
      <w:tr w:rsidR="0044188B" w:rsidRPr="00E25ECA" w14:paraId="6D3CDCC0" w14:textId="77777777" w:rsidTr="009E2307">
        <w:tc>
          <w:tcPr>
            <w:tcW w:w="5303" w:type="dxa"/>
          </w:tcPr>
          <w:p w14:paraId="2CCAB22B" w14:textId="77777777" w:rsidR="0044188B" w:rsidRPr="00E25ECA" w:rsidRDefault="0044188B" w:rsidP="009E2307">
            <w:pPr>
              <w:pStyle w:val="Paragraphedeliste"/>
              <w:numPr>
                <w:ilvl w:val="0"/>
                <w:numId w:val="2"/>
              </w:numPr>
              <w:rPr>
                <w:szCs w:val="20"/>
              </w:rPr>
            </w:pPr>
            <w:r w:rsidRPr="00E25ECA">
              <w:rPr>
                <w:szCs w:val="20"/>
              </w:rPr>
              <w:t>Evaluation par l’organisme notifié choisi</w:t>
            </w:r>
          </w:p>
        </w:tc>
        <w:tc>
          <w:tcPr>
            <w:tcW w:w="5303" w:type="dxa"/>
          </w:tcPr>
          <w:p w14:paraId="7721F83B" w14:textId="3BE89535" w:rsidR="0044188B" w:rsidRPr="00E25ECA" w:rsidRDefault="0044188B" w:rsidP="00490F6A">
            <w:pPr>
              <w:rPr>
                <w:szCs w:val="20"/>
              </w:rPr>
            </w:pPr>
            <w:r w:rsidRPr="00E25ECA">
              <w:rPr>
                <w:szCs w:val="20"/>
              </w:rPr>
              <w:t xml:space="preserve">Marquage CE selon une annexe </w:t>
            </w:r>
            <w:r w:rsidR="00490F6A">
              <w:rPr>
                <w:szCs w:val="20"/>
              </w:rPr>
              <w:t>du &lt;règlement</w:t>
            </w:r>
            <w:r w:rsidRPr="00E25ECA">
              <w:rPr>
                <w:szCs w:val="20"/>
              </w:rPr>
              <w:t xml:space="preserve"> (annexe 2 pour les implants Spineway)</w:t>
            </w:r>
          </w:p>
        </w:tc>
      </w:tr>
      <w:tr w:rsidR="0044188B" w:rsidRPr="00E25ECA" w14:paraId="6A189872" w14:textId="77777777" w:rsidTr="009E2307">
        <w:tc>
          <w:tcPr>
            <w:tcW w:w="5303" w:type="dxa"/>
          </w:tcPr>
          <w:p w14:paraId="52EDB28D" w14:textId="77777777" w:rsidR="0044188B" w:rsidRPr="00E25ECA" w:rsidRDefault="0044188B" w:rsidP="009E2307">
            <w:pPr>
              <w:pStyle w:val="Paragraphedeliste"/>
              <w:numPr>
                <w:ilvl w:val="0"/>
                <w:numId w:val="2"/>
              </w:numPr>
              <w:rPr>
                <w:szCs w:val="20"/>
              </w:rPr>
            </w:pPr>
            <w:r w:rsidRPr="00E25ECA">
              <w:rPr>
                <w:szCs w:val="20"/>
              </w:rPr>
              <w:t>Suivi du projet</w:t>
            </w:r>
          </w:p>
        </w:tc>
        <w:tc>
          <w:tcPr>
            <w:tcW w:w="5303" w:type="dxa"/>
          </w:tcPr>
          <w:p w14:paraId="03E7AE5B" w14:textId="55E92A24" w:rsidR="0044188B" w:rsidRPr="00E25ECA" w:rsidRDefault="0044188B" w:rsidP="009E2307">
            <w:r>
              <w:t>Suivi post mise sur le marché, rapports de surveillance périodiques et de sécurité. Suivi, mise à jour des plans d’évaluation clinique et des conclusions cliniques</w:t>
            </w:r>
          </w:p>
        </w:tc>
      </w:tr>
    </w:tbl>
    <w:p w14:paraId="4C9D40E1" w14:textId="77777777" w:rsidR="0044188B" w:rsidRPr="00E25ECA" w:rsidRDefault="0044188B" w:rsidP="0044188B"/>
    <w:p w14:paraId="47CECE0E" w14:textId="77777777" w:rsidR="0044188B" w:rsidRDefault="0044188B" w:rsidP="0044188B"/>
    <w:p w14:paraId="63C3D284" w14:textId="77777777" w:rsidR="0044188B" w:rsidRPr="00C31726" w:rsidRDefault="0044188B" w:rsidP="0044188B">
      <w:pPr>
        <w:pStyle w:val="Paragraphedeliste"/>
        <w:numPr>
          <w:ilvl w:val="0"/>
          <w:numId w:val="38"/>
        </w:numPr>
        <w:rPr>
          <w:b/>
          <w:bCs/>
          <w:iCs/>
          <w:szCs w:val="20"/>
        </w:rPr>
      </w:pPr>
      <w:r w:rsidRPr="00C31726">
        <w:rPr>
          <w:b/>
          <w:bCs/>
          <w:iCs/>
          <w:szCs w:val="20"/>
        </w:rPr>
        <w:t>Spécificités françaises</w:t>
      </w:r>
    </w:p>
    <w:p w14:paraId="6A6FED37" w14:textId="77777777" w:rsidR="0044188B" w:rsidRPr="00E25ECA" w:rsidRDefault="0044188B" w:rsidP="0044188B">
      <w:pPr>
        <w:rPr>
          <w:szCs w:val="20"/>
        </w:rPr>
      </w:pPr>
    </w:p>
    <w:p w14:paraId="62EC39F5" w14:textId="77777777" w:rsidR="0044188B" w:rsidRPr="00E25ECA" w:rsidRDefault="0044188B" w:rsidP="0044188B">
      <w:pPr>
        <w:rPr>
          <w:szCs w:val="20"/>
        </w:rPr>
      </w:pPr>
      <w:r w:rsidRPr="00E25ECA">
        <w:rPr>
          <w:szCs w:val="20"/>
        </w:rPr>
        <w:t>L’organisme qui gère la mise sur le marché des dispositifs médicaux en France est l’ANSM.</w:t>
      </w:r>
    </w:p>
    <w:p w14:paraId="1B786A30" w14:textId="71FC6AC9" w:rsidR="0044188B" w:rsidRPr="00E25ECA" w:rsidRDefault="0044188B" w:rsidP="0044188B">
      <w:pPr>
        <w:rPr>
          <w:szCs w:val="20"/>
        </w:rPr>
      </w:pPr>
      <w:r w:rsidRPr="00E25ECA">
        <w:rPr>
          <w:szCs w:val="20"/>
        </w:rPr>
        <w:t>La HAS a un rôle de tutelle, d'organisation et de mise en place de réglementations afin d'évaluer l'adéquation de l'offre en dispositifs médicaux avec les besoins du système de santé. Des réunions sont régulièrement organisées avec les industriels français, afin d'évoquer les futures évolutions de la réglementation.</w:t>
      </w:r>
      <w:r w:rsidRPr="00E25ECA" w:rsidDel="00C721BC">
        <w:rPr>
          <w:szCs w:val="20"/>
        </w:rPr>
        <w:t xml:space="preserve"> </w:t>
      </w:r>
    </w:p>
    <w:p w14:paraId="758E626A" w14:textId="77777777" w:rsidR="0044188B" w:rsidRPr="00E25ECA" w:rsidRDefault="0044188B" w:rsidP="0044188B">
      <w:pPr>
        <w:rPr>
          <w:szCs w:val="20"/>
        </w:rPr>
      </w:pPr>
    </w:p>
    <w:p w14:paraId="72627870" w14:textId="77777777" w:rsidR="0044188B" w:rsidRPr="00297582" w:rsidRDefault="0044188B" w:rsidP="0044188B">
      <w:pPr>
        <w:rPr>
          <w:b/>
          <w:i/>
          <w:szCs w:val="20"/>
        </w:rPr>
      </w:pPr>
      <w:r w:rsidRPr="00297582">
        <w:rPr>
          <w:b/>
          <w:i/>
          <w:szCs w:val="20"/>
        </w:rPr>
        <w:t>Risque d’un renforcement des normes réglementaires</w:t>
      </w:r>
    </w:p>
    <w:p w14:paraId="46B34B4F" w14:textId="77777777" w:rsidR="0044188B" w:rsidRPr="00E25ECA" w:rsidRDefault="0044188B" w:rsidP="0044188B">
      <w:pPr>
        <w:rPr>
          <w:szCs w:val="20"/>
        </w:rPr>
      </w:pPr>
    </w:p>
    <w:p w14:paraId="675D01D2" w14:textId="629D0FC7" w:rsidR="0044188B" w:rsidRPr="00E25ECA" w:rsidRDefault="0044188B" w:rsidP="0044188B">
      <w:pPr>
        <w:rPr>
          <w:szCs w:val="20"/>
        </w:rPr>
      </w:pPr>
      <w:r w:rsidRPr="00E25ECA">
        <w:rPr>
          <w:szCs w:val="20"/>
        </w:rPr>
        <w:t>Le contexte réglementaire mondial est en constante évolution</w:t>
      </w:r>
      <w:r>
        <w:rPr>
          <w:szCs w:val="20"/>
        </w:rPr>
        <w:t> :</w:t>
      </w:r>
      <w:r w:rsidRPr="00E25ECA">
        <w:rPr>
          <w:szCs w:val="20"/>
        </w:rPr>
        <w:t xml:space="preserve"> évolution des techniques et des rapprochements de législation à travers le monde (projet d’uniformisation des procédures d’enregistrement sur un groupe de pays d’Asie</w:t>
      </w:r>
      <w:r w:rsidR="00E513E0">
        <w:rPr>
          <w:szCs w:val="20"/>
        </w:rPr>
        <w:t> ;</w:t>
      </w:r>
      <w:r w:rsidRPr="00E25ECA">
        <w:rPr>
          <w:szCs w:val="20"/>
        </w:rPr>
        <w:t xml:space="preserve"> projet de réforme des Directives Européennes</w:t>
      </w:r>
      <w:r w:rsidR="00E513E0">
        <w:rPr>
          <w:szCs w:val="20"/>
        </w:rPr>
        <w:t> ;</w:t>
      </w:r>
      <w:r w:rsidRPr="00E25ECA">
        <w:rPr>
          <w:szCs w:val="20"/>
        </w:rPr>
        <w:t xml:space="preserve"> nouveau décret relatif à la publicité en France, </w:t>
      </w:r>
      <w:r w:rsidR="00D16E63" w:rsidRPr="00E25ECA">
        <w:rPr>
          <w:szCs w:val="20"/>
        </w:rPr>
        <w:t>etc.</w:t>
      </w:r>
      <w:r w:rsidR="00490F6A">
        <w:rPr>
          <w:szCs w:val="20"/>
        </w:rPr>
        <w:t>)</w:t>
      </w:r>
      <w:r w:rsidRPr="00E25ECA">
        <w:rPr>
          <w:szCs w:val="20"/>
        </w:rPr>
        <w:t>.</w:t>
      </w:r>
    </w:p>
    <w:p w14:paraId="761BB33F" w14:textId="77777777" w:rsidR="0044188B" w:rsidRPr="00E25ECA" w:rsidRDefault="0044188B" w:rsidP="0044188B">
      <w:pPr>
        <w:rPr>
          <w:szCs w:val="20"/>
        </w:rPr>
      </w:pPr>
    </w:p>
    <w:p w14:paraId="1FB86F8D" w14:textId="77777777" w:rsidR="0044188B" w:rsidRPr="00E25ECA" w:rsidRDefault="0044188B" w:rsidP="0044188B">
      <w:pPr>
        <w:rPr>
          <w:szCs w:val="20"/>
        </w:rPr>
      </w:pPr>
      <w:r w:rsidRPr="00E25ECA">
        <w:rPr>
          <w:szCs w:val="20"/>
        </w:rPr>
        <w:t>Spineway dispose des moyens adaptés à une veille réglementaire efficace, en France et à l’international, permettant d’anticiper les changements :</w:t>
      </w:r>
    </w:p>
    <w:p w14:paraId="019C2AD9" w14:textId="7168FBB0" w:rsidR="0044188B" w:rsidRPr="00E25ECA" w:rsidRDefault="0044188B" w:rsidP="0044188B">
      <w:pPr>
        <w:numPr>
          <w:ilvl w:val="0"/>
          <w:numId w:val="30"/>
        </w:numPr>
        <w:tabs>
          <w:tab w:val="clear" w:pos="720"/>
          <w:tab w:val="num" w:pos="360"/>
        </w:tabs>
        <w:ind w:left="360"/>
        <w:rPr>
          <w:szCs w:val="20"/>
        </w:rPr>
      </w:pPr>
      <w:r w:rsidRPr="00E25ECA">
        <w:rPr>
          <w:szCs w:val="20"/>
        </w:rPr>
        <w:t>Adhérente au SNITEM ;</w:t>
      </w:r>
    </w:p>
    <w:p w14:paraId="5F248A44" w14:textId="2236CB95" w:rsidR="0044188B" w:rsidRPr="00E25ECA" w:rsidRDefault="0044188B" w:rsidP="0044188B">
      <w:pPr>
        <w:numPr>
          <w:ilvl w:val="0"/>
          <w:numId w:val="30"/>
        </w:numPr>
        <w:tabs>
          <w:tab w:val="clear" w:pos="720"/>
          <w:tab w:val="num" w:pos="360"/>
        </w:tabs>
        <w:ind w:left="360"/>
        <w:rPr>
          <w:szCs w:val="20"/>
        </w:rPr>
      </w:pPr>
      <w:r w:rsidRPr="00E25ECA">
        <w:rPr>
          <w:szCs w:val="20"/>
        </w:rPr>
        <w:t>Réseau de consultants internationaux (</w:t>
      </w:r>
      <w:r w:rsidR="001B488F">
        <w:rPr>
          <w:szCs w:val="20"/>
        </w:rPr>
        <w:t>anciennement</w:t>
      </w:r>
      <w:r w:rsidR="001B488F" w:rsidRPr="00E25ECA">
        <w:rPr>
          <w:szCs w:val="20"/>
        </w:rPr>
        <w:t xml:space="preserve"> </w:t>
      </w:r>
      <w:r w:rsidR="001B488F">
        <w:rPr>
          <w:szCs w:val="20"/>
        </w:rPr>
        <w:t>r</w:t>
      </w:r>
      <w:r w:rsidR="001B488F" w:rsidRPr="00E25ECA">
        <w:rPr>
          <w:szCs w:val="20"/>
        </w:rPr>
        <w:t xml:space="preserve">evue </w:t>
      </w:r>
      <w:r w:rsidRPr="00E25ECA">
        <w:rPr>
          <w:szCs w:val="20"/>
        </w:rPr>
        <w:t>RADAR éditée par Emergo) ;</w:t>
      </w:r>
    </w:p>
    <w:p w14:paraId="17D93ED4" w14:textId="77777777" w:rsidR="0044188B" w:rsidRPr="00E25ECA" w:rsidRDefault="0044188B" w:rsidP="0044188B">
      <w:pPr>
        <w:numPr>
          <w:ilvl w:val="0"/>
          <w:numId w:val="30"/>
        </w:numPr>
        <w:tabs>
          <w:tab w:val="clear" w:pos="720"/>
          <w:tab w:val="num" w:pos="360"/>
        </w:tabs>
        <w:ind w:left="360"/>
        <w:rPr>
          <w:szCs w:val="20"/>
        </w:rPr>
      </w:pPr>
      <w:r w:rsidRPr="00E25ECA">
        <w:rPr>
          <w:szCs w:val="20"/>
        </w:rPr>
        <w:t>Personnel dédié (suivi qualité et affaires règlementaires) ;</w:t>
      </w:r>
    </w:p>
    <w:p w14:paraId="044C0E15" w14:textId="77777777" w:rsidR="0044188B" w:rsidRPr="00E25ECA" w:rsidRDefault="0044188B" w:rsidP="0044188B">
      <w:pPr>
        <w:numPr>
          <w:ilvl w:val="0"/>
          <w:numId w:val="30"/>
        </w:numPr>
        <w:tabs>
          <w:tab w:val="clear" w:pos="720"/>
          <w:tab w:val="num" w:pos="360"/>
        </w:tabs>
        <w:ind w:left="360"/>
        <w:rPr>
          <w:szCs w:val="20"/>
        </w:rPr>
      </w:pPr>
      <w:r w:rsidRPr="00E25ECA">
        <w:rPr>
          <w:szCs w:val="20"/>
        </w:rPr>
        <w:t xml:space="preserve">Informations envoyées par FDA </w:t>
      </w:r>
      <w:r>
        <w:rPr>
          <w:szCs w:val="20"/>
        </w:rPr>
        <w:t xml:space="preserve">américaine </w:t>
      </w:r>
      <w:r w:rsidRPr="00E25ECA">
        <w:rPr>
          <w:szCs w:val="20"/>
        </w:rPr>
        <w:t>aux entreprises enregistrées.</w:t>
      </w:r>
    </w:p>
    <w:p w14:paraId="74C4DE8B" w14:textId="77777777" w:rsidR="0044188B" w:rsidRPr="00E25ECA" w:rsidRDefault="0044188B" w:rsidP="0044188B">
      <w:pPr>
        <w:rPr>
          <w:szCs w:val="20"/>
        </w:rPr>
      </w:pPr>
    </w:p>
    <w:p w14:paraId="3F9A6D10" w14:textId="04AF7D39" w:rsidR="0044188B" w:rsidRPr="00E25ECA" w:rsidRDefault="0044188B" w:rsidP="0044188B">
      <w:pPr>
        <w:rPr>
          <w:szCs w:val="20"/>
        </w:rPr>
      </w:pPr>
      <w:r w:rsidRPr="00E25ECA">
        <w:rPr>
          <w:szCs w:val="20"/>
        </w:rPr>
        <w:lastRenderedPageBreak/>
        <w:t>Sur la base des évolutions réglementaires en cours, des adaptations des équipements et mode</w:t>
      </w:r>
      <w:r>
        <w:rPr>
          <w:szCs w:val="20"/>
        </w:rPr>
        <w:t xml:space="preserve">s </w:t>
      </w:r>
      <w:r w:rsidRPr="00E25ECA">
        <w:rPr>
          <w:szCs w:val="20"/>
        </w:rPr>
        <w:t>de fonctionnement sont à prévoir</w:t>
      </w:r>
      <w:r>
        <w:rPr>
          <w:szCs w:val="20"/>
        </w:rPr>
        <w:t>.</w:t>
      </w:r>
    </w:p>
    <w:p w14:paraId="2256CE50" w14:textId="77777777" w:rsidR="0044188B" w:rsidRPr="00E25ECA" w:rsidRDefault="0044188B" w:rsidP="0044188B">
      <w:pPr>
        <w:rPr>
          <w:szCs w:val="20"/>
        </w:rPr>
      </w:pPr>
    </w:p>
    <w:p w14:paraId="7735A22F" w14:textId="77777777" w:rsidR="0044188B" w:rsidRPr="00297582" w:rsidRDefault="0044188B" w:rsidP="0044188B">
      <w:pPr>
        <w:rPr>
          <w:b/>
          <w:i/>
          <w:szCs w:val="20"/>
        </w:rPr>
      </w:pPr>
      <w:r w:rsidRPr="00297582">
        <w:rPr>
          <w:b/>
          <w:i/>
          <w:szCs w:val="20"/>
        </w:rPr>
        <w:t>Impact de la loi anti-cadeaux</w:t>
      </w:r>
    </w:p>
    <w:p w14:paraId="5F9BDE15" w14:textId="77777777" w:rsidR="0044188B" w:rsidRPr="00E25ECA" w:rsidRDefault="0044188B" w:rsidP="0044188B">
      <w:pPr>
        <w:rPr>
          <w:szCs w:val="20"/>
        </w:rPr>
      </w:pPr>
    </w:p>
    <w:p w14:paraId="79A3B2F4" w14:textId="77777777" w:rsidR="0044188B" w:rsidRPr="00A444F4" w:rsidRDefault="0044188B" w:rsidP="0044188B">
      <w:pPr>
        <w:rPr>
          <w:szCs w:val="20"/>
        </w:rPr>
      </w:pPr>
      <w:r>
        <w:rPr>
          <w:szCs w:val="20"/>
        </w:rPr>
        <w:t xml:space="preserve">En France, la </w:t>
      </w:r>
      <w:r w:rsidRPr="00E25ECA">
        <w:rPr>
          <w:szCs w:val="20"/>
        </w:rPr>
        <w:t xml:space="preserve">Société est soumise </w:t>
      </w:r>
      <w:r>
        <w:rPr>
          <w:szCs w:val="20"/>
        </w:rPr>
        <w:t xml:space="preserve">au décret n° 2013-414 du 21 mai 2013, </w:t>
      </w:r>
      <w:r w:rsidRPr="00E25ECA">
        <w:rPr>
          <w:szCs w:val="20"/>
        </w:rPr>
        <w:t xml:space="preserve">dit </w:t>
      </w:r>
      <w:r>
        <w:rPr>
          <w:szCs w:val="20"/>
        </w:rPr>
        <w:t>« </w:t>
      </w:r>
      <w:r w:rsidRPr="00E25ECA">
        <w:rPr>
          <w:i/>
          <w:iCs/>
          <w:szCs w:val="20"/>
        </w:rPr>
        <w:t>Sunshine Act</w:t>
      </w:r>
      <w:r>
        <w:rPr>
          <w:iCs/>
          <w:szCs w:val="20"/>
        </w:rPr>
        <w:t> »</w:t>
      </w:r>
      <w:r w:rsidRPr="00E25ECA">
        <w:rPr>
          <w:szCs w:val="20"/>
        </w:rPr>
        <w:t xml:space="preserve">, </w:t>
      </w:r>
      <w:r>
        <w:rPr>
          <w:szCs w:val="20"/>
        </w:rPr>
        <w:t xml:space="preserve">lequel </w:t>
      </w:r>
      <w:r w:rsidRPr="00E25ECA">
        <w:rPr>
          <w:szCs w:val="20"/>
        </w:rPr>
        <w:t xml:space="preserve">impose notamment de rendre publiques les conventions et les avantages consentis aux personnels de santé (chirurgiens dans le cas de Spineway). </w:t>
      </w:r>
    </w:p>
    <w:p w14:paraId="181526FD" w14:textId="77777777" w:rsidR="0044188B" w:rsidRPr="00A444F4" w:rsidRDefault="0044188B" w:rsidP="0044188B">
      <w:pPr>
        <w:rPr>
          <w:szCs w:val="20"/>
        </w:rPr>
      </w:pPr>
    </w:p>
    <w:p w14:paraId="7E85848F" w14:textId="7A9A57B2" w:rsidR="0044188B" w:rsidRDefault="0044188B" w:rsidP="0044188B">
      <w:r>
        <w:t>En outre, la Société est soumise à l</w:t>
      </w:r>
      <w:r w:rsidRPr="004E3BE0">
        <w:t xml:space="preserve">a réglementation </w:t>
      </w:r>
      <w:r>
        <w:t xml:space="preserve">dite « anti-cadeaux » (article L. 4113-6 du Code de la santé publique) qui sous peine, notamment, de sanctions pénales (à savoir une peine d’emprisonnement de deux ans et une amende maximum de 75.000 </w:t>
      </w:r>
      <w:r w:rsidR="00E513E0">
        <w:t xml:space="preserve">€ </w:t>
      </w:r>
      <w:r>
        <w:t>pour les personnes physiques, et de 375.000 </w:t>
      </w:r>
      <w:r w:rsidR="00E513E0">
        <w:t xml:space="preserve">€ </w:t>
      </w:r>
      <w:r>
        <w:t>pour les personnes morales), interdit :</w:t>
      </w:r>
    </w:p>
    <w:p w14:paraId="633B5B2E" w14:textId="77777777" w:rsidR="0044188B" w:rsidRDefault="0044188B" w:rsidP="0044188B">
      <w:pPr>
        <w:pStyle w:val="Paragraphedeliste"/>
        <w:numPr>
          <w:ilvl w:val="0"/>
          <w:numId w:val="7"/>
        </w:numPr>
      </w:pPr>
      <w:r w:rsidRPr="004E3BE0">
        <w:t xml:space="preserve">aux </w:t>
      </w:r>
      <w:r>
        <w:t>membres des professions médicales</w:t>
      </w:r>
      <w:r w:rsidRPr="004E3BE0">
        <w:t xml:space="preserve"> de recevoir</w:t>
      </w:r>
      <w:r>
        <w:t xml:space="preserve"> </w:t>
      </w:r>
      <w:r w:rsidRPr="004E3BE0">
        <w:t xml:space="preserve">des avantages en nature ou en espèces, sous quelque forme que ce soit, d'une façon directe </w:t>
      </w:r>
      <w:r w:rsidRPr="002E4E5D">
        <w:t>ou indirecte</w:t>
      </w:r>
      <w:r>
        <w:t> ; et,</w:t>
      </w:r>
    </w:p>
    <w:p w14:paraId="7725F004" w14:textId="77777777" w:rsidR="0044188B" w:rsidRDefault="0044188B" w:rsidP="0044188B">
      <w:pPr>
        <w:pStyle w:val="Paragraphedeliste"/>
        <w:numPr>
          <w:ilvl w:val="0"/>
          <w:numId w:val="7"/>
        </w:numPr>
      </w:pPr>
      <w:r>
        <w:t xml:space="preserve">aux entreprises </w:t>
      </w:r>
      <w:r w:rsidRPr="00585847">
        <w:t>assurant des prestations, produisant ou commercialisant des produits pris en charge par les régimes obligatoires de sécurité sociale</w:t>
      </w:r>
      <w:r>
        <w:t xml:space="preserve"> de procurer ou proposer</w:t>
      </w:r>
      <w:r w:rsidRPr="004E3BE0">
        <w:t xml:space="preserve"> des avantages en nature ou en espèces, sous quelque forme que ce soit, d'une façon directe </w:t>
      </w:r>
      <w:r w:rsidRPr="002E4E5D">
        <w:t>ou indirecte</w:t>
      </w:r>
      <w:r w:rsidRPr="004E3BE0">
        <w:t xml:space="preserve">. </w:t>
      </w:r>
    </w:p>
    <w:p w14:paraId="0575B069" w14:textId="77777777" w:rsidR="0044188B" w:rsidRDefault="0044188B" w:rsidP="0044188B">
      <w:pPr>
        <w:pStyle w:val="Paragraphedeliste"/>
      </w:pPr>
    </w:p>
    <w:p w14:paraId="0EFD4F70" w14:textId="77777777" w:rsidR="0044188B" w:rsidRDefault="0044188B" w:rsidP="0044188B">
      <w:r w:rsidRPr="00F9128A">
        <w:t xml:space="preserve">Cette interdiction </w:t>
      </w:r>
      <w:r w:rsidRPr="00B34BE0">
        <w:t xml:space="preserve">ne </w:t>
      </w:r>
      <w:r w:rsidRPr="00F12132">
        <w:t>s'applique pas</w:t>
      </w:r>
      <w:r>
        <w:t> :</w:t>
      </w:r>
    </w:p>
    <w:p w14:paraId="26DD445F" w14:textId="7A196F6C" w:rsidR="0044188B" w:rsidRDefault="0044188B" w:rsidP="0044188B">
      <w:pPr>
        <w:pStyle w:val="Paragraphedeliste"/>
        <w:numPr>
          <w:ilvl w:val="0"/>
          <w:numId w:val="7"/>
        </w:numPr>
      </w:pPr>
      <w:r w:rsidRPr="00F12132">
        <w:t>aux avantages prévus par des conventions passées entre les</w:t>
      </w:r>
      <w:r w:rsidRPr="004E3BE0">
        <w:t xml:space="preserve"> membres de ces professions médicales et des entreprises, dès lors que</w:t>
      </w:r>
      <w:r>
        <w:t> </w:t>
      </w:r>
      <w:r w:rsidRPr="004E3BE0">
        <w:t xml:space="preserve">ces conventions ont pour objet explicite et but réel des activités de recherche ou d'évaluation scientifique, </w:t>
      </w:r>
      <w:r>
        <w:t>qu’</w:t>
      </w:r>
      <w:r w:rsidRPr="004E3BE0">
        <w:t>elles ont, avant leur mise en application, soumises pour avis au conseil départemental de l'ordre compétent et notifiées, lorsque les activités de recherche ou d'évaluation sont effectuées même partiellement dans un établissement de santé</w:t>
      </w:r>
      <w:r>
        <w:t>,</w:t>
      </w:r>
      <w:r w:rsidRPr="004E3BE0">
        <w:t xml:space="preserve"> au responsable de l'établissement, et que les rémunérations ne sont pas calculées de manière proportionnelle au nombre de prestations ou produits prescrits, commercialisés ou assurés</w:t>
      </w:r>
      <w:r>
        <w:t> ;</w:t>
      </w:r>
    </w:p>
    <w:p w14:paraId="1194AB55" w14:textId="77777777" w:rsidR="0044188B" w:rsidRPr="00455A6F" w:rsidRDefault="0044188B" w:rsidP="0044188B">
      <w:pPr>
        <w:pStyle w:val="Paragraphedeliste"/>
        <w:numPr>
          <w:ilvl w:val="0"/>
          <w:numId w:val="7"/>
        </w:numPr>
      </w:pPr>
      <w:r w:rsidRPr="004E3BE0">
        <w:t xml:space="preserve">à l'hospitalité offerte, de manière directe ou indirecte, lors de manifestations de promotion ou lors de manifestations à caractère exclusivement professionnel et scientifique lorsqu'elle est prévue par convention passée entre l'entreprise et le professionnel de santé et soumise pour avis au conseil départemental de l'ordre </w:t>
      </w:r>
      <w:r>
        <w:t xml:space="preserve">des médecins </w:t>
      </w:r>
      <w:r w:rsidRPr="004E3BE0">
        <w:t>compétent avant sa mise en application, et que cette hospitalité est d'un niveau raisonnable et limitée à l'objectif professionnel et scientifique principal de la manifestation et n'est pas étendue à des personnes autres que les professionnels directement concernés.</w:t>
      </w:r>
    </w:p>
    <w:p w14:paraId="0F7DA5E9" w14:textId="77777777" w:rsidR="0044188B" w:rsidRPr="00455A6F" w:rsidRDefault="0044188B" w:rsidP="0044188B">
      <w:pPr>
        <w:pStyle w:val="Paragraphedeliste"/>
      </w:pPr>
    </w:p>
    <w:p w14:paraId="6252A0CD" w14:textId="77777777" w:rsidR="0044188B" w:rsidRDefault="0044188B" w:rsidP="0044188B">
      <w:r>
        <w:t>C</w:t>
      </w:r>
      <w:r w:rsidRPr="004E3BE0">
        <w:t>ette interdiction n</w:t>
      </w:r>
      <w:r>
        <w:t>’empêche en rien</w:t>
      </w:r>
      <w:r w:rsidRPr="004E3BE0">
        <w:t xml:space="preserve"> le financement des actions de formation médicale continue.</w:t>
      </w:r>
    </w:p>
    <w:p w14:paraId="16EFCB6A" w14:textId="77777777" w:rsidR="0044188B" w:rsidRDefault="0044188B" w:rsidP="0044188B"/>
    <w:p w14:paraId="085B6D6A" w14:textId="774D06A3" w:rsidR="0044188B" w:rsidRDefault="0044188B" w:rsidP="0044188B">
      <w:r>
        <w:t xml:space="preserve">Spineway procède à la prise en charge des frais de transport de logement pour les chirurgiens étrangers qui viennent en France pour être formés aux techniques de pose des implants Spineway. Cette pratique entre dans les exceptions permises par la réglementation dite « anti-cadeaux » en ce qu’elle entre dans la pratique de l’hospitalité offerte lors de manifestations de promotion ou lors de manifestation à caractère exclusivement professionnel, </w:t>
      </w:r>
      <w:r w:rsidR="00E513E0">
        <w:t xml:space="preserve">qui </w:t>
      </w:r>
      <w:r>
        <w:t>est essentielle dans l’activité de la Société qui propose, dans le prolongement de la vente des produits de sa gamme, un accès à la formation spécifique sur ces produits et instrumentations.</w:t>
      </w:r>
    </w:p>
    <w:p w14:paraId="36812F0F" w14:textId="77777777" w:rsidR="0044188B" w:rsidRDefault="0044188B" w:rsidP="0044188B"/>
    <w:p w14:paraId="14F72B18" w14:textId="77777777" w:rsidR="0044188B" w:rsidRDefault="0044188B" w:rsidP="0044188B">
      <w:r>
        <w:t>En outre, la Société peut être amenée à rétribuer des chirurgiens partenaires au titre de leur participation à la conception de nouveaux implants et/ou instrumentation, à des présentations et communications orales lors d’événements publics ou privés.</w:t>
      </w:r>
    </w:p>
    <w:p w14:paraId="693CE69F" w14:textId="77777777" w:rsidR="0044188B" w:rsidRDefault="0044188B" w:rsidP="0044188B"/>
    <w:p w14:paraId="606856B9" w14:textId="77777777" w:rsidR="0044188B" w:rsidRPr="00DA4719" w:rsidRDefault="0044188B" w:rsidP="0044188B">
      <w:r>
        <w:t>Dans les autres pays que la France</w:t>
      </w:r>
      <w:r w:rsidRPr="00BC4057">
        <w:t xml:space="preserve">, le respect des dispositions </w:t>
      </w:r>
      <w:r>
        <w:t>des réglementations dites</w:t>
      </w:r>
      <w:r w:rsidRPr="00BC4057">
        <w:t xml:space="preserve"> </w:t>
      </w:r>
      <w:r>
        <w:t>« </w:t>
      </w:r>
      <w:r w:rsidRPr="00BC4057">
        <w:t>anti-cadeaux</w:t>
      </w:r>
      <w:r>
        <w:t> »</w:t>
      </w:r>
      <w:r w:rsidRPr="00BC4057">
        <w:t xml:space="preserve"> </w:t>
      </w:r>
      <w:r w:rsidRPr="00DA4719">
        <w:t>incombe aux distributeurs dans chacun des pays</w:t>
      </w:r>
      <w:r>
        <w:t xml:space="preserve"> concernés, dans la mesure où la prise en charge des frais de transport et de logement des chirurgiens concepteurs en France qui se rendent à l’étranger pour </w:t>
      </w:r>
      <w:r>
        <w:rPr>
          <w:color w:val="000000"/>
        </w:rPr>
        <w:t>former les chirurgiens locaux sur les nouveaux implants Spineway est assurée par les distributeurs.</w:t>
      </w:r>
    </w:p>
    <w:p w14:paraId="1DD3E5CE" w14:textId="77777777" w:rsidR="0044188B" w:rsidRPr="00E25ECA" w:rsidRDefault="0044188B" w:rsidP="0044188B">
      <w:pPr>
        <w:rPr>
          <w:szCs w:val="20"/>
        </w:rPr>
      </w:pPr>
    </w:p>
    <w:p w14:paraId="6523C735" w14:textId="77777777" w:rsidR="0044188B" w:rsidRPr="00297582" w:rsidRDefault="0044188B" w:rsidP="0044188B">
      <w:pPr>
        <w:rPr>
          <w:b/>
          <w:i/>
          <w:szCs w:val="20"/>
        </w:rPr>
      </w:pPr>
      <w:r w:rsidRPr="00297582">
        <w:rPr>
          <w:b/>
          <w:i/>
          <w:szCs w:val="20"/>
        </w:rPr>
        <w:t>Types de remboursement</w:t>
      </w:r>
    </w:p>
    <w:p w14:paraId="289E1F03" w14:textId="77777777" w:rsidR="0044188B" w:rsidRPr="00E25ECA" w:rsidRDefault="0044188B" w:rsidP="0044188B">
      <w:pPr>
        <w:rPr>
          <w:szCs w:val="20"/>
        </w:rPr>
      </w:pPr>
    </w:p>
    <w:p w14:paraId="55187900" w14:textId="77777777" w:rsidR="0044188B" w:rsidRPr="00E25ECA" w:rsidRDefault="0044188B" w:rsidP="0044188B">
      <w:pPr>
        <w:rPr>
          <w:szCs w:val="20"/>
        </w:rPr>
      </w:pPr>
      <w:r w:rsidRPr="00E25ECA">
        <w:rPr>
          <w:szCs w:val="20"/>
        </w:rPr>
        <w:t>Il existe 2 types de remboursement :</w:t>
      </w:r>
    </w:p>
    <w:p w14:paraId="26E6D6B5" w14:textId="77777777" w:rsidR="0044188B" w:rsidRPr="00E25ECA" w:rsidRDefault="0044188B" w:rsidP="0044188B">
      <w:pPr>
        <w:numPr>
          <w:ilvl w:val="0"/>
          <w:numId w:val="30"/>
        </w:numPr>
        <w:tabs>
          <w:tab w:val="clear" w:pos="720"/>
          <w:tab w:val="num" w:pos="360"/>
        </w:tabs>
        <w:ind w:left="360"/>
        <w:rPr>
          <w:szCs w:val="20"/>
        </w:rPr>
      </w:pPr>
      <w:r w:rsidRPr="00E25ECA">
        <w:rPr>
          <w:szCs w:val="20"/>
        </w:rPr>
        <w:lastRenderedPageBreak/>
        <w:t>Remboursement sous nom de marque : nécessite le dépôt d’un dossier complexe apportant la preuve d’un service attendu suffisant ou supérieur à celui de produits déjà existants ;</w:t>
      </w:r>
    </w:p>
    <w:p w14:paraId="00C7B234" w14:textId="3CD48476" w:rsidR="0044188B" w:rsidRPr="00E25ECA" w:rsidRDefault="0044188B" w:rsidP="0044188B">
      <w:pPr>
        <w:numPr>
          <w:ilvl w:val="0"/>
          <w:numId w:val="30"/>
        </w:numPr>
        <w:tabs>
          <w:tab w:val="clear" w:pos="720"/>
          <w:tab w:val="num" w:pos="360"/>
        </w:tabs>
        <w:ind w:left="360"/>
        <w:rPr>
          <w:szCs w:val="20"/>
        </w:rPr>
      </w:pPr>
      <w:r w:rsidRPr="00E25ECA">
        <w:rPr>
          <w:szCs w:val="20"/>
        </w:rPr>
        <w:t>Remboursement sous ligne générique : la Société estime que les produits répondent à une description de produits remboursé</w:t>
      </w:r>
      <w:r>
        <w:rPr>
          <w:szCs w:val="20"/>
        </w:rPr>
        <w:t>s</w:t>
      </w:r>
      <w:r w:rsidRPr="00E25ECA">
        <w:rPr>
          <w:szCs w:val="20"/>
        </w:rPr>
        <w:t xml:space="preserve"> (présent dans la Liste des Produits et Prestations Remboursables LPPR) : une simple déclaration doit être faite.</w:t>
      </w:r>
    </w:p>
    <w:p w14:paraId="080C1D35" w14:textId="77777777" w:rsidR="0044188B" w:rsidRPr="00E25ECA" w:rsidRDefault="0044188B" w:rsidP="0044188B">
      <w:pPr>
        <w:rPr>
          <w:szCs w:val="20"/>
          <w:u w:val="single"/>
        </w:rPr>
      </w:pPr>
    </w:p>
    <w:p w14:paraId="53C92317" w14:textId="77777777" w:rsidR="0044188B" w:rsidRPr="00E25ECA" w:rsidRDefault="0044188B" w:rsidP="0044188B">
      <w:pPr>
        <w:rPr>
          <w:szCs w:val="20"/>
        </w:rPr>
      </w:pPr>
      <w:r w:rsidRPr="00E25ECA">
        <w:rPr>
          <w:szCs w:val="20"/>
        </w:rPr>
        <w:t>Le remboursement des produits Spineway en France se fait sous ligne générique.</w:t>
      </w:r>
    </w:p>
    <w:p w14:paraId="66540E78" w14:textId="77777777" w:rsidR="0044188B" w:rsidRPr="00E25ECA" w:rsidRDefault="0044188B" w:rsidP="0044188B">
      <w:pPr>
        <w:rPr>
          <w:szCs w:val="20"/>
        </w:rPr>
      </w:pPr>
    </w:p>
    <w:p w14:paraId="41BC0356" w14:textId="77777777" w:rsidR="0044188B" w:rsidRPr="00C31726" w:rsidRDefault="0044188B" w:rsidP="0044188B">
      <w:pPr>
        <w:pStyle w:val="Paragraphedeliste"/>
        <w:numPr>
          <w:ilvl w:val="0"/>
          <w:numId w:val="38"/>
        </w:numPr>
        <w:rPr>
          <w:b/>
          <w:bCs/>
          <w:iCs/>
          <w:szCs w:val="20"/>
        </w:rPr>
      </w:pPr>
      <w:r w:rsidRPr="00C31726">
        <w:rPr>
          <w:b/>
          <w:bCs/>
          <w:iCs/>
          <w:szCs w:val="20"/>
        </w:rPr>
        <w:t>Enregistrement des produits à l’étranger (hors Union Européenne)</w:t>
      </w:r>
    </w:p>
    <w:p w14:paraId="64D8C9BD" w14:textId="77777777" w:rsidR="0044188B" w:rsidRPr="00E25ECA" w:rsidRDefault="0044188B" w:rsidP="0044188B">
      <w:pPr>
        <w:rPr>
          <w:szCs w:val="20"/>
        </w:rPr>
      </w:pPr>
    </w:p>
    <w:p w14:paraId="6BC04D25" w14:textId="77777777" w:rsidR="0044188B" w:rsidRPr="00E25ECA" w:rsidRDefault="0044188B" w:rsidP="0044188B">
      <w:pPr>
        <w:rPr>
          <w:i/>
          <w:szCs w:val="20"/>
        </w:rPr>
      </w:pPr>
      <w:r w:rsidRPr="00E25ECA">
        <w:rPr>
          <w:i/>
          <w:szCs w:val="20"/>
        </w:rPr>
        <w:t>Brésil</w:t>
      </w:r>
    </w:p>
    <w:p w14:paraId="4B5C7D73" w14:textId="77777777" w:rsidR="0044188B" w:rsidRPr="00E25ECA" w:rsidRDefault="0044188B" w:rsidP="0044188B">
      <w:pPr>
        <w:rPr>
          <w:szCs w:val="20"/>
        </w:rPr>
      </w:pPr>
    </w:p>
    <w:p w14:paraId="36458C1B" w14:textId="09694295" w:rsidR="0044188B" w:rsidRPr="00E25ECA" w:rsidRDefault="0044188B" w:rsidP="0044188B">
      <w:pPr>
        <w:rPr>
          <w:szCs w:val="20"/>
        </w:rPr>
      </w:pPr>
      <w:bookmarkStart w:id="216" w:name="_Hlk63275846"/>
      <w:r>
        <w:t>L’enregistrement est soumis au r</w:t>
      </w:r>
      <w:bookmarkEnd w:id="216"/>
      <w:r w:rsidRPr="00297582">
        <w:t>espect des règles GMP-RDC-59 établi</w:t>
      </w:r>
      <w:r>
        <w:t>e</w:t>
      </w:r>
      <w:r w:rsidRPr="00297582">
        <w:t xml:space="preserve">s par </w:t>
      </w:r>
      <w:r w:rsidR="001B488F">
        <w:t>l’</w:t>
      </w:r>
      <w:r>
        <w:t>Age</w:t>
      </w:r>
      <w:r w:rsidRPr="00297582">
        <w:t>ncia Nacional de Vigilância Sanitária</w:t>
      </w:r>
      <w:r w:rsidR="001B488F">
        <w:t xml:space="preserve"> (</w:t>
      </w:r>
      <w:r w:rsidR="001B488F" w:rsidRPr="00297582">
        <w:t>ANVISA</w:t>
      </w:r>
      <w:r w:rsidRPr="00297582">
        <w:t>).</w:t>
      </w:r>
      <w:r w:rsidRPr="00E25ECA">
        <w:rPr>
          <w:szCs w:val="20"/>
        </w:rPr>
        <w:t xml:space="preserve"> Un audit par cet organisme doit avoir lieu avant de pouvoir déposer des dossiers d’enregistrement. Des tests mécaniques spécifiques peuvent être demandés</w:t>
      </w:r>
    </w:p>
    <w:p w14:paraId="251CADCB" w14:textId="77777777" w:rsidR="0044188B" w:rsidRPr="00E25ECA" w:rsidRDefault="0044188B" w:rsidP="0044188B">
      <w:pPr>
        <w:rPr>
          <w:szCs w:val="20"/>
        </w:rPr>
      </w:pPr>
    </w:p>
    <w:p w14:paraId="5844113F" w14:textId="77777777" w:rsidR="0044188B" w:rsidRPr="00E25ECA" w:rsidRDefault="0044188B" w:rsidP="0044188B">
      <w:pPr>
        <w:rPr>
          <w:i/>
          <w:szCs w:val="20"/>
        </w:rPr>
      </w:pPr>
      <w:r w:rsidRPr="00E25ECA">
        <w:rPr>
          <w:i/>
          <w:szCs w:val="20"/>
        </w:rPr>
        <w:t>Etats-Unis </w:t>
      </w:r>
    </w:p>
    <w:p w14:paraId="4656892F" w14:textId="77777777" w:rsidR="0044188B" w:rsidRPr="00E25ECA" w:rsidRDefault="0044188B" w:rsidP="0044188B">
      <w:pPr>
        <w:rPr>
          <w:szCs w:val="20"/>
        </w:rPr>
      </w:pPr>
    </w:p>
    <w:p w14:paraId="00D9AE1D" w14:textId="262C129E" w:rsidR="0044188B" w:rsidRPr="00E25ECA" w:rsidRDefault="0044188B" w:rsidP="0044188B">
      <w:pPr>
        <w:rPr>
          <w:szCs w:val="20"/>
        </w:rPr>
      </w:pPr>
      <w:r w:rsidRPr="00E25ECA">
        <w:rPr>
          <w:szCs w:val="20"/>
        </w:rPr>
        <w:t xml:space="preserve">En fonction de leur classe (leur criticité) certains dispositifs médicaux sont exemptés de procédure d’homologation et d’autres ne le sont pas. </w:t>
      </w:r>
      <w:r w:rsidR="00B2272B">
        <w:rPr>
          <w:szCs w:val="20"/>
        </w:rPr>
        <w:t>Trois</w:t>
      </w:r>
      <w:r w:rsidR="00B2272B" w:rsidRPr="00E25ECA">
        <w:rPr>
          <w:szCs w:val="20"/>
        </w:rPr>
        <w:t xml:space="preserve"> </w:t>
      </w:r>
      <w:r w:rsidRPr="00E25ECA">
        <w:rPr>
          <w:szCs w:val="20"/>
        </w:rPr>
        <w:t xml:space="preserve">voies s’offrent dans ce cas de figure : </w:t>
      </w:r>
    </w:p>
    <w:p w14:paraId="38B42E1E" w14:textId="01F5EE49" w:rsidR="00B2272B" w:rsidRPr="00B2272B" w:rsidRDefault="00B2272B" w:rsidP="00B2272B">
      <w:pPr>
        <w:numPr>
          <w:ilvl w:val="0"/>
          <w:numId w:val="30"/>
        </w:numPr>
        <w:tabs>
          <w:tab w:val="clear" w:pos="720"/>
          <w:tab w:val="num" w:pos="360"/>
        </w:tabs>
        <w:ind w:left="360"/>
        <w:rPr>
          <w:szCs w:val="20"/>
        </w:rPr>
      </w:pPr>
      <w:r>
        <w:rPr>
          <w:szCs w:val="20"/>
        </w:rPr>
        <w:t>Un 510</w:t>
      </w:r>
      <w:r w:rsidRPr="00BC2A2F">
        <w:rPr>
          <w:szCs w:val="20"/>
        </w:rPr>
        <w:t>(k)</w:t>
      </w:r>
      <w:r>
        <w:rPr>
          <w:szCs w:val="20"/>
        </w:rPr>
        <w:t> : Il s’agit d’une</w:t>
      </w:r>
      <w:r w:rsidRPr="00BC2A2F">
        <w:rPr>
          <w:szCs w:val="20"/>
        </w:rPr>
        <w:t xml:space="preserve"> </w:t>
      </w:r>
      <w:r>
        <w:rPr>
          <w:szCs w:val="20"/>
        </w:rPr>
        <w:t xml:space="preserve">procédure de </w:t>
      </w:r>
      <w:r w:rsidRPr="00BC2A2F">
        <w:rPr>
          <w:szCs w:val="20"/>
        </w:rPr>
        <w:t>soumission</w:t>
      </w:r>
      <w:r w:rsidRPr="00B2272B">
        <w:rPr>
          <w:szCs w:val="20"/>
        </w:rPr>
        <w:t xml:space="preserve"> </w:t>
      </w:r>
      <w:r w:rsidRPr="00BC2A2F">
        <w:rPr>
          <w:szCs w:val="20"/>
        </w:rPr>
        <w:t>préalable à la commercialisation</w:t>
      </w:r>
      <w:r>
        <w:rPr>
          <w:szCs w:val="20"/>
        </w:rPr>
        <w:t xml:space="preserve"> et</w:t>
      </w:r>
      <w:r w:rsidRPr="00BC2A2F">
        <w:rPr>
          <w:szCs w:val="20"/>
        </w:rPr>
        <w:t xml:space="preserve"> </w:t>
      </w:r>
      <w:r>
        <w:rPr>
          <w:szCs w:val="20"/>
        </w:rPr>
        <w:t>adressée</w:t>
      </w:r>
      <w:r w:rsidRPr="00BC2A2F">
        <w:rPr>
          <w:szCs w:val="20"/>
        </w:rPr>
        <w:t xml:space="preserve"> à la FDA</w:t>
      </w:r>
      <w:r>
        <w:rPr>
          <w:szCs w:val="20"/>
        </w:rPr>
        <w:t>. Cette procédure a pour objectif de</w:t>
      </w:r>
      <w:r w:rsidRPr="00BC2A2F">
        <w:rPr>
          <w:szCs w:val="20"/>
        </w:rPr>
        <w:t xml:space="preserve"> démontrer que </w:t>
      </w:r>
      <w:r>
        <w:rPr>
          <w:szCs w:val="20"/>
        </w:rPr>
        <w:t>le dispositif</w:t>
      </w:r>
      <w:r w:rsidRPr="00BC2A2F">
        <w:rPr>
          <w:szCs w:val="20"/>
        </w:rPr>
        <w:t xml:space="preserve"> à commercialiser est sûr et efficace, c'est-à-dire substantiellement équivalent, à un </w:t>
      </w:r>
      <w:r>
        <w:rPr>
          <w:szCs w:val="20"/>
        </w:rPr>
        <w:t>dispositif</w:t>
      </w:r>
      <w:r w:rsidRPr="00BC2A2F">
        <w:rPr>
          <w:szCs w:val="20"/>
        </w:rPr>
        <w:t xml:space="preserve"> </w:t>
      </w:r>
      <w:r w:rsidR="00533F0A">
        <w:rPr>
          <w:szCs w:val="20"/>
        </w:rPr>
        <w:t xml:space="preserve">d’ores-et-déjà </w:t>
      </w:r>
      <w:r w:rsidR="00533F0A" w:rsidRPr="00BC2A2F">
        <w:rPr>
          <w:szCs w:val="20"/>
        </w:rPr>
        <w:t xml:space="preserve">légalement </w:t>
      </w:r>
      <w:r w:rsidRPr="00BC2A2F">
        <w:rPr>
          <w:szCs w:val="20"/>
        </w:rPr>
        <w:t>commercialisé.</w:t>
      </w:r>
      <w:r>
        <w:rPr>
          <w:szCs w:val="20"/>
        </w:rPr>
        <w:t xml:space="preserve"> </w:t>
      </w:r>
      <w:r w:rsidR="00533F0A">
        <w:rPr>
          <w:szCs w:val="20"/>
        </w:rPr>
        <w:t>La</w:t>
      </w:r>
      <w:r w:rsidRPr="00E25ECA">
        <w:rPr>
          <w:szCs w:val="20"/>
        </w:rPr>
        <w:t xml:space="preserve"> procédure 510</w:t>
      </w:r>
      <w:r w:rsidR="00533F0A">
        <w:rPr>
          <w:szCs w:val="20"/>
        </w:rPr>
        <w:t>(</w:t>
      </w:r>
      <w:r w:rsidRPr="00E25ECA">
        <w:rPr>
          <w:szCs w:val="20"/>
        </w:rPr>
        <w:t>k</w:t>
      </w:r>
      <w:r w:rsidR="00533F0A">
        <w:rPr>
          <w:szCs w:val="20"/>
        </w:rPr>
        <w:t>)</w:t>
      </w:r>
      <w:r w:rsidRPr="00E25ECA">
        <w:rPr>
          <w:szCs w:val="20"/>
        </w:rPr>
        <w:t xml:space="preserve"> </w:t>
      </w:r>
      <w:r w:rsidR="00533F0A">
        <w:rPr>
          <w:szCs w:val="20"/>
        </w:rPr>
        <w:t>consiste en</w:t>
      </w:r>
      <w:r w:rsidRPr="00E25ECA">
        <w:rPr>
          <w:szCs w:val="20"/>
        </w:rPr>
        <w:t xml:space="preserve"> une évaluation </w:t>
      </w:r>
      <w:r w:rsidR="00533F0A">
        <w:rPr>
          <w:szCs w:val="20"/>
        </w:rPr>
        <w:t xml:space="preserve">réalisée </w:t>
      </w:r>
      <w:r w:rsidRPr="00E25ECA">
        <w:rPr>
          <w:szCs w:val="20"/>
        </w:rPr>
        <w:t>en 90 jours</w:t>
      </w:r>
      <w:r>
        <w:rPr>
          <w:szCs w:val="20"/>
        </w:rPr>
        <w:t xml:space="preserve"> </w:t>
      </w:r>
      <w:r w:rsidRPr="00E25ECA">
        <w:rPr>
          <w:szCs w:val="20"/>
        </w:rPr>
        <w:t>renouvelable</w:t>
      </w:r>
      <w:r w:rsidR="00533F0A">
        <w:rPr>
          <w:szCs w:val="20"/>
        </w:rPr>
        <w:t>s</w:t>
      </w:r>
      <w:r w:rsidRPr="00E25ECA">
        <w:rPr>
          <w:szCs w:val="20"/>
        </w:rPr>
        <w:t xml:space="preserve"> </w:t>
      </w:r>
      <w:r w:rsidR="00533F0A">
        <w:rPr>
          <w:szCs w:val="20"/>
        </w:rPr>
        <w:t>une fois</w:t>
      </w:r>
      <w:r w:rsidRPr="00E25ECA">
        <w:rPr>
          <w:szCs w:val="20"/>
        </w:rPr>
        <w:t xml:space="preserve"> en cas de questions par l’autorité de santé FDA. </w:t>
      </w:r>
      <w:r>
        <w:rPr>
          <w:szCs w:val="20"/>
        </w:rPr>
        <w:t>Actuellement, tous les produits Spineway introduits sur le marché américain ont suivi cette procédure, la p</w:t>
      </w:r>
      <w:r w:rsidR="00533F0A">
        <w:rPr>
          <w:szCs w:val="20"/>
        </w:rPr>
        <w:t>lus rapide et la moins couteuse ;</w:t>
      </w:r>
    </w:p>
    <w:p w14:paraId="735A18ED" w14:textId="2F894729" w:rsidR="00B2272B" w:rsidRPr="002E00E3" w:rsidRDefault="00B2272B" w:rsidP="00B2272B">
      <w:pPr>
        <w:numPr>
          <w:ilvl w:val="0"/>
          <w:numId w:val="30"/>
        </w:numPr>
        <w:tabs>
          <w:tab w:val="clear" w:pos="720"/>
          <w:tab w:val="num" w:pos="360"/>
        </w:tabs>
        <w:ind w:left="360"/>
        <w:rPr>
          <w:rFonts w:cstheme="majorHAnsi"/>
          <w:szCs w:val="20"/>
        </w:rPr>
      </w:pPr>
      <w:r>
        <w:rPr>
          <w:rFonts w:cstheme="majorHAnsi"/>
          <w:szCs w:val="20"/>
        </w:rPr>
        <w:t>En cas d’absence d’équivalence substantielle à un</w:t>
      </w:r>
      <w:r w:rsidR="00533F0A">
        <w:rPr>
          <w:rFonts w:cstheme="majorHAnsi"/>
          <w:szCs w:val="20"/>
        </w:rPr>
        <w:t xml:space="preserve"> ou </w:t>
      </w:r>
      <w:r>
        <w:rPr>
          <w:rFonts w:cstheme="majorHAnsi"/>
          <w:szCs w:val="20"/>
        </w:rPr>
        <w:t xml:space="preserve">des dispositifs déjà </w:t>
      </w:r>
      <w:r w:rsidR="00533F0A">
        <w:rPr>
          <w:rFonts w:cstheme="majorHAnsi"/>
          <w:szCs w:val="20"/>
        </w:rPr>
        <w:t xml:space="preserve">commercialisés </w:t>
      </w:r>
      <w:r>
        <w:rPr>
          <w:rFonts w:cstheme="majorHAnsi"/>
          <w:szCs w:val="20"/>
        </w:rPr>
        <w:t>sur le marché américain, il est possible de demander u</w:t>
      </w:r>
      <w:r w:rsidRPr="006B3490">
        <w:rPr>
          <w:rFonts w:cstheme="majorHAnsi"/>
          <w:szCs w:val="20"/>
        </w:rPr>
        <w:t xml:space="preserve">ne </w:t>
      </w:r>
      <w:r>
        <w:rPr>
          <w:rFonts w:cstheme="majorHAnsi"/>
          <w:szCs w:val="20"/>
        </w:rPr>
        <w:t>« </w:t>
      </w:r>
      <w:r w:rsidRPr="006B3490">
        <w:rPr>
          <w:rFonts w:cstheme="majorHAnsi"/>
          <w:i/>
          <w:iCs/>
          <w:szCs w:val="20"/>
        </w:rPr>
        <w:t>exemption de dispositif expérimental</w:t>
      </w:r>
      <w:r>
        <w:rPr>
          <w:rFonts w:cstheme="majorHAnsi"/>
          <w:szCs w:val="20"/>
        </w:rPr>
        <w:t> »</w:t>
      </w:r>
      <w:r w:rsidRPr="006B3490">
        <w:rPr>
          <w:rFonts w:cstheme="majorHAnsi"/>
          <w:szCs w:val="20"/>
        </w:rPr>
        <w:t xml:space="preserve"> (IDE</w:t>
      </w:r>
      <w:r w:rsidR="00533F0A">
        <w:rPr>
          <w:rFonts w:cstheme="majorHAnsi"/>
          <w:szCs w:val="20"/>
        </w:rPr>
        <w:t>). Cette procédure</w:t>
      </w:r>
      <w:r w:rsidRPr="006B3490">
        <w:rPr>
          <w:rFonts w:cstheme="majorHAnsi"/>
          <w:szCs w:val="20"/>
        </w:rPr>
        <w:t xml:space="preserve"> permet au dispositif expérimental d'être utilisé dans une étude clinique afin de collecter des données de sécurité et d'efficacité.</w:t>
      </w:r>
      <w:r>
        <w:rPr>
          <w:rFonts w:cstheme="majorHAnsi"/>
          <w:szCs w:val="20"/>
        </w:rPr>
        <w:t xml:space="preserve"> Aucun produit de Spineway n’est actuellement concerné par ce type de démarche</w:t>
      </w:r>
      <w:r w:rsidR="00533F0A">
        <w:rPr>
          <w:rFonts w:cstheme="majorHAnsi"/>
          <w:szCs w:val="20"/>
        </w:rPr>
        <w:t> ;</w:t>
      </w:r>
    </w:p>
    <w:p w14:paraId="2A29E17B" w14:textId="5E92869E" w:rsidR="0044188B" w:rsidRPr="00E25ECA" w:rsidRDefault="00E513E0" w:rsidP="0044188B">
      <w:pPr>
        <w:numPr>
          <w:ilvl w:val="0"/>
          <w:numId w:val="30"/>
        </w:numPr>
        <w:tabs>
          <w:tab w:val="clear" w:pos="720"/>
          <w:tab w:val="num" w:pos="360"/>
        </w:tabs>
        <w:ind w:left="360"/>
        <w:rPr>
          <w:szCs w:val="20"/>
        </w:rPr>
      </w:pPr>
      <w:r>
        <w:rPr>
          <w:szCs w:val="20"/>
        </w:rPr>
        <w:t>l</w:t>
      </w:r>
      <w:r w:rsidRPr="00E25ECA">
        <w:rPr>
          <w:szCs w:val="20"/>
        </w:rPr>
        <w:t xml:space="preserve">a </w:t>
      </w:r>
      <w:r w:rsidR="0044188B" w:rsidRPr="00E25ECA">
        <w:rPr>
          <w:szCs w:val="20"/>
        </w:rPr>
        <w:t>procédure PMA (</w:t>
      </w:r>
      <w:r w:rsidR="00B2272B">
        <w:rPr>
          <w:szCs w:val="20"/>
        </w:rPr>
        <w:t>« </w:t>
      </w:r>
      <w:r w:rsidR="0044188B" w:rsidRPr="00E25ECA">
        <w:rPr>
          <w:i/>
          <w:iCs/>
          <w:szCs w:val="20"/>
        </w:rPr>
        <w:t>Pre Market Approval</w:t>
      </w:r>
      <w:r w:rsidR="00B2272B">
        <w:rPr>
          <w:i/>
          <w:iCs/>
          <w:szCs w:val="20"/>
        </w:rPr>
        <w:t> </w:t>
      </w:r>
      <w:r w:rsidR="00533F0A">
        <w:rPr>
          <w:i/>
          <w:iCs/>
          <w:szCs w:val="20"/>
        </w:rPr>
        <w:t>»</w:t>
      </w:r>
      <w:r w:rsidR="00533F0A" w:rsidRPr="00E25ECA">
        <w:rPr>
          <w:szCs w:val="20"/>
        </w:rPr>
        <w:t>)</w:t>
      </w:r>
      <w:r w:rsidR="00533F0A">
        <w:rPr>
          <w:szCs w:val="20"/>
        </w:rPr>
        <w:t xml:space="preserve">, également envisageable </w:t>
      </w:r>
      <w:r w:rsidR="0044188B" w:rsidRPr="00E25ECA">
        <w:rPr>
          <w:szCs w:val="20"/>
        </w:rPr>
        <w:t xml:space="preserve">pour les dispositifs qui ne sont pas substantiellement équivalents à d’autres déjà sur le marché américain. Pour l’instant, il n’y a pas de produit Spineway sous procédure PMA nécessitant la réalisation de dossiers d’une complexité très importante. </w:t>
      </w:r>
    </w:p>
    <w:p w14:paraId="23BBF3FE" w14:textId="77777777" w:rsidR="0044188B" w:rsidRPr="00E25ECA" w:rsidRDefault="0044188B" w:rsidP="0044188B">
      <w:pPr>
        <w:rPr>
          <w:szCs w:val="20"/>
        </w:rPr>
      </w:pPr>
    </w:p>
    <w:p w14:paraId="7C8C159C" w14:textId="4C3E6CBF" w:rsidR="0044188B" w:rsidRDefault="0044188B" w:rsidP="0044188B">
      <w:pPr>
        <w:rPr>
          <w:szCs w:val="20"/>
        </w:rPr>
      </w:pPr>
      <w:r w:rsidRPr="00E25ECA">
        <w:rPr>
          <w:szCs w:val="20"/>
        </w:rPr>
        <w:t xml:space="preserve">Le </w:t>
      </w:r>
      <w:r w:rsidR="00533F0A">
        <w:rPr>
          <w:szCs w:val="20"/>
        </w:rPr>
        <w:t>demandeur de soumissions</w:t>
      </w:r>
      <w:r w:rsidRPr="00E25ECA">
        <w:rPr>
          <w:szCs w:val="20"/>
        </w:rPr>
        <w:t xml:space="preserve"> FDA est </w:t>
      </w:r>
      <w:r>
        <w:rPr>
          <w:szCs w:val="20"/>
        </w:rPr>
        <w:t xml:space="preserve">généralement </w:t>
      </w:r>
      <w:r w:rsidRPr="00E25ECA">
        <w:rPr>
          <w:szCs w:val="20"/>
        </w:rPr>
        <w:t>soumis à un audit inopiné de la part de la FDA, qui organise des visites de sites</w:t>
      </w:r>
      <w:r>
        <w:rPr>
          <w:szCs w:val="20"/>
        </w:rPr>
        <w:t xml:space="preserve"> dans les mois suivant la délivrance de notifications 510 k</w:t>
      </w:r>
      <w:r w:rsidRPr="00E25ECA">
        <w:rPr>
          <w:szCs w:val="20"/>
        </w:rPr>
        <w:t>.</w:t>
      </w:r>
    </w:p>
    <w:p w14:paraId="252606AC" w14:textId="259C5D9C" w:rsidR="0044188B" w:rsidRPr="00E25ECA" w:rsidRDefault="0044188B" w:rsidP="0044188B">
      <w:pPr>
        <w:rPr>
          <w:szCs w:val="20"/>
        </w:rPr>
      </w:pPr>
      <w:r>
        <w:rPr>
          <w:szCs w:val="20"/>
        </w:rPr>
        <w:t xml:space="preserve">La Société a effectué les travaux nécessaires pour être en conformité avec la réglementation de la FDA </w:t>
      </w:r>
      <w:r w:rsidR="00E513E0">
        <w:rPr>
          <w:szCs w:val="20"/>
        </w:rPr>
        <w:t>américaine</w:t>
      </w:r>
      <w:r>
        <w:rPr>
          <w:szCs w:val="20"/>
        </w:rPr>
        <w:t xml:space="preserve">, et </w:t>
      </w:r>
      <w:r w:rsidR="00533F0A">
        <w:rPr>
          <w:szCs w:val="20"/>
        </w:rPr>
        <w:t xml:space="preserve">a </w:t>
      </w:r>
      <w:r w:rsidR="00AB61C8">
        <w:rPr>
          <w:szCs w:val="20"/>
        </w:rPr>
        <w:t xml:space="preserve">d’ailleurs </w:t>
      </w:r>
      <w:r w:rsidR="00533F0A">
        <w:rPr>
          <w:szCs w:val="20"/>
        </w:rPr>
        <w:t>reçu la visite de la FDA en juillet 2019</w:t>
      </w:r>
      <w:r>
        <w:rPr>
          <w:szCs w:val="20"/>
        </w:rPr>
        <w:t>.</w:t>
      </w:r>
    </w:p>
    <w:p w14:paraId="3EDAB7D8" w14:textId="77777777" w:rsidR="0044188B" w:rsidRDefault="0044188B" w:rsidP="0044188B">
      <w:pPr>
        <w:rPr>
          <w:i/>
          <w:szCs w:val="20"/>
        </w:rPr>
      </w:pPr>
    </w:p>
    <w:p w14:paraId="67CBBE9F" w14:textId="77777777" w:rsidR="0044188B" w:rsidRPr="00E25ECA" w:rsidRDefault="0044188B" w:rsidP="0044188B">
      <w:pPr>
        <w:rPr>
          <w:i/>
          <w:szCs w:val="20"/>
        </w:rPr>
      </w:pPr>
      <w:r w:rsidRPr="00E25ECA">
        <w:rPr>
          <w:i/>
          <w:szCs w:val="20"/>
        </w:rPr>
        <w:t>Chine </w:t>
      </w:r>
    </w:p>
    <w:p w14:paraId="0E5CBBD9" w14:textId="77777777" w:rsidR="0044188B" w:rsidRPr="00E25ECA" w:rsidRDefault="0044188B" w:rsidP="0044188B">
      <w:pPr>
        <w:rPr>
          <w:i/>
          <w:szCs w:val="20"/>
        </w:rPr>
      </w:pPr>
    </w:p>
    <w:p w14:paraId="169F1E65" w14:textId="4DE2D88B" w:rsidR="0044188B" w:rsidRPr="005B42F0" w:rsidRDefault="0044188B" w:rsidP="00AB61C8">
      <w:pPr>
        <w:rPr>
          <w:rFonts w:eastAsia="Times New Roman"/>
        </w:rPr>
      </w:pPr>
      <w:r w:rsidRPr="00BA2091">
        <w:rPr>
          <w:szCs w:val="20"/>
        </w:rPr>
        <w:t>L’enregistrement est soumis au r</w:t>
      </w:r>
      <w:r w:rsidRPr="00E25ECA">
        <w:rPr>
          <w:szCs w:val="20"/>
        </w:rPr>
        <w:t>espect des règles établi</w:t>
      </w:r>
      <w:r>
        <w:rPr>
          <w:szCs w:val="20"/>
        </w:rPr>
        <w:t>e</w:t>
      </w:r>
      <w:r w:rsidRPr="00E25ECA">
        <w:rPr>
          <w:szCs w:val="20"/>
        </w:rPr>
        <w:t xml:space="preserve">s par la </w:t>
      </w:r>
      <w:r w:rsidR="00AB61C8" w:rsidRPr="005B42F0">
        <w:rPr>
          <w:szCs w:val="20"/>
        </w:rPr>
        <w:t xml:space="preserve"> National Medical Products Administration (NMPA)</w:t>
      </w:r>
      <w:r w:rsidR="00AB61C8">
        <w:rPr>
          <w:rFonts w:eastAsia="Times New Roman"/>
        </w:rPr>
        <w:t xml:space="preserve">. </w:t>
      </w:r>
      <w:r w:rsidRPr="00E25ECA">
        <w:rPr>
          <w:szCs w:val="20"/>
        </w:rPr>
        <w:t xml:space="preserve">La </w:t>
      </w:r>
      <w:r w:rsidR="00AB61C8" w:rsidRPr="006B3490">
        <w:rPr>
          <w:szCs w:val="20"/>
        </w:rPr>
        <w:t>NMPA</w:t>
      </w:r>
      <w:r w:rsidR="00AB61C8" w:rsidRPr="00E25ECA" w:rsidDel="00AB61C8">
        <w:rPr>
          <w:szCs w:val="20"/>
        </w:rPr>
        <w:t xml:space="preserve"> </w:t>
      </w:r>
      <w:r>
        <w:rPr>
          <w:szCs w:val="20"/>
        </w:rPr>
        <w:t>s’apprête à reconnaitre</w:t>
      </w:r>
      <w:r w:rsidRPr="00E25ECA">
        <w:rPr>
          <w:szCs w:val="20"/>
        </w:rPr>
        <w:t xml:space="preserve"> certains procédés ou matières premières largement reconnues à l’international, ce qui facilitera à terme les mises sur le marché. Pour le moment</w:t>
      </w:r>
      <w:r>
        <w:rPr>
          <w:szCs w:val="20"/>
        </w:rPr>
        <w:t>,</w:t>
      </w:r>
      <w:r w:rsidRPr="00E25ECA">
        <w:rPr>
          <w:szCs w:val="20"/>
        </w:rPr>
        <w:t xml:space="preserve"> des dossiers de tests très complets doivent être fournis, certains tests étant réalisés par le laboratoire rattaché à la </w:t>
      </w:r>
      <w:r w:rsidR="00AB61C8" w:rsidRPr="006B3490">
        <w:rPr>
          <w:szCs w:val="20"/>
        </w:rPr>
        <w:t>NMPA</w:t>
      </w:r>
      <w:r w:rsidR="00AB61C8" w:rsidRPr="00E25ECA" w:rsidDel="00AB61C8">
        <w:rPr>
          <w:szCs w:val="20"/>
        </w:rPr>
        <w:t xml:space="preserve"> </w:t>
      </w:r>
      <w:r w:rsidRPr="00E25ECA">
        <w:rPr>
          <w:szCs w:val="20"/>
        </w:rPr>
        <w:t>pour accélérer les processus.</w:t>
      </w:r>
    </w:p>
    <w:p w14:paraId="715DC2C2" w14:textId="07542467" w:rsidR="0044188B" w:rsidRPr="00E25ECA" w:rsidRDefault="0044188B" w:rsidP="0044188B">
      <w:pPr>
        <w:rPr>
          <w:szCs w:val="20"/>
        </w:rPr>
      </w:pPr>
      <w:r w:rsidRPr="00E25ECA">
        <w:rPr>
          <w:szCs w:val="20"/>
        </w:rPr>
        <w:t xml:space="preserve">La </w:t>
      </w:r>
      <w:r w:rsidR="00AB61C8" w:rsidRPr="006B3490">
        <w:rPr>
          <w:szCs w:val="20"/>
        </w:rPr>
        <w:t>NMPA</w:t>
      </w:r>
      <w:r w:rsidR="00AB61C8" w:rsidRPr="00E25ECA" w:rsidDel="00AB61C8">
        <w:rPr>
          <w:szCs w:val="20"/>
        </w:rPr>
        <w:t xml:space="preserve"> </w:t>
      </w:r>
      <w:r w:rsidRPr="00E25ECA">
        <w:rPr>
          <w:szCs w:val="20"/>
        </w:rPr>
        <w:t xml:space="preserve">a mis en place des réformes de la procédure d’homologation en 2016, </w:t>
      </w:r>
      <w:r w:rsidR="00E513E0">
        <w:rPr>
          <w:szCs w:val="20"/>
        </w:rPr>
        <w:t>ainsi qu’</w:t>
      </w:r>
      <w:r w:rsidRPr="00E25ECA">
        <w:rPr>
          <w:szCs w:val="20"/>
        </w:rPr>
        <w:t>en 2019.</w:t>
      </w:r>
    </w:p>
    <w:p w14:paraId="350583EA" w14:textId="77777777" w:rsidR="0044188B" w:rsidRPr="00E25ECA" w:rsidRDefault="0044188B" w:rsidP="0044188B">
      <w:pPr>
        <w:rPr>
          <w:szCs w:val="20"/>
        </w:rPr>
      </w:pPr>
      <w:r w:rsidRPr="00E25ECA">
        <w:rPr>
          <w:szCs w:val="20"/>
        </w:rPr>
        <w:t xml:space="preserve">Tenue informée, la </w:t>
      </w:r>
      <w:r>
        <w:rPr>
          <w:szCs w:val="20"/>
        </w:rPr>
        <w:t>S</w:t>
      </w:r>
      <w:r w:rsidRPr="00E25ECA">
        <w:rPr>
          <w:szCs w:val="20"/>
        </w:rPr>
        <w:t>ociété estime pouvoir faire face aux demandes à venir.</w:t>
      </w:r>
    </w:p>
    <w:p w14:paraId="2FA2702A" w14:textId="77777777" w:rsidR="0044188B" w:rsidRPr="00E25ECA" w:rsidRDefault="0044188B" w:rsidP="0044188B">
      <w:pPr>
        <w:rPr>
          <w:szCs w:val="20"/>
        </w:rPr>
      </w:pPr>
    </w:p>
    <w:p w14:paraId="05B5D207" w14:textId="77777777" w:rsidR="0044188B" w:rsidRPr="00E25ECA" w:rsidRDefault="0044188B" w:rsidP="0044188B">
      <w:pPr>
        <w:rPr>
          <w:i/>
          <w:szCs w:val="20"/>
        </w:rPr>
      </w:pPr>
      <w:r w:rsidRPr="00E25ECA">
        <w:rPr>
          <w:i/>
          <w:szCs w:val="20"/>
        </w:rPr>
        <w:t>Autres Pays</w:t>
      </w:r>
    </w:p>
    <w:p w14:paraId="2B47170F" w14:textId="77777777" w:rsidR="0044188B" w:rsidRPr="00E25ECA" w:rsidRDefault="0044188B" w:rsidP="0044188B">
      <w:pPr>
        <w:rPr>
          <w:szCs w:val="20"/>
        </w:rPr>
      </w:pPr>
    </w:p>
    <w:p w14:paraId="614C5CFC" w14:textId="77777777" w:rsidR="0044188B" w:rsidRPr="00E25ECA" w:rsidRDefault="0044188B" w:rsidP="0044188B">
      <w:pPr>
        <w:rPr>
          <w:szCs w:val="20"/>
        </w:rPr>
      </w:pPr>
      <w:r w:rsidRPr="00E25ECA">
        <w:rPr>
          <w:szCs w:val="20"/>
        </w:rPr>
        <w:t xml:space="preserve">Pour les pays moins demandeurs, la fourniture des certificats CE et ISO est suffisante. </w:t>
      </w:r>
    </w:p>
    <w:p w14:paraId="499814C6" w14:textId="77777777" w:rsidR="0044188B" w:rsidRPr="00E25ECA" w:rsidRDefault="0044188B" w:rsidP="0044188B">
      <w:pPr>
        <w:rPr>
          <w:szCs w:val="20"/>
        </w:rPr>
      </w:pPr>
      <w:r w:rsidRPr="00E25ECA">
        <w:rPr>
          <w:szCs w:val="20"/>
        </w:rPr>
        <w:t>Sont généralement joints :</w:t>
      </w:r>
    </w:p>
    <w:p w14:paraId="6A61D8FA" w14:textId="77777777" w:rsidR="0044188B" w:rsidRPr="00E25ECA" w:rsidRDefault="0044188B" w:rsidP="0044188B">
      <w:pPr>
        <w:numPr>
          <w:ilvl w:val="0"/>
          <w:numId w:val="30"/>
        </w:numPr>
        <w:tabs>
          <w:tab w:val="clear" w:pos="720"/>
          <w:tab w:val="num" w:pos="360"/>
        </w:tabs>
        <w:ind w:left="360"/>
        <w:rPr>
          <w:szCs w:val="20"/>
        </w:rPr>
      </w:pPr>
      <w:r w:rsidRPr="00E25ECA">
        <w:rPr>
          <w:szCs w:val="20"/>
        </w:rPr>
        <w:t>Certificat de Libre Vente délivré par l’ANSM</w:t>
      </w:r>
      <w:r>
        <w:rPr>
          <w:szCs w:val="20"/>
        </w:rPr>
        <w:t> </w:t>
      </w:r>
      <w:r w:rsidRPr="00E25ECA">
        <w:rPr>
          <w:szCs w:val="20"/>
        </w:rPr>
        <w:t>;</w:t>
      </w:r>
    </w:p>
    <w:p w14:paraId="46CDE1FC" w14:textId="77777777" w:rsidR="0044188B" w:rsidRPr="00E25ECA" w:rsidRDefault="0044188B" w:rsidP="0044188B">
      <w:pPr>
        <w:numPr>
          <w:ilvl w:val="0"/>
          <w:numId w:val="30"/>
        </w:numPr>
        <w:tabs>
          <w:tab w:val="clear" w:pos="720"/>
          <w:tab w:val="num" w:pos="360"/>
        </w:tabs>
        <w:ind w:left="360"/>
        <w:rPr>
          <w:szCs w:val="20"/>
        </w:rPr>
      </w:pPr>
      <w:r w:rsidRPr="00E25ECA">
        <w:rPr>
          <w:szCs w:val="20"/>
        </w:rPr>
        <w:t xml:space="preserve">Documents légalisés (par </w:t>
      </w:r>
      <w:r>
        <w:rPr>
          <w:szCs w:val="20"/>
        </w:rPr>
        <w:t>la Chambre de Commerce et Industrie</w:t>
      </w:r>
      <w:r w:rsidRPr="00E25ECA">
        <w:rPr>
          <w:szCs w:val="20"/>
        </w:rPr>
        <w:t xml:space="preserve">, notaire et/ou </w:t>
      </w:r>
      <w:r>
        <w:rPr>
          <w:szCs w:val="20"/>
        </w:rPr>
        <w:t xml:space="preserve">le </w:t>
      </w:r>
      <w:r w:rsidRPr="00E25ECA">
        <w:rPr>
          <w:szCs w:val="20"/>
        </w:rPr>
        <w:t>consulat) ;</w:t>
      </w:r>
    </w:p>
    <w:p w14:paraId="6363615A" w14:textId="77777777" w:rsidR="0044188B" w:rsidRPr="00E25ECA" w:rsidRDefault="0044188B" w:rsidP="0044188B">
      <w:pPr>
        <w:numPr>
          <w:ilvl w:val="0"/>
          <w:numId w:val="30"/>
        </w:numPr>
        <w:tabs>
          <w:tab w:val="clear" w:pos="720"/>
          <w:tab w:val="num" w:pos="360"/>
        </w:tabs>
        <w:ind w:left="360"/>
        <w:rPr>
          <w:szCs w:val="20"/>
        </w:rPr>
      </w:pPr>
      <w:r w:rsidRPr="00E25ECA">
        <w:rPr>
          <w:szCs w:val="20"/>
        </w:rPr>
        <w:t>Revue de la littérature ;</w:t>
      </w:r>
    </w:p>
    <w:p w14:paraId="769AAD9B" w14:textId="77777777" w:rsidR="0044188B" w:rsidRPr="00E25ECA" w:rsidRDefault="0044188B" w:rsidP="0044188B">
      <w:pPr>
        <w:numPr>
          <w:ilvl w:val="0"/>
          <w:numId w:val="30"/>
        </w:numPr>
        <w:tabs>
          <w:tab w:val="clear" w:pos="720"/>
          <w:tab w:val="num" w:pos="360"/>
        </w:tabs>
        <w:ind w:left="360"/>
        <w:rPr>
          <w:szCs w:val="20"/>
        </w:rPr>
      </w:pPr>
      <w:r w:rsidRPr="00E25ECA">
        <w:rPr>
          <w:szCs w:val="20"/>
        </w:rPr>
        <w:lastRenderedPageBreak/>
        <w:t>Résultats de tests mécaniques.</w:t>
      </w:r>
    </w:p>
    <w:p w14:paraId="27031370" w14:textId="77777777" w:rsidR="0044188B" w:rsidRPr="00E25ECA" w:rsidRDefault="0044188B" w:rsidP="0044188B">
      <w:pPr>
        <w:rPr>
          <w:szCs w:val="20"/>
        </w:rPr>
      </w:pPr>
    </w:p>
    <w:p w14:paraId="3C0D7A8B" w14:textId="77777777" w:rsidR="0044188B" w:rsidRPr="00E25ECA" w:rsidRDefault="0044188B" w:rsidP="0044188B">
      <w:pPr>
        <w:rPr>
          <w:szCs w:val="20"/>
        </w:rPr>
      </w:pPr>
      <w:r w:rsidRPr="00E25ECA">
        <w:rPr>
          <w:szCs w:val="20"/>
        </w:rPr>
        <w:t>Liste non-exhaustive des pays où ces homologations peu complexes sont possibles :</w:t>
      </w:r>
    </w:p>
    <w:p w14:paraId="6C22EB94" w14:textId="77777777" w:rsidR="0044188B" w:rsidRPr="00E25ECA" w:rsidRDefault="0044188B" w:rsidP="0044188B">
      <w:pPr>
        <w:numPr>
          <w:ilvl w:val="0"/>
          <w:numId w:val="30"/>
        </w:numPr>
        <w:tabs>
          <w:tab w:val="clear" w:pos="720"/>
          <w:tab w:val="num" w:pos="360"/>
        </w:tabs>
        <w:ind w:left="360"/>
        <w:rPr>
          <w:szCs w:val="20"/>
        </w:rPr>
      </w:pPr>
      <w:r w:rsidRPr="00E25ECA">
        <w:rPr>
          <w:szCs w:val="20"/>
        </w:rPr>
        <w:t>Suisse </w:t>
      </w:r>
    </w:p>
    <w:p w14:paraId="12B478BE" w14:textId="77777777" w:rsidR="0044188B" w:rsidRPr="00E25ECA" w:rsidRDefault="0044188B" w:rsidP="0044188B">
      <w:pPr>
        <w:numPr>
          <w:ilvl w:val="0"/>
          <w:numId w:val="30"/>
        </w:numPr>
        <w:tabs>
          <w:tab w:val="clear" w:pos="720"/>
          <w:tab w:val="num" w:pos="360"/>
        </w:tabs>
        <w:ind w:left="360"/>
        <w:rPr>
          <w:szCs w:val="20"/>
        </w:rPr>
      </w:pPr>
      <w:r w:rsidRPr="00E25ECA">
        <w:rPr>
          <w:szCs w:val="20"/>
        </w:rPr>
        <w:t>Thaïlande </w:t>
      </w:r>
    </w:p>
    <w:p w14:paraId="3088BAC3" w14:textId="77777777" w:rsidR="0044188B" w:rsidRPr="00E25ECA" w:rsidRDefault="0044188B" w:rsidP="0044188B">
      <w:pPr>
        <w:numPr>
          <w:ilvl w:val="0"/>
          <w:numId w:val="30"/>
        </w:numPr>
        <w:tabs>
          <w:tab w:val="clear" w:pos="720"/>
          <w:tab w:val="num" w:pos="360"/>
        </w:tabs>
        <w:ind w:left="360"/>
        <w:rPr>
          <w:szCs w:val="20"/>
        </w:rPr>
      </w:pPr>
      <w:r w:rsidRPr="00E25ECA">
        <w:rPr>
          <w:szCs w:val="20"/>
        </w:rPr>
        <w:t>Vietnam </w:t>
      </w:r>
    </w:p>
    <w:p w14:paraId="087184FD" w14:textId="77777777" w:rsidR="0044188B" w:rsidRPr="00E25ECA" w:rsidRDefault="0044188B" w:rsidP="0044188B">
      <w:pPr>
        <w:numPr>
          <w:ilvl w:val="0"/>
          <w:numId w:val="30"/>
        </w:numPr>
        <w:tabs>
          <w:tab w:val="clear" w:pos="720"/>
          <w:tab w:val="num" w:pos="360"/>
        </w:tabs>
        <w:ind w:left="360"/>
        <w:rPr>
          <w:szCs w:val="20"/>
        </w:rPr>
      </w:pPr>
      <w:r w:rsidRPr="00E25ECA">
        <w:rPr>
          <w:szCs w:val="20"/>
        </w:rPr>
        <w:t>Hong Kong </w:t>
      </w:r>
    </w:p>
    <w:p w14:paraId="06078F97" w14:textId="77777777" w:rsidR="0044188B" w:rsidRPr="00E25ECA" w:rsidRDefault="0044188B" w:rsidP="0044188B">
      <w:pPr>
        <w:numPr>
          <w:ilvl w:val="0"/>
          <w:numId w:val="30"/>
        </w:numPr>
        <w:tabs>
          <w:tab w:val="clear" w:pos="720"/>
          <w:tab w:val="num" w:pos="360"/>
        </w:tabs>
        <w:ind w:left="360"/>
        <w:rPr>
          <w:szCs w:val="20"/>
        </w:rPr>
      </w:pPr>
      <w:r w:rsidRPr="00E25ECA">
        <w:rPr>
          <w:szCs w:val="20"/>
        </w:rPr>
        <w:t>Chili </w:t>
      </w:r>
    </w:p>
    <w:p w14:paraId="6B1C57BD" w14:textId="77777777" w:rsidR="0044188B" w:rsidRPr="00E25ECA" w:rsidRDefault="0044188B" w:rsidP="0044188B">
      <w:pPr>
        <w:numPr>
          <w:ilvl w:val="0"/>
          <w:numId w:val="30"/>
        </w:numPr>
        <w:tabs>
          <w:tab w:val="clear" w:pos="720"/>
          <w:tab w:val="num" w:pos="360"/>
        </w:tabs>
        <w:ind w:left="360"/>
        <w:rPr>
          <w:szCs w:val="20"/>
        </w:rPr>
      </w:pPr>
      <w:r w:rsidRPr="00E25ECA">
        <w:rPr>
          <w:szCs w:val="20"/>
        </w:rPr>
        <w:t>Panama </w:t>
      </w:r>
    </w:p>
    <w:p w14:paraId="395EDD3B" w14:textId="77777777" w:rsidR="0044188B" w:rsidRPr="00E25ECA" w:rsidRDefault="0044188B" w:rsidP="0044188B">
      <w:pPr>
        <w:numPr>
          <w:ilvl w:val="0"/>
          <w:numId w:val="30"/>
        </w:numPr>
        <w:tabs>
          <w:tab w:val="clear" w:pos="720"/>
          <w:tab w:val="num" w:pos="360"/>
        </w:tabs>
        <w:ind w:left="360"/>
        <w:rPr>
          <w:szCs w:val="20"/>
        </w:rPr>
      </w:pPr>
      <w:r w:rsidRPr="00E25ECA">
        <w:rPr>
          <w:szCs w:val="20"/>
        </w:rPr>
        <w:t>Turquie </w:t>
      </w:r>
    </w:p>
    <w:p w14:paraId="0759E5BF" w14:textId="77777777" w:rsidR="0044188B" w:rsidRPr="00E25ECA" w:rsidRDefault="0044188B" w:rsidP="0044188B">
      <w:pPr>
        <w:numPr>
          <w:ilvl w:val="0"/>
          <w:numId w:val="30"/>
        </w:numPr>
        <w:tabs>
          <w:tab w:val="clear" w:pos="720"/>
          <w:tab w:val="num" w:pos="360"/>
        </w:tabs>
        <w:ind w:left="360"/>
        <w:rPr>
          <w:szCs w:val="20"/>
        </w:rPr>
      </w:pPr>
      <w:r w:rsidRPr="00E25ECA">
        <w:rPr>
          <w:szCs w:val="20"/>
        </w:rPr>
        <w:t>Venezuela </w:t>
      </w:r>
    </w:p>
    <w:p w14:paraId="1ECF848A" w14:textId="77777777" w:rsidR="0044188B" w:rsidRPr="00E25ECA" w:rsidRDefault="0044188B" w:rsidP="0044188B">
      <w:pPr>
        <w:numPr>
          <w:ilvl w:val="0"/>
          <w:numId w:val="30"/>
        </w:numPr>
        <w:tabs>
          <w:tab w:val="clear" w:pos="720"/>
          <w:tab w:val="num" w:pos="360"/>
        </w:tabs>
        <w:ind w:left="360"/>
        <w:rPr>
          <w:szCs w:val="20"/>
        </w:rPr>
      </w:pPr>
      <w:r w:rsidRPr="00E25ECA">
        <w:rPr>
          <w:szCs w:val="20"/>
        </w:rPr>
        <w:t>Syrie </w:t>
      </w:r>
    </w:p>
    <w:p w14:paraId="1A1C65CC" w14:textId="77777777" w:rsidR="0044188B" w:rsidRPr="00E25ECA" w:rsidRDefault="0044188B" w:rsidP="0044188B">
      <w:pPr>
        <w:numPr>
          <w:ilvl w:val="0"/>
          <w:numId w:val="30"/>
        </w:numPr>
        <w:tabs>
          <w:tab w:val="clear" w:pos="720"/>
          <w:tab w:val="num" w:pos="360"/>
        </w:tabs>
        <w:ind w:left="360"/>
        <w:rPr>
          <w:szCs w:val="20"/>
        </w:rPr>
      </w:pPr>
      <w:r w:rsidRPr="00E25ECA">
        <w:rPr>
          <w:szCs w:val="20"/>
        </w:rPr>
        <w:t>Liban</w:t>
      </w:r>
    </w:p>
    <w:p w14:paraId="4E79F769" w14:textId="77777777" w:rsidR="0044188B" w:rsidRPr="00E25ECA" w:rsidRDefault="0044188B" w:rsidP="0044188B">
      <w:pPr>
        <w:rPr>
          <w:szCs w:val="20"/>
        </w:rPr>
      </w:pPr>
    </w:p>
    <w:p w14:paraId="381548BE" w14:textId="77777777" w:rsidR="0044188B" w:rsidRPr="00E25ECA" w:rsidRDefault="0044188B" w:rsidP="0044188B">
      <w:pPr>
        <w:rPr>
          <w:szCs w:val="20"/>
        </w:rPr>
      </w:pPr>
      <w:r w:rsidRPr="00E25ECA">
        <w:rPr>
          <w:szCs w:val="20"/>
        </w:rPr>
        <w:t xml:space="preserve">Les différentes législations et règlementations relatives aux dispositifs médicaux sont intégrées au management de la qualité afin de pouvoir répondre en permanence aux exigences règlementaires des pays dans lesquels les dispositifs sont commercialisés. </w:t>
      </w:r>
    </w:p>
    <w:p w14:paraId="23947372" w14:textId="77777777" w:rsidR="0044188B" w:rsidRPr="00E25ECA" w:rsidRDefault="0044188B" w:rsidP="0044188B">
      <w:pPr>
        <w:rPr>
          <w:szCs w:val="20"/>
        </w:rPr>
      </w:pPr>
    </w:p>
    <w:p w14:paraId="111DAEC3" w14:textId="77777777" w:rsidR="0044188B" w:rsidRPr="00E25ECA" w:rsidRDefault="0044188B" w:rsidP="0044188B">
      <w:pPr>
        <w:rPr>
          <w:szCs w:val="20"/>
        </w:rPr>
      </w:pPr>
      <w:r w:rsidRPr="00E25ECA">
        <w:rPr>
          <w:szCs w:val="20"/>
        </w:rPr>
        <w:t>Les législations et règlementations relatives aux dispositifs médicaux sont en perpétuelle évolution, l’objectif du renforcement du cadre règlementaire étant d’assurer la sécurité des patients. Afin de répondre en permanence à l’évolution des législations et règlementations, la Société a mis en place :</w:t>
      </w:r>
    </w:p>
    <w:p w14:paraId="3AC63A38" w14:textId="77777777" w:rsidR="0044188B" w:rsidRPr="00E25ECA" w:rsidRDefault="0044188B" w:rsidP="0044188B">
      <w:pPr>
        <w:numPr>
          <w:ilvl w:val="0"/>
          <w:numId w:val="29"/>
        </w:numPr>
        <w:tabs>
          <w:tab w:val="clear" w:pos="720"/>
          <w:tab w:val="num" w:pos="360"/>
        </w:tabs>
        <w:ind w:left="360"/>
        <w:rPr>
          <w:szCs w:val="20"/>
        </w:rPr>
      </w:pPr>
      <w:r w:rsidRPr="00E25ECA">
        <w:rPr>
          <w:szCs w:val="20"/>
        </w:rPr>
        <w:t>Un département qualité et affaires règlementaires avec 5 salariés ;</w:t>
      </w:r>
    </w:p>
    <w:p w14:paraId="61B445D7" w14:textId="77777777" w:rsidR="0044188B" w:rsidRPr="00E25ECA" w:rsidRDefault="0044188B" w:rsidP="0044188B">
      <w:pPr>
        <w:numPr>
          <w:ilvl w:val="0"/>
          <w:numId w:val="29"/>
        </w:numPr>
        <w:tabs>
          <w:tab w:val="clear" w:pos="720"/>
          <w:tab w:val="num" w:pos="360"/>
        </w:tabs>
        <w:ind w:left="360"/>
        <w:rPr>
          <w:szCs w:val="20"/>
        </w:rPr>
      </w:pPr>
      <w:r w:rsidRPr="00E25ECA">
        <w:rPr>
          <w:szCs w:val="20"/>
        </w:rPr>
        <w:t>Des procédures qui permettent d’assurer une veille constante des évolutions règlementaires et ainsi assurer la conformité réglementaire permanente de ses activités ;</w:t>
      </w:r>
    </w:p>
    <w:p w14:paraId="5BE83E97" w14:textId="77777777" w:rsidR="0044188B" w:rsidRPr="00E25ECA" w:rsidRDefault="0044188B" w:rsidP="0044188B">
      <w:pPr>
        <w:numPr>
          <w:ilvl w:val="0"/>
          <w:numId w:val="29"/>
        </w:numPr>
        <w:tabs>
          <w:tab w:val="clear" w:pos="720"/>
          <w:tab w:val="num" w:pos="360"/>
        </w:tabs>
        <w:ind w:left="360"/>
        <w:rPr>
          <w:szCs w:val="20"/>
        </w:rPr>
      </w:pPr>
      <w:r w:rsidRPr="00E25ECA">
        <w:rPr>
          <w:szCs w:val="20"/>
        </w:rPr>
        <w:t>Un système de vérification interne, grâce à des audits qui permettent de vérifier la bonne application des exigences règlementaires au sein de son organisation ;</w:t>
      </w:r>
    </w:p>
    <w:p w14:paraId="77B61FDD" w14:textId="77777777" w:rsidR="0044188B" w:rsidRPr="00E25ECA" w:rsidRDefault="0044188B" w:rsidP="0044188B">
      <w:pPr>
        <w:numPr>
          <w:ilvl w:val="0"/>
          <w:numId w:val="29"/>
        </w:numPr>
        <w:tabs>
          <w:tab w:val="clear" w:pos="720"/>
          <w:tab w:val="num" w:pos="360"/>
        </w:tabs>
        <w:ind w:left="360"/>
        <w:rPr>
          <w:szCs w:val="20"/>
        </w:rPr>
      </w:pPr>
      <w:r w:rsidRPr="00E25ECA">
        <w:rPr>
          <w:szCs w:val="20"/>
        </w:rPr>
        <w:t>Un réseau de partenaires spécialisés dans le domaine des dispositifs médicaux et des affaires règlementaires.</w:t>
      </w:r>
    </w:p>
    <w:p w14:paraId="20F1488A" w14:textId="77777777" w:rsidR="0044188B" w:rsidRPr="00E25ECA" w:rsidRDefault="0044188B" w:rsidP="0044188B">
      <w:pPr>
        <w:rPr>
          <w:szCs w:val="20"/>
        </w:rPr>
      </w:pPr>
    </w:p>
    <w:p w14:paraId="6378954C" w14:textId="77777777" w:rsidR="0044188B" w:rsidRPr="00C31726" w:rsidRDefault="0044188B" w:rsidP="0044188B">
      <w:pPr>
        <w:pStyle w:val="Paragraphedeliste"/>
        <w:numPr>
          <w:ilvl w:val="0"/>
          <w:numId w:val="38"/>
        </w:numPr>
        <w:rPr>
          <w:b/>
          <w:szCs w:val="20"/>
        </w:rPr>
      </w:pPr>
      <w:r w:rsidRPr="00C31726">
        <w:rPr>
          <w:b/>
          <w:szCs w:val="20"/>
        </w:rPr>
        <w:t>Obligations des fournisseurs en matière de réglementation</w:t>
      </w:r>
    </w:p>
    <w:p w14:paraId="2404632C" w14:textId="77777777" w:rsidR="0044188B" w:rsidRPr="00E25ECA" w:rsidRDefault="0044188B" w:rsidP="0044188B">
      <w:pPr>
        <w:rPr>
          <w:szCs w:val="20"/>
        </w:rPr>
      </w:pPr>
    </w:p>
    <w:p w14:paraId="575D4B4D" w14:textId="77777777" w:rsidR="0044188B" w:rsidRPr="00E25ECA" w:rsidRDefault="0044188B" w:rsidP="0044188B">
      <w:pPr>
        <w:rPr>
          <w:szCs w:val="20"/>
        </w:rPr>
      </w:pPr>
      <w:r w:rsidRPr="00E25ECA">
        <w:rPr>
          <w:szCs w:val="20"/>
        </w:rPr>
        <w:t>Le fabricant, responsable de la mise sur le marché des produits, a l’obligation réglementaire de contrôler ses sous-traitants.</w:t>
      </w:r>
    </w:p>
    <w:p w14:paraId="311EAB48" w14:textId="2EAC9AA0" w:rsidR="0044188B" w:rsidRPr="00E25ECA" w:rsidRDefault="0044188B" w:rsidP="0044188B">
      <w:pPr>
        <w:rPr>
          <w:szCs w:val="20"/>
        </w:rPr>
      </w:pPr>
      <w:r w:rsidRPr="00E25ECA">
        <w:rPr>
          <w:szCs w:val="20"/>
        </w:rPr>
        <w:t xml:space="preserve">Spineway requiert de ses sous-traitants d’implants le respect d’un cahier des charges précis, incluant l’obligation d’avoir un </w:t>
      </w:r>
      <w:r w:rsidR="00E513E0">
        <w:rPr>
          <w:szCs w:val="20"/>
        </w:rPr>
        <w:t>s</w:t>
      </w:r>
      <w:r w:rsidRPr="00E25ECA">
        <w:rPr>
          <w:szCs w:val="20"/>
        </w:rPr>
        <w:t xml:space="preserve">ystème de </w:t>
      </w:r>
      <w:r w:rsidR="00E513E0">
        <w:rPr>
          <w:szCs w:val="20"/>
        </w:rPr>
        <w:t>m</w:t>
      </w:r>
      <w:r w:rsidRPr="00E25ECA">
        <w:rPr>
          <w:szCs w:val="20"/>
        </w:rPr>
        <w:t xml:space="preserve">anagement de la </w:t>
      </w:r>
      <w:r w:rsidR="00E513E0">
        <w:rPr>
          <w:szCs w:val="20"/>
        </w:rPr>
        <w:t>q</w:t>
      </w:r>
      <w:r w:rsidR="00E513E0" w:rsidRPr="00E25ECA">
        <w:rPr>
          <w:szCs w:val="20"/>
        </w:rPr>
        <w:t xml:space="preserve">ualité </w:t>
      </w:r>
      <w:r w:rsidRPr="00E25ECA">
        <w:rPr>
          <w:szCs w:val="20"/>
        </w:rPr>
        <w:t>certifié et l’obligation d’avoir une assurance responsabilité civile professionnelle adaptée à l’activité.</w:t>
      </w:r>
    </w:p>
    <w:p w14:paraId="009DA8A0" w14:textId="77777777" w:rsidR="0044188B" w:rsidRPr="00E25ECA" w:rsidRDefault="0044188B" w:rsidP="0044188B">
      <w:pPr>
        <w:rPr>
          <w:szCs w:val="20"/>
        </w:rPr>
      </w:pPr>
      <w:r w:rsidRPr="00E25ECA">
        <w:rPr>
          <w:szCs w:val="20"/>
        </w:rPr>
        <w:t>Dans tous les cas, les sous-traitants attestent de la conformité des approvisionnements à la commande et aux spécifications.</w:t>
      </w:r>
    </w:p>
    <w:p w14:paraId="3B5AAFD5" w14:textId="77777777" w:rsidR="0044188B" w:rsidRPr="00E25ECA" w:rsidRDefault="0044188B" w:rsidP="0044188B">
      <w:pPr>
        <w:rPr>
          <w:szCs w:val="20"/>
        </w:rPr>
      </w:pPr>
      <w:r>
        <w:rPr>
          <w:szCs w:val="20"/>
        </w:rPr>
        <w:t>La Société a mis en place un programme d’audit de ses sous-traitants, afin de vérifier le respect de leurs engagements contractuels.</w:t>
      </w:r>
    </w:p>
    <w:p w14:paraId="21185094" w14:textId="77777777" w:rsidR="0044188B" w:rsidRPr="00A70D60" w:rsidRDefault="0044188B" w:rsidP="0044188B">
      <w:pPr>
        <w:jc w:val="left"/>
        <w:rPr>
          <w:b/>
        </w:rPr>
      </w:pPr>
    </w:p>
    <w:p w14:paraId="3CD806AC" w14:textId="6812F40F" w:rsidR="0044188B" w:rsidRDefault="0044188B" w:rsidP="0044188B">
      <w:pPr>
        <w:pStyle w:val="Titre2"/>
      </w:pPr>
      <w:bookmarkStart w:id="217" w:name="_Ref368214338"/>
      <w:bookmarkStart w:id="218" w:name="_Toc475033225"/>
      <w:r>
        <w:t>9.2</w:t>
      </w:r>
      <w:r w:rsidRPr="00A601E8">
        <w:t xml:space="preserve">. </w:t>
      </w:r>
      <w:r>
        <w:t>L’influence des politiques de remboursement des frais / dispositifs médicaux</w:t>
      </w:r>
      <w:bookmarkEnd w:id="217"/>
      <w:bookmarkEnd w:id="218"/>
    </w:p>
    <w:p w14:paraId="4684C435" w14:textId="77777777" w:rsidR="0044188B" w:rsidRDefault="0044188B" w:rsidP="0044188B"/>
    <w:p w14:paraId="6E680948" w14:textId="77777777" w:rsidR="0044188B" w:rsidRDefault="0044188B" w:rsidP="0044188B">
      <w:pPr>
        <w:rPr>
          <w:szCs w:val="20"/>
        </w:rPr>
      </w:pPr>
      <w:r w:rsidRPr="00E25ECA">
        <w:rPr>
          <w:szCs w:val="20"/>
        </w:rPr>
        <w:t xml:space="preserve">Les systèmes de remboursement et de paiement des soins médicaux varient sensiblement d’un pays à l’autre, avec néanmoins une tendance générale au contrôle des dépenses de santé, en constante augmentation. Les accords sur le remboursement doivent être obtenus pour chaque pays ou pour chaque région considérée. Les systèmes de remboursement sur ces marchés peuvent inclure des assurances privées ou publiques. </w:t>
      </w:r>
    </w:p>
    <w:p w14:paraId="2838FBCE" w14:textId="77777777" w:rsidR="0044188B" w:rsidRDefault="0044188B" w:rsidP="0044188B">
      <w:pPr>
        <w:rPr>
          <w:szCs w:val="20"/>
        </w:rPr>
      </w:pPr>
    </w:p>
    <w:p w14:paraId="2D20D000" w14:textId="77777777" w:rsidR="0044188B" w:rsidRDefault="0044188B" w:rsidP="0044188B">
      <w:r>
        <w:t>Les</w:t>
      </w:r>
      <w:r w:rsidRPr="00010E74">
        <w:t xml:space="preserve"> gouvernements et les autres tiers payeurs s’efforcent activement de contenir les coûts de santé en limitant à la fois la couverture et le taux de remboursement applicables aux nouveaux développements thérapeutiques. </w:t>
      </w:r>
    </w:p>
    <w:p w14:paraId="5ED85263" w14:textId="77777777" w:rsidR="0044188B" w:rsidRPr="006D3AE2" w:rsidRDefault="0044188B" w:rsidP="0044188B">
      <w:pPr>
        <w:rPr>
          <w:szCs w:val="20"/>
        </w:rPr>
      </w:pPr>
      <w:r>
        <w:t>Spineway</w:t>
      </w:r>
      <w:r w:rsidRPr="00010E74">
        <w:t xml:space="preserve"> anticipe une évolution croissante des propositions législatives </w:t>
      </w:r>
      <w:r>
        <w:t xml:space="preserve">ou réglementaires </w:t>
      </w:r>
      <w:r w:rsidRPr="00010E74">
        <w:t xml:space="preserve">destinées à </w:t>
      </w:r>
      <w:r>
        <w:t>formaliser ces politiques gouvernementales</w:t>
      </w:r>
      <w:r w:rsidRPr="00010E74">
        <w:t xml:space="preserve">. L’adoption de ces propositions ou de </w:t>
      </w:r>
      <w:r>
        <w:t xml:space="preserve">ces </w:t>
      </w:r>
      <w:r w:rsidRPr="00010E74">
        <w:t xml:space="preserve">réformes pourrait avoir un impact sur l’activité de </w:t>
      </w:r>
      <w:r>
        <w:t xml:space="preserve">Spineway. </w:t>
      </w:r>
      <w:r>
        <w:rPr>
          <w:szCs w:val="20"/>
        </w:rPr>
        <w:t xml:space="preserve">Toutefois, </w:t>
      </w:r>
      <w:r w:rsidRPr="006D3AE2">
        <w:rPr>
          <w:szCs w:val="20"/>
        </w:rPr>
        <w:t xml:space="preserve">Spineway </w:t>
      </w:r>
      <w:r>
        <w:rPr>
          <w:szCs w:val="20"/>
        </w:rPr>
        <w:t xml:space="preserve">profite parfois de telles situations pour </w:t>
      </w:r>
      <w:r w:rsidRPr="006D3AE2">
        <w:rPr>
          <w:szCs w:val="20"/>
        </w:rPr>
        <w:t>s’introduire sur des marchés o</w:t>
      </w:r>
      <w:r>
        <w:rPr>
          <w:szCs w:val="20"/>
        </w:rPr>
        <w:t>ù</w:t>
      </w:r>
      <w:r w:rsidRPr="006D3AE2">
        <w:rPr>
          <w:szCs w:val="20"/>
        </w:rPr>
        <w:t xml:space="preserve"> elle n’est pas présente (sauf en cas de baisse très importante des prix). En effet ces périodes sont souvent des périodes de réorganisation des marchés et des acteurs composant ce marché qui cherchent alors des produits de qualité à un prix abordable, offre à laquelle Spineway </w:t>
      </w:r>
      <w:r>
        <w:rPr>
          <w:szCs w:val="20"/>
        </w:rPr>
        <w:t xml:space="preserve">peut </w:t>
      </w:r>
      <w:r w:rsidRPr="006D3AE2">
        <w:rPr>
          <w:szCs w:val="20"/>
        </w:rPr>
        <w:t>répond</w:t>
      </w:r>
      <w:r>
        <w:rPr>
          <w:szCs w:val="20"/>
        </w:rPr>
        <w:t>re.</w:t>
      </w:r>
    </w:p>
    <w:p w14:paraId="2BDD7742" w14:textId="77777777" w:rsidR="0044188B" w:rsidRDefault="0044188B" w:rsidP="0044188B"/>
    <w:p w14:paraId="6A34E9E7" w14:textId="77777777" w:rsidR="0044188B" w:rsidRDefault="0044188B" w:rsidP="0044188B">
      <w:r w:rsidRPr="00010E74">
        <w:t xml:space="preserve">De plus, les gouvernements et les autres tiers payeurs interviennent </w:t>
      </w:r>
      <w:r>
        <w:t xml:space="preserve">de plus en plus fréquemment </w:t>
      </w:r>
      <w:r w:rsidRPr="00010E74">
        <w:t xml:space="preserve">auprès des entreprises du secteur médical et pharmaceutique </w:t>
      </w:r>
      <w:r>
        <w:t>sur la question de</w:t>
      </w:r>
      <w:r w:rsidRPr="00010E74">
        <w:t xml:space="preserve"> la détermination du prix des produits et des services médicaux. </w:t>
      </w:r>
    </w:p>
    <w:p w14:paraId="0AFE3556" w14:textId="77777777" w:rsidR="0044188B" w:rsidRDefault="0044188B" w:rsidP="0044188B">
      <w:pPr>
        <w:rPr>
          <w:szCs w:val="20"/>
        </w:rPr>
      </w:pPr>
    </w:p>
    <w:p w14:paraId="5550E5BB" w14:textId="77777777" w:rsidR="0044188B" w:rsidRDefault="0044188B" w:rsidP="0044188B">
      <w:pPr>
        <w:rPr>
          <w:szCs w:val="20"/>
        </w:rPr>
      </w:pPr>
      <w:r w:rsidRPr="00E25ECA">
        <w:rPr>
          <w:szCs w:val="20"/>
        </w:rPr>
        <w:t xml:space="preserve">La tarification, comme la rentabilité des produits et services médicaux peuvent faire l’objet de contrôles publics, et de nombreux pays ont d’ailleurs institué des plafonds de prise en charge pour des gammes de produits et des procédures spécifiques. : </w:t>
      </w:r>
    </w:p>
    <w:p w14:paraId="1B8A0756" w14:textId="77777777" w:rsidR="0044188B" w:rsidRPr="00E25ECA" w:rsidRDefault="0044188B" w:rsidP="0044188B">
      <w:pPr>
        <w:rPr>
          <w:szCs w:val="20"/>
        </w:rPr>
      </w:pPr>
    </w:p>
    <w:p w14:paraId="19481DE6" w14:textId="74FA88F2" w:rsidR="0044188B" w:rsidRPr="00E25ECA" w:rsidRDefault="0044188B" w:rsidP="0044188B">
      <w:pPr>
        <w:pStyle w:val="Paragraphedeliste"/>
        <w:numPr>
          <w:ilvl w:val="0"/>
          <w:numId w:val="31"/>
        </w:numPr>
        <w:rPr>
          <w:szCs w:val="20"/>
        </w:rPr>
      </w:pPr>
      <w:r w:rsidRPr="00E25ECA">
        <w:rPr>
          <w:szCs w:val="20"/>
        </w:rPr>
        <w:t>Asie : Taiwan, Corée du Sud, Thaïlande, Hong-Kong, Chine</w:t>
      </w:r>
      <w:r w:rsidR="00E513E0">
        <w:rPr>
          <w:szCs w:val="20"/>
        </w:rPr>
        <w:t> ;</w:t>
      </w:r>
    </w:p>
    <w:p w14:paraId="7EAFC81C" w14:textId="1FAE381E" w:rsidR="0044188B" w:rsidRPr="00E25ECA" w:rsidRDefault="0044188B" w:rsidP="0044188B">
      <w:pPr>
        <w:pStyle w:val="Paragraphedeliste"/>
        <w:numPr>
          <w:ilvl w:val="0"/>
          <w:numId w:val="31"/>
        </w:numPr>
        <w:rPr>
          <w:szCs w:val="20"/>
        </w:rPr>
      </w:pPr>
      <w:r w:rsidRPr="00E25ECA">
        <w:rPr>
          <w:szCs w:val="20"/>
        </w:rPr>
        <w:t>CE : tous les pays</w:t>
      </w:r>
      <w:r w:rsidR="00E513E0">
        <w:rPr>
          <w:szCs w:val="20"/>
        </w:rPr>
        <w:t> ;</w:t>
      </w:r>
    </w:p>
    <w:p w14:paraId="389CC5EB" w14:textId="2EB4A6A5" w:rsidR="0044188B" w:rsidRDefault="0044188B" w:rsidP="0044188B">
      <w:pPr>
        <w:pStyle w:val="Paragraphedeliste"/>
        <w:numPr>
          <w:ilvl w:val="0"/>
          <w:numId w:val="31"/>
        </w:numPr>
        <w:rPr>
          <w:szCs w:val="20"/>
        </w:rPr>
      </w:pPr>
      <w:r w:rsidRPr="00E25ECA">
        <w:rPr>
          <w:szCs w:val="20"/>
        </w:rPr>
        <w:t xml:space="preserve">Amérique </w:t>
      </w:r>
      <w:r w:rsidR="00E513E0">
        <w:rPr>
          <w:szCs w:val="20"/>
        </w:rPr>
        <w:t>l</w:t>
      </w:r>
      <w:r w:rsidR="00E513E0" w:rsidRPr="00E25ECA">
        <w:rPr>
          <w:szCs w:val="20"/>
        </w:rPr>
        <w:t>atine </w:t>
      </w:r>
      <w:r w:rsidRPr="00E25ECA">
        <w:rPr>
          <w:szCs w:val="20"/>
        </w:rPr>
        <w:t xml:space="preserve">: la majorité des pays </w:t>
      </w:r>
    </w:p>
    <w:p w14:paraId="51996226" w14:textId="77777777" w:rsidR="009107CD" w:rsidRDefault="009107CD">
      <w:pPr>
        <w:jc w:val="left"/>
        <w:rPr>
          <w:rFonts w:eastAsiaTheme="majorEastAsia" w:cstheme="majorBidi"/>
          <w:b/>
          <w:bCs/>
          <w:color w:val="345A8A" w:themeColor="accent1" w:themeShade="B5"/>
          <w:sz w:val="32"/>
          <w:szCs w:val="32"/>
        </w:rPr>
      </w:pPr>
      <w:r>
        <w:br w:type="page"/>
      </w:r>
    </w:p>
    <w:p w14:paraId="3FB8479C" w14:textId="74702DD3" w:rsidR="00CF0C5B" w:rsidRPr="00567243" w:rsidRDefault="00A247E0" w:rsidP="00FC0670">
      <w:pPr>
        <w:pStyle w:val="Titre1"/>
        <w:spacing w:before="0"/>
      </w:pPr>
      <w:bookmarkStart w:id="219" w:name="_Toc475033226"/>
      <w:r>
        <w:lastRenderedPageBreak/>
        <w:t>10</w:t>
      </w:r>
      <w:r w:rsidR="00EE50DB">
        <w:t>.</w:t>
      </w:r>
      <w:r w:rsidR="00CF0C5B" w:rsidRPr="000B02F0">
        <w:t xml:space="preserve"> </w:t>
      </w:r>
      <w:r w:rsidR="00DF57EB">
        <w:t xml:space="preserve">INFORMATIONS </w:t>
      </w:r>
      <w:r w:rsidR="0031149A">
        <w:t>SUR LES TENDANCES</w:t>
      </w:r>
      <w:bookmarkEnd w:id="219"/>
      <w:r w:rsidR="00CF0C5B" w:rsidRPr="000B02F0">
        <w:tab/>
      </w:r>
    </w:p>
    <w:p w14:paraId="04581CB3" w14:textId="77777777" w:rsidR="005B42F0" w:rsidRDefault="005B42F0" w:rsidP="009D5AD4">
      <w:pPr>
        <w:pStyle w:val="Titre2"/>
      </w:pPr>
      <w:bookmarkStart w:id="220" w:name="_Ref372814450"/>
    </w:p>
    <w:p w14:paraId="1B9FFE3F" w14:textId="793BA472" w:rsidR="00CF0C5B" w:rsidRDefault="00A247E0" w:rsidP="009D5AD4">
      <w:pPr>
        <w:pStyle w:val="Titre2"/>
      </w:pPr>
      <w:bookmarkStart w:id="221" w:name="_Toc475033227"/>
      <w:r>
        <w:t>10</w:t>
      </w:r>
      <w:r w:rsidR="00EE50DB">
        <w:t xml:space="preserve">.1 </w:t>
      </w:r>
      <w:r w:rsidR="00CF0C5B">
        <w:t xml:space="preserve">Principales tendances depuis la fin du dernier exercice clos le </w:t>
      </w:r>
      <w:r w:rsidR="009D5AD4">
        <w:t>31 décembre 20</w:t>
      </w:r>
      <w:bookmarkEnd w:id="220"/>
      <w:r w:rsidR="005F6C54">
        <w:t>20</w:t>
      </w:r>
      <w:bookmarkEnd w:id="221"/>
    </w:p>
    <w:p w14:paraId="69BC98B0" w14:textId="77777777" w:rsidR="00096B93" w:rsidRPr="00D00AC7" w:rsidRDefault="00096B93" w:rsidP="00AD4F0A"/>
    <w:p w14:paraId="5E220BC0" w14:textId="6369DC75" w:rsidR="00E8687C" w:rsidRPr="00D00AC7" w:rsidRDefault="00E8687C" w:rsidP="00AD4F0A">
      <w:pPr>
        <w:rPr>
          <w:b/>
        </w:rPr>
      </w:pPr>
      <w:r w:rsidRPr="00D00AC7">
        <w:rPr>
          <w:b/>
          <w:bCs/>
        </w:rPr>
        <w:t xml:space="preserve">Impacts du </w:t>
      </w:r>
      <w:r w:rsidR="00016D04" w:rsidRPr="00D00AC7">
        <w:rPr>
          <w:b/>
          <w:bCs/>
        </w:rPr>
        <w:t>C</w:t>
      </w:r>
      <w:r w:rsidR="00016D04">
        <w:rPr>
          <w:b/>
          <w:bCs/>
        </w:rPr>
        <w:t>ovid</w:t>
      </w:r>
      <w:r w:rsidRPr="00D00AC7">
        <w:rPr>
          <w:b/>
          <w:bCs/>
        </w:rPr>
        <w:t>-19</w:t>
      </w:r>
    </w:p>
    <w:p w14:paraId="49E945E3" w14:textId="77777777" w:rsidR="000D7065" w:rsidRPr="00D00AC7" w:rsidRDefault="000D7065" w:rsidP="00AD4F0A">
      <w:pPr>
        <w:rPr>
          <w:b/>
          <w:bCs/>
        </w:rPr>
      </w:pPr>
    </w:p>
    <w:p w14:paraId="6B421B27" w14:textId="6F3B7082" w:rsidR="00E8687C" w:rsidRPr="00D00AC7" w:rsidRDefault="000D7065" w:rsidP="00AD4F0A">
      <w:r w:rsidRPr="00D00AC7">
        <w:t xml:space="preserve">Les impacts du </w:t>
      </w:r>
      <w:r w:rsidR="00016D04">
        <w:t xml:space="preserve">Covid-19 </w:t>
      </w:r>
      <w:r w:rsidRPr="00D00AC7">
        <w:t xml:space="preserve">sur les activités de la Société sont présentés au paragraphe </w:t>
      </w:r>
      <w:r w:rsidR="00D00AC7">
        <w:t>« </w:t>
      </w:r>
      <w:r w:rsidR="00D00AC7">
        <w:fldChar w:fldCharType="begin"/>
      </w:r>
      <w:r w:rsidR="00D00AC7">
        <w:instrText xml:space="preserve"> REF _Ref474073637 \h </w:instrText>
      </w:r>
      <w:r w:rsidR="00D00AC7">
        <w:fldChar w:fldCharType="separate"/>
      </w:r>
      <w:r w:rsidR="003A0AD1">
        <w:t>7.1 Evènements récents</w:t>
      </w:r>
      <w:r w:rsidR="00D00AC7">
        <w:fldChar w:fldCharType="end"/>
      </w:r>
      <w:r w:rsidRPr="00D00AC7">
        <w:t>»</w:t>
      </w:r>
      <w:r w:rsidR="00D00AC7">
        <w:t> </w:t>
      </w:r>
      <w:r w:rsidR="00D00AC7">
        <w:rPr>
          <w:noProof/>
        </w:rPr>
        <w:t>du Document d’enregistrement universel</w:t>
      </w:r>
      <w:r w:rsidRPr="00D00AC7">
        <w:t>.</w:t>
      </w:r>
    </w:p>
    <w:p w14:paraId="5BB3967A" w14:textId="77777777" w:rsidR="000D7065" w:rsidRPr="00D00AC7" w:rsidRDefault="000D7065" w:rsidP="00AD4F0A"/>
    <w:p w14:paraId="2F0D319B" w14:textId="21D607D3" w:rsidR="006E6815" w:rsidRPr="00D00AC7" w:rsidRDefault="006E6815" w:rsidP="006E6815">
      <w:pPr>
        <w:rPr>
          <w:b/>
        </w:rPr>
      </w:pPr>
      <w:r w:rsidRPr="00D00AC7">
        <w:rPr>
          <w:b/>
        </w:rPr>
        <w:t>Financements Negma </w:t>
      </w:r>
      <w:r w:rsidR="00E513E0">
        <w:rPr>
          <w:b/>
        </w:rPr>
        <w:t>Group Ltd</w:t>
      </w:r>
      <w:r w:rsidRPr="00D00AC7">
        <w:rPr>
          <w:b/>
        </w:rPr>
        <w:t>: Nouvelle tranche de</w:t>
      </w:r>
      <w:r w:rsidR="004B1BB4" w:rsidRPr="00D00AC7">
        <w:rPr>
          <w:b/>
        </w:rPr>
        <w:t xml:space="preserve"> souscription et signature d’un</w:t>
      </w:r>
      <w:r w:rsidRPr="00D00AC7">
        <w:rPr>
          <w:b/>
        </w:rPr>
        <w:t xml:space="preserve"> avenant</w:t>
      </w:r>
    </w:p>
    <w:p w14:paraId="63326BB4" w14:textId="77777777" w:rsidR="006E6815" w:rsidRDefault="006E6815" w:rsidP="006E6815">
      <w:pPr>
        <w:rPr>
          <w:noProof/>
        </w:rPr>
      </w:pPr>
    </w:p>
    <w:p w14:paraId="2834E68B" w14:textId="2AF6F99A" w:rsidR="006E6815" w:rsidRPr="00FB72AA" w:rsidRDefault="006E6815" w:rsidP="006E6815">
      <w:pPr>
        <w:rPr>
          <w:noProof/>
        </w:rPr>
      </w:pPr>
      <w:r w:rsidRPr="00FB72AA">
        <w:rPr>
          <w:noProof/>
        </w:rPr>
        <w:t xml:space="preserve">Les financements garantis dans le cadre du contrat Negma </w:t>
      </w:r>
      <w:r w:rsidR="00E513E0">
        <w:rPr>
          <w:noProof/>
        </w:rPr>
        <w:t xml:space="preserve">Group Ltd </w:t>
      </w:r>
      <w:r w:rsidRPr="00FB72AA">
        <w:rPr>
          <w:noProof/>
        </w:rPr>
        <w:t>sont dédiés aux besoins de trésorerie liés à l’activité et à la croissance organique et sécurisent les besoins de trésorerie a minima de l’année 2021.</w:t>
      </w:r>
    </w:p>
    <w:p w14:paraId="107D372B" w14:textId="77777777" w:rsidR="006E6815" w:rsidRDefault="006E6815" w:rsidP="006E6815">
      <w:pPr>
        <w:rPr>
          <w:noProof/>
        </w:rPr>
      </w:pPr>
    </w:p>
    <w:p w14:paraId="7B5BD508" w14:textId="7966C9FF" w:rsidR="00B231D3" w:rsidRDefault="00EB633B" w:rsidP="006E6815">
      <w:pPr>
        <w:rPr>
          <w:noProof/>
        </w:rPr>
      </w:pPr>
      <w:r>
        <w:rPr>
          <w:noProof/>
        </w:rPr>
        <w:t>Trois</w:t>
      </w:r>
      <w:r w:rsidR="54FDD3F0" w:rsidRPr="54FDD3F0">
        <w:rPr>
          <w:noProof/>
        </w:rPr>
        <w:t xml:space="preserve"> nouvelles tranches de la phase 3 de ce financement décidé en décembre 2020 sont intervenues les 4</w:t>
      </w:r>
      <w:r>
        <w:rPr>
          <w:noProof/>
        </w:rPr>
        <w:t xml:space="preserve">, </w:t>
      </w:r>
      <w:r w:rsidR="54FDD3F0" w:rsidRPr="54FDD3F0">
        <w:rPr>
          <w:noProof/>
        </w:rPr>
        <w:t xml:space="preserve">19  janvier </w:t>
      </w:r>
      <w:r>
        <w:rPr>
          <w:noProof/>
        </w:rPr>
        <w:t xml:space="preserve">et 12 février </w:t>
      </w:r>
      <w:r w:rsidR="54FDD3F0" w:rsidRPr="54FDD3F0">
        <w:rPr>
          <w:noProof/>
        </w:rPr>
        <w:t>2021 pour respectivement</w:t>
      </w:r>
      <w:r w:rsidR="00B231D3">
        <w:rPr>
          <w:noProof/>
        </w:rPr>
        <w:t> :</w:t>
      </w:r>
    </w:p>
    <w:p w14:paraId="23A5D030" w14:textId="56581CAB" w:rsidR="00B231D3" w:rsidRDefault="54FDD3F0" w:rsidP="00C622C2">
      <w:pPr>
        <w:pStyle w:val="Paragraphedeliste"/>
        <w:numPr>
          <w:ilvl w:val="0"/>
          <w:numId w:val="5"/>
        </w:numPr>
        <w:rPr>
          <w:noProof/>
        </w:rPr>
      </w:pPr>
      <w:r w:rsidRPr="54FDD3F0">
        <w:rPr>
          <w:noProof/>
        </w:rPr>
        <w:t xml:space="preserve">400 bons d'émission donnant droit à 400 </w:t>
      </w:r>
      <w:r w:rsidR="00E513E0">
        <w:rPr>
          <w:noProof/>
        </w:rPr>
        <w:t>OC</w:t>
      </w:r>
      <w:r w:rsidRPr="54FDD3F0">
        <w:rPr>
          <w:noProof/>
        </w:rPr>
        <w:t xml:space="preserve"> d'une valeur nominale de 2.500 €, soit un montant total de 1.000 K€ d'emprunt obligataire</w:t>
      </w:r>
      <w:r w:rsidR="00B231D3">
        <w:rPr>
          <w:noProof/>
        </w:rPr>
        <w:t xml:space="preserve"> ; </w:t>
      </w:r>
      <w:r w:rsidRPr="54FDD3F0">
        <w:rPr>
          <w:noProof/>
        </w:rPr>
        <w:t>et</w:t>
      </w:r>
    </w:p>
    <w:p w14:paraId="59D1A1E4" w14:textId="7A2D0124" w:rsidR="00B231D3" w:rsidRDefault="54FDD3F0" w:rsidP="00C622C2">
      <w:pPr>
        <w:pStyle w:val="Paragraphedeliste"/>
        <w:numPr>
          <w:ilvl w:val="0"/>
          <w:numId w:val="5"/>
        </w:numPr>
        <w:rPr>
          <w:noProof/>
        </w:rPr>
      </w:pPr>
      <w:r w:rsidRPr="54FDD3F0">
        <w:rPr>
          <w:noProof/>
        </w:rPr>
        <w:t xml:space="preserve">600 </w:t>
      </w:r>
      <w:r w:rsidR="00E513E0">
        <w:rPr>
          <w:noProof/>
        </w:rPr>
        <w:t>OC</w:t>
      </w:r>
      <w:r w:rsidR="00B231D3">
        <w:rPr>
          <w:noProof/>
        </w:rPr>
        <w:t xml:space="preserve"> d’une valeur nominale de 2.50</w:t>
      </w:r>
      <w:r w:rsidRPr="54FDD3F0">
        <w:rPr>
          <w:noProof/>
        </w:rPr>
        <w:t>0 €, soit un montant total de 1</w:t>
      </w:r>
      <w:r w:rsidR="00B231D3">
        <w:rPr>
          <w:noProof/>
        </w:rPr>
        <w:t>.</w:t>
      </w:r>
      <w:r w:rsidRPr="54FDD3F0">
        <w:rPr>
          <w:noProof/>
        </w:rPr>
        <w:t>500 K€</w:t>
      </w:r>
      <w:r w:rsidR="005B42F0">
        <w:rPr>
          <w:noProof/>
        </w:rPr>
        <w:t> ;</w:t>
      </w:r>
    </w:p>
    <w:p w14:paraId="2B91ACDA" w14:textId="02410B3A" w:rsidR="005B42F0" w:rsidRDefault="005B42F0" w:rsidP="005B42F0">
      <w:pPr>
        <w:pStyle w:val="Paragraphedeliste"/>
        <w:numPr>
          <w:ilvl w:val="0"/>
          <w:numId w:val="5"/>
        </w:numPr>
        <w:rPr>
          <w:noProof/>
        </w:rPr>
      </w:pPr>
      <w:r>
        <w:rPr>
          <w:noProof/>
        </w:rPr>
        <w:t>400 OC d’une valeur nominale de 2.50</w:t>
      </w:r>
      <w:r w:rsidRPr="54FDD3F0">
        <w:rPr>
          <w:noProof/>
        </w:rPr>
        <w:t>0 €, soit un montant total de 1</w:t>
      </w:r>
      <w:r>
        <w:rPr>
          <w:noProof/>
        </w:rPr>
        <w:t>.0</w:t>
      </w:r>
      <w:r w:rsidRPr="54FDD3F0">
        <w:rPr>
          <w:noProof/>
        </w:rPr>
        <w:t>00 K€</w:t>
      </w:r>
      <w:r>
        <w:rPr>
          <w:noProof/>
        </w:rPr>
        <w:t>.</w:t>
      </w:r>
    </w:p>
    <w:p w14:paraId="5DB79542" w14:textId="77777777" w:rsidR="00B231D3" w:rsidRDefault="00B231D3" w:rsidP="00B231D3">
      <w:pPr>
        <w:rPr>
          <w:noProof/>
        </w:rPr>
      </w:pPr>
    </w:p>
    <w:p w14:paraId="2EBA29D7" w14:textId="7FF8FF24" w:rsidR="006E6815" w:rsidRPr="006E6815" w:rsidRDefault="00B231D3" w:rsidP="00B231D3">
      <w:pPr>
        <w:rPr>
          <w:noProof/>
        </w:rPr>
      </w:pPr>
      <w:r>
        <w:rPr>
          <w:noProof/>
        </w:rPr>
        <w:t xml:space="preserve">Ces </w:t>
      </w:r>
      <w:r w:rsidR="54FDD3F0" w:rsidRPr="54FDD3F0">
        <w:rPr>
          <w:noProof/>
        </w:rPr>
        <w:t xml:space="preserve">montants </w:t>
      </w:r>
      <w:r w:rsidR="006720B5">
        <w:rPr>
          <w:noProof/>
        </w:rPr>
        <w:t>s</w:t>
      </w:r>
      <w:r>
        <w:rPr>
          <w:noProof/>
        </w:rPr>
        <w:t xml:space="preserve">ont </w:t>
      </w:r>
      <w:r w:rsidR="54FDD3F0" w:rsidRPr="54FDD3F0">
        <w:rPr>
          <w:noProof/>
        </w:rPr>
        <w:t xml:space="preserve">entièrement apportés en trésorerie pour un total de </w:t>
      </w:r>
      <w:r w:rsidR="005B42F0">
        <w:rPr>
          <w:noProof/>
        </w:rPr>
        <w:t>3</w:t>
      </w:r>
      <w:r w:rsidR="54FDD3F0" w:rsidRPr="54FDD3F0">
        <w:rPr>
          <w:noProof/>
        </w:rPr>
        <w:t>.500 K€</w:t>
      </w:r>
      <w:r w:rsidR="54FDD3F0" w:rsidRPr="00B231D3">
        <w:rPr>
          <w:rFonts w:ascii="Segoe UI" w:eastAsia="Times New Roman" w:hAnsi="Segoe UI" w:cs="Segoe UI"/>
        </w:rPr>
        <w:t xml:space="preserve"> et </w:t>
      </w:r>
      <w:r w:rsidR="005B42F0">
        <w:rPr>
          <w:rFonts w:ascii="Segoe UI" w:eastAsia="Times New Roman" w:hAnsi="Segoe UI" w:cs="Segoe UI"/>
        </w:rPr>
        <w:t xml:space="preserve">entièrement </w:t>
      </w:r>
      <w:r w:rsidR="54FDD3F0" w:rsidRPr="54FDD3F0">
        <w:rPr>
          <w:noProof/>
        </w:rPr>
        <w:t>convertis</w:t>
      </w:r>
      <w:r w:rsidR="005B42F0">
        <w:rPr>
          <w:noProof/>
        </w:rPr>
        <w:t>.</w:t>
      </w:r>
    </w:p>
    <w:p w14:paraId="44FDFD2B" w14:textId="77777777" w:rsidR="006E6815" w:rsidRPr="007B5764" w:rsidRDefault="006E6815" w:rsidP="006E6815">
      <w:pPr>
        <w:rPr>
          <w:noProof/>
        </w:rPr>
      </w:pPr>
    </w:p>
    <w:p w14:paraId="5F12FB4A" w14:textId="795BEA36" w:rsidR="006E6815" w:rsidRPr="00A64C93" w:rsidRDefault="006E6815" w:rsidP="005B42F0">
      <w:pPr>
        <w:rPr>
          <w:rFonts w:eastAsiaTheme="majorEastAsia" w:cstheme="majorBidi"/>
          <w:b/>
          <w:bCs/>
          <w:color w:val="4F81BD" w:themeColor="accent1"/>
        </w:rPr>
      </w:pPr>
      <w:r w:rsidRPr="006E6815">
        <w:rPr>
          <w:noProof/>
        </w:rPr>
        <w:t>Cf. paragraphe « </w:t>
      </w:r>
      <w:r w:rsidR="001B488F">
        <w:rPr>
          <w:noProof/>
        </w:rPr>
        <w:fldChar w:fldCharType="begin"/>
      </w:r>
      <w:r w:rsidR="001B488F">
        <w:rPr>
          <w:noProof/>
        </w:rPr>
        <w:instrText xml:space="preserve"> REF _Ref370385719 \h </w:instrText>
      </w:r>
      <w:r w:rsidR="001B488F">
        <w:rPr>
          <w:noProof/>
        </w:rPr>
      </w:r>
      <w:r w:rsidR="001B488F">
        <w:rPr>
          <w:noProof/>
        </w:rPr>
        <w:fldChar w:fldCharType="separate"/>
      </w:r>
      <w:r w:rsidR="003A0AD1">
        <w:t xml:space="preserve">8.1 </w:t>
      </w:r>
      <w:r w:rsidR="003A0AD1" w:rsidRPr="00050AF3">
        <w:t>Informations sur les capitaux, liquidités et sources de financement du Groupe</w:t>
      </w:r>
      <w:r w:rsidR="001B488F">
        <w:rPr>
          <w:noProof/>
        </w:rPr>
        <w:fldChar w:fldCharType="end"/>
      </w:r>
      <w:r w:rsidR="001B488F" w:rsidRPr="006E6815" w:rsidDel="001B488F">
        <w:rPr>
          <w:noProof/>
        </w:rPr>
        <w:t xml:space="preserve"> </w:t>
      </w:r>
      <w:r w:rsidRPr="006E6815">
        <w:rPr>
          <w:noProof/>
        </w:rPr>
        <w:t>» du Document d’enregistrement universel.</w:t>
      </w:r>
    </w:p>
    <w:p w14:paraId="763F1E72" w14:textId="77777777" w:rsidR="006E6815" w:rsidRPr="006E6815" w:rsidRDefault="006E6815" w:rsidP="006E6815">
      <w:pPr>
        <w:rPr>
          <w:noProof/>
        </w:rPr>
      </w:pPr>
    </w:p>
    <w:p w14:paraId="3034B1BE" w14:textId="528BAB29" w:rsidR="00A64C93" w:rsidRDefault="54FDD3F0" w:rsidP="006E6815">
      <w:pPr>
        <w:rPr>
          <w:noProof/>
        </w:rPr>
      </w:pPr>
      <w:r w:rsidRPr="54FDD3F0">
        <w:rPr>
          <w:noProof/>
        </w:rPr>
        <w:t xml:space="preserve">En date du 6 janvier 2021, deux documents ont été signés concernant le contrat avec Negma </w:t>
      </w:r>
      <w:r w:rsidR="00E513E0">
        <w:rPr>
          <w:noProof/>
        </w:rPr>
        <w:t xml:space="preserve">Group Ltd </w:t>
      </w:r>
      <w:r w:rsidRPr="54FDD3F0">
        <w:rPr>
          <w:noProof/>
        </w:rPr>
        <w:t xml:space="preserve">: </w:t>
      </w:r>
    </w:p>
    <w:p w14:paraId="0A0D3C1F" w14:textId="26E923AC" w:rsidR="00A64C93" w:rsidRDefault="54FDD3F0" w:rsidP="00C622C2">
      <w:pPr>
        <w:pStyle w:val="Paragraphedeliste"/>
        <w:numPr>
          <w:ilvl w:val="0"/>
          <w:numId w:val="5"/>
        </w:numPr>
        <w:rPr>
          <w:noProof/>
        </w:rPr>
      </w:pPr>
      <w:r w:rsidRPr="54FDD3F0">
        <w:rPr>
          <w:noProof/>
        </w:rPr>
        <w:t>un cont</w:t>
      </w:r>
      <w:r w:rsidR="00A64C93">
        <w:rPr>
          <w:noProof/>
        </w:rPr>
        <w:t>rat</w:t>
      </w:r>
      <w:r w:rsidRPr="54FDD3F0">
        <w:rPr>
          <w:noProof/>
        </w:rPr>
        <w:t xml:space="preserve"> de cession rétrocédant 340</w:t>
      </w:r>
      <w:r w:rsidR="00A64C93">
        <w:rPr>
          <w:noProof/>
        </w:rPr>
        <w:t>.</w:t>
      </w:r>
      <w:r w:rsidRPr="54FDD3F0">
        <w:rPr>
          <w:noProof/>
        </w:rPr>
        <w:t>113</w:t>
      </w:r>
      <w:r w:rsidR="00A64C93">
        <w:rPr>
          <w:noProof/>
        </w:rPr>
        <w:t>.</w:t>
      </w:r>
      <w:r w:rsidRPr="54FDD3F0">
        <w:rPr>
          <w:noProof/>
        </w:rPr>
        <w:t>815 BSA à Spineway</w:t>
      </w:r>
      <w:r w:rsidR="00A64C93">
        <w:rPr>
          <w:noProof/>
        </w:rPr>
        <w:t> ; et,</w:t>
      </w:r>
    </w:p>
    <w:p w14:paraId="6E7FF013" w14:textId="2B284A59" w:rsidR="006E6815" w:rsidRDefault="54FDD3F0" w:rsidP="00C622C2">
      <w:pPr>
        <w:pStyle w:val="Paragraphedeliste"/>
        <w:numPr>
          <w:ilvl w:val="0"/>
          <w:numId w:val="5"/>
        </w:numPr>
        <w:rPr>
          <w:noProof/>
        </w:rPr>
      </w:pPr>
      <w:r w:rsidRPr="54FDD3F0">
        <w:rPr>
          <w:noProof/>
        </w:rPr>
        <w:t>un avenant au contrat principal diminuant la couverture des BSA à 20% (versus 30% auparavant).</w:t>
      </w:r>
    </w:p>
    <w:p w14:paraId="590A4F61" w14:textId="77777777" w:rsidR="00A64C93" w:rsidRDefault="00A64C93" w:rsidP="006E6815">
      <w:pPr>
        <w:rPr>
          <w:noProof/>
        </w:rPr>
      </w:pPr>
    </w:p>
    <w:p w14:paraId="6B6E80D6" w14:textId="2E0826AC" w:rsidR="001B5100" w:rsidRPr="00515D2E" w:rsidRDefault="006E6815" w:rsidP="006E6815">
      <w:pPr>
        <w:rPr>
          <w:noProof/>
        </w:rPr>
      </w:pPr>
      <w:r>
        <w:rPr>
          <w:noProof/>
        </w:rPr>
        <w:t>Cf. Paragraphes « </w:t>
      </w:r>
      <w:r>
        <w:rPr>
          <w:noProof/>
        </w:rPr>
        <w:fldChar w:fldCharType="begin"/>
      </w:r>
      <w:r>
        <w:rPr>
          <w:noProof/>
        </w:rPr>
        <w:instrText xml:space="preserve"> REF _Ref472323869 \h </w:instrText>
      </w:r>
      <w:r>
        <w:rPr>
          <w:noProof/>
        </w:rPr>
      </w:r>
      <w:r>
        <w:rPr>
          <w:noProof/>
        </w:rPr>
        <w:fldChar w:fldCharType="separate"/>
      </w:r>
      <w:r w:rsidR="003A0AD1" w:rsidRPr="0067311E">
        <w:t>2</w:t>
      </w:r>
      <w:r w:rsidR="003A0AD1">
        <w:t>0</w:t>
      </w:r>
      <w:r w:rsidR="003A0AD1" w:rsidRPr="0067311E">
        <w:t>.</w:t>
      </w:r>
      <w:r w:rsidR="003A0AD1">
        <w:t>1</w:t>
      </w:r>
      <w:r w:rsidR="003A0AD1" w:rsidRPr="0067311E">
        <w:t xml:space="preserve"> Contrat </w:t>
      </w:r>
      <w:r w:rsidR="003A0AD1">
        <w:t xml:space="preserve">de financement signé le 18 octobre 2019 avec Negma Group Ltd </w:t>
      </w:r>
      <w:r w:rsidR="003A0AD1" w:rsidRPr="0067311E">
        <w:t>(« </w:t>
      </w:r>
      <w:r w:rsidR="003A0AD1">
        <w:t xml:space="preserve">OCABSA Negma </w:t>
      </w:r>
      <w:r w:rsidR="003A0AD1" w:rsidRPr="0067311E">
        <w:t>»)</w:t>
      </w:r>
      <w:r>
        <w:rPr>
          <w:noProof/>
        </w:rPr>
        <w:fldChar w:fldCharType="end"/>
      </w:r>
      <w:r>
        <w:rPr>
          <w:noProof/>
        </w:rPr>
        <w:t> » et « </w:t>
      </w:r>
      <w:r>
        <w:rPr>
          <w:noProof/>
        </w:rPr>
        <w:fldChar w:fldCharType="begin"/>
      </w:r>
      <w:r>
        <w:rPr>
          <w:noProof/>
        </w:rPr>
        <w:instrText xml:space="preserve"> REF _Ref472323874 \h </w:instrText>
      </w:r>
      <w:r>
        <w:rPr>
          <w:noProof/>
        </w:rPr>
      </w:r>
      <w:r>
        <w:rPr>
          <w:noProof/>
        </w:rPr>
        <w:fldChar w:fldCharType="separate"/>
      </w:r>
      <w:r w:rsidR="003A0AD1">
        <w:t>19</w:t>
      </w:r>
      <w:r w:rsidR="003A0AD1" w:rsidRPr="00782B86">
        <w:t xml:space="preserve">.1.4.1 </w:t>
      </w:r>
      <w:r w:rsidR="003A0AD1">
        <w:t>Les OCABSA Negma Group Ltd (ci-après « OCABSA Negma »)</w:t>
      </w:r>
      <w:r>
        <w:rPr>
          <w:noProof/>
        </w:rPr>
        <w:fldChar w:fldCharType="end"/>
      </w:r>
      <w:r>
        <w:rPr>
          <w:noProof/>
        </w:rPr>
        <w:t> » du Document d’enregistrement universel.</w:t>
      </w:r>
    </w:p>
    <w:p w14:paraId="58647D2A" w14:textId="77777777" w:rsidR="006E6815" w:rsidRDefault="006E6815" w:rsidP="001B5100">
      <w:pPr>
        <w:rPr>
          <w:color w:val="FF0000"/>
          <w:szCs w:val="20"/>
        </w:rPr>
      </w:pPr>
    </w:p>
    <w:p w14:paraId="2D5EA8BB" w14:textId="3B07D0B7" w:rsidR="006E6815" w:rsidRDefault="01257A3D" w:rsidP="00A64C93">
      <w:pPr>
        <w:rPr>
          <w:b/>
        </w:rPr>
      </w:pPr>
      <w:r w:rsidRPr="00A64C93">
        <w:rPr>
          <w:b/>
        </w:rPr>
        <w:t xml:space="preserve">Plan stratégique 2019-2022 : </w:t>
      </w:r>
    </w:p>
    <w:p w14:paraId="276992CE" w14:textId="77777777" w:rsidR="00A64C93" w:rsidRPr="00A64C93" w:rsidRDefault="00A64C93" w:rsidP="00A64C93">
      <w:pPr>
        <w:rPr>
          <w:b/>
        </w:rPr>
      </w:pPr>
    </w:p>
    <w:p w14:paraId="7DF79D09" w14:textId="47FC5CE0" w:rsidR="008D7AE5" w:rsidRPr="00A64C93" w:rsidRDefault="54FDD3F0" w:rsidP="00A64C93">
      <w:pPr>
        <w:spacing w:line="259" w:lineRule="auto"/>
        <w:rPr>
          <w:rFonts w:ascii="Calibri" w:eastAsia="Calibri" w:hAnsi="Calibri" w:cs="Calibri"/>
          <w:szCs w:val="20"/>
        </w:rPr>
      </w:pPr>
      <w:r w:rsidRPr="00A64C93">
        <w:t>Spineway poursuit la mise en œuvre de son plan de retournement initié en 2019 et de sa stratégie reposant sur 4 piliers fondateurs :</w:t>
      </w:r>
    </w:p>
    <w:p w14:paraId="5EFDEDD6" w14:textId="34FAB80A" w:rsidR="54FDD3F0" w:rsidRPr="00A64C93" w:rsidRDefault="54FDD3F0" w:rsidP="00C622C2">
      <w:pPr>
        <w:pStyle w:val="Paragraphedeliste"/>
        <w:numPr>
          <w:ilvl w:val="0"/>
          <w:numId w:val="81"/>
        </w:numPr>
        <w:spacing w:line="259" w:lineRule="auto"/>
        <w:ind w:left="709" w:hanging="425"/>
        <w:rPr>
          <w:rFonts w:eastAsiaTheme="majorEastAsia" w:cstheme="majorBidi"/>
          <w:szCs w:val="20"/>
        </w:rPr>
      </w:pPr>
      <w:r w:rsidRPr="00A64C93">
        <w:t>Business et croissance organique rentable</w:t>
      </w:r>
      <w:r w:rsidR="00A64C93">
        <w:t> ;</w:t>
      </w:r>
    </w:p>
    <w:p w14:paraId="4C3CFD3C" w14:textId="60C86611" w:rsidR="54FDD3F0" w:rsidRPr="00A64C93" w:rsidRDefault="54FDD3F0" w:rsidP="00C622C2">
      <w:pPr>
        <w:pStyle w:val="Paragraphedeliste"/>
        <w:numPr>
          <w:ilvl w:val="0"/>
          <w:numId w:val="81"/>
        </w:numPr>
        <w:spacing w:line="259" w:lineRule="auto"/>
        <w:ind w:left="709" w:hanging="425"/>
        <w:rPr>
          <w:szCs w:val="20"/>
        </w:rPr>
      </w:pPr>
      <w:r w:rsidRPr="00A64C93">
        <w:t>Client avec un partenariat client renforcé</w:t>
      </w:r>
      <w:r w:rsidR="00A64C93">
        <w:t> ;</w:t>
      </w:r>
    </w:p>
    <w:p w14:paraId="153639DA" w14:textId="47C23D56" w:rsidR="54FDD3F0" w:rsidRPr="00A64C93" w:rsidRDefault="54FDD3F0" w:rsidP="00C622C2">
      <w:pPr>
        <w:pStyle w:val="Paragraphedeliste"/>
        <w:numPr>
          <w:ilvl w:val="0"/>
          <w:numId w:val="81"/>
        </w:numPr>
        <w:spacing w:line="259" w:lineRule="auto"/>
        <w:ind w:left="709" w:hanging="425"/>
        <w:rPr>
          <w:szCs w:val="20"/>
        </w:rPr>
      </w:pPr>
      <w:r w:rsidRPr="00A64C93">
        <w:t>Produits en poursuivant les gains d’efficience et en sécurisant les besoins réglementaires</w:t>
      </w:r>
      <w:r w:rsidR="00A64C93">
        <w:t> ;</w:t>
      </w:r>
    </w:p>
    <w:p w14:paraId="479CF222" w14:textId="04E354C0" w:rsidR="54FDD3F0" w:rsidRPr="00A64C93" w:rsidRDefault="54FDD3F0" w:rsidP="00C622C2">
      <w:pPr>
        <w:pStyle w:val="Paragraphedeliste"/>
        <w:numPr>
          <w:ilvl w:val="0"/>
          <w:numId w:val="81"/>
        </w:numPr>
        <w:spacing w:line="259" w:lineRule="auto"/>
        <w:ind w:left="709" w:hanging="425"/>
        <w:rPr>
          <w:szCs w:val="20"/>
        </w:rPr>
      </w:pPr>
      <w:r w:rsidRPr="00A64C93">
        <w:t>Organisation de manière à garantir les moyens financiers et à chercher des leviers de croissance tout en adaptant l’organisati</w:t>
      </w:r>
      <w:r w:rsidR="00A64C93">
        <w:t>on.</w:t>
      </w:r>
    </w:p>
    <w:p w14:paraId="165C9413" w14:textId="1083D575" w:rsidR="008D7AE5" w:rsidRPr="00A64C93" w:rsidRDefault="00D00AC7" w:rsidP="54FDD3F0">
      <w:pPr>
        <w:autoSpaceDE w:val="0"/>
        <w:autoSpaceDN w:val="0"/>
        <w:spacing w:line="276" w:lineRule="auto"/>
        <w:rPr>
          <w:rFonts w:ascii="Arial" w:hAnsi="Arial" w:cs="Arial"/>
          <w:sz w:val="18"/>
          <w:szCs w:val="18"/>
          <w:highlight w:val="cyan"/>
        </w:rPr>
      </w:pPr>
      <w:r>
        <w:rPr>
          <w:noProof/>
        </w:rPr>
        <w:t>Cf. paragraphe « </w:t>
      </w:r>
      <w:r>
        <w:rPr>
          <w:noProof/>
        </w:rPr>
        <w:fldChar w:fldCharType="begin"/>
      </w:r>
      <w:r>
        <w:rPr>
          <w:noProof/>
        </w:rPr>
        <w:instrText xml:space="preserve"> REF _Ref474073722 \h </w:instrText>
      </w:r>
      <w:r>
        <w:rPr>
          <w:noProof/>
        </w:rPr>
      </w:r>
      <w:r>
        <w:rPr>
          <w:noProof/>
        </w:rPr>
        <w:fldChar w:fldCharType="separate"/>
      </w:r>
      <w:r w:rsidR="003A0AD1">
        <w:t>5.4. La stratégie de développement de Spineway</w:t>
      </w:r>
      <w:r>
        <w:rPr>
          <w:noProof/>
        </w:rPr>
        <w:fldChar w:fldCharType="end"/>
      </w:r>
      <w:r>
        <w:rPr>
          <w:noProof/>
        </w:rPr>
        <w:t> » du Document d’enregistrement universel.</w:t>
      </w:r>
    </w:p>
    <w:p w14:paraId="0CBA1C61" w14:textId="78EDFF1D" w:rsidR="54FDD3F0" w:rsidRDefault="54FDD3F0" w:rsidP="00A64C93">
      <w:r w:rsidRPr="00A64C93">
        <w:t xml:space="preserve">La </w:t>
      </w:r>
      <w:r w:rsidR="00A64C93">
        <w:t>S</w:t>
      </w:r>
      <w:r w:rsidRPr="00A64C93">
        <w:t xml:space="preserve">ociété </w:t>
      </w:r>
      <w:r w:rsidR="00A64C93">
        <w:t>poursuit</w:t>
      </w:r>
      <w:r w:rsidRPr="00A64C93">
        <w:t xml:space="preserve"> ses investissements et l’accompagnement de ses équipes sur la gestion des projets afin de pouvoir accélé</w:t>
      </w:r>
      <w:r w:rsidR="00A64C93">
        <w:t xml:space="preserve">rer la transformation des </w:t>
      </w:r>
      <w:r w:rsidRPr="00A64C93">
        <w:t>projets d’innovation et développement.</w:t>
      </w:r>
    </w:p>
    <w:p w14:paraId="3663D283" w14:textId="77777777" w:rsidR="00A64C93" w:rsidRPr="00A64C93" w:rsidRDefault="00A64C93" w:rsidP="00A64C93"/>
    <w:p w14:paraId="1598ADDC" w14:textId="52FD3474" w:rsidR="001B5100" w:rsidRDefault="001B5100" w:rsidP="001B5100">
      <w:pPr>
        <w:rPr>
          <w:b/>
        </w:rPr>
      </w:pPr>
      <w:r>
        <w:rPr>
          <w:b/>
        </w:rPr>
        <w:t xml:space="preserve">Développement commercial / géographique </w:t>
      </w:r>
      <w:r w:rsidRPr="00A64C93">
        <w:rPr>
          <w:b/>
        </w:rPr>
        <w:t xml:space="preserve">: </w:t>
      </w:r>
    </w:p>
    <w:p w14:paraId="386DB53F" w14:textId="77777777" w:rsidR="001B5100" w:rsidRDefault="001B5100" w:rsidP="001B5100">
      <w:pPr>
        <w:autoSpaceDE w:val="0"/>
        <w:autoSpaceDN w:val="0"/>
        <w:spacing w:line="276" w:lineRule="auto"/>
        <w:rPr>
          <w:noProof/>
        </w:rPr>
      </w:pPr>
    </w:p>
    <w:p w14:paraId="14BE7065" w14:textId="78EB2FEB" w:rsidR="001B5100" w:rsidRPr="001B5100" w:rsidRDefault="001B5100" w:rsidP="001B5100">
      <w:pPr>
        <w:autoSpaceDE w:val="0"/>
        <w:autoSpaceDN w:val="0"/>
        <w:spacing w:line="276" w:lineRule="auto"/>
        <w:rPr>
          <w:noProof/>
        </w:rPr>
      </w:pPr>
      <w:r w:rsidRPr="001B5100">
        <w:rPr>
          <w:noProof/>
        </w:rPr>
        <w:t>Spineway </w:t>
      </w:r>
      <w:r>
        <w:rPr>
          <w:noProof/>
        </w:rPr>
        <w:t xml:space="preserve">a signé, en février 2020, un </w:t>
      </w:r>
      <w:r w:rsidRPr="00116DF9">
        <w:rPr>
          <w:noProof/>
        </w:rPr>
        <w:t>accord de distribution national au sein des principaux centres de santé en Malaisie</w:t>
      </w:r>
      <w:r w:rsidRPr="001B5100">
        <w:rPr>
          <w:noProof/>
        </w:rPr>
        <w:t xml:space="preserve"> </w:t>
      </w:r>
      <w:r>
        <w:rPr>
          <w:noProof/>
        </w:rPr>
        <w:t xml:space="preserve">et </w:t>
      </w:r>
      <w:r w:rsidRPr="001B5100">
        <w:rPr>
          <w:noProof/>
        </w:rPr>
        <w:t xml:space="preserve">continue </w:t>
      </w:r>
      <w:r>
        <w:rPr>
          <w:noProof/>
        </w:rPr>
        <w:t xml:space="preserve">ainsi </w:t>
      </w:r>
      <w:r w:rsidRPr="001B5100">
        <w:rPr>
          <w:noProof/>
        </w:rPr>
        <w:t>de développer son savoir-faire sur le continent asiatique.</w:t>
      </w:r>
    </w:p>
    <w:p w14:paraId="2132FFE3" w14:textId="77777777" w:rsidR="001B488F" w:rsidRDefault="001B488F">
      <w:pPr>
        <w:jc w:val="left"/>
        <w:rPr>
          <w:rFonts w:eastAsiaTheme="majorEastAsia" w:cstheme="majorBidi"/>
          <w:b/>
          <w:bCs/>
          <w:smallCaps/>
          <w:color w:val="4F81BD" w:themeColor="accent1"/>
          <w:sz w:val="26"/>
          <w:szCs w:val="26"/>
        </w:rPr>
      </w:pPr>
      <w:r>
        <w:br w:type="page"/>
      </w:r>
    </w:p>
    <w:p w14:paraId="2DF92A7C" w14:textId="3F93B928" w:rsidR="00CF0C5B" w:rsidRDefault="00EE50DB" w:rsidP="00AD4F0A">
      <w:pPr>
        <w:pStyle w:val="Titre2"/>
      </w:pPr>
      <w:bookmarkStart w:id="222" w:name="_Toc475033228"/>
      <w:r>
        <w:lastRenderedPageBreak/>
        <w:t>1</w:t>
      </w:r>
      <w:r w:rsidR="00A247E0">
        <w:t>0</w:t>
      </w:r>
      <w:r>
        <w:t xml:space="preserve">.2 </w:t>
      </w:r>
      <w:r w:rsidR="00CF0C5B">
        <w:t>Tendance connue, incertitude, demande d’engagement, ou événement raisonnablement susceptible d’influer sur les perspectives de la Société</w:t>
      </w:r>
      <w:bookmarkEnd w:id="222"/>
      <w:r w:rsidR="00CF0C5B">
        <w:t xml:space="preserve"> </w:t>
      </w:r>
    </w:p>
    <w:p w14:paraId="38C36BE9" w14:textId="77777777" w:rsidR="004D14C2" w:rsidRPr="00CA4377" w:rsidRDefault="004D14C2" w:rsidP="00C6149B">
      <w:pPr>
        <w:tabs>
          <w:tab w:val="right" w:leader="dot" w:pos="8505"/>
        </w:tabs>
        <w:ind w:right="844"/>
        <w:rPr>
          <w:color w:val="FF0000"/>
        </w:rPr>
      </w:pPr>
    </w:p>
    <w:p w14:paraId="37AB8804" w14:textId="4EB7E354" w:rsidR="00CA4377" w:rsidRPr="00043124" w:rsidRDefault="00CA4377" w:rsidP="00CA4377">
      <w:pPr>
        <w:tabs>
          <w:tab w:val="right" w:leader="dot" w:pos="9356"/>
        </w:tabs>
        <w:ind w:right="-1"/>
        <w:rPr>
          <w:b/>
        </w:rPr>
      </w:pPr>
      <w:r w:rsidRPr="00043124">
        <w:rPr>
          <w:b/>
        </w:rPr>
        <w:t>Crise sanitaire Covid 19</w:t>
      </w:r>
    </w:p>
    <w:p w14:paraId="259C0623" w14:textId="77777777" w:rsidR="00043124" w:rsidRDefault="00043124" w:rsidP="00043124"/>
    <w:p w14:paraId="0C123C94" w14:textId="09C04D49" w:rsidR="00D474C8" w:rsidRDefault="00043124" w:rsidP="00043124">
      <w:r>
        <w:t xml:space="preserve">Le début de l’année 2021 est, tout comme l’exercice 2020, </w:t>
      </w:r>
      <w:r w:rsidRPr="008934D8">
        <w:t xml:space="preserve">marqué par la situation sanitaire liée à la pandémie mondiale de </w:t>
      </w:r>
      <w:r>
        <w:t xml:space="preserve">Covid-19. </w:t>
      </w:r>
      <w:r w:rsidR="00C23E4D">
        <w:t xml:space="preserve"> </w:t>
      </w:r>
      <w:r>
        <w:t xml:space="preserve">Les </w:t>
      </w:r>
      <w:r w:rsidRPr="008934D8">
        <w:t>chirurgies non vitales</w:t>
      </w:r>
      <w:r>
        <w:t xml:space="preserve"> sont suspendues</w:t>
      </w:r>
      <w:r w:rsidRPr="008934D8">
        <w:t xml:space="preserve">. </w:t>
      </w:r>
      <w:r w:rsidR="00C23E4D">
        <w:t xml:space="preserve"> </w:t>
      </w:r>
      <w:r w:rsidRPr="001A03ED">
        <w:t xml:space="preserve">La France </w:t>
      </w:r>
      <w:r>
        <w:t>a décidé des</w:t>
      </w:r>
      <w:r w:rsidRPr="001A03ED">
        <w:t xml:space="preserve"> mesures de </w:t>
      </w:r>
      <w:r>
        <w:t xml:space="preserve">couvre-feu et n’exclut pas un nouveau confinement. </w:t>
      </w:r>
      <w:r w:rsidR="00C23E4D">
        <w:t xml:space="preserve"> </w:t>
      </w:r>
      <w:r>
        <w:t>La</w:t>
      </w:r>
      <w:r w:rsidRPr="001A03ED">
        <w:t xml:space="preserve"> filiale </w:t>
      </w:r>
      <w:r w:rsidR="00BD1301">
        <w:t xml:space="preserve">américaine </w:t>
      </w:r>
      <w:r>
        <w:t>est également affectée</w:t>
      </w:r>
      <w:r w:rsidR="00C23E4D">
        <w:t xml:space="preserve"> </w:t>
      </w:r>
      <w:r w:rsidR="003A3E8B">
        <w:t>comme</w:t>
      </w:r>
      <w:r w:rsidR="00C23E4D">
        <w:t xml:space="preserve"> </w:t>
      </w:r>
      <w:r w:rsidRPr="001A03ED">
        <w:t xml:space="preserve">la plupart des pays dans lesquels le </w:t>
      </w:r>
      <w:r w:rsidR="00B64FB8">
        <w:rPr>
          <w:noProof/>
          <w:spacing w:val="-1"/>
        </w:rPr>
        <w:t xml:space="preserve">Groupe </w:t>
      </w:r>
      <w:r w:rsidRPr="001A03ED">
        <w:t>évolue.</w:t>
      </w:r>
    </w:p>
    <w:p w14:paraId="6630ACE3" w14:textId="10426817" w:rsidR="00043124" w:rsidRPr="00C23E4D" w:rsidRDefault="00043124" w:rsidP="005B42F0">
      <w:pPr>
        <w:rPr>
          <w:noProof/>
          <w:spacing w:val="1"/>
        </w:rPr>
      </w:pPr>
      <w:r w:rsidRPr="008934D8">
        <w:t xml:space="preserve">Spineway </w:t>
      </w:r>
      <w:r w:rsidR="00C23E4D">
        <w:t xml:space="preserve">reste pleinement mobilisé </w:t>
      </w:r>
      <w:r>
        <w:rPr>
          <w:noProof/>
          <w:spacing w:val="1"/>
        </w:rPr>
        <w:t xml:space="preserve">pour assurer la continuité de l’activité </w:t>
      </w:r>
      <w:r w:rsidR="00C23E4D">
        <w:rPr>
          <w:noProof/>
        </w:rPr>
        <w:t>et ajuste</w:t>
      </w:r>
      <w:r w:rsidR="003A3E8B">
        <w:rPr>
          <w:noProof/>
        </w:rPr>
        <w:t>r</w:t>
      </w:r>
      <w:r>
        <w:rPr>
          <w:noProof/>
        </w:rPr>
        <w:t xml:space="preserve"> en temps réel des plans d’actions de manière à pouvoir se préparer au mieux à la repris</w:t>
      </w:r>
      <w:r>
        <w:rPr>
          <w:noProof/>
          <w:spacing w:val="74"/>
        </w:rPr>
        <w:t>e</w:t>
      </w:r>
      <w:r>
        <w:rPr>
          <w:noProof/>
          <w:spacing w:val="-1"/>
        </w:rPr>
        <w:t>et limiter au maximum les incidences de cette crise sanitaire.</w:t>
      </w:r>
      <w:r>
        <w:rPr>
          <w:noProof/>
        </w:rPr>
        <w:t xml:space="preserve"> </w:t>
      </w:r>
    </w:p>
    <w:p w14:paraId="746572F4" w14:textId="09C1377E" w:rsidR="00043124" w:rsidRDefault="00C23E4D" w:rsidP="00043124">
      <w:pPr>
        <w:rPr>
          <w:noProof/>
        </w:rPr>
      </w:pPr>
      <w:r>
        <w:rPr>
          <w:noProof/>
          <w:spacing w:val="-1"/>
        </w:rPr>
        <w:t>Le Groupe n’exclut pas</w:t>
      </w:r>
      <w:r w:rsidR="00043124">
        <w:rPr>
          <w:noProof/>
          <w:spacing w:val="-2"/>
        </w:rPr>
        <w:t xml:space="preserve"> </w:t>
      </w:r>
      <w:r w:rsidR="00043124">
        <w:rPr>
          <w:noProof/>
          <w:spacing w:val="-3"/>
        </w:rPr>
        <w:t>:</w:t>
      </w:r>
      <w:r w:rsidR="00043124">
        <w:rPr>
          <w:noProof/>
        </w:rPr>
        <w:t xml:space="preserve"> </w:t>
      </w:r>
    </w:p>
    <w:p w14:paraId="72F7E975" w14:textId="316190DC" w:rsidR="00043124" w:rsidRPr="004C56EF" w:rsidRDefault="001B488F" w:rsidP="00C622C2">
      <w:pPr>
        <w:pStyle w:val="Paragraphedeliste"/>
        <w:numPr>
          <w:ilvl w:val="0"/>
          <w:numId w:val="48"/>
        </w:numPr>
        <w:rPr>
          <w:noProof/>
          <w:spacing w:val="258"/>
        </w:rPr>
      </w:pPr>
      <w:r>
        <w:rPr>
          <w:noProof/>
          <w:spacing w:val="3"/>
        </w:rPr>
        <w:t>d</w:t>
      </w:r>
      <w:r w:rsidRPr="004C56EF">
        <w:rPr>
          <w:noProof/>
          <w:spacing w:val="3"/>
        </w:rPr>
        <w:t xml:space="preserve">es </w:t>
      </w:r>
      <w:r w:rsidR="00043124" w:rsidRPr="004C56EF">
        <w:rPr>
          <w:noProof/>
          <w:spacing w:val="3"/>
        </w:rPr>
        <w:t xml:space="preserve">problèmes de solvabilité de certains clients ou a minima une augmentation des </w:t>
      </w:r>
      <w:r w:rsidR="00043124" w:rsidRPr="004C56EF">
        <w:rPr>
          <w:noProof/>
          <w:spacing w:val="-1"/>
        </w:rPr>
        <w:t>délais de règlement</w:t>
      </w:r>
      <w:r w:rsidR="00043124" w:rsidRPr="004C56EF">
        <w:rPr>
          <w:noProof/>
          <w:spacing w:val="-2"/>
        </w:rPr>
        <w:t xml:space="preserve"> </w:t>
      </w:r>
      <w:r w:rsidR="00043124" w:rsidRPr="004C56EF">
        <w:rPr>
          <w:noProof/>
          <w:spacing w:val="-3"/>
        </w:rPr>
        <w:t>;</w:t>
      </w:r>
      <w:r w:rsidR="00043124">
        <w:rPr>
          <w:noProof/>
        </w:rPr>
        <w:t xml:space="preserve"> </w:t>
      </w:r>
    </w:p>
    <w:p w14:paraId="2BC42038" w14:textId="06FF0943" w:rsidR="00043124" w:rsidRPr="004C56EF" w:rsidRDefault="001B488F" w:rsidP="00C622C2">
      <w:pPr>
        <w:pStyle w:val="Paragraphedeliste"/>
        <w:numPr>
          <w:ilvl w:val="0"/>
          <w:numId w:val="48"/>
        </w:numPr>
        <w:rPr>
          <w:noProof/>
          <w:spacing w:val="-29"/>
        </w:rPr>
      </w:pPr>
      <w:r>
        <w:rPr>
          <w:noProof/>
          <w:spacing w:val="-1"/>
        </w:rPr>
        <w:t>d</w:t>
      </w:r>
      <w:r w:rsidRPr="004C56EF">
        <w:rPr>
          <w:noProof/>
          <w:spacing w:val="-1"/>
        </w:rPr>
        <w:t xml:space="preserve">’une </w:t>
      </w:r>
      <w:r w:rsidR="00043124" w:rsidRPr="004C56EF">
        <w:rPr>
          <w:noProof/>
          <w:spacing w:val="-1"/>
        </w:rPr>
        <w:t xml:space="preserve">manière générale une baisse ou </w:t>
      </w:r>
      <w:r w:rsidR="00B322C7">
        <w:rPr>
          <w:noProof/>
          <w:spacing w:val="-1"/>
        </w:rPr>
        <w:t xml:space="preserve">un </w:t>
      </w:r>
      <w:r w:rsidR="00043124" w:rsidRPr="004C56EF">
        <w:rPr>
          <w:noProof/>
          <w:spacing w:val="-1"/>
        </w:rPr>
        <w:t>retard du chiffre d’affaires attendu par rapport au plan de croissance organique 2020</w:t>
      </w:r>
      <w:r w:rsidR="00043124" w:rsidRPr="004C56EF">
        <w:rPr>
          <w:noProof/>
          <w:spacing w:val="-2"/>
        </w:rPr>
        <w:t>-</w:t>
      </w:r>
      <w:r w:rsidR="00043124" w:rsidRPr="004C56EF">
        <w:rPr>
          <w:noProof/>
          <w:spacing w:val="-1"/>
        </w:rPr>
        <w:t>2021</w:t>
      </w:r>
      <w:r w:rsidR="00043124" w:rsidRPr="004C56EF">
        <w:rPr>
          <w:noProof/>
          <w:spacing w:val="-2"/>
        </w:rPr>
        <w:t xml:space="preserve"> </w:t>
      </w:r>
      <w:r w:rsidR="00043124" w:rsidRPr="004C56EF">
        <w:rPr>
          <w:noProof/>
          <w:spacing w:val="-3"/>
        </w:rPr>
        <w:t>;</w:t>
      </w:r>
      <w:r w:rsidR="00043124">
        <w:rPr>
          <w:noProof/>
        </w:rPr>
        <w:t xml:space="preserve"> </w:t>
      </w:r>
    </w:p>
    <w:p w14:paraId="1E14E1C8" w14:textId="011311CE" w:rsidR="00043124" w:rsidRDefault="001B488F" w:rsidP="00C622C2">
      <w:pPr>
        <w:pStyle w:val="Paragraphedeliste"/>
        <w:numPr>
          <w:ilvl w:val="0"/>
          <w:numId w:val="48"/>
        </w:numPr>
        <w:rPr>
          <w:noProof/>
        </w:rPr>
      </w:pPr>
      <w:r>
        <w:rPr>
          <w:noProof/>
          <w:spacing w:val="-1"/>
        </w:rPr>
        <w:t>d</w:t>
      </w:r>
      <w:r w:rsidRPr="004C56EF">
        <w:rPr>
          <w:noProof/>
          <w:spacing w:val="-1"/>
        </w:rPr>
        <w:t xml:space="preserve">es </w:t>
      </w:r>
      <w:r w:rsidR="00043124" w:rsidRPr="004C56EF">
        <w:rPr>
          <w:noProof/>
          <w:spacing w:val="-1"/>
        </w:rPr>
        <w:t xml:space="preserve">retards et difficultés dans la collecte de données cliniques et </w:t>
      </w:r>
      <w:r w:rsidR="009C4380">
        <w:rPr>
          <w:noProof/>
          <w:spacing w:val="-1"/>
        </w:rPr>
        <w:t xml:space="preserve">sur le </w:t>
      </w:r>
      <w:r w:rsidR="00043124" w:rsidRPr="004C56EF">
        <w:rPr>
          <w:noProof/>
          <w:spacing w:val="-1"/>
        </w:rPr>
        <w:t xml:space="preserve">volet règlementaire. </w:t>
      </w:r>
      <w:r w:rsidR="00043124" w:rsidRPr="004C56EF">
        <w:rPr>
          <w:noProof/>
          <w:spacing w:val="-2"/>
        </w:rPr>
        <w:t xml:space="preserve"> </w:t>
      </w:r>
      <w:r w:rsidR="00043124">
        <w:rPr>
          <w:noProof/>
        </w:rPr>
        <w:t xml:space="preserve"> </w:t>
      </w:r>
    </w:p>
    <w:p w14:paraId="22267C8A" w14:textId="77777777" w:rsidR="00043124" w:rsidRDefault="00043124" w:rsidP="00043124">
      <w:pPr>
        <w:rPr>
          <w:szCs w:val="20"/>
        </w:rPr>
      </w:pPr>
    </w:p>
    <w:p w14:paraId="01AA5E2D" w14:textId="318E9BED" w:rsidR="00C23E4D" w:rsidRDefault="00043124" w:rsidP="00043124">
      <w:pPr>
        <w:rPr>
          <w:noProof/>
        </w:rPr>
      </w:pPr>
      <w:r>
        <w:rPr>
          <w:noProof/>
        </w:rPr>
        <w:t xml:space="preserve">La continuité d’exploitation n’est, sur la base des éléments connus à date, nullement remise </w:t>
      </w:r>
      <w:r>
        <w:rPr>
          <w:noProof/>
          <w:spacing w:val="-54"/>
        </w:rPr>
        <w:t xml:space="preserve"> </w:t>
      </w:r>
      <w:r>
        <w:rPr>
          <w:noProof/>
        </w:rPr>
        <w:t xml:space="preserve">en question. Le </w:t>
      </w:r>
      <w:r w:rsidR="00C23E4D">
        <w:rPr>
          <w:noProof/>
        </w:rPr>
        <w:t>G</w:t>
      </w:r>
      <w:r>
        <w:rPr>
          <w:noProof/>
        </w:rPr>
        <w:t>roupe peut notamment s’appuyer sur son financement Negma</w:t>
      </w:r>
      <w:r w:rsidR="00E513E0">
        <w:rPr>
          <w:noProof/>
        </w:rPr>
        <w:t xml:space="preserve"> Group Ltd</w:t>
      </w:r>
      <w:r>
        <w:rPr>
          <w:noProof/>
          <w:spacing w:val="-2"/>
        </w:rPr>
        <w:t>.</w:t>
      </w:r>
      <w:r>
        <w:rPr>
          <w:noProof/>
        </w:rPr>
        <w:t xml:space="preserve"> </w:t>
      </w:r>
    </w:p>
    <w:p w14:paraId="39848D87" w14:textId="1717C607" w:rsidR="00043124" w:rsidRPr="00C1284B" w:rsidRDefault="00043124" w:rsidP="00043124">
      <w:pPr>
        <w:rPr>
          <w:noProof/>
          <w:spacing w:val="-54"/>
        </w:rPr>
      </w:pPr>
      <w:r>
        <w:rPr>
          <w:noProof/>
        </w:rPr>
        <w:t xml:space="preserve">Spineway </w:t>
      </w:r>
      <w:r w:rsidR="00C23E4D">
        <w:rPr>
          <w:noProof/>
        </w:rPr>
        <w:t>continue d’étudier</w:t>
      </w:r>
      <w:r>
        <w:rPr>
          <w:noProof/>
        </w:rPr>
        <w:t xml:space="preserve"> </w:t>
      </w:r>
      <w:r>
        <w:rPr>
          <w:noProof/>
          <w:spacing w:val="6"/>
        </w:rPr>
        <w:t xml:space="preserve">chaque </w:t>
      </w:r>
      <w:r>
        <w:rPr>
          <w:noProof/>
          <w:spacing w:val="4"/>
        </w:rPr>
        <w:t xml:space="preserve">dispositif permettant d’optimiser </w:t>
      </w:r>
      <w:r>
        <w:rPr>
          <w:noProof/>
          <w:spacing w:val="11"/>
        </w:rPr>
        <w:t xml:space="preserve">les </w:t>
      </w:r>
      <w:r>
        <w:rPr>
          <w:noProof/>
        </w:rPr>
        <w:t>bes</w:t>
      </w:r>
      <w:r>
        <w:rPr>
          <w:noProof/>
          <w:spacing w:val="9"/>
        </w:rPr>
        <w:t xml:space="preserve">oins </w:t>
      </w:r>
      <w:r>
        <w:rPr>
          <w:noProof/>
          <w:spacing w:val="15"/>
        </w:rPr>
        <w:t xml:space="preserve">de </w:t>
      </w:r>
      <w:r>
        <w:rPr>
          <w:noProof/>
          <w:spacing w:val="4"/>
        </w:rPr>
        <w:t xml:space="preserve">trésorerie </w:t>
      </w:r>
      <w:r>
        <w:rPr>
          <w:noProof/>
          <w:spacing w:val="7"/>
        </w:rPr>
        <w:t xml:space="preserve">court terme selon </w:t>
      </w:r>
      <w:r>
        <w:rPr>
          <w:noProof/>
        </w:rPr>
        <w:t xml:space="preserve">les </w:t>
      </w:r>
      <w:r>
        <w:rPr>
          <w:noProof/>
          <w:spacing w:val="-54"/>
        </w:rPr>
        <w:t xml:space="preserve"> </w:t>
      </w:r>
      <w:r>
        <w:rPr>
          <w:noProof/>
        </w:rPr>
        <w:t xml:space="preserve">décrets et mesures gouvernementales publiés au fil de l’eau. </w:t>
      </w:r>
    </w:p>
    <w:p w14:paraId="2D365441" w14:textId="77777777" w:rsidR="00043124" w:rsidRDefault="00043124" w:rsidP="00043124">
      <w:pPr>
        <w:rPr>
          <w:noProof/>
        </w:rPr>
      </w:pPr>
    </w:p>
    <w:p w14:paraId="184AFDC9" w14:textId="7AD90CA1" w:rsidR="00043124" w:rsidRDefault="00C23E4D" w:rsidP="00043124">
      <w:pPr>
        <w:rPr>
          <w:noProof/>
        </w:rPr>
      </w:pPr>
      <w:r>
        <w:rPr>
          <w:noProof/>
        </w:rPr>
        <w:t>S</w:t>
      </w:r>
      <w:r w:rsidR="00043124">
        <w:rPr>
          <w:noProof/>
        </w:rPr>
        <w:t>oucieux de la santé des salariés, des sous</w:t>
      </w:r>
      <w:r w:rsidR="00043124">
        <w:rPr>
          <w:noProof/>
          <w:spacing w:val="-2"/>
        </w:rPr>
        <w:t>-</w:t>
      </w:r>
      <w:r w:rsidR="00043124">
        <w:rPr>
          <w:noProof/>
        </w:rPr>
        <w:t xml:space="preserve">traitants et fournisseurs </w:t>
      </w:r>
      <w:r>
        <w:rPr>
          <w:noProof/>
        </w:rPr>
        <w:t>le Groupe</w:t>
      </w:r>
      <w:r w:rsidR="00043124">
        <w:rPr>
          <w:noProof/>
          <w:spacing w:val="-3"/>
        </w:rPr>
        <w:t xml:space="preserve"> </w:t>
      </w:r>
      <w:r>
        <w:rPr>
          <w:noProof/>
        </w:rPr>
        <w:t>conforte les</w:t>
      </w:r>
      <w:r w:rsidR="00043124">
        <w:rPr>
          <w:noProof/>
          <w:spacing w:val="19"/>
        </w:rPr>
        <w:t xml:space="preserve"> </w:t>
      </w:r>
      <w:r w:rsidR="00043124">
        <w:rPr>
          <w:noProof/>
          <w:spacing w:val="6"/>
        </w:rPr>
        <w:t xml:space="preserve">nouvelles </w:t>
      </w:r>
      <w:r w:rsidR="00043124" w:rsidRPr="007B5764">
        <w:rPr>
          <w:noProof/>
        </w:rPr>
        <w:t xml:space="preserve">procédures </w:t>
      </w:r>
      <w:r w:rsidRPr="007B5764">
        <w:rPr>
          <w:noProof/>
        </w:rPr>
        <w:t xml:space="preserve">mises en place en 2020 </w:t>
      </w:r>
      <w:r w:rsidR="00043124" w:rsidRPr="007B5764">
        <w:rPr>
          <w:noProof/>
        </w:rPr>
        <w:t xml:space="preserve">et </w:t>
      </w:r>
      <w:r w:rsidRPr="007B5764">
        <w:rPr>
          <w:noProof/>
        </w:rPr>
        <w:t>notamment</w:t>
      </w:r>
      <w:r w:rsidR="00043124" w:rsidRPr="007B5764">
        <w:rPr>
          <w:noProof/>
        </w:rPr>
        <w:t xml:space="preserve"> le </w:t>
      </w:r>
      <w:r w:rsidRPr="007B5764">
        <w:rPr>
          <w:noProof/>
        </w:rPr>
        <w:t xml:space="preserve">recours au </w:t>
      </w:r>
      <w:r w:rsidR="00043124">
        <w:rPr>
          <w:noProof/>
        </w:rPr>
        <w:t>télétravail</w:t>
      </w:r>
      <w:r w:rsidRPr="007B5764">
        <w:rPr>
          <w:noProof/>
        </w:rPr>
        <w:t xml:space="preserve">. Spineway </w:t>
      </w:r>
      <w:r w:rsidR="00043124">
        <w:rPr>
          <w:noProof/>
        </w:rPr>
        <w:t xml:space="preserve">reste flexible en fonction de l’évolution de la situation.  </w:t>
      </w:r>
    </w:p>
    <w:p w14:paraId="0FF6B607" w14:textId="77777777" w:rsidR="00043124" w:rsidRPr="007B5764" w:rsidRDefault="00043124" w:rsidP="00043124">
      <w:pPr>
        <w:rPr>
          <w:noProof/>
        </w:rPr>
      </w:pPr>
    </w:p>
    <w:p w14:paraId="7B376A29" w14:textId="539EC3BB" w:rsidR="00C23E4D" w:rsidRPr="0084661C" w:rsidRDefault="00C23E4D" w:rsidP="00043124">
      <w:pPr>
        <w:rPr>
          <w:noProof/>
          <w:spacing w:val="2"/>
          <w:szCs w:val="20"/>
        </w:rPr>
      </w:pPr>
      <w:r w:rsidRPr="009C4380">
        <w:rPr>
          <w:noProof/>
          <w:spacing w:val="2"/>
          <w:szCs w:val="20"/>
        </w:rPr>
        <w:t>Spineway identifie quelques incertitudes (</w:t>
      </w:r>
      <w:r w:rsidR="00FB3136" w:rsidRPr="0084661C">
        <w:rPr>
          <w:noProof/>
          <w:spacing w:val="2"/>
          <w:szCs w:val="20"/>
        </w:rPr>
        <w:t>relativement similaires</w:t>
      </w:r>
      <w:r w:rsidRPr="0084661C">
        <w:rPr>
          <w:noProof/>
          <w:spacing w:val="2"/>
          <w:szCs w:val="20"/>
        </w:rPr>
        <w:t xml:space="preserve"> à celles évoquées </w:t>
      </w:r>
      <w:r w:rsidR="00D474C8">
        <w:rPr>
          <w:noProof/>
          <w:spacing w:val="2"/>
          <w:szCs w:val="20"/>
        </w:rPr>
        <w:t>au titre de l’exercice</w:t>
      </w:r>
      <w:r w:rsidR="00D474C8" w:rsidRPr="0084661C">
        <w:rPr>
          <w:noProof/>
          <w:spacing w:val="2"/>
          <w:szCs w:val="20"/>
        </w:rPr>
        <w:t xml:space="preserve"> </w:t>
      </w:r>
      <w:r w:rsidRPr="0084661C">
        <w:rPr>
          <w:noProof/>
          <w:spacing w:val="2"/>
          <w:szCs w:val="20"/>
        </w:rPr>
        <w:t>2020)</w:t>
      </w:r>
      <w:r w:rsidR="0083698A">
        <w:rPr>
          <w:noProof/>
          <w:spacing w:val="2"/>
          <w:szCs w:val="20"/>
        </w:rPr>
        <w:t xml:space="preserve"> </w:t>
      </w:r>
      <w:r w:rsidRPr="0084661C">
        <w:rPr>
          <w:noProof/>
          <w:spacing w:val="2"/>
          <w:szCs w:val="20"/>
        </w:rPr>
        <w:t>:</w:t>
      </w:r>
    </w:p>
    <w:p w14:paraId="78F92946" w14:textId="72479372" w:rsidR="00C23E4D" w:rsidRPr="0084661C" w:rsidRDefault="00043124" w:rsidP="00C622C2">
      <w:pPr>
        <w:pStyle w:val="Paragraphedeliste"/>
        <w:numPr>
          <w:ilvl w:val="0"/>
          <w:numId w:val="48"/>
        </w:numPr>
        <w:rPr>
          <w:noProof/>
          <w:szCs w:val="20"/>
        </w:rPr>
      </w:pPr>
      <w:r w:rsidRPr="0084661C">
        <w:rPr>
          <w:noProof/>
          <w:spacing w:val="2"/>
          <w:szCs w:val="20"/>
        </w:rPr>
        <w:t xml:space="preserve">le risque de </w:t>
      </w:r>
      <w:r w:rsidRPr="0084661C">
        <w:rPr>
          <w:noProof/>
          <w:spacing w:val="3"/>
          <w:szCs w:val="20"/>
        </w:rPr>
        <w:t>voir arriver une nouvelle vague épidémique</w:t>
      </w:r>
      <w:r w:rsidR="00C23E4D" w:rsidRPr="0084661C">
        <w:rPr>
          <w:noProof/>
          <w:spacing w:val="2"/>
          <w:szCs w:val="20"/>
        </w:rPr>
        <w:t xml:space="preserve"> dans toutes les zones géographiques où le Groupe opère </w:t>
      </w:r>
      <w:r w:rsidR="00C23E4D" w:rsidRPr="0084661C">
        <w:rPr>
          <w:noProof/>
          <w:spacing w:val="3"/>
          <w:szCs w:val="20"/>
        </w:rPr>
        <w:t>;</w:t>
      </w:r>
    </w:p>
    <w:p w14:paraId="1AA9C1E3" w14:textId="14DFD137" w:rsidR="00C23E4D" w:rsidRPr="00283D1D" w:rsidRDefault="00C23E4D" w:rsidP="00C622C2">
      <w:pPr>
        <w:pStyle w:val="Paragraphedeliste"/>
        <w:numPr>
          <w:ilvl w:val="0"/>
          <w:numId w:val="48"/>
        </w:numPr>
        <w:rPr>
          <w:rFonts w:eastAsia="Calibri" w:cs="Calibri"/>
          <w:noProof/>
          <w:color w:val="000000"/>
          <w:szCs w:val="20"/>
        </w:rPr>
      </w:pPr>
      <w:r w:rsidRPr="0084661C">
        <w:rPr>
          <w:noProof/>
          <w:szCs w:val="20"/>
        </w:rPr>
        <w:t>l</w:t>
      </w:r>
      <w:r w:rsidR="00043124" w:rsidRPr="0084661C">
        <w:rPr>
          <w:noProof/>
          <w:szCs w:val="20"/>
        </w:rPr>
        <w:t>'évolution des</w:t>
      </w:r>
      <w:r w:rsidR="00043124" w:rsidRPr="0084661C">
        <w:rPr>
          <w:noProof/>
          <w:spacing w:val="-20"/>
          <w:szCs w:val="20"/>
        </w:rPr>
        <w:t xml:space="preserve"> </w:t>
      </w:r>
      <w:r w:rsidR="00043124" w:rsidRPr="00283D1D">
        <w:rPr>
          <w:rFonts w:eastAsia="Calibri" w:cs="Calibri"/>
          <w:noProof/>
          <w:color w:val="000000"/>
          <w:szCs w:val="20"/>
        </w:rPr>
        <w:t>politiques entre les États</w:t>
      </w:r>
      <w:r w:rsidR="00043124" w:rsidRPr="00283D1D">
        <w:rPr>
          <w:rFonts w:eastAsia="Calibri" w:cs="Calibri"/>
          <w:noProof/>
          <w:color w:val="000000"/>
          <w:spacing w:val="-2"/>
          <w:szCs w:val="20"/>
        </w:rPr>
        <w:t xml:space="preserve"> </w:t>
      </w:r>
      <w:r w:rsidR="00043124" w:rsidRPr="00283D1D">
        <w:rPr>
          <w:rFonts w:eastAsia="Calibri" w:cs="Calibri"/>
          <w:noProof/>
          <w:color w:val="000000"/>
          <w:szCs w:val="20"/>
        </w:rPr>
        <w:t>et l'impact sur le commerce mondial</w:t>
      </w:r>
      <w:r w:rsidRPr="00283D1D">
        <w:rPr>
          <w:rFonts w:eastAsia="Calibri" w:cs="Calibri"/>
          <w:noProof/>
          <w:color w:val="000000"/>
          <w:szCs w:val="20"/>
        </w:rPr>
        <w:t> ;</w:t>
      </w:r>
    </w:p>
    <w:p w14:paraId="60A4995A" w14:textId="0CC7CA1C" w:rsidR="00043124" w:rsidRPr="00283D1D" w:rsidRDefault="00043124" w:rsidP="00C622C2">
      <w:pPr>
        <w:pStyle w:val="Paragraphedeliste"/>
        <w:numPr>
          <w:ilvl w:val="0"/>
          <w:numId w:val="48"/>
        </w:numPr>
        <w:rPr>
          <w:rFonts w:eastAsia="Calibri" w:cs="Calibri"/>
          <w:noProof/>
          <w:color w:val="000000"/>
          <w:szCs w:val="20"/>
        </w:rPr>
      </w:pPr>
      <w:r w:rsidRPr="00283D1D">
        <w:rPr>
          <w:rFonts w:eastAsia="Calibri" w:cs="Calibri"/>
          <w:noProof/>
          <w:color w:val="000000"/>
          <w:spacing w:val="9"/>
          <w:szCs w:val="20"/>
        </w:rPr>
        <w:t xml:space="preserve">une </w:t>
      </w:r>
      <w:r w:rsidRPr="00283D1D">
        <w:rPr>
          <w:rFonts w:eastAsia="Calibri" w:cs="Calibri"/>
          <w:noProof/>
          <w:color w:val="000000"/>
          <w:spacing w:val="2"/>
          <w:szCs w:val="20"/>
        </w:rPr>
        <w:t xml:space="preserve">difficulté </w:t>
      </w:r>
      <w:r w:rsidRPr="00283D1D">
        <w:rPr>
          <w:rFonts w:eastAsia="Calibri" w:cs="Calibri"/>
          <w:noProof/>
          <w:color w:val="000000"/>
          <w:spacing w:val="13"/>
          <w:szCs w:val="20"/>
        </w:rPr>
        <w:t xml:space="preserve">à </w:t>
      </w:r>
      <w:r w:rsidRPr="00283D1D">
        <w:rPr>
          <w:rFonts w:eastAsia="Calibri" w:cs="Calibri"/>
          <w:noProof/>
          <w:color w:val="000000"/>
          <w:spacing w:val="5"/>
          <w:szCs w:val="20"/>
        </w:rPr>
        <w:t xml:space="preserve">bien </w:t>
      </w:r>
      <w:r w:rsidRPr="00283D1D">
        <w:rPr>
          <w:rFonts w:eastAsia="Calibri" w:cs="Calibri"/>
          <w:noProof/>
          <w:color w:val="000000"/>
          <w:spacing w:val="4"/>
          <w:szCs w:val="20"/>
        </w:rPr>
        <w:t xml:space="preserve">cibler </w:t>
      </w:r>
      <w:r w:rsidRPr="00283D1D">
        <w:rPr>
          <w:rFonts w:eastAsia="Calibri" w:cs="Calibri"/>
          <w:noProof/>
          <w:color w:val="000000"/>
          <w:szCs w:val="20"/>
        </w:rPr>
        <w:t xml:space="preserve">le </w:t>
      </w:r>
      <w:r w:rsidRPr="00283D1D">
        <w:rPr>
          <w:rFonts w:eastAsia="Calibri" w:cs="Calibri"/>
          <w:noProof/>
          <w:color w:val="000000"/>
          <w:spacing w:val="8"/>
          <w:szCs w:val="20"/>
        </w:rPr>
        <w:t xml:space="preserve">niveau </w:t>
      </w:r>
      <w:r w:rsidRPr="00283D1D">
        <w:rPr>
          <w:rFonts w:eastAsia="Calibri" w:cs="Calibri"/>
          <w:noProof/>
          <w:color w:val="000000"/>
          <w:spacing w:val="18"/>
          <w:szCs w:val="20"/>
        </w:rPr>
        <w:t xml:space="preserve">de </w:t>
      </w:r>
      <w:r w:rsidRPr="00283D1D">
        <w:rPr>
          <w:rFonts w:eastAsia="Calibri" w:cs="Calibri"/>
          <w:noProof/>
          <w:color w:val="000000"/>
          <w:spacing w:val="7"/>
          <w:szCs w:val="20"/>
        </w:rPr>
        <w:t xml:space="preserve">reprise </w:t>
      </w:r>
      <w:r w:rsidRPr="00283D1D">
        <w:rPr>
          <w:rFonts w:eastAsia="Calibri" w:cs="Calibri"/>
          <w:noProof/>
          <w:color w:val="000000"/>
          <w:spacing w:val="5"/>
          <w:szCs w:val="20"/>
        </w:rPr>
        <w:t xml:space="preserve">d'activité </w:t>
      </w:r>
      <w:r w:rsidRPr="00283D1D">
        <w:rPr>
          <w:rFonts w:eastAsia="Calibri" w:cs="Calibri"/>
          <w:noProof/>
          <w:color w:val="000000"/>
          <w:spacing w:val="14"/>
          <w:szCs w:val="20"/>
        </w:rPr>
        <w:t xml:space="preserve">des </w:t>
      </w:r>
      <w:r w:rsidRPr="00283D1D">
        <w:rPr>
          <w:rFonts w:eastAsia="Calibri" w:cs="Calibri"/>
          <w:noProof/>
          <w:color w:val="000000"/>
          <w:spacing w:val="6"/>
          <w:szCs w:val="20"/>
        </w:rPr>
        <w:t xml:space="preserve">prochains </w:t>
      </w:r>
      <w:r w:rsidRPr="00283D1D">
        <w:rPr>
          <w:rFonts w:eastAsia="Calibri" w:cs="Calibri"/>
          <w:noProof/>
          <w:color w:val="000000"/>
          <w:spacing w:val="9"/>
          <w:szCs w:val="20"/>
        </w:rPr>
        <w:t xml:space="preserve">mois. </w:t>
      </w:r>
      <w:r w:rsidRPr="00283D1D">
        <w:rPr>
          <w:rFonts w:eastAsia="Calibri" w:cs="Calibri"/>
          <w:noProof/>
          <w:color w:val="000000"/>
          <w:spacing w:val="18"/>
          <w:szCs w:val="20"/>
        </w:rPr>
        <w:t xml:space="preserve">Il </w:t>
      </w:r>
      <w:r w:rsidRPr="00283D1D">
        <w:rPr>
          <w:rFonts w:eastAsia="Calibri" w:cs="Calibri"/>
          <w:noProof/>
          <w:color w:val="000000"/>
          <w:spacing w:val="11"/>
          <w:szCs w:val="20"/>
        </w:rPr>
        <w:t xml:space="preserve">faut </w:t>
      </w:r>
      <w:r w:rsidRPr="00283D1D">
        <w:rPr>
          <w:rFonts w:eastAsia="Calibri" w:cs="Calibri"/>
          <w:noProof/>
          <w:color w:val="000000"/>
          <w:spacing w:val="28"/>
          <w:szCs w:val="20"/>
        </w:rPr>
        <w:t xml:space="preserve">à </w:t>
      </w:r>
      <w:r w:rsidRPr="00283D1D">
        <w:rPr>
          <w:rFonts w:eastAsia="Calibri" w:cs="Calibri"/>
          <w:noProof/>
          <w:color w:val="000000"/>
          <w:spacing w:val="18"/>
          <w:szCs w:val="20"/>
        </w:rPr>
        <w:t xml:space="preserve">la </w:t>
      </w:r>
      <w:r w:rsidRPr="00283D1D">
        <w:rPr>
          <w:rFonts w:eastAsia="Calibri" w:cs="Calibri"/>
          <w:noProof/>
          <w:color w:val="000000"/>
          <w:spacing w:val="11"/>
          <w:szCs w:val="20"/>
        </w:rPr>
        <w:t xml:space="preserve">fois être </w:t>
      </w:r>
      <w:r w:rsidRPr="00283D1D">
        <w:rPr>
          <w:rFonts w:eastAsia="Calibri" w:cs="Calibri"/>
          <w:noProof/>
          <w:color w:val="000000"/>
          <w:spacing w:val="7"/>
          <w:szCs w:val="20"/>
        </w:rPr>
        <w:t xml:space="preserve">prudent </w:t>
      </w:r>
      <w:r w:rsidRPr="00283D1D">
        <w:rPr>
          <w:rFonts w:eastAsia="Calibri" w:cs="Calibri"/>
          <w:noProof/>
          <w:color w:val="000000"/>
          <w:spacing w:val="18"/>
          <w:szCs w:val="20"/>
        </w:rPr>
        <w:t xml:space="preserve">et </w:t>
      </w:r>
      <w:r w:rsidRPr="00283D1D">
        <w:rPr>
          <w:rFonts w:eastAsia="Calibri" w:cs="Calibri"/>
          <w:noProof/>
          <w:color w:val="000000"/>
          <w:spacing w:val="6"/>
          <w:szCs w:val="20"/>
        </w:rPr>
        <w:t xml:space="preserve">anticiper </w:t>
      </w:r>
      <w:r w:rsidRPr="00283D1D">
        <w:rPr>
          <w:rFonts w:eastAsia="Calibri" w:cs="Calibri"/>
          <w:noProof/>
          <w:color w:val="000000"/>
          <w:szCs w:val="20"/>
        </w:rPr>
        <w:t xml:space="preserve">une  </w:t>
      </w:r>
      <w:r w:rsidRPr="00283D1D">
        <w:rPr>
          <w:rFonts w:eastAsia="Calibri" w:cs="Calibri"/>
          <w:noProof/>
          <w:color w:val="000000"/>
          <w:spacing w:val="1"/>
          <w:szCs w:val="20"/>
        </w:rPr>
        <w:t xml:space="preserve">prolongation plus ou moins durable de la perturbation des marchés, tout en étant prêt à faire face à </w:t>
      </w:r>
      <w:r w:rsidRPr="00283D1D">
        <w:rPr>
          <w:rFonts w:eastAsia="Calibri" w:cs="Calibri"/>
          <w:noProof/>
          <w:color w:val="000000"/>
          <w:szCs w:val="20"/>
        </w:rPr>
        <w:t>une reprise brutale et violente qui n'est pas à exclure</w:t>
      </w:r>
      <w:r w:rsidR="00FB3136" w:rsidRPr="00283D1D">
        <w:rPr>
          <w:rFonts w:eastAsia="Calibri" w:cs="Calibri"/>
          <w:noProof/>
          <w:color w:val="000000"/>
          <w:szCs w:val="20"/>
        </w:rPr>
        <w:t xml:space="preserve"> </w:t>
      </w:r>
      <w:r w:rsidR="00FB3136" w:rsidRPr="00283D1D">
        <w:rPr>
          <w:rFonts w:eastAsia="Times New Roman" w:cs="Segoe UI"/>
          <w:iCs/>
          <w:szCs w:val="20"/>
        </w:rPr>
        <w:t>et ainsi assurer les moyens de financement nécessaires à des besoins de fonds de roulement rapides.</w:t>
      </w:r>
    </w:p>
    <w:p w14:paraId="3DC3EDB2" w14:textId="77777777" w:rsidR="00CA4377" w:rsidRPr="009C4380" w:rsidRDefault="00CA4377" w:rsidP="54FDD3F0">
      <w:pPr>
        <w:tabs>
          <w:tab w:val="right" w:leader="dot" w:pos="9356"/>
        </w:tabs>
        <w:ind w:right="-1"/>
        <w:rPr>
          <w:b/>
          <w:bCs/>
          <w:color w:val="FF0000"/>
        </w:rPr>
      </w:pPr>
    </w:p>
    <w:p w14:paraId="7825EC14" w14:textId="77777777" w:rsidR="00A64C93" w:rsidRDefault="00A64C93" w:rsidP="00A64C93">
      <w:pPr>
        <w:rPr>
          <w:b/>
        </w:rPr>
      </w:pPr>
    </w:p>
    <w:p w14:paraId="62EE913A" w14:textId="23E959EA" w:rsidR="54FDD3F0" w:rsidRPr="00A64C93" w:rsidRDefault="54FDD3F0" w:rsidP="00A64C93">
      <w:pPr>
        <w:rPr>
          <w:b/>
        </w:rPr>
      </w:pPr>
      <w:r w:rsidRPr="00A64C93">
        <w:rPr>
          <w:b/>
        </w:rPr>
        <w:t>Homologations et marquages CE :</w:t>
      </w:r>
    </w:p>
    <w:p w14:paraId="2E412169" w14:textId="3EBAA4C7" w:rsidR="54FDD3F0" w:rsidRDefault="54FDD3F0" w:rsidP="00A64C93"/>
    <w:p w14:paraId="76F91E32" w14:textId="67A145B3" w:rsidR="00A64C93" w:rsidRDefault="00A64C93" w:rsidP="00A64C93">
      <w:r>
        <w:t>La S</w:t>
      </w:r>
      <w:r w:rsidR="54FDD3F0" w:rsidRPr="00A64C93">
        <w:t xml:space="preserve">ociété poursuit ses investissements en matière réglementaire de manière non seulement à finaliser les extensions de marquage MDD jusqu’en mai 2024 mais aussi passer les premières gammes sous référentiel </w:t>
      </w:r>
      <w:r w:rsidR="00E513E0">
        <w:t>RMD</w:t>
      </w:r>
      <w:r w:rsidR="00E513E0" w:rsidRPr="00A64C93">
        <w:t xml:space="preserve"> </w:t>
      </w:r>
      <w:r w:rsidR="54FDD3F0" w:rsidRPr="00A64C93">
        <w:t>ce qui suppose</w:t>
      </w:r>
      <w:r>
        <w:t>,</w:t>
      </w:r>
      <w:r w:rsidR="54FDD3F0" w:rsidRPr="00A64C93">
        <w:t xml:space="preserve"> entre autres</w:t>
      </w:r>
      <w:r>
        <w:t>,</w:t>
      </w:r>
      <w:r w:rsidR="54FDD3F0" w:rsidRPr="00A64C93">
        <w:t xml:space="preserve"> de mener à bien différents projets internes organisationnels et administratifs en lien avec la </w:t>
      </w:r>
      <w:r w:rsidRPr="00A64C93">
        <w:t>mise</w:t>
      </w:r>
      <w:r w:rsidR="54FDD3F0" w:rsidRPr="00A64C93">
        <w:t xml:space="preserve"> en place de la base européenne Eudamed mais aussi techniques avec la collecte et l’analyse de données cliniques indispensables à l’application du nouveau règlement.</w:t>
      </w:r>
    </w:p>
    <w:p w14:paraId="2F0B696B" w14:textId="7192C3F3" w:rsidR="00A64C93" w:rsidRDefault="00A64C93" w:rsidP="00A64C93">
      <w:pPr>
        <w:tabs>
          <w:tab w:val="left" w:pos="2307"/>
        </w:tabs>
      </w:pPr>
      <w:r>
        <w:tab/>
      </w:r>
    </w:p>
    <w:p w14:paraId="26743FC2" w14:textId="77777777" w:rsidR="00A64C93" w:rsidRDefault="00A64C93" w:rsidP="00A64C93">
      <w:pPr>
        <w:tabs>
          <w:tab w:val="left" w:pos="2307"/>
        </w:tabs>
      </w:pPr>
    </w:p>
    <w:p w14:paraId="3FDE56DF" w14:textId="074A5D56" w:rsidR="00FB72AA" w:rsidRPr="00A64C93" w:rsidRDefault="00A64C93" w:rsidP="00A64C93">
      <w:pPr>
        <w:rPr>
          <w:b/>
        </w:rPr>
      </w:pPr>
      <w:r w:rsidRPr="00A64C93">
        <w:rPr>
          <w:b/>
        </w:rPr>
        <w:t xml:space="preserve">Plan d’attribution </w:t>
      </w:r>
      <w:r w:rsidR="009E06A8">
        <w:rPr>
          <w:b/>
        </w:rPr>
        <w:t>g</w:t>
      </w:r>
      <w:r w:rsidRPr="00A64C93">
        <w:rPr>
          <w:b/>
        </w:rPr>
        <w:t>ratuite d’</w:t>
      </w:r>
      <w:r w:rsidR="009E06A8">
        <w:rPr>
          <w:b/>
        </w:rPr>
        <w:t>a</w:t>
      </w:r>
      <w:r w:rsidRPr="00A64C93">
        <w:rPr>
          <w:b/>
        </w:rPr>
        <w:t>ctions</w:t>
      </w:r>
      <w:r w:rsidR="245A6EAB" w:rsidRPr="00A64C93">
        <w:rPr>
          <w:b/>
        </w:rPr>
        <w:t xml:space="preserve"> :</w:t>
      </w:r>
    </w:p>
    <w:p w14:paraId="63D80709" w14:textId="77777777" w:rsidR="00A64C93" w:rsidRDefault="00A64C93" w:rsidP="00A64C93"/>
    <w:p w14:paraId="5B70FCCA" w14:textId="339C7EC8" w:rsidR="00A64C93" w:rsidRDefault="245A6EAB" w:rsidP="00A64C93">
      <w:r w:rsidRPr="245A6EAB">
        <w:t>S</w:t>
      </w:r>
      <w:r w:rsidRPr="00A64C93">
        <w:t>ur la base d’une proposition du Conseil d’</w:t>
      </w:r>
      <w:r w:rsidR="00E1703E">
        <w:t>a</w:t>
      </w:r>
      <w:r w:rsidRPr="00A64C93">
        <w:t>dministration du 25 janvier 2021, l</w:t>
      </w:r>
      <w:r w:rsidR="00A64C93">
        <w:t>’</w:t>
      </w:r>
      <w:r w:rsidR="00E1703E">
        <w:t>a</w:t>
      </w:r>
      <w:r w:rsidRPr="00A64C93">
        <w:t xml:space="preserve">ssemblée </w:t>
      </w:r>
      <w:r w:rsidR="00E1703E">
        <w:t>g</w:t>
      </w:r>
      <w:r w:rsidRPr="00A64C93">
        <w:t>énérale des a</w:t>
      </w:r>
      <w:r w:rsidR="00A64C93">
        <w:t xml:space="preserve">ctionnaires qui se tiendra le </w:t>
      </w:r>
      <w:r w:rsidRPr="00A64C93">
        <w:t xml:space="preserve">8 mars 2021 est appelée à se </w:t>
      </w:r>
      <w:r w:rsidR="00A64C93">
        <w:t>prononcer</w:t>
      </w:r>
      <w:r w:rsidRPr="00A64C93">
        <w:t xml:space="preserve"> sur la mise en œuvre d’un plan d’Attribution Gratuite d’Actions (</w:t>
      </w:r>
      <w:r w:rsidR="006F7652">
        <w:t>ci-après « </w:t>
      </w:r>
      <w:r w:rsidRPr="00A64C93">
        <w:t>AGA</w:t>
      </w:r>
      <w:r w:rsidR="006F7652">
        <w:t> »</w:t>
      </w:r>
      <w:r w:rsidRPr="00A64C93">
        <w:t>) en faveur de l’équipe dirigeante y compris s</w:t>
      </w:r>
      <w:r w:rsidR="00E513E0">
        <w:t xml:space="preserve">pour </w:t>
      </w:r>
      <w:r w:rsidRPr="00A64C93">
        <w:t xml:space="preserve">on Président Directeur Général </w:t>
      </w:r>
      <w:r w:rsidR="00E513E0">
        <w:t xml:space="preserve">M. </w:t>
      </w:r>
      <w:r w:rsidRPr="00A64C93">
        <w:t xml:space="preserve">Stéphane Le Roux. </w:t>
      </w:r>
    </w:p>
    <w:p w14:paraId="6F9CAFA0" w14:textId="3085782D" w:rsidR="245A6EAB" w:rsidRDefault="245A6EAB" w:rsidP="00A64C93">
      <w:r w:rsidRPr="00A64C93">
        <w:t>Cette proposition vise à sécuriser la gouvernance</w:t>
      </w:r>
      <w:r w:rsidRPr="245A6EAB">
        <w:t xml:space="preserve"> et fidéliser le </w:t>
      </w:r>
      <w:r w:rsidR="00597B8A">
        <w:t>c</w:t>
      </w:r>
      <w:r w:rsidRPr="245A6EAB">
        <w:t xml:space="preserve">omité de </w:t>
      </w:r>
      <w:r w:rsidR="00597B8A">
        <w:t>d</w:t>
      </w:r>
      <w:r w:rsidRPr="245A6EAB">
        <w:t>irection.</w:t>
      </w:r>
    </w:p>
    <w:p w14:paraId="3ACB0576" w14:textId="1877B067" w:rsidR="00CF0C5B" w:rsidRPr="00095E6D" w:rsidRDefault="00EE50DB" w:rsidP="00EE50DB">
      <w:pPr>
        <w:pStyle w:val="Titre1"/>
      </w:pPr>
      <w:bookmarkStart w:id="223" w:name="_Ref372881057"/>
      <w:bookmarkStart w:id="224" w:name="_Toc475033229"/>
      <w:r>
        <w:lastRenderedPageBreak/>
        <w:t>1</w:t>
      </w:r>
      <w:r w:rsidR="00A247E0">
        <w:t>1</w:t>
      </w:r>
      <w:r>
        <w:t xml:space="preserve">. </w:t>
      </w:r>
      <w:r w:rsidR="00597B8A" w:rsidRPr="00095E6D">
        <w:t>PREVISIONS OU ESTIMATIONS DU BENEFICE</w:t>
      </w:r>
      <w:bookmarkEnd w:id="223"/>
      <w:bookmarkEnd w:id="224"/>
      <w:r w:rsidR="00597B8A" w:rsidRPr="00095E6D">
        <w:t xml:space="preserve"> </w:t>
      </w:r>
      <w:r w:rsidR="00597B8A" w:rsidRPr="00095E6D">
        <w:tab/>
      </w:r>
    </w:p>
    <w:p w14:paraId="199D6180" w14:textId="77777777" w:rsidR="00CF0C5B" w:rsidRDefault="00CF0C5B" w:rsidP="00CF0C5B">
      <w:pPr>
        <w:pStyle w:val="Paragraphedeliste"/>
        <w:tabs>
          <w:tab w:val="right" w:leader="dot" w:pos="8505"/>
        </w:tabs>
        <w:ind w:left="360" w:right="844"/>
        <w:rPr>
          <w:szCs w:val="20"/>
        </w:rPr>
      </w:pPr>
    </w:p>
    <w:p w14:paraId="35AD640A" w14:textId="34016D73" w:rsidR="004C255D" w:rsidRPr="00B64FB8" w:rsidRDefault="00B64FB8" w:rsidP="004C255D">
      <w:pPr>
        <w:rPr>
          <w:szCs w:val="20"/>
        </w:rPr>
      </w:pPr>
      <w:r w:rsidRPr="00B64FB8">
        <w:t>Néant.</w:t>
      </w:r>
    </w:p>
    <w:p w14:paraId="1961D621" w14:textId="0AA85CA8" w:rsidR="004C255D" w:rsidRDefault="004C255D" w:rsidP="004C255D"/>
    <w:p w14:paraId="0784F93A" w14:textId="77777777" w:rsidR="0079175A" w:rsidRDefault="0079175A">
      <w:pPr>
        <w:rPr>
          <w:rFonts w:eastAsiaTheme="majorEastAsia" w:cstheme="majorBidi"/>
          <w:b/>
          <w:bCs/>
          <w:color w:val="345A8A" w:themeColor="accent1" w:themeShade="B5"/>
          <w:sz w:val="32"/>
          <w:szCs w:val="32"/>
        </w:rPr>
      </w:pPr>
    </w:p>
    <w:p w14:paraId="4289BD6A" w14:textId="77777777" w:rsidR="004C255D" w:rsidRDefault="004C255D">
      <w:pPr>
        <w:jc w:val="left"/>
        <w:rPr>
          <w:rFonts w:eastAsiaTheme="majorEastAsia" w:cstheme="majorBidi"/>
          <w:b/>
          <w:bCs/>
          <w:color w:val="345A8A" w:themeColor="accent1" w:themeShade="B5"/>
          <w:sz w:val="32"/>
          <w:szCs w:val="32"/>
        </w:rPr>
      </w:pPr>
      <w:r>
        <w:br w:type="page"/>
      </w:r>
    </w:p>
    <w:p w14:paraId="1359DCD9" w14:textId="5B7AB3A5" w:rsidR="00CF0C5B" w:rsidRPr="00095E6D" w:rsidRDefault="00597B8A" w:rsidP="00EE50DB">
      <w:pPr>
        <w:pStyle w:val="Titre1"/>
      </w:pPr>
      <w:bookmarkStart w:id="225" w:name="_Toc475033230"/>
      <w:r>
        <w:lastRenderedPageBreak/>
        <w:t xml:space="preserve">12. ORGANES D’ADMINISTRATION, </w:t>
      </w:r>
      <w:r w:rsidRPr="00095E6D">
        <w:t xml:space="preserve">DE DIRECTION </w:t>
      </w:r>
      <w:r>
        <w:t>DE SURVEILLANCE ET DE DIRECTION GENERALE</w:t>
      </w:r>
      <w:bookmarkEnd w:id="225"/>
      <w:r w:rsidRPr="00095E6D">
        <w:tab/>
      </w:r>
    </w:p>
    <w:p w14:paraId="797A1BD6" w14:textId="412F37A3" w:rsidR="00CF0C5B" w:rsidRPr="00095E6D" w:rsidRDefault="00EE50DB" w:rsidP="00EE50DB">
      <w:pPr>
        <w:pStyle w:val="Titre2"/>
      </w:pPr>
      <w:bookmarkStart w:id="226" w:name="_Ref337844515"/>
      <w:bookmarkStart w:id="227" w:name="_Toc475033231"/>
      <w:r>
        <w:t>1</w:t>
      </w:r>
      <w:r w:rsidR="00A247E0">
        <w:t>2</w:t>
      </w:r>
      <w:r>
        <w:t>.1</w:t>
      </w:r>
      <w:r w:rsidR="00CF0C5B" w:rsidRPr="00095E6D">
        <w:t xml:space="preserve"> Dirigeants </w:t>
      </w:r>
      <w:r w:rsidR="001A5AA0">
        <w:t>et administrateurs</w:t>
      </w:r>
      <w:bookmarkEnd w:id="226"/>
      <w:bookmarkEnd w:id="227"/>
      <w:r w:rsidR="00CF0C5B" w:rsidRPr="00095E6D">
        <w:tab/>
      </w:r>
    </w:p>
    <w:p w14:paraId="0EB2D56C" w14:textId="77777777" w:rsidR="00C04A17" w:rsidRDefault="00C04A17" w:rsidP="00C04A17">
      <w:pPr>
        <w:rPr>
          <w:rFonts w:ascii="Segoe UI" w:hAnsi="Segoe UI" w:cs="Segoe UI"/>
        </w:rPr>
      </w:pPr>
      <w:bookmarkStart w:id="228" w:name="_Ref367691792"/>
    </w:p>
    <w:p w14:paraId="5E661EA7" w14:textId="118D2386" w:rsidR="00C04A17" w:rsidRDefault="00C04A17" w:rsidP="00616C5E">
      <w:r>
        <w:t>I</w:t>
      </w:r>
      <w:r w:rsidRPr="00376795">
        <w:t xml:space="preserve">nitialement constituée sous la forme de </w:t>
      </w:r>
      <w:r w:rsidR="0071134A">
        <w:t>s</w:t>
      </w:r>
      <w:r w:rsidRPr="00376795">
        <w:t xml:space="preserve">ociété par </w:t>
      </w:r>
      <w:r w:rsidR="0071134A">
        <w:t>a</w:t>
      </w:r>
      <w:r w:rsidRPr="00376795">
        <w:t xml:space="preserve">ctions </w:t>
      </w:r>
      <w:r w:rsidR="0071134A">
        <w:t>s</w:t>
      </w:r>
      <w:r w:rsidRPr="00376795">
        <w:t xml:space="preserve">implifiée suivant acte constitutif en date à Lyon du </w:t>
      </w:r>
      <w:r w:rsidR="00754BAD">
        <w:t>1</w:t>
      </w:r>
      <w:r w:rsidR="00754BAD" w:rsidRPr="00754BAD">
        <w:rPr>
          <w:vertAlign w:val="superscript"/>
        </w:rPr>
        <w:t>er</w:t>
      </w:r>
      <w:r w:rsidR="00754BAD">
        <w:t xml:space="preserve"> </w:t>
      </w:r>
      <w:r w:rsidRPr="00376795">
        <w:t xml:space="preserve">septembre 2005, </w:t>
      </w:r>
      <w:r>
        <w:t xml:space="preserve">Spineway a été </w:t>
      </w:r>
      <w:r w:rsidRPr="00376795">
        <w:t xml:space="preserve">transformée en </w:t>
      </w:r>
      <w:r w:rsidR="00212F74">
        <w:t>s</w:t>
      </w:r>
      <w:r w:rsidRPr="00376795">
        <w:t xml:space="preserve">ociété </w:t>
      </w:r>
      <w:r w:rsidR="00212F74">
        <w:t>a</w:t>
      </w:r>
      <w:r w:rsidRPr="00376795">
        <w:t>nonyme à Conseil d’</w:t>
      </w:r>
      <w:r w:rsidR="00212F74">
        <w:t>a</w:t>
      </w:r>
      <w:r w:rsidRPr="00376795">
        <w:t>dministration suivant délibérations de l’</w:t>
      </w:r>
      <w:r w:rsidR="00212F74">
        <w:t>a</w:t>
      </w:r>
      <w:r w:rsidRPr="00376795">
        <w:t xml:space="preserve">ssemblée </w:t>
      </w:r>
      <w:r w:rsidR="00212F74">
        <w:t>g</w:t>
      </w:r>
      <w:r w:rsidRPr="00376795">
        <w:t xml:space="preserve">énérale </w:t>
      </w:r>
      <w:r w:rsidR="00212F74">
        <w:t>m</w:t>
      </w:r>
      <w:r w:rsidRPr="00376795">
        <w:t xml:space="preserve">ixte des actionnaires </w:t>
      </w:r>
      <w:r>
        <w:t>du</w:t>
      </w:r>
      <w:r w:rsidRPr="00376795">
        <w:t xml:space="preserve"> 22 novembre 2012</w:t>
      </w:r>
      <w:r>
        <w:t>.</w:t>
      </w:r>
    </w:p>
    <w:p w14:paraId="069991E9" w14:textId="77777777" w:rsidR="00754BAD" w:rsidRDefault="00754BAD" w:rsidP="00616C5E"/>
    <w:p w14:paraId="05FAABC2" w14:textId="2B282392" w:rsidR="00754BAD" w:rsidRPr="00376795" w:rsidRDefault="00984FCC" w:rsidP="00616C5E">
      <w:r w:rsidRPr="00054FC3">
        <w:t>M</w:t>
      </w:r>
      <w:r>
        <w:t xml:space="preserve">. </w:t>
      </w:r>
      <w:r w:rsidR="00754BAD">
        <w:t xml:space="preserve">Stéphane </w:t>
      </w:r>
      <w:r w:rsidR="00754BAD" w:rsidRPr="00054FC3">
        <w:rPr>
          <w:rFonts w:eastAsia="Times New Roman" w:cs="Times New Roman"/>
          <w:szCs w:val="20"/>
        </w:rPr>
        <w:t xml:space="preserve">Le Roux </w:t>
      </w:r>
      <w:r w:rsidR="00FE74A0">
        <w:rPr>
          <w:rFonts w:eastAsia="Times New Roman" w:cs="Times New Roman"/>
          <w:szCs w:val="20"/>
        </w:rPr>
        <w:t xml:space="preserve">est </w:t>
      </w:r>
      <w:r w:rsidR="00754BAD">
        <w:rPr>
          <w:rFonts w:eastAsia="Times New Roman" w:cs="Times New Roman"/>
          <w:szCs w:val="20"/>
        </w:rPr>
        <w:t xml:space="preserve">Président </w:t>
      </w:r>
      <w:r w:rsidR="00754BAD" w:rsidRPr="00D424DA">
        <w:t>Directeur Général</w:t>
      </w:r>
      <w:r w:rsidR="00FE74A0">
        <w:t xml:space="preserve"> et</w:t>
      </w:r>
      <w:r w:rsidR="00754BAD" w:rsidRPr="00D424DA">
        <w:t xml:space="preserve"> </w:t>
      </w:r>
      <w:r w:rsidR="00754BAD">
        <w:t xml:space="preserve">directement </w:t>
      </w:r>
      <w:r w:rsidR="00FE74A0">
        <w:t>actionnaire</w:t>
      </w:r>
      <w:r w:rsidR="00754BAD">
        <w:t xml:space="preserve"> </w:t>
      </w:r>
      <w:r w:rsidR="00754BAD" w:rsidRPr="00D424DA">
        <w:t>de la Société.</w:t>
      </w:r>
    </w:p>
    <w:p w14:paraId="5C8AEAFC" w14:textId="3EE09C88" w:rsidR="00CF0C5B" w:rsidRDefault="00EE50DB" w:rsidP="00616C5E">
      <w:pPr>
        <w:pStyle w:val="Titre3"/>
      </w:pPr>
      <w:bookmarkStart w:id="229" w:name="_Ref368229592"/>
      <w:bookmarkStart w:id="230" w:name="_Toc475033232"/>
      <w:r>
        <w:t>1</w:t>
      </w:r>
      <w:r w:rsidR="00A247E0">
        <w:t>2</w:t>
      </w:r>
      <w:r>
        <w:t xml:space="preserve">.1.1 </w:t>
      </w:r>
      <w:r w:rsidR="00CF0C5B">
        <w:t>Conseil d’</w:t>
      </w:r>
      <w:r w:rsidR="00212F74">
        <w:t>a</w:t>
      </w:r>
      <w:r w:rsidR="00CF0C5B">
        <w:t>dministration</w:t>
      </w:r>
      <w:bookmarkEnd w:id="228"/>
      <w:bookmarkEnd w:id="229"/>
      <w:bookmarkEnd w:id="230"/>
      <w:r w:rsidR="00CF0C5B">
        <w:t xml:space="preserve"> </w:t>
      </w:r>
      <w:r w:rsidR="00CF0C5B">
        <w:tab/>
      </w:r>
    </w:p>
    <w:p w14:paraId="5865A454" w14:textId="77777777" w:rsidR="009D5AD4" w:rsidRDefault="009D5AD4" w:rsidP="009D5AD4"/>
    <w:p w14:paraId="009C42AB" w14:textId="49E1F2C9" w:rsidR="00283A99" w:rsidRPr="00283A99" w:rsidRDefault="00283A99" w:rsidP="00283A99">
      <w:pPr>
        <w:rPr>
          <w:b/>
        </w:rPr>
      </w:pPr>
      <w:bookmarkStart w:id="231" w:name="_Ref341519879"/>
      <w:r w:rsidRPr="00283A99">
        <w:rPr>
          <w:b/>
        </w:rPr>
        <w:t>Les membres du Conseil d’</w:t>
      </w:r>
      <w:r w:rsidR="00212F74">
        <w:rPr>
          <w:b/>
        </w:rPr>
        <w:t>a</w:t>
      </w:r>
      <w:r w:rsidRPr="00283A99">
        <w:rPr>
          <w:b/>
        </w:rPr>
        <w:t>dministration</w:t>
      </w:r>
    </w:p>
    <w:p w14:paraId="05B63D44" w14:textId="77777777" w:rsidR="00283A99" w:rsidRDefault="00283A99" w:rsidP="00283A99"/>
    <w:p w14:paraId="4E5E221A" w14:textId="5448B563" w:rsidR="009D5AD4" w:rsidRDefault="009D5AD4" w:rsidP="00283A99">
      <w:r>
        <w:t>L'</w:t>
      </w:r>
      <w:r w:rsidR="00212F74">
        <w:t>a</w:t>
      </w:r>
      <w:r>
        <w:t>ssembl</w:t>
      </w:r>
      <w:r w:rsidR="00D14141">
        <w:t xml:space="preserve">ée </w:t>
      </w:r>
      <w:r w:rsidR="00212F74">
        <w:t>g</w:t>
      </w:r>
      <w:r w:rsidR="00D14141">
        <w:t xml:space="preserve">énérale des actionnaires du </w:t>
      </w:r>
      <w:r w:rsidR="00283A99" w:rsidRPr="00283A99">
        <w:t>22 novembre 2012</w:t>
      </w:r>
      <w:r w:rsidR="00A26900" w:rsidRPr="00283A99">
        <w:t xml:space="preserve"> </w:t>
      </w:r>
      <w:r>
        <w:t xml:space="preserve">a </w:t>
      </w:r>
      <w:r w:rsidRPr="00283A99">
        <w:t>désigné</w:t>
      </w:r>
      <w:bookmarkEnd w:id="231"/>
      <w:r w:rsidR="00D14141">
        <w:t xml:space="preserve"> </w:t>
      </w:r>
      <w:r w:rsidR="00732D5D">
        <w:t xml:space="preserve">M. </w:t>
      </w:r>
      <w:r w:rsidR="00D14141">
        <w:t>Stéphane Le Roux</w:t>
      </w:r>
      <w:r w:rsidR="00FE74A0">
        <w:t xml:space="preserve"> en qualité d’administrateur</w:t>
      </w:r>
      <w:r w:rsidR="00732D5D">
        <w:t xml:space="preserve"> et l’a renouvelé dans ses fonctions d’administrateur le 25 juin 2018 </w:t>
      </w:r>
      <w:r w:rsidR="00732D5D" w:rsidRPr="00732D5D">
        <w:t>pour une durée de 6 années (soit jusqu’à l’</w:t>
      </w:r>
      <w:r w:rsidR="00212F74">
        <w:t>a</w:t>
      </w:r>
      <w:r w:rsidR="00732D5D" w:rsidRPr="00732D5D">
        <w:t xml:space="preserve">ssemblée </w:t>
      </w:r>
      <w:r w:rsidR="00212F74">
        <w:t>g</w:t>
      </w:r>
      <w:r w:rsidR="00732D5D" w:rsidRPr="00732D5D">
        <w:t xml:space="preserve">énérale </w:t>
      </w:r>
      <w:r w:rsidR="00212F74">
        <w:t>o</w:t>
      </w:r>
      <w:r w:rsidR="00732D5D" w:rsidRPr="00732D5D">
        <w:t xml:space="preserve">rdinaire </w:t>
      </w:r>
      <w:r w:rsidR="00212F74">
        <w:t>a</w:t>
      </w:r>
      <w:r w:rsidR="00732D5D" w:rsidRPr="00732D5D">
        <w:t xml:space="preserve">nnuelle à tenir dans l’année </w:t>
      </w:r>
      <w:r w:rsidR="00732D5D">
        <w:t>2024</w:t>
      </w:r>
      <w:r w:rsidR="00732D5D" w:rsidRPr="00732D5D">
        <w:t xml:space="preserve"> pour statuer sur les comptes de l’exercice clos le 31 décembre 20</w:t>
      </w:r>
      <w:r w:rsidR="00732D5D">
        <w:t>2</w:t>
      </w:r>
      <w:r w:rsidR="00732D5D" w:rsidRPr="00732D5D">
        <w:t>3).</w:t>
      </w:r>
    </w:p>
    <w:p w14:paraId="6A60C35E" w14:textId="77777777" w:rsidR="00D14141" w:rsidRDefault="00D14141" w:rsidP="00283A99">
      <w:pPr>
        <w:rPr>
          <w:rFonts w:eastAsia="Times New Roman" w:cs="Times New Roman"/>
          <w:color w:val="000000"/>
          <w:szCs w:val="20"/>
        </w:rPr>
      </w:pPr>
    </w:p>
    <w:p w14:paraId="7FC5D48A" w14:textId="51B31285" w:rsidR="00D14141" w:rsidRDefault="00D14141" w:rsidP="00283A99">
      <w:pPr>
        <w:rPr>
          <w:rFonts w:eastAsia="Times New Roman" w:cs="Times New Roman"/>
          <w:color w:val="000000"/>
          <w:szCs w:val="20"/>
        </w:rPr>
      </w:pPr>
      <w:r w:rsidRPr="003C7B78">
        <w:rPr>
          <w:rFonts w:eastAsia="Times New Roman" w:cs="Times New Roman"/>
          <w:color w:val="000000"/>
          <w:szCs w:val="20"/>
        </w:rPr>
        <w:t>M</w:t>
      </w:r>
      <w:r w:rsidR="00760C79">
        <w:rPr>
          <w:rFonts w:eastAsia="Times New Roman" w:cs="Times New Roman"/>
          <w:color w:val="000000"/>
          <w:szCs w:val="20"/>
        </w:rPr>
        <w:t>adam</w:t>
      </w:r>
      <w:r w:rsidRPr="003C7B78">
        <w:rPr>
          <w:rFonts w:eastAsia="Times New Roman" w:cs="Times New Roman"/>
          <w:color w:val="000000"/>
          <w:szCs w:val="20"/>
        </w:rPr>
        <w:t xml:space="preserve">e Bérangère Boggio, </w:t>
      </w:r>
      <w:r>
        <w:rPr>
          <w:rFonts w:eastAsia="Times New Roman" w:cs="Times New Roman"/>
          <w:color w:val="000000"/>
          <w:szCs w:val="20"/>
        </w:rPr>
        <w:t>a été nommée administrateur à titre provisoire par le Conseil d’</w:t>
      </w:r>
      <w:r w:rsidR="00760C79">
        <w:rPr>
          <w:rFonts w:eastAsia="Times New Roman" w:cs="Times New Roman"/>
          <w:color w:val="000000"/>
          <w:szCs w:val="20"/>
        </w:rPr>
        <w:t>a</w:t>
      </w:r>
      <w:r>
        <w:rPr>
          <w:rFonts w:eastAsia="Times New Roman" w:cs="Times New Roman"/>
          <w:color w:val="000000"/>
          <w:szCs w:val="20"/>
        </w:rPr>
        <w:t>dministration de Spineway du 26 avril 2016, en remplacement de M</w:t>
      </w:r>
      <w:r w:rsidR="00760C79">
        <w:rPr>
          <w:rFonts w:eastAsia="Times New Roman" w:cs="Times New Roman"/>
          <w:color w:val="000000"/>
          <w:szCs w:val="20"/>
        </w:rPr>
        <w:t>ada</w:t>
      </w:r>
      <w:r>
        <w:rPr>
          <w:rFonts w:eastAsia="Times New Roman" w:cs="Times New Roman"/>
          <w:color w:val="000000"/>
          <w:szCs w:val="20"/>
        </w:rPr>
        <w:t>me Frédérique Girard-Ory, démissionnaire, pour la durée restant à courir du mandat de son prédécesseur</w:t>
      </w:r>
      <w:r w:rsidR="00760C79">
        <w:rPr>
          <w:rFonts w:eastAsia="Times New Roman" w:cs="Times New Roman"/>
          <w:color w:val="000000"/>
          <w:szCs w:val="20"/>
        </w:rPr>
        <w:t>.</w:t>
      </w:r>
      <w:r>
        <w:rPr>
          <w:rFonts w:eastAsia="Times New Roman" w:cs="Times New Roman"/>
          <w:color w:val="000000"/>
          <w:szCs w:val="20"/>
        </w:rPr>
        <w:t xml:space="preserve"> </w:t>
      </w:r>
      <w:r w:rsidR="00732D5D">
        <w:rPr>
          <w:rFonts w:eastAsia="Times New Roman" w:cs="Times New Roman"/>
          <w:color w:val="000000"/>
          <w:szCs w:val="20"/>
        </w:rPr>
        <w:t xml:space="preserve">Cette </w:t>
      </w:r>
      <w:r>
        <w:rPr>
          <w:rFonts w:eastAsia="Times New Roman" w:cs="Times New Roman"/>
          <w:color w:val="000000"/>
          <w:szCs w:val="20"/>
        </w:rPr>
        <w:t>nomination</w:t>
      </w:r>
      <w:r w:rsidR="00732D5D">
        <w:rPr>
          <w:rFonts w:eastAsia="Times New Roman" w:cs="Times New Roman"/>
          <w:color w:val="000000"/>
          <w:szCs w:val="20"/>
        </w:rPr>
        <w:t xml:space="preserve"> a été ratifiée par l’</w:t>
      </w:r>
      <w:r w:rsidR="00760C79">
        <w:rPr>
          <w:rFonts w:eastAsia="Times New Roman" w:cs="Times New Roman"/>
          <w:color w:val="000000"/>
          <w:szCs w:val="20"/>
        </w:rPr>
        <w:t>a</w:t>
      </w:r>
      <w:r w:rsidR="00732D5D">
        <w:rPr>
          <w:rFonts w:eastAsia="Times New Roman" w:cs="Times New Roman"/>
          <w:color w:val="000000"/>
          <w:szCs w:val="20"/>
        </w:rPr>
        <w:t xml:space="preserve">ssemblée </w:t>
      </w:r>
      <w:r w:rsidR="00760C79">
        <w:rPr>
          <w:rFonts w:eastAsia="Times New Roman" w:cs="Times New Roman"/>
          <w:color w:val="000000"/>
          <w:szCs w:val="20"/>
        </w:rPr>
        <w:t>g</w:t>
      </w:r>
      <w:r w:rsidR="00732D5D">
        <w:rPr>
          <w:rFonts w:eastAsia="Times New Roman" w:cs="Times New Roman"/>
          <w:color w:val="000000"/>
          <w:szCs w:val="20"/>
        </w:rPr>
        <w:t xml:space="preserve">énérale du 14 juin 2016 et le mandat de </w:t>
      </w:r>
      <w:r w:rsidR="00732D5D" w:rsidRPr="003C7B78">
        <w:rPr>
          <w:rFonts w:eastAsia="Times New Roman" w:cs="Times New Roman"/>
          <w:color w:val="000000"/>
          <w:szCs w:val="20"/>
        </w:rPr>
        <w:t>M</w:t>
      </w:r>
      <w:r w:rsidR="00760C79">
        <w:rPr>
          <w:rFonts w:eastAsia="Times New Roman" w:cs="Times New Roman"/>
          <w:color w:val="000000"/>
          <w:szCs w:val="20"/>
        </w:rPr>
        <w:t>ada</w:t>
      </w:r>
      <w:r w:rsidR="00732D5D" w:rsidRPr="003C7B78">
        <w:rPr>
          <w:rFonts w:eastAsia="Times New Roman" w:cs="Times New Roman"/>
          <w:color w:val="000000"/>
          <w:szCs w:val="20"/>
        </w:rPr>
        <w:t>me Bérangère Boggio</w:t>
      </w:r>
      <w:r w:rsidR="00732D5D">
        <w:t xml:space="preserve"> a été renouvelé par l’</w:t>
      </w:r>
      <w:r w:rsidR="00C13CF7">
        <w:t>a</w:t>
      </w:r>
      <w:r w:rsidR="00732D5D">
        <w:t xml:space="preserve">ssemblée </w:t>
      </w:r>
      <w:r w:rsidR="00C13CF7">
        <w:t>g</w:t>
      </w:r>
      <w:r w:rsidR="00732D5D">
        <w:t xml:space="preserve">énérale </w:t>
      </w:r>
      <w:r w:rsidR="00C13CF7">
        <w:t>m</w:t>
      </w:r>
      <w:r w:rsidR="00732D5D">
        <w:t xml:space="preserve">ixte du 25 juin 2018 </w:t>
      </w:r>
      <w:r w:rsidR="00732D5D" w:rsidRPr="00732D5D">
        <w:t>pour une durée de 6 années (soit jusqu’à l’</w:t>
      </w:r>
      <w:r w:rsidR="00C13CF7">
        <w:t>a</w:t>
      </w:r>
      <w:r w:rsidR="00732D5D" w:rsidRPr="00732D5D">
        <w:t xml:space="preserve">ssemblée </w:t>
      </w:r>
      <w:r w:rsidR="00C13CF7">
        <w:t>g</w:t>
      </w:r>
      <w:r w:rsidR="00732D5D" w:rsidRPr="00732D5D">
        <w:t xml:space="preserve">énérale </w:t>
      </w:r>
      <w:r w:rsidR="00C13CF7">
        <w:t>o</w:t>
      </w:r>
      <w:r w:rsidR="00732D5D" w:rsidRPr="00732D5D">
        <w:t xml:space="preserve">rdinaire </w:t>
      </w:r>
      <w:r w:rsidR="00C13CF7">
        <w:t>a</w:t>
      </w:r>
      <w:r w:rsidR="00732D5D" w:rsidRPr="00732D5D">
        <w:t xml:space="preserve">nnuelle à tenir dans l’année </w:t>
      </w:r>
      <w:r w:rsidR="00732D5D">
        <w:t>2024</w:t>
      </w:r>
      <w:r w:rsidR="00732D5D" w:rsidRPr="00732D5D">
        <w:t xml:space="preserve"> pour statuer sur les comptes de l’exercice clos le 31 décembre 20</w:t>
      </w:r>
      <w:r w:rsidR="00732D5D">
        <w:t>2</w:t>
      </w:r>
      <w:r w:rsidR="00732D5D" w:rsidRPr="00732D5D">
        <w:t>3).</w:t>
      </w:r>
    </w:p>
    <w:p w14:paraId="043B038B" w14:textId="77777777" w:rsidR="00976142" w:rsidRDefault="00976142" w:rsidP="00976142"/>
    <w:p w14:paraId="6703A0C5" w14:textId="4CFA14E7" w:rsidR="00976142" w:rsidRDefault="00976142" w:rsidP="00976142">
      <w:r w:rsidRPr="00071130">
        <w:t>Le Conseil d’administration du 13 octobre 2017 a procédé à la cooptation de M. Joseph Brigneaud, en</w:t>
      </w:r>
      <w:r>
        <w:t xml:space="preserve"> remplacement de M. Michel Onimus, démissionnaire</w:t>
      </w:r>
      <w:r w:rsidR="00732D5D">
        <w:t xml:space="preserve">. </w:t>
      </w:r>
      <w:r w:rsidR="00732D5D">
        <w:rPr>
          <w:rFonts w:eastAsia="Times New Roman" w:cs="Times New Roman"/>
          <w:color w:val="000000"/>
          <w:szCs w:val="20"/>
        </w:rPr>
        <w:t xml:space="preserve">Le mandat de </w:t>
      </w:r>
      <w:r w:rsidR="00732D5D" w:rsidRPr="00071130">
        <w:t>M. Joseph Brigneaud</w:t>
      </w:r>
      <w:r w:rsidR="00732D5D">
        <w:t xml:space="preserve"> a été renouvelé par l’</w:t>
      </w:r>
      <w:r w:rsidR="00C13CF7">
        <w:t>a</w:t>
      </w:r>
      <w:r w:rsidR="00732D5D">
        <w:t xml:space="preserve">ssemblée </w:t>
      </w:r>
      <w:r w:rsidR="00C13CF7">
        <w:t>g</w:t>
      </w:r>
      <w:r w:rsidR="00732D5D">
        <w:t xml:space="preserve">énérale </w:t>
      </w:r>
      <w:r w:rsidR="00C13CF7">
        <w:t>m</w:t>
      </w:r>
      <w:r w:rsidR="00732D5D">
        <w:t xml:space="preserve">ixte du 25 juin 2018 </w:t>
      </w:r>
      <w:r w:rsidR="00732D5D" w:rsidRPr="00732D5D">
        <w:t>pour une durée de 6 années (soit jusqu’à l’</w:t>
      </w:r>
      <w:r w:rsidR="00C13CF7">
        <w:t>a</w:t>
      </w:r>
      <w:r w:rsidR="00732D5D" w:rsidRPr="00732D5D">
        <w:t xml:space="preserve">ssemblée </w:t>
      </w:r>
      <w:r w:rsidR="00C13CF7">
        <w:t>g</w:t>
      </w:r>
      <w:r w:rsidR="00732D5D" w:rsidRPr="00732D5D">
        <w:t xml:space="preserve">énérale </w:t>
      </w:r>
      <w:r w:rsidR="00C13CF7">
        <w:t>o</w:t>
      </w:r>
      <w:r w:rsidR="00732D5D" w:rsidRPr="00732D5D">
        <w:t xml:space="preserve">rdinaire </w:t>
      </w:r>
      <w:r w:rsidR="00C13CF7">
        <w:t>a</w:t>
      </w:r>
      <w:r w:rsidR="00732D5D" w:rsidRPr="00732D5D">
        <w:t xml:space="preserve">nnuelle à tenir dans l’année </w:t>
      </w:r>
      <w:r w:rsidR="00732D5D">
        <w:t>2024</w:t>
      </w:r>
      <w:r w:rsidR="00732D5D" w:rsidRPr="00732D5D">
        <w:t xml:space="preserve"> pour statuer sur les comptes de l’exercice clos le 31 décembre 20</w:t>
      </w:r>
      <w:r w:rsidR="00732D5D">
        <w:t>2</w:t>
      </w:r>
      <w:r w:rsidR="00732D5D" w:rsidRPr="00732D5D">
        <w:t>3).</w:t>
      </w:r>
    </w:p>
    <w:p w14:paraId="48142A18" w14:textId="77777777" w:rsidR="00FE74A0" w:rsidRDefault="00FE74A0" w:rsidP="00976142"/>
    <w:p w14:paraId="430FC1ED" w14:textId="6C29A670" w:rsidR="00161929" w:rsidRPr="00795F52" w:rsidRDefault="00161929" w:rsidP="00F8288E">
      <w:r w:rsidRPr="00161929">
        <w:t xml:space="preserve">Auparavant censeur, la société Tinavi Medical Technologies Co. Ltd., une </w:t>
      </w:r>
      <w:r w:rsidR="00C13CF7">
        <w:t>société à responsabilité</w:t>
      </w:r>
      <w:r w:rsidRPr="00161929">
        <w:t xml:space="preserve"> de droit</w:t>
      </w:r>
      <w:r>
        <w:t xml:space="preserve"> </w:t>
      </w:r>
      <w:r w:rsidRPr="00161929">
        <w:t xml:space="preserve">chinois, dont le siège social est </w:t>
      </w:r>
      <w:r w:rsidR="00C13CF7">
        <w:t xml:space="preserve">situé </w:t>
      </w:r>
      <w:r w:rsidRPr="00161929">
        <w:t>2/F, C-1 Dongsheng Technology Park, 66 Xixiaokou Road, Haidian, Beijing</w:t>
      </w:r>
      <w:r>
        <w:t xml:space="preserve"> </w:t>
      </w:r>
      <w:r w:rsidRPr="00161929">
        <w:t>100192, P.R.C, a été nommée en qualité de nouvel administrateur par l’</w:t>
      </w:r>
      <w:r w:rsidR="00C13CF7">
        <w:t>a</w:t>
      </w:r>
      <w:r w:rsidRPr="00161929">
        <w:t xml:space="preserve">ssemblée </w:t>
      </w:r>
      <w:r w:rsidR="00C13CF7">
        <w:t>g</w:t>
      </w:r>
      <w:r w:rsidRPr="00161929">
        <w:t>énérale du 25 juin 2018</w:t>
      </w:r>
      <w:r>
        <w:t xml:space="preserve"> </w:t>
      </w:r>
      <w:r w:rsidRPr="00161929">
        <w:t>conformément aux accords conclus avec la Société</w:t>
      </w:r>
      <w:r w:rsidR="00732D5D">
        <w:t xml:space="preserve"> </w:t>
      </w:r>
      <w:r w:rsidR="00F8288E">
        <w:t>(</w:t>
      </w:r>
      <w:r w:rsidR="00F8288E" w:rsidRPr="006776F9">
        <w:t xml:space="preserve">contrat d’investissement conclu le 22 septembre 2016 entre Spineway et </w:t>
      </w:r>
      <w:r w:rsidR="00F8288E">
        <w:t>Tinavi Medical)</w:t>
      </w:r>
      <w:r w:rsidR="00732D5D">
        <w:t xml:space="preserve"> </w:t>
      </w:r>
      <w:r w:rsidR="00732D5D" w:rsidRPr="00732D5D">
        <w:t>pour une durée de 6 années (soit jusqu’à l’</w:t>
      </w:r>
      <w:r w:rsidR="00405B22">
        <w:t>a</w:t>
      </w:r>
      <w:r w:rsidR="00732D5D" w:rsidRPr="00732D5D">
        <w:t xml:space="preserve">ssemblée </w:t>
      </w:r>
      <w:r w:rsidR="00405B22">
        <w:t>g</w:t>
      </w:r>
      <w:r w:rsidR="00732D5D" w:rsidRPr="00732D5D">
        <w:t xml:space="preserve">énérale </w:t>
      </w:r>
      <w:r w:rsidR="00405B22">
        <w:t>o</w:t>
      </w:r>
      <w:r w:rsidR="00732D5D" w:rsidRPr="00732D5D">
        <w:t xml:space="preserve">rdinaire </w:t>
      </w:r>
      <w:r w:rsidR="00405B22">
        <w:t>a</w:t>
      </w:r>
      <w:r w:rsidR="00732D5D" w:rsidRPr="00732D5D">
        <w:t xml:space="preserve">nnuelle à tenir dans l’année </w:t>
      </w:r>
      <w:r w:rsidR="00732D5D">
        <w:t>2024</w:t>
      </w:r>
      <w:r w:rsidR="00732D5D" w:rsidRPr="00732D5D">
        <w:t xml:space="preserve"> pour statuer sur les comptes de l’exercice clos le 31 décembre 20</w:t>
      </w:r>
      <w:r w:rsidR="00732D5D">
        <w:t>2</w:t>
      </w:r>
      <w:r w:rsidR="00732D5D" w:rsidRPr="00732D5D">
        <w:t>3)</w:t>
      </w:r>
      <w:r w:rsidR="00F8288E" w:rsidRPr="0058762D">
        <w:t>.</w:t>
      </w:r>
    </w:p>
    <w:p w14:paraId="021FEB4A" w14:textId="55EC6371" w:rsidR="00061BCA" w:rsidRDefault="00A415A3" w:rsidP="00283A99">
      <w:r>
        <w:t>Cf. paragraphe « </w:t>
      </w:r>
      <w:r>
        <w:fldChar w:fldCharType="begin"/>
      </w:r>
      <w:r>
        <w:instrText xml:space="preserve"> REF _Ref471468847 \h </w:instrText>
      </w:r>
      <w:r>
        <w:fldChar w:fldCharType="separate"/>
      </w:r>
      <w:r w:rsidR="003A0AD1">
        <w:t xml:space="preserve">20.2 </w:t>
      </w:r>
      <w:r w:rsidR="003A0AD1" w:rsidRPr="0098016E">
        <w:t>Contrat d’investissement signé le 22 septembre 2016 avec Ti</w:t>
      </w:r>
      <w:r w:rsidR="003A0AD1">
        <w:t>nav</w:t>
      </w:r>
      <w:r w:rsidR="003A0AD1" w:rsidRPr="0098016E">
        <w:t>i Medical Technologies</w:t>
      </w:r>
      <w:r w:rsidR="003A0AD1">
        <w:t xml:space="preserve"> (« Tinavi »)</w:t>
      </w:r>
      <w:r>
        <w:fldChar w:fldCharType="end"/>
      </w:r>
      <w:r>
        <w:t> » du Document d’enregistrement universel.</w:t>
      </w:r>
    </w:p>
    <w:p w14:paraId="7A6F3142" w14:textId="77777777" w:rsidR="00A415A3" w:rsidRDefault="00A415A3" w:rsidP="00283A99"/>
    <w:p w14:paraId="4F867C50" w14:textId="68AFB805" w:rsidR="009C0452" w:rsidRDefault="00D14141" w:rsidP="00283A99">
      <w:r>
        <w:t xml:space="preserve">A la date du </w:t>
      </w:r>
      <w:r w:rsidR="00920DEB">
        <w:t>Document d’enregistrement universel</w:t>
      </w:r>
      <w:r>
        <w:t xml:space="preserve">, sont </w:t>
      </w:r>
      <w:r w:rsidR="00A444F4">
        <w:t xml:space="preserve">donc </w:t>
      </w:r>
      <w:r>
        <w:t>administrateurs de Spineway :</w:t>
      </w:r>
      <w:r w:rsidR="009C0452" w:rsidRPr="009C0452">
        <w:t xml:space="preserve"> </w:t>
      </w:r>
    </w:p>
    <w:p w14:paraId="62C036B5" w14:textId="4E8F8307" w:rsidR="009C0452" w:rsidRDefault="009C0452" w:rsidP="00283A99"/>
    <w:p w14:paraId="1F7FA42C" w14:textId="20C915F2" w:rsidR="009C0452" w:rsidRPr="009D5AD4" w:rsidRDefault="004B1BB4" w:rsidP="00FD714B">
      <w:r w:rsidRPr="001947A2">
        <w:rPr>
          <w:noProof/>
        </w:rPr>
        <w:lastRenderedPageBreak/>
        <w:drawing>
          <wp:inline distT="0" distB="0" distL="0" distR="0" wp14:anchorId="6A85970A" wp14:editId="4FF5B90D">
            <wp:extent cx="5760720" cy="5732145"/>
            <wp:effectExtent l="0" t="0" r="5080" b="0"/>
            <wp:docPr id="544" name="Image 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760720" cy="5732145"/>
                    </a:xfrm>
                    <a:prstGeom prst="rect">
                      <a:avLst/>
                    </a:prstGeom>
                    <a:noFill/>
                    <a:ln>
                      <a:noFill/>
                    </a:ln>
                  </pic:spPr>
                </pic:pic>
              </a:graphicData>
            </a:graphic>
          </wp:inline>
        </w:drawing>
      </w:r>
    </w:p>
    <w:p w14:paraId="1F146392" w14:textId="77777777" w:rsidR="00147666" w:rsidRDefault="00147666" w:rsidP="00283A99">
      <w:r>
        <w:t>Il n’existe aucun lien familial entre les personnes listées ci-dessus.</w:t>
      </w:r>
    </w:p>
    <w:p w14:paraId="6A76307A" w14:textId="77777777" w:rsidR="00147666" w:rsidRDefault="00147666" w:rsidP="00283A99"/>
    <w:p w14:paraId="5F94F2F5" w14:textId="6C3C903C" w:rsidR="00283A99" w:rsidRPr="00FD714B" w:rsidRDefault="00283A99" w:rsidP="00283A99">
      <w:r>
        <w:t xml:space="preserve">A </w:t>
      </w:r>
      <w:r w:rsidRPr="00FD714B">
        <w:t xml:space="preserve">la connaissance de la Société et au cours des cinq dernières années : </w:t>
      </w:r>
    </w:p>
    <w:p w14:paraId="70398927" w14:textId="3FB5D3C1" w:rsidR="00283A99" w:rsidRPr="00FD714B" w:rsidRDefault="00283A99" w:rsidP="00C622C2">
      <w:pPr>
        <w:pStyle w:val="Paragraphedeliste"/>
        <w:numPr>
          <w:ilvl w:val="0"/>
          <w:numId w:val="46"/>
        </w:numPr>
      </w:pPr>
      <w:r w:rsidRPr="00FD714B">
        <w:t xml:space="preserve">aucune condamnation pour fraude n’a été prononcée à l’encontre d’une des personnes susvisées, </w:t>
      </w:r>
    </w:p>
    <w:p w14:paraId="6A4F8970" w14:textId="2E349B25" w:rsidR="00283A99" w:rsidRPr="00FD714B" w:rsidRDefault="00283A99" w:rsidP="00C622C2">
      <w:pPr>
        <w:pStyle w:val="Paragraphedeliste"/>
        <w:numPr>
          <w:ilvl w:val="0"/>
          <w:numId w:val="46"/>
        </w:numPr>
      </w:pPr>
      <w:r w:rsidRPr="00FD714B">
        <w:t xml:space="preserve">aucune des personnes susvisées n’a été associée à une faillite, </w:t>
      </w:r>
      <w:r w:rsidR="002A7DFB">
        <w:t xml:space="preserve">une </w:t>
      </w:r>
      <w:r w:rsidRPr="00FD714B">
        <w:t xml:space="preserve">mise sous séquestre ou </w:t>
      </w:r>
      <w:r w:rsidR="002A7DFB">
        <w:t xml:space="preserve">une </w:t>
      </w:r>
      <w:r w:rsidRPr="00FD714B">
        <w:t xml:space="preserve">liquidation, </w:t>
      </w:r>
    </w:p>
    <w:p w14:paraId="085879AA" w14:textId="24A7926C" w:rsidR="00283A99" w:rsidRPr="00B1796E" w:rsidRDefault="00283A99" w:rsidP="00C622C2">
      <w:pPr>
        <w:pStyle w:val="Paragraphedeliste"/>
        <w:numPr>
          <w:ilvl w:val="0"/>
          <w:numId w:val="46"/>
        </w:numPr>
      </w:pPr>
      <w:r w:rsidRPr="00B1796E">
        <w:t xml:space="preserve">aucune incrimination et/ou sanction publique officielle n’a été prononcée à l’encontre de l’une des personnes susvisées par des autorités statutaires ou réglementaires (y compris des organismes professionnels désignés) et  aucune des personnes susvisées n’a été empêchée par un tribunal d’agir en qualité de membre d’un organe d’administration, de direction ou de surveillance d’un émetteur, ni d’intervenir dans la gestion ou la conduite des affaires d’un émetteur. </w:t>
      </w:r>
    </w:p>
    <w:p w14:paraId="4540186B" w14:textId="77777777" w:rsidR="00283A99" w:rsidRPr="00B1796E" w:rsidRDefault="00283A99" w:rsidP="00283A99"/>
    <w:p w14:paraId="75F45FF8" w14:textId="2C68BA23" w:rsidR="00795F52" w:rsidRPr="00B1796E" w:rsidRDefault="00795F52" w:rsidP="00283A99">
      <w:pPr>
        <w:rPr>
          <w:b/>
        </w:rPr>
      </w:pPr>
      <w:r w:rsidRPr="00B1796E">
        <w:rPr>
          <w:b/>
        </w:rPr>
        <w:t>Administrateurs indépendants :</w:t>
      </w:r>
    </w:p>
    <w:p w14:paraId="48B9ADED" w14:textId="77777777" w:rsidR="00795F52" w:rsidRDefault="00795F52" w:rsidP="00283A99">
      <w:pPr>
        <w:rPr>
          <w:color w:val="FF0000"/>
        </w:rPr>
      </w:pPr>
    </w:p>
    <w:p w14:paraId="061D41A7" w14:textId="5E463BF1" w:rsidR="00795F52" w:rsidRPr="00061FF7" w:rsidRDefault="00795F52" w:rsidP="00795F52">
      <w:pPr>
        <w:rPr>
          <w:szCs w:val="20"/>
        </w:rPr>
      </w:pPr>
      <w:r w:rsidRPr="00061FF7">
        <w:rPr>
          <w:szCs w:val="20"/>
        </w:rPr>
        <w:t>Les critères d’indépe</w:t>
      </w:r>
      <w:r>
        <w:rPr>
          <w:szCs w:val="20"/>
        </w:rPr>
        <w:t>ndance selon la recommandation n°</w:t>
      </w:r>
      <w:r w:rsidRPr="00061FF7">
        <w:rPr>
          <w:szCs w:val="20"/>
        </w:rPr>
        <w:t>3 du code de gouvernance</w:t>
      </w:r>
      <w:r w:rsidR="002B692D">
        <w:rPr>
          <w:szCs w:val="20"/>
        </w:rPr>
        <w:t xml:space="preserve"> d’entreprise</w:t>
      </w:r>
      <w:r w:rsidRPr="00061FF7">
        <w:rPr>
          <w:szCs w:val="20"/>
        </w:rPr>
        <w:t xml:space="preserve"> </w:t>
      </w:r>
      <w:r w:rsidR="00D16E63" w:rsidRPr="00061FF7">
        <w:rPr>
          <w:szCs w:val="20"/>
        </w:rPr>
        <w:t>MiddleNext</w:t>
      </w:r>
      <w:r w:rsidRPr="00061FF7">
        <w:rPr>
          <w:szCs w:val="20"/>
        </w:rPr>
        <w:t xml:space="preserve"> sont les suivants :</w:t>
      </w:r>
    </w:p>
    <w:p w14:paraId="2B6C624F" w14:textId="77777777" w:rsidR="00795F52" w:rsidRPr="00061FF7" w:rsidRDefault="00795F52" w:rsidP="00C622C2">
      <w:pPr>
        <w:pStyle w:val="Paragraphedeliste"/>
        <w:widowControl w:val="0"/>
        <w:numPr>
          <w:ilvl w:val="0"/>
          <w:numId w:val="33"/>
        </w:numPr>
        <w:autoSpaceDE w:val="0"/>
        <w:autoSpaceDN w:val="0"/>
        <w:adjustRightInd w:val="0"/>
        <w:rPr>
          <w:szCs w:val="20"/>
        </w:rPr>
      </w:pPr>
      <w:r w:rsidRPr="00061FF7">
        <w:rPr>
          <w:szCs w:val="20"/>
        </w:rPr>
        <w:t>ne pas avoir été, au cours des 5 dernières années, et ne pas être salarié ni man</w:t>
      </w:r>
      <w:r>
        <w:rPr>
          <w:szCs w:val="20"/>
        </w:rPr>
        <w:t>dataire social dirigeant de la Société ou d’une société de son G</w:t>
      </w:r>
      <w:r w:rsidRPr="00061FF7">
        <w:rPr>
          <w:szCs w:val="20"/>
        </w:rPr>
        <w:t>roupe ;</w:t>
      </w:r>
    </w:p>
    <w:p w14:paraId="780444D7" w14:textId="77777777" w:rsidR="00795F52" w:rsidRPr="00061FF7" w:rsidRDefault="00795F52" w:rsidP="00C622C2">
      <w:pPr>
        <w:pStyle w:val="Paragraphedeliste"/>
        <w:widowControl w:val="0"/>
        <w:numPr>
          <w:ilvl w:val="0"/>
          <w:numId w:val="33"/>
        </w:numPr>
        <w:autoSpaceDE w:val="0"/>
        <w:autoSpaceDN w:val="0"/>
        <w:adjustRightInd w:val="0"/>
        <w:rPr>
          <w:szCs w:val="20"/>
        </w:rPr>
      </w:pPr>
      <w:r w:rsidRPr="00061FF7">
        <w:rPr>
          <w:szCs w:val="20"/>
        </w:rPr>
        <w:t>ne pas avoir été, au cours des 2 dernières années, et ne pas être en relation d’a</w:t>
      </w:r>
      <w:r>
        <w:rPr>
          <w:szCs w:val="20"/>
        </w:rPr>
        <w:t>ffaires significatives avec la Société ou son G</w:t>
      </w:r>
      <w:r w:rsidRPr="00061FF7">
        <w:rPr>
          <w:szCs w:val="20"/>
        </w:rPr>
        <w:t>roupe (client, fournisseur, concurrent, prestataire, créancier, banquier, etc.) ;</w:t>
      </w:r>
    </w:p>
    <w:p w14:paraId="56D1EBA2" w14:textId="77777777" w:rsidR="00795F52" w:rsidRPr="00061FF7" w:rsidRDefault="00795F52" w:rsidP="00C622C2">
      <w:pPr>
        <w:pStyle w:val="Paragraphedeliste"/>
        <w:widowControl w:val="0"/>
        <w:numPr>
          <w:ilvl w:val="0"/>
          <w:numId w:val="33"/>
        </w:numPr>
        <w:autoSpaceDE w:val="0"/>
        <w:autoSpaceDN w:val="0"/>
        <w:adjustRightInd w:val="0"/>
        <w:rPr>
          <w:szCs w:val="20"/>
        </w:rPr>
      </w:pPr>
      <w:r w:rsidRPr="00061FF7">
        <w:rPr>
          <w:szCs w:val="20"/>
        </w:rPr>
        <w:lastRenderedPageBreak/>
        <w:t xml:space="preserve">ne pas être </w:t>
      </w:r>
      <w:r>
        <w:rPr>
          <w:szCs w:val="20"/>
        </w:rPr>
        <w:t>actionnaire de référence de la S</w:t>
      </w:r>
      <w:r w:rsidRPr="00061FF7">
        <w:rPr>
          <w:szCs w:val="20"/>
        </w:rPr>
        <w:t>ociété ou détenir un pourcentage de droit de vote significatif ;</w:t>
      </w:r>
    </w:p>
    <w:p w14:paraId="4E4985AF" w14:textId="77777777" w:rsidR="00795F52" w:rsidRPr="00061FF7" w:rsidRDefault="00795F52" w:rsidP="00C622C2">
      <w:pPr>
        <w:pStyle w:val="Paragraphedeliste"/>
        <w:widowControl w:val="0"/>
        <w:numPr>
          <w:ilvl w:val="0"/>
          <w:numId w:val="33"/>
        </w:numPr>
        <w:autoSpaceDE w:val="0"/>
        <w:autoSpaceDN w:val="0"/>
        <w:adjustRightInd w:val="0"/>
        <w:rPr>
          <w:szCs w:val="20"/>
        </w:rPr>
      </w:pPr>
      <w:r w:rsidRPr="00061FF7">
        <w:rPr>
          <w:szCs w:val="20"/>
        </w:rPr>
        <w:t>ne pas avoir de relation de proximité ou de lien familial proche avec un mandataire social ou un actionnaire de référence ;</w:t>
      </w:r>
    </w:p>
    <w:p w14:paraId="759A70A0" w14:textId="685AE4A3" w:rsidR="00795F52" w:rsidRDefault="00795F52" w:rsidP="00C622C2">
      <w:pPr>
        <w:pStyle w:val="Paragraphedeliste"/>
        <w:widowControl w:val="0"/>
        <w:numPr>
          <w:ilvl w:val="0"/>
          <w:numId w:val="33"/>
        </w:numPr>
        <w:autoSpaceDE w:val="0"/>
        <w:autoSpaceDN w:val="0"/>
        <w:adjustRightInd w:val="0"/>
        <w:rPr>
          <w:szCs w:val="20"/>
        </w:rPr>
      </w:pPr>
      <w:r w:rsidRPr="00061FF7">
        <w:rPr>
          <w:szCs w:val="20"/>
        </w:rPr>
        <w:t>ne pas avoir été, au</w:t>
      </w:r>
      <w:r>
        <w:rPr>
          <w:szCs w:val="20"/>
        </w:rPr>
        <w:t xml:space="preserve"> cours des </w:t>
      </w:r>
      <w:r w:rsidR="00BF1646">
        <w:rPr>
          <w:szCs w:val="20"/>
        </w:rPr>
        <w:t>six</w:t>
      </w:r>
      <w:r>
        <w:rPr>
          <w:szCs w:val="20"/>
        </w:rPr>
        <w:t xml:space="preserve"> dernières années, </w:t>
      </w:r>
      <w:r w:rsidR="00BF1646">
        <w:rPr>
          <w:szCs w:val="20"/>
        </w:rPr>
        <w:t>c</w:t>
      </w:r>
      <w:r w:rsidRPr="00061FF7">
        <w:rPr>
          <w:szCs w:val="20"/>
        </w:rPr>
        <w:t>ommissaire aux comptes de l’entreprise.</w:t>
      </w:r>
    </w:p>
    <w:p w14:paraId="40DF931A" w14:textId="77777777" w:rsidR="00795F52" w:rsidRDefault="00795F52" w:rsidP="00795F52"/>
    <w:p w14:paraId="5C1B125A" w14:textId="53E62880" w:rsidR="00795F52" w:rsidRPr="002E748B" w:rsidRDefault="00795F52" w:rsidP="00795F52">
      <w:r>
        <w:t xml:space="preserve">A la lumière de la recommandation n°3 du Code de </w:t>
      </w:r>
      <w:r w:rsidR="002B692D">
        <w:t>gouvern</w:t>
      </w:r>
      <w:r w:rsidR="003F3F03">
        <w:t>ement</w:t>
      </w:r>
      <w:r w:rsidR="002B692D">
        <w:t xml:space="preserve"> </w:t>
      </w:r>
      <w:r>
        <w:t xml:space="preserve">d’entreprise </w:t>
      </w:r>
      <w:r w:rsidR="00D16E63">
        <w:t>MiddleNext</w:t>
      </w:r>
      <w:r>
        <w:t>, M</w:t>
      </w:r>
      <w:r w:rsidR="002B692D">
        <w:t>ada</w:t>
      </w:r>
      <w:r>
        <w:t xml:space="preserve">me Bérangère Boggio et M. Joseph Brigneaud sont considérés vis-à-vis de la Société comme des </w:t>
      </w:r>
      <w:r w:rsidR="002B692D">
        <w:t>a</w:t>
      </w:r>
      <w:r>
        <w:t xml:space="preserve">dministrateurs indépendants. </w:t>
      </w:r>
    </w:p>
    <w:p w14:paraId="70446A5A" w14:textId="44D546F4" w:rsidR="00795F52" w:rsidRDefault="00795F52" w:rsidP="00283A99">
      <w:r w:rsidRPr="003254A9">
        <w:rPr>
          <w:rFonts w:eastAsia="Times New Roman" w:cs="Times New Roman"/>
          <w:szCs w:val="20"/>
        </w:rPr>
        <w:t>M</w:t>
      </w:r>
      <w:r w:rsidR="002B692D">
        <w:rPr>
          <w:rFonts w:eastAsia="Times New Roman" w:cs="Times New Roman"/>
          <w:szCs w:val="20"/>
        </w:rPr>
        <w:t>.</w:t>
      </w:r>
      <w:r w:rsidRPr="003254A9">
        <w:rPr>
          <w:rFonts w:eastAsia="Times New Roman" w:cs="Times New Roman"/>
          <w:szCs w:val="20"/>
        </w:rPr>
        <w:t xml:space="preserve"> </w:t>
      </w:r>
      <w:r w:rsidRPr="003254A9">
        <w:t>Joseph Brigneaud</w:t>
      </w:r>
      <w:r w:rsidRPr="003254A9">
        <w:rPr>
          <w:rFonts w:eastAsia="Times New Roman" w:cs="Times New Roman"/>
          <w:szCs w:val="20"/>
        </w:rPr>
        <w:t xml:space="preserve"> et M</w:t>
      </w:r>
      <w:r w:rsidR="002B692D">
        <w:rPr>
          <w:rFonts w:eastAsia="Times New Roman" w:cs="Times New Roman"/>
          <w:szCs w:val="20"/>
        </w:rPr>
        <w:t>ada</w:t>
      </w:r>
      <w:r w:rsidRPr="003254A9">
        <w:rPr>
          <w:rFonts w:eastAsia="Times New Roman" w:cs="Times New Roman"/>
          <w:szCs w:val="20"/>
        </w:rPr>
        <w:t>me Bérangère Boggio</w:t>
      </w:r>
      <w:r w:rsidRPr="003254A9">
        <w:t xml:space="preserve"> ont été choisis pour leur indépendance mais aussi pour la position</w:t>
      </w:r>
      <w:r w:rsidRPr="002E748B">
        <w:t xml:space="preserve"> qu'ils occupent dans leurs sociétés respectives ou les travaux qu’ils ont pu accomplir dans le secteur d’activité de Spineway. Leur expérience professionnelle leur permet d'apporter de précieux conseils à la Société.</w:t>
      </w:r>
    </w:p>
    <w:p w14:paraId="0BB0E653" w14:textId="77777777" w:rsidR="00795F52" w:rsidRDefault="00795F52" w:rsidP="00283A99">
      <w:pPr>
        <w:rPr>
          <w:color w:val="FF0000"/>
        </w:rPr>
      </w:pPr>
    </w:p>
    <w:p w14:paraId="4AFD3690" w14:textId="77777777" w:rsidR="00795F52" w:rsidRDefault="00795F52" w:rsidP="00283A99">
      <w:pPr>
        <w:rPr>
          <w:b/>
        </w:rPr>
      </w:pPr>
      <w:r w:rsidRPr="00795F52">
        <w:rPr>
          <w:b/>
        </w:rPr>
        <w:t>Adresses professionnelles :</w:t>
      </w:r>
    </w:p>
    <w:p w14:paraId="16523571" w14:textId="77777777" w:rsidR="00795F52" w:rsidRPr="00795F52" w:rsidRDefault="00795F52" w:rsidP="00283A99">
      <w:pPr>
        <w:rPr>
          <w:b/>
        </w:rPr>
      </w:pPr>
    </w:p>
    <w:p w14:paraId="4B9554A5" w14:textId="59245A2F" w:rsidR="00283A99" w:rsidRDefault="00283A99" w:rsidP="00283A99">
      <w:r>
        <w:t>M.</w:t>
      </w:r>
      <w:r w:rsidRPr="00561258">
        <w:t xml:space="preserve"> </w:t>
      </w:r>
      <w:r>
        <w:t xml:space="preserve">Stéphane </w:t>
      </w:r>
      <w:r w:rsidR="00054FC3" w:rsidRPr="003C7B78">
        <w:rPr>
          <w:rFonts w:eastAsia="Times New Roman" w:cs="Times New Roman"/>
          <w:color w:val="000000"/>
          <w:szCs w:val="20"/>
        </w:rPr>
        <w:t>Le Roux</w:t>
      </w:r>
      <w:r w:rsidRPr="00561258">
        <w:t xml:space="preserve">, </w:t>
      </w:r>
      <w:r>
        <w:t>Président Directeur Général</w:t>
      </w:r>
      <w:r w:rsidR="004B7C45">
        <w:t xml:space="preserve"> a</w:t>
      </w:r>
      <w:r w:rsidRPr="00561258">
        <w:t xml:space="preserve"> pour adresse professionnelle le siège social de la Société.</w:t>
      </w:r>
    </w:p>
    <w:p w14:paraId="0DD0C2C3" w14:textId="77777777" w:rsidR="002B692D" w:rsidRDefault="002B692D" w:rsidP="00283A99"/>
    <w:p w14:paraId="3ADD09B2" w14:textId="2EC92692" w:rsidR="00283A99" w:rsidRPr="00561258" w:rsidRDefault="00283A99" w:rsidP="00283A99">
      <w:r w:rsidRPr="00561258">
        <w:t>Les adresses professionnelles des autres administrateurs sont les suivantes :</w:t>
      </w:r>
    </w:p>
    <w:p w14:paraId="4FA61086" w14:textId="7DA1F812" w:rsidR="00054FC3" w:rsidRPr="007A711C" w:rsidRDefault="00054FC3" w:rsidP="00054FC3">
      <w:r w:rsidRPr="007A711C">
        <w:t xml:space="preserve">M. </w:t>
      </w:r>
      <w:r w:rsidR="003254A9" w:rsidRPr="007A711C">
        <w:t>Joseph Brigneaud</w:t>
      </w:r>
      <w:r w:rsidR="003254A9" w:rsidRPr="007A711C">
        <w:rPr>
          <w:rFonts w:eastAsia="Times New Roman" w:cs="Times New Roman"/>
          <w:szCs w:val="20"/>
        </w:rPr>
        <w:t xml:space="preserve"> </w:t>
      </w:r>
      <w:r w:rsidRPr="007A711C">
        <w:t xml:space="preserve">: </w:t>
      </w:r>
      <w:r w:rsidR="007A711C" w:rsidRPr="007A711C">
        <w:t>32 rue de la République, 69002 Lyon, France.</w:t>
      </w:r>
    </w:p>
    <w:p w14:paraId="4CC9BDA4" w14:textId="3AB02EDD" w:rsidR="00283A99" w:rsidRPr="00DE3279" w:rsidRDefault="00283A99" w:rsidP="00DE3279">
      <w:r w:rsidRPr="00DE3279">
        <w:t>M</w:t>
      </w:r>
      <w:r w:rsidR="002B692D">
        <w:t>ada</w:t>
      </w:r>
      <w:r w:rsidRPr="00DE3279">
        <w:t>me</w:t>
      </w:r>
      <w:r w:rsidR="00054FC3" w:rsidRPr="00DE3279">
        <w:t xml:space="preserve"> </w:t>
      </w:r>
      <w:r w:rsidR="00054FC3" w:rsidRPr="00DE3279">
        <w:rPr>
          <w:rFonts w:eastAsia="Times New Roman" w:cs="Times New Roman"/>
          <w:szCs w:val="20"/>
        </w:rPr>
        <w:t>Bérangère Boggio</w:t>
      </w:r>
      <w:r w:rsidR="000D05F3">
        <w:rPr>
          <w:rFonts w:eastAsia="Times New Roman" w:cs="Times New Roman"/>
          <w:szCs w:val="20"/>
        </w:rPr>
        <w:t xml:space="preserve"> </w:t>
      </w:r>
      <w:r w:rsidRPr="00DE3279">
        <w:t>:</w:t>
      </w:r>
      <w:r w:rsidR="00DE3279">
        <w:t xml:space="preserve"> Medac</w:t>
      </w:r>
      <w:r w:rsidRPr="00DE3279">
        <w:t xml:space="preserve"> </w:t>
      </w:r>
      <w:r w:rsidR="00DE3279" w:rsidRPr="00DE3279">
        <w:t>23 rue Pierre Gilles de Gennes</w:t>
      </w:r>
      <w:r w:rsidR="00DE3279">
        <w:t xml:space="preserve"> </w:t>
      </w:r>
      <w:r w:rsidR="00DE3279" w:rsidRPr="00DE3279">
        <w:t xml:space="preserve">69007 Lyon, </w:t>
      </w:r>
      <w:r w:rsidR="002E748B">
        <w:t>France.</w:t>
      </w:r>
    </w:p>
    <w:p w14:paraId="1B97712E" w14:textId="7AF2F331" w:rsidR="005D5DAC" w:rsidRDefault="00161929" w:rsidP="006F6E7F">
      <w:r>
        <w:t xml:space="preserve">La </w:t>
      </w:r>
      <w:r w:rsidRPr="00161929">
        <w:t>société Tinav</w:t>
      </w:r>
      <w:r>
        <w:t xml:space="preserve">i Medical Technologies Co. Ltd. : </w:t>
      </w:r>
      <w:r w:rsidRPr="00161929">
        <w:t>2/F, C-1 Dongsheng Technology Park, 66 Xixiaokou Road, Haidian, Beijing</w:t>
      </w:r>
      <w:r>
        <w:t xml:space="preserve"> 100192, P.R.C.</w:t>
      </w:r>
    </w:p>
    <w:p w14:paraId="68C5799A" w14:textId="77777777" w:rsidR="00161929" w:rsidRPr="00B53DC6" w:rsidRDefault="00161929" w:rsidP="006F6E7F"/>
    <w:p w14:paraId="514D3FDA" w14:textId="65EC8A9A" w:rsidR="005D5DAC" w:rsidRDefault="005D5DAC" w:rsidP="005D5DAC">
      <w:pPr>
        <w:rPr>
          <w:b/>
        </w:rPr>
      </w:pPr>
      <w:r w:rsidRPr="00B53DC6">
        <w:rPr>
          <w:b/>
        </w:rPr>
        <w:t>Pacte d’actionnaires</w:t>
      </w:r>
      <w:r w:rsidR="00A04529">
        <w:rPr>
          <w:b/>
        </w:rPr>
        <w:t xml:space="preserve"> </w:t>
      </w:r>
      <w:r w:rsidRPr="00B53DC6">
        <w:rPr>
          <w:b/>
        </w:rPr>
        <w:t>:</w:t>
      </w:r>
    </w:p>
    <w:p w14:paraId="3EFF7A0D" w14:textId="77777777" w:rsidR="003852A8" w:rsidRPr="00B53DC6" w:rsidRDefault="003852A8" w:rsidP="005D5DAC">
      <w:pPr>
        <w:rPr>
          <w:b/>
        </w:rPr>
      </w:pPr>
    </w:p>
    <w:p w14:paraId="602D9F83" w14:textId="197C917E" w:rsidR="005D5DAC" w:rsidRPr="0044426D" w:rsidRDefault="0044426D" w:rsidP="00A64C93">
      <w:pPr>
        <w:spacing w:line="259" w:lineRule="auto"/>
      </w:pPr>
      <w:r w:rsidRPr="0044426D">
        <w:t>Néant</w:t>
      </w:r>
    </w:p>
    <w:p w14:paraId="2A066FB6" w14:textId="77777777" w:rsidR="00054FC3" w:rsidRDefault="00054FC3" w:rsidP="006F6E7F">
      <w:pPr>
        <w:rPr>
          <w:b/>
        </w:rPr>
      </w:pPr>
    </w:p>
    <w:p w14:paraId="7F6CCA8E" w14:textId="4D3232E4" w:rsidR="00054FC3" w:rsidRDefault="00054FC3" w:rsidP="00054FC3">
      <w:pPr>
        <w:pStyle w:val="Titre3"/>
      </w:pPr>
      <w:bookmarkStart w:id="232" w:name="_Toc475033233"/>
      <w:r>
        <w:t>1</w:t>
      </w:r>
      <w:r w:rsidR="00A247E0">
        <w:t>2</w:t>
      </w:r>
      <w:r>
        <w:t>.1.</w:t>
      </w:r>
      <w:r w:rsidR="00795F52">
        <w:t>2</w:t>
      </w:r>
      <w:r>
        <w:t xml:space="preserve"> Biographie des </w:t>
      </w:r>
      <w:r w:rsidR="000D05F3">
        <w:t>a</w:t>
      </w:r>
      <w:r>
        <w:t>dministrateurs</w:t>
      </w:r>
      <w:bookmarkEnd w:id="232"/>
      <w:r>
        <w:t xml:space="preserve"> </w:t>
      </w:r>
    </w:p>
    <w:p w14:paraId="42326040" w14:textId="77777777" w:rsidR="00054FC3" w:rsidRDefault="00054FC3" w:rsidP="003E5435"/>
    <w:p w14:paraId="33B9F425" w14:textId="19D7394F" w:rsidR="00054FC3" w:rsidRPr="00DE3279" w:rsidRDefault="00054FC3" w:rsidP="00054FC3">
      <w:pPr>
        <w:rPr>
          <w:b/>
          <w:color w:val="000000"/>
          <w:szCs w:val="18"/>
          <w:shd w:val="clear" w:color="auto" w:fill="FFFFFF"/>
        </w:rPr>
      </w:pPr>
      <w:r>
        <w:rPr>
          <w:rStyle w:val="longtext1"/>
          <w:b/>
          <w:color w:val="000000"/>
          <w:szCs w:val="18"/>
          <w:shd w:val="clear" w:color="auto" w:fill="FFFFFF"/>
        </w:rPr>
        <w:t>M. Stéphane Le Roux</w:t>
      </w:r>
      <w:r w:rsidRPr="00054FC3">
        <w:rPr>
          <w:rStyle w:val="longtext1"/>
          <w:b/>
          <w:color w:val="000000"/>
          <w:szCs w:val="18"/>
          <w:shd w:val="clear" w:color="auto" w:fill="FFFFFF"/>
        </w:rPr>
        <w:t>, Président Directeur Général</w:t>
      </w:r>
    </w:p>
    <w:p w14:paraId="147BFFC5" w14:textId="77777777" w:rsidR="00611259" w:rsidRDefault="00611259" w:rsidP="00054FC3"/>
    <w:p w14:paraId="7FD801B6" w14:textId="0A1143EC" w:rsidR="00054FC3" w:rsidRPr="00650D64" w:rsidRDefault="00054FC3" w:rsidP="00054FC3">
      <w:r w:rsidRPr="005035FC">
        <w:t>Stéphane L</w:t>
      </w:r>
      <w:r w:rsidR="000D05F3">
        <w:t>e</w:t>
      </w:r>
      <w:r w:rsidRPr="005035FC">
        <w:t xml:space="preserve"> R</w:t>
      </w:r>
      <w:r w:rsidR="000D05F3">
        <w:t>oux</w:t>
      </w:r>
      <w:r>
        <w:t xml:space="preserve"> est</w:t>
      </w:r>
      <w:r w:rsidRPr="005035FC">
        <w:t xml:space="preserve"> </w:t>
      </w:r>
      <w:r>
        <w:t>m</w:t>
      </w:r>
      <w:r w:rsidRPr="005035FC">
        <w:t>édecin généraliste</w:t>
      </w:r>
      <w:r>
        <w:t>, il a</w:t>
      </w:r>
      <w:r w:rsidRPr="005035FC">
        <w:t xml:space="preserve"> travaillé depuis 1989 sur les marchés des achats de matériel médical, les marchés hospitaliers de </w:t>
      </w:r>
      <w:r w:rsidR="000D05F3">
        <w:t>huit</w:t>
      </w:r>
      <w:r w:rsidRPr="005035FC">
        <w:t xml:space="preserve"> pays d’Asie du Sud Est</w:t>
      </w:r>
      <w:r w:rsidR="0010482D">
        <w:t>.</w:t>
      </w:r>
      <w:r w:rsidRPr="005035FC">
        <w:t xml:space="preserve"> </w:t>
      </w:r>
      <w:r w:rsidR="0010482D">
        <w:t>I</w:t>
      </w:r>
      <w:r>
        <w:t xml:space="preserve">l a été </w:t>
      </w:r>
      <w:r w:rsidRPr="005035FC">
        <w:t>conseil expert auprès de fournisseurs de matériel chirurgical en France et Europe</w:t>
      </w:r>
      <w:r>
        <w:t xml:space="preserve">. </w:t>
      </w:r>
      <w:r w:rsidRPr="00650D64">
        <w:t>Il a ainsi créé, animé et développé des réseaux de distribution en Asie pour plusieurs gammes d’implants et instruments en chirurgie orthopédique, et notamment pour le rachis.</w:t>
      </w:r>
    </w:p>
    <w:p w14:paraId="698D9DBD" w14:textId="77777777" w:rsidR="00054FC3" w:rsidRDefault="00054FC3" w:rsidP="00054FC3"/>
    <w:p w14:paraId="265739EE" w14:textId="53676D14" w:rsidR="00054FC3" w:rsidRPr="00DE3279" w:rsidRDefault="00054FC3" w:rsidP="00054FC3">
      <w:pPr>
        <w:rPr>
          <w:b/>
          <w:color w:val="000000"/>
          <w:szCs w:val="18"/>
          <w:shd w:val="clear" w:color="auto" w:fill="FFFFFF"/>
        </w:rPr>
      </w:pPr>
      <w:r>
        <w:rPr>
          <w:rStyle w:val="longtext1"/>
          <w:b/>
          <w:color w:val="000000"/>
          <w:szCs w:val="18"/>
          <w:shd w:val="clear" w:color="auto" w:fill="FFFFFF"/>
        </w:rPr>
        <w:t xml:space="preserve">M. </w:t>
      </w:r>
      <w:r w:rsidR="003254A9" w:rsidRPr="003254A9">
        <w:rPr>
          <w:b/>
        </w:rPr>
        <w:t>Joseph Brigneaud</w:t>
      </w:r>
      <w:r w:rsidRPr="00054FC3">
        <w:rPr>
          <w:rStyle w:val="longtext1"/>
          <w:b/>
          <w:color w:val="000000"/>
          <w:szCs w:val="18"/>
          <w:shd w:val="clear" w:color="auto" w:fill="FFFFFF"/>
        </w:rPr>
        <w:t xml:space="preserve">, </w:t>
      </w:r>
      <w:r w:rsidR="00687428">
        <w:rPr>
          <w:rStyle w:val="longtext1"/>
          <w:b/>
          <w:color w:val="000000"/>
          <w:szCs w:val="18"/>
          <w:shd w:val="clear" w:color="auto" w:fill="FFFFFF"/>
        </w:rPr>
        <w:t>a</w:t>
      </w:r>
      <w:r w:rsidRPr="00054FC3">
        <w:rPr>
          <w:rStyle w:val="longtext1"/>
          <w:b/>
          <w:color w:val="000000"/>
          <w:szCs w:val="18"/>
          <w:shd w:val="clear" w:color="auto" w:fill="FFFFFF"/>
        </w:rPr>
        <w:t>dministrateur</w:t>
      </w:r>
    </w:p>
    <w:p w14:paraId="1FD27FA9" w14:textId="77777777" w:rsidR="00611259" w:rsidRDefault="00611259" w:rsidP="00054FC3"/>
    <w:p w14:paraId="33B456DB" w14:textId="77777777" w:rsidR="004B1BB4" w:rsidRPr="001947A2" w:rsidRDefault="004B1BB4" w:rsidP="004B1BB4">
      <w:pPr>
        <w:rPr>
          <w:rFonts w:eastAsia="Tahoma" w:cstheme="majorHAnsi"/>
          <w:szCs w:val="20"/>
        </w:rPr>
      </w:pPr>
      <w:r w:rsidRPr="001947A2">
        <w:rPr>
          <w:rFonts w:eastAsia="Tahoma" w:cstheme="majorHAnsi"/>
          <w:szCs w:val="20"/>
        </w:rPr>
        <w:t xml:space="preserve">Responsable d’Euronext / EnterNext pour la région Auvergne Rhône-Alpes Bourgogne de 2013 à 2016, Joseph Brigneaud a occupé différents postes au sein du Crédit Agricole CIB de 2002 à 2013 (Credit Analysis, Financement Structurés et Senior Banker MidCaps) et est désormais Président de JBC2 (Investisseur en capital) depuis 2016. Il est également le délégué régional Auvergne Rhône Alpes de l’IFA (Institut Français des Administrateurs). </w:t>
      </w:r>
    </w:p>
    <w:p w14:paraId="5857F4BA" w14:textId="77777777" w:rsidR="003254A9" w:rsidRPr="003254A9" w:rsidRDefault="003254A9" w:rsidP="003E5435">
      <w:pPr>
        <w:rPr>
          <w:color w:val="FF0000"/>
        </w:rPr>
      </w:pPr>
    </w:p>
    <w:p w14:paraId="48532D5A" w14:textId="41D088E2" w:rsidR="00C04A17" w:rsidRPr="00DE3279" w:rsidRDefault="00054FC3" w:rsidP="00C04A17">
      <w:pPr>
        <w:rPr>
          <w:b/>
          <w:color w:val="000000"/>
          <w:szCs w:val="18"/>
          <w:shd w:val="clear" w:color="auto" w:fill="FFFFFF"/>
        </w:rPr>
      </w:pPr>
      <w:r>
        <w:rPr>
          <w:rStyle w:val="longtext1"/>
          <w:b/>
          <w:color w:val="000000"/>
          <w:szCs w:val="18"/>
          <w:shd w:val="clear" w:color="auto" w:fill="FFFFFF"/>
        </w:rPr>
        <w:t>Mme Bérangère Boggio</w:t>
      </w:r>
      <w:r w:rsidRPr="00054FC3">
        <w:rPr>
          <w:rStyle w:val="longtext1"/>
          <w:b/>
          <w:color w:val="000000"/>
          <w:szCs w:val="18"/>
          <w:shd w:val="clear" w:color="auto" w:fill="FFFFFF"/>
        </w:rPr>
        <w:t xml:space="preserve">, </w:t>
      </w:r>
      <w:r w:rsidR="00687428">
        <w:rPr>
          <w:rStyle w:val="longtext1"/>
          <w:b/>
          <w:color w:val="000000"/>
          <w:szCs w:val="18"/>
          <w:shd w:val="clear" w:color="auto" w:fill="FFFFFF"/>
        </w:rPr>
        <w:t>a</w:t>
      </w:r>
      <w:r w:rsidRPr="00054FC3">
        <w:rPr>
          <w:rStyle w:val="longtext1"/>
          <w:b/>
          <w:color w:val="000000"/>
          <w:szCs w:val="18"/>
          <w:shd w:val="clear" w:color="auto" w:fill="FFFFFF"/>
        </w:rPr>
        <w:t>dministrateur</w:t>
      </w:r>
    </w:p>
    <w:p w14:paraId="69784332" w14:textId="77777777" w:rsidR="00611259" w:rsidRDefault="00611259" w:rsidP="00C04A17"/>
    <w:p w14:paraId="18EA1445" w14:textId="6103CACC" w:rsidR="00531BFF" w:rsidRDefault="00C04A17" w:rsidP="00071130">
      <w:r>
        <w:t xml:space="preserve">Actuellement Directrice Juridique &amp; Administratif </w:t>
      </w:r>
      <w:r w:rsidR="004B1BB4">
        <w:t xml:space="preserve">/ Ressources Humaines </w:t>
      </w:r>
      <w:r>
        <w:t xml:space="preserve">du </w:t>
      </w:r>
      <w:r w:rsidR="00DE3279">
        <w:t>laboratoire pharmaceutique</w:t>
      </w:r>
      <w:r>
        <w:t xml:space="preserve"> M</w:t>
      </w:r>
      <w:r w:rsidR="00DE3279">
        <w:t>edac, Bérangère Boggio a auparavant été responsable de la coordination juridique du Groupe pharmaceutique Mylan.</w:t>
      </w:r>
    </w:p>
    <w:p w14:paraId="5DAC00F5" w14:textId="77777777" w:rsidR="00795F52" w:rsidRDefault="00795F52" w:rsidP="00071130"/>
    <w:p w14:paraId="297F8E51" w14:textId="77777777" w:rsidR="00F8288E" w:rsidRDefault="00F8288E" w:rsidP="00071130"/>
    <w:p w14:paraId="0C3D33BA" w14:textId="5DE029D6" w:rsidR="00795F52" w:rsidRDefault="00795F52" w:rsidP="00795F52">
      <w:pPr>
        <w:pStyle w:val="Titre3"/>
      </w:pPr>
      <w:bookmarkStart w:id="233" w:name="_Toc475033234"/>
      <w:r>
        <w:t>1</w:t>
      </w:r>
      <w:r w:rsidR="00A247E0">
        <w:t>2</w:t>
      </w:r>
      <w:r>
        <w:t>.1.3 Censeur</w:t>
      </w:r>
      <w:bookmarkEnd w:id="233"/>
      <w:r>
        <w:t xml:space="preserve"> </w:t>
      </w:r>
    </w:p>
    <w:p w14:paraId="169133CF" w14:textId="77777777" w:rsidR="00795F52" w:rsidRDefault="00795F52" w:rsidP="00795F52"/>
    <w:p w14:paraId="0D6ADF31" w14:textId="6AF7358B" w:rsidR="00795F52" w:rsidRDefault="00F8288E" w:rsidP="00795F52">
      <w:r>
        <w:t>Néant.</w:t>
      </w:r>
    </w:p>
    <w:p w14:paraId="5801176B" w14:textId="77777777" w:rsidR="00795F52" w:rsidRDefault="00795F52" w:rsidP="00795F52"/>
    <w:p w14:paraId="345612F4" w14:textId="70CC6817" w:rsidR="00CF0C5B" w:rsidRDefault="00EE50DB" w:rsidP="00EE50DB">
      <w:pPr>
        <w:pStyle w:val="Titre2"/>
      </w:pPr>
      <w:bookmarkStart w:id="234" w:name="_Toc475033235"/>
      <w:r>
        <w:t>1</w:t>
      </w:r>
      <w:r w:rsidR="00A247E0">
        <w:t>2</w:t>
      </w:r>
      <w:r>
        <w:t xml:space="preserve">.2 </w:t>
      </w:r>
      <w:r w:rsidR="00CF0C5B">
        <w:t>Conflits d’intérêt au niveau des organes d’administration et de direction</w:t>
      </w:r>
      <w:bookmarkEnd w:id="234"/>
      <w:r w:rsidR="00CF0C5B">
        <w:t xml:space="preserve"> </w:t>
      </w:r>
      <w:r w:rsidR="00CF0C5B">
        <w:tab/>
      </w:r>
    </w:p>
    <w:p w14:paraId="6521F5AD" w14:textId="77777777" w:rsidR="00CF0C5B" w:rsidRDefault="00CF0C5B" w:rsidP="00CF0C5B">
      <w:pPr>
        <w:pStyle w:val="Paragraphedeliste"/>
        <w:tabs>
          <w:tab w:val="right" w:leader="dot" w:pos="8505"/>
        </w:tabs>
        <w:ind w:left="567" w:right="844"/>
        <w:rPr>
          <w:szCs w:val="20"/>
        </w:rPr>
      </w:pPr>
    </w:p>
    <w:p w14:paraId="293875F0" w14:textId="29A76697" w:rsidR="004B1BB4" w:rsidRPr="00106EE6" w:rsidRDefault="004B1BB4" w:rsidP="004B1BB4">
      <w:r w:rsidRPr="00106EE6">
        <w:t>S’agissant de M</w:t>
      </w:r>
      <w:r w:rsidR="0035246C">
        <w:t>.</w:t>
      </w:r>
      <w:r w:rsidRPr="00106EE6">
        <w:t xml:space="preserve"> Stéphane </w:t>
      </w:r>
      <w:r w:rsidRPr="00106EE6">
        <w:rPr>
          <w:rFonts w:eastAsia="Times New Roman" w:cs="Times New Roman"/>
          <w:szCs w:val="20"/>
        </w:rPr>
        <w:t>Le Roux, il</w:t>
      </w:r>
      <w:r w:rsidRPr="00106EE6">
        <w:t xml:space="preserve"> existe un conflit d’intérêt potentiel qui concerne le contrat de sous-location conclu le 27 décembre 2012 pour une durée de 9 années fermes entre la société Spineway et la société ALLPA</w:t>
      </w:r>
      <w:r>
        <w:t xml:space="preserve"> (SCI)</w:t>
      </w:r>
      <w:r w:rsidRPr="00106EE6">
        <w:t>, dont il est co-gérant et associé à hauteur de 50 % à parts égales avec M</w:t>
      </w:r>
      <w:r w:rsidR="0035246C">
        <w:t>.</w:t>
      </w:r>
      <w:r w:rsidRPr="00106EE6">
        <w:t xml:space="preserve"> Philippe Laurito, anciennement </w:t>
      </w:r>
      <w:r w:rsidR="0035246C">
        <w:t>a</w:t>
      </w:r>
      <w:r w:rsidRPr="00106EE6">
        <w:t xml:space="preserve">dministrateur et </w:t>
      </w:r>
      <w:r w:rsidR="00E513E0">
        <w:t>D</w:t>
      </w:r>
      <w:r w:rsidR="00E513E0" w:rsidRPr="00106EE6">
        <w:t xml:space="preserve">irecteur </w:t>
      </w:r>
      <w:r w:rsidR="00E513E0">
        <w:t>G</w:t>
      </w:r>
      <w:r w:rsidR="00E513E0" w:rsidRPr="00106EE6">
        <w:t xml:space="preserve">énéral </w:t>
      </w:r>
      <w:r w:rsidR="00E513E0">
        <w:t>D</w:t>
      </w:r>
      <w:r w:rsidR="00E513E0" w:rsidRPr="00106EE6">
        <w:t xml:space="preserve">élégué </w:t>
      </w:r>
      <w:r w:rsidRPr="00106EE6">
        <w:t>de Spineway.</w:t>
      </w:r>
    </w:p>
    <w:p w14:paraId="761143B6" w14:textId="5B2D4BDE" w:rsidR="004B1BB4" w:rsidRPr="00106EE6" w:rsidRDefault="004B1BB4" w:rsidP="004B1BB4">
      <w:r w:rsidRPr="00106EE6">
        <w:t xml:space="preserve">Cette sous-location porte sur les locaux du siège social et établissement principal de la société Spineway et sont situés à Ecully (Rhône), lieudit « Le Tronchon » ou « Moulin Berger » dénommé Bâtiment n°7 ou parcelle C2, et est le sous-jacent du contrat de crédit-bail immobilier conclu par acte notarié </w:t>
      </w:r>
      <w:r w:rsidRPr="00106EE6">
        <w:rPr>
          <w:iCs/>
          <w:szCs w:val="18"/>
        </w:rPr>
        <w:t xml:space="preserve">en date du 4 décembre 2012 </w:t>
      </w:r>
      <w:r w:rsidRPr="00106EE6">
        <w:t>entre la SCI ALLPA (le crédit-preneur), OSEO et le CM-CIC Lease (les crédit-bailleurs). De manière classique</w:t>
      </w:r>
      <w:r w:rsidR="0003216F">
        <w:t>,</w:t>
      </w:r>
      <w:r w:rsidRPr="00106EE6">
        <w:t xml:space="preserve"> dans</w:t>
      </w:r>
      <w:r w:rsidRPr="0003216F">
        <w:rPr>
          <w:rFonts w:ascii="Arial" w:hAnsi="Arial" w:cs="Arial"/>
          <w:i/>
          <w:iCs/>
          <w:sz w:val="18"/>
          <w:szCs w:val="18"/>
        </w:rPr>
        <w:t xml:space="preserve"> </w:t>
      </w:r>
      <w:r w:rsidRPr="00106EE6">
        <w:t xml:space="preserve">un contrat de crédit-bail immobilier et au terme dudit contrat, soit en fin d’année 2027, la SCI ALLPA bénéficiera d’une option d’achat lui permettant de devenir pleinement propriétaire de l’immeuble, et ce, moyennant le versement d’une somme d’un euro symbolique.  </w:t>
      </w:r>
    </w:p>
    <w:p w14:paraId="0F5FA0EB" w14:textId="57D46FE1" w:rsidR="004B1BB4" w:rsidRPr="00106EE6" w:rsidRDefault="004B1BB4" w:rsidP="004B1BB4">
      <w:pPr>
        <w:rPr>
          <w:iCs/>
          <w:szCs w:val="18"/>
        </w:rPr>
      </w:pPr>
      <w:r w:rsidRPr="00106EE6">
        <w:rPr>
          <w:iCs/>
          <w:szCs w:val="18"/>
        </w:rPr>
        <w:t xml:space="preserve">Le montant du loyer annuel payé par Spineway à la SCI ALLPA est, à la date du Document d’enregistrement universel, de </w:t>
      </w:r>
      <w:r w:rsidRPr="004B1BB4">
        <w:rPr>
          <w:iCs/>
          <w:szCs w:val="18"/>
        </w:rPr>
        <w:t xml:space="preserve">158 K€. </w:t>
      </w:r>
      <w:r w:rsidRPr="004B1BB4">
        <w:t>Cette</w:t>
      </w:r>
      <w:r w:rsidRPr="00106EE6">
        <w:t xml:space="preserve"> convention et ses différents avenants sont évoqués dans les rapports spéciaux des commissaires aux comptes présentés au paragraphe « </w:t>
      </w:r>
      <w:r w:rsidRPr="00106EE6">
        <w:fldChar w:fldCharType="begin"/>
      </w:r>
      <w:r w:rsidRPr="00106EE6">
        <w:instrText xml:space="preserve"> REF _Ref337817237 \h </w:instrText>
      </w:r>
      <w:r w:rsidRPr="00106EE6">
        <w:fldChar w:fldCharType="separate"/>
      </w:r>
      <w:r w:rsidR="003A0AD1">
        <w:t xml:space="preserve">17. </w:t>
      </w:r>
      <w:r w:rsidRPr="00106EE6">
        <w:fldChar w:fldCharType="end"/>
      </w:r>
      <w:r w:rsidRPr="00106EE6">
        <w:t>» du Document d’enregistrement universel.</w:t>
      </w:r>
    </w:p>
    <w:p w14:paraId="62AD1E54" w14:textId="77777777" w:rsidR="004B1BB4" w:rsidRPr="00106EE6" w:rsidRDefault="004B1BB4" w:rsidP="004B1BB4">
      <w:pPr>
        <w:rPr>
          <w:iCs/>
          <w:szCs w:val="18"/>
        </w:rPr>
      </w:pPr>
      <w:r w:rsidRPr="00106EE6">
        <w:rPr>
          <w:iCs/>
          <w:szCs w:val="18"/>
        </w:rPr>
        <w:t>Une expertise immobilière avait été réalisée en 2017 et permettait à la Société de confirmer que le niveau des loyers pratiqués est conforme aux prix et conditions du marché.</w:t>
      </w:r>
    </w:p>
    <w:p w14:paraId="267156E2" w14:textId="77777777" w:rsidR="004B1BB4" w:rsidRPr="000D5C7B" w:rsidRDefault="004B1BB4" w:rsidP="004B1BB4"/>
    <w:p w14:paraId="651ED1D3" w14:textId="02A2244F" w:rsidR="004B1BB4" w:rsidRPr="002E748B" w:rsidRDefault="004B1BB4" w:rsidP="004B1BB4">
      <w:r w:rsidRPr="002E748B">
        <w:t>Il existe d’autres conventions entre apparentés décrites aux paragraphes « </w:t>
      </w:r>
      <w:r w:rsidRPr="002E748B">
        <w:fldChar w:fldCharType="begin"/>
      </w:r>
      <w:r w:rsidRPr="002E748B">
        <w:instrText xml:space="preserve"> REF _Ref337968809 \h </w:instrText>
      </w:r>
      <w:r w:rsidRPr="002E748B">
        <w:fldChar w:fldCharType="separate"/>
      </w:r>
      <w:r w:rsidR="003A0AD1">
        <w:t>14.2 Informations sur les contrats liant les dirigeants et la Société</w:t>
      </w:r>
      <w:r w:rsidRPr="002E748B">
        <w:fldChar w:fldCharType="end"/>
      </w:r>
      <w:r w:rsidRPr="002E748B">
        <w:t> » et « </w:t>
      </w:r>
      <w:r w:rsidR="006F7652" w:rsidRPr="00106EE6">
        <w:t> </w:t>
      </w:r>
      <w:r w:rsidR="006F7652">
        <w:fldChar w:fldCharType="begin"/>
      </w:r>
      <w:r w:rsidR="006F7652">
        <w:instrText xml:space="preserve"> REF _Ref474073024 \h </w:instrText>
      </w:r>
      <w:r w:rsidR="006F7652">
        <w:fldChar w:fldCharType="separate"/>
      </w:r>
      <w:r w:rsidR="003A0AD1">
        <w:t>17. TRANSACTIONS AVEC DES PARTIES LIEES</w:t>
      </w:r>
      <w:r w:rsidR="006F7652">
        <w:fldChar w:fldCharType="end"/>
      </w:r>
      <w:r w:rsidR="006F7652">
        <w:t xml:space="preserve"> </w:t>
      </w:r>
      <w:r w:rsidRPr="002E748B">
        <w:t xml:space="preserve">» </w:t>
      </w:r>
      <w:r>
        <w:t>du Document d’enregistrement universel</w:t>
      </w:r>
      <w:r w:rsidRPr="002E748B">
        <w:t>.</w:t>
      </w:r>
    </w:p>
    <w:p w14:paraId="6A646E8E" w14:textId="77777777" w:rsidR="004B1BB4" w:rsidRPr="00E9039D" w:rsidRDefault="004B1BB4" w:rsidP="004B1BB4">
      <w:r w:rsidRPr="00E9039D">
        <w:t>Ces autres conventions ne sont</w:t>
      </w:r>
      <w:r>
        <w:t xml:space="preserve"> pas</w:t>
      </w:r>
      <w:r w:rsidRPr="00E9039D">
        <w:t xml:space="preserve">, selon la Société, source de conflits d’intérêts </w:t>
      </w:r>
      <w:r>
        <w:t xml:space="preserve">potentiels </w:t>
      </w:r>
      <w:r w:rsidRPr="00E9039D">
        <w:t>entre les organes d’administration et de direction.</w:t>
      </w:r>
    </w:p>
    <w:p w14:paraId="29F234CC" w14:textId="77777777" w:rsidR="004B1BB4" w:rsidRPr="000D5C7B" w:rsidRDefault="004B1BB4" w:rsidP="004B1BB4"/>
    <w:p w14:paraId="4BE04F93" w14:textId="77777777" w:rsidR="004B1BB4" w:rsidRPr="00754BAD" w:rsidRDefault="004B1BB4" w:rsidP="004B1BB4">
      <w:pPr>
        <w:pStyle w:val="Paragraphedeliste"/>
        <w:ind w:left="0"/>
      </w:pPr>
      <w:r w:rsidRPr="00754BAD">
        <w:t>A la connaissance de la Société, et à l’exclusion de ce qui précède, il n’existe</w:t>
      </w:r>
      <w:r>
        <w:t>,</w:t>
      </w:r>
      <w:r w:rsidRPr="00754BAD">
        <w:t xml:space="preserve"> à la date </w:t>
      </w:r>
      <w:r>
        <w:t>du Document d’enregistrement universel,</w:t>
      </w:r>
      <w:r w:rsidRPr="00754BAD">
        <w:t xml:space="preserve"> aucun autre élément susceptible de générer un conflit d’intérêt potentiel entre les devoirs des mandataires sociaux à l’égard de la Société en leur qualité de mandataire social et leurs intérêts privés ou autres devoirs, ni aucune restriction acceptée par les mandataires sociaux concernant la cession de leur participation dans le capital social</w:t>
      </w:r>
      <w:r>
        <w:t>.</w:t>
      </w:r>
    </w:p>
    <w:p w14:paraId="77598F98" w14:textId="77777777" w:rsidR="004B1BB4" w:rsidRDefault="004B1BB4" w:rsidP="004B1BB4">
      <w:pPr>
        <w:rPr>
          <w:szCs w:val="20"/>
        </w:rPr>
      </w:pPr>
    </w:p>
    <w:p w14:paraId="41E6A837" w14:textId="77777777" w:rsidR="004B1BB4" w:rsidRPr="005042FD" w:rsidRDefault="004B1BB4" w:rsidP="004B1BB4">
      <w:pPr>
        <w:rPr>
          <w:szCs w:val="20"/>
        </w:rPr>
      </w:pPr>
      <w:r w:rsidRPr="005042FD">
        <w:rPr>
          <w:szCs w:val="20"/>
        </w:rPr>
        <w:t xml:space="preserve">A la date </w:t>
      </w:r>
      <w:r>
        <w:rPr>
          <w:szCs w:val="20"/>
        </w:rPr>
        <w:t>du Document d’enregistrement universel</w:t>
      </w:r>
      <w:r w:rsidRPr="005042FD">
        <w:rPr>
          <w:szCs w:val="20"/>
        </w:rPr>
        <w:t>, et à l’exclusion du contrat évoqué ci-dessus, il n’existe pas d’arrangement ou d’accord conclu avec les principaux actionnaires, des clients ou des fournisseurs aux termes desquels l’un des membres du conseil d’administration et de la direction générale a été sélectionné en cette qualité.</w:t>
      </w:r>
    </w:p>
    <w:p w14:paraId="0227EEB4" w14:textId="77777777" w:rsidR="00CF0C5B" w:rsidRDefault="00CF0C5B" w:rsidP="005042FD">
      <w:pPr>
        <w:rPr>
          <w:szCs w:val="20"/>
        </w:rPr>
      </w:pPr>
    </w:p>
    <w:p w14:paraId="50FD1D3F" w14:textId="77777777" w:rsidR="0079175A" w:rsidRDefault="0079175A">
      <w:pPr>
        <w:rPr>
          <w:rFonts w:eastAsiaTheme="majorEastAsia" w:cstheme="majorBidi"/>
          <w:b/>
          <w:bCs/>
          <w:color w:val="345A8A" w:themeColor="accent1" w:themeShade="B5"/>
          <w:sz w:val="32"/>
          <w:szCs w:val="32"/>
        </w:rPr>
      </w:pPr>
      <w:r>
        <w:br w:type="page"/>
      </w:r>
    </w:p>
    <w:p w14:paraId="1957DA06" w14:textId="31907A71" w:rsidR="00CF0C5B" w:rsidRPr="00095E6D" w:rsidRDefault="00B61B63" w:rsidP="00EE50DB">
      <w:pPr>
        <w:pStyle w:val="Titre1"/>
      </w:pPr>
      <w:bookmarkStart w:id="235" w:name="_Ref373567253"/>
      <w:bookmarkStart w:id="236" w:name="_Toc475033236"/>
      <w:r>
        <w:lastRenderedPageBreak/>
        <w:t xml:space="preserve">13. </w:t>
      </w:r>
      <w:r w:rsidRPr="00095E6D">
        <w:t>REMUNERATIONS ET AVANTAGES</w:t>
      </w:r>
      <w:bookmarkEnd w:id="235"/>
      <w:bookmarkEnd w:id="236"/>
      <w:r w:rsidRPr="00095E6D">
        <w:t xml:space="preserve"> </w:t>
      </w:r>
      <w:r w:rsidR="00CF0C5B" w:rsidRPr="00095E6D">
        <w:tab/>
      </w:r>
    </w:p>
    <w:p w14:paraId="5A53E461" w14:textId="790E78DD" w:rsidR="00E40959" w:rsidRDefault="00EE50DB" w:rsidP="00EE50DB">
      <w:pPr>
        <w:pStyle w:val="Titre2"/>
      </w:pPr>
      <w:bookmarkStart w:id="237" w:name="_Toc475033237"/>
      <w:r>
        <w:t>1</w:t>
      </w:r>
      <w:r w:rsidR="00A247E0">
        <w:t>3</w:t>
      </w:r>
      <w:r>
        <w:t xml:space="preserve">.1 </w:t>
      </w:r>
      <w:r w:rsidR="00CF0C5B" w:rsidRPr="00095E6D">
        <w:t>Rémunération des membres du Conseil d’administration et dirigeants</w:t>
      </w:r>
      <w:bookmarkEnd w:id="237"/>
      <w:r w:rsidR="00CF0C5B" w:rsidRPr="00095E6D">
        <w:t xml:space="preserve"> </w:t>
      </w:r>
    </w:p>
    <w:p w14:paraId="5F6D5306" w14:textId="77777777" w:rsidR="00E40959" w:rsidRDefault="00E40959" w:rsidP="00952F7B"/>
    <w:p w14:paraId="4D049972" w14:textId="2D3C08EA" w:rsidR="004B1BB4" w:rsidRDefault="004B1BB4" w:rsidP="004B1BB4">
      <w:r>
        <w:t xml:space="preserve">Les tableaux présentés ci-dessous sont établis conformément au code </w:t>
      </w:r>
      <w:r w:rsidR="00614AD0">
        <w:t xml:space="preserve">de gouvernement d’entreprise </w:t>
      </w:r>
      <w:r>
        <w:t>MiddleNext de septembre 2016 et à la position-recommandation AMF DOC-2021-02.</w:t>
      </w:r>
    </w:p>
    <w:p w14:paraId="7813D094" w14:textId="77777777" w:rsidR="00FB001F" w:rsidRDefault="00FB001F" w:rsidP="00FB001F">
      <w:pPr>
        <w:rPr>
          <w:b/>
        </w:rPr>
      </w:pPr>
    </w:p>
    <w:p w14:paraId="2B35B92D" w14:textId="581E7BAF" w:rsidR="00FB001F" w:rsidRDefault="00FB001F" w:rsidP="00FB001F">
      <w:pPr>
        <w:rPr>
          <w:b/>
        </w:rPr>
      </w:pPr>
      <w:r>
        <w:rPr>
          <w:b/>
        </w:rPr>
        <w:t>Tableaux</w:t>
      </w:r>
      <w:r w:rsidR="00D11BDB">
        <w:rPr>
          <w:b/>
        </w:rPr>
        <w:t xml:space="preserve"> n</w:t>
      </w:r>
      <w:r>
        <w:rPr>
          <w:b/>
        </w:rPr>
        <w:t>°1 :</w:t>
      </w:r>
    </w:p>
    <w:p w14:paraId="51C3983F" w14:textId="77777777" w:rsidR="00FB001F" w:rsidRDefault="00FB001F" w:rsidP="00FB001F">
      <w:pPr>
        <w:rPr>
          <w:b/>
        </w:rPr>
      </w:pPr>
    </w:p>
    <w:tbl>
      <w:tblPr>
        <w:tblW w:w="8000" w:type="dxa"/>
        <w:tblInd w:w="55" w:type="dxa"/>
        <w:tblCellMar>
          <w:left w:w="70" w:type="dxa"/>
          <w:right w:w="70" w:type="dxa"/>
        </w:tblCellMar>
        <w:tblLook w:val="04A0" w:firstRow="1" w:lastRow="0" w:firstColumn="1" w:lastColumn="0" w:noHBand="0" w:noVBand="1"/>
      </w:tblPr>
      <w:tblGrid>
        <w:gridCol w:w="5400"/>
        <w:gridCol w:w="1300"/>
        <w:gridCol w:w="1300"/>
      </w:tblGrid>
      <w:tr w:rsidR="00140CFC" w:rsidRPr="00140CFC" w14:paraId="59CF9B7A" w14:textId="77777777" w:rsidTr="54FDD3F0">
        <w:trPr>
          <w:trHeight w:val="560"/>
        </w:trPr>
        <w:tc>
          <w:tcPr>
            <w:tcW w:w="8000" w:type="dxa"/>
            <w:gridSpan w:val="3"/>
            <w:tcBorders>
              <w:top w:val="single" w:sz="12" w:space="0" w:color="FFFFFF" w:themeColor="background1"/>
              <w:left w:val="single" w:sz="12" w:space="0" w:color="FFFFFF" w:themeColor="background1"/>
              <w:bottom w:val="nil"/>
              <w:right w:val="nil"/>
            </w:tcBorders>
            <w:shd w:val="clear" w:color="auto" w:fill="365F91" w:themeFill="accent1" w:themeFillShade="BF"/>
            <w:vAlign w:val="center"/>
            <w:hideMark/>
          </w:tcPr>
          <w:p w14:paraId="6CFA4FAD" w14:textId="09753705" w:rsidR="00140CFC" w:rsidRPr="00140CFC" w:rsidRDefault="00140CFC" w:rsidP="00140CFC">
            <w:pPr>
              <w:jc w:val="center"/>
              <w:rPr>
                <w:rFonts w:ascii="Calibri" w:eastAsia="Times New Roman" w:hAnsi="Calibri" w:cs="Times New Roman"/>
                <w:b/>
                <w:bCs/>
                <w:color w:val="FFFFFF"/>
                <w:sz w:val="18"/>
                <w:szCs w:val="18"/>
              </w:rPr>
            </w:pPr>
            <w:r w:rsidRPr="00140CFC">
              <w:rPr>
                <w:rFonts w:ascii="Calibri" w:eastAsia="Times New Roman" w:hAnsi="Calibri" w:cs="Times New Roman"/>
                <w:b/>
                <w:bCs/>
                <w:color w:val="FFFFFF"/>
                <w:sz w:val="18"/>
                <w:szCs w:val="18"/>
              </w:rPr>
              <w:t xml:space="preserve">Tableau récapitulatif des rémunérations, des options et des actions attribuées à chaque </w:t>
            </w:r>
            <w:r w:rsidR="003769BD">
              <w:rPr>
                <w:rFonts w:ascii="Calibri" w:eastAsia="Times New Roman" w:hAnsi="Calibri" w:cs="Times New Roman"/>
                <w:b/>
                <w:bCs/>
                <w:color w:val="FFFFFF"/>
                <w:sz w:val="18"/>
                <w:szCs w:val="18"/>
              </w:rPr>
              <w:t xml:space="preserve">dirigeant </w:t>
            </w:r>
            <w:r w:rsidRPr="00140CFC">
              <w:rPr>
                <w:rFonts w:ascii="Calibri" w:eastAsia="Times New Roman" w:hAnsi="Calibri" w:cs="Times New Roman"/>
                <w:b/>
                <w:bCs/>
                <w:color w:val="FFFFFF"/>
                <w:sz w:val="18"/>
                <w:szCs w:val="18"/>
              </w:rPr>
              <w:t>mandataire social</w:t>
            </w:r>
          </w:p>
        </w:tc>
      </w:tr>
      <w:tr w:rsidR="00140CFC" w:rsidRPr="00140CFC" w14:paraId="2EA08336" w14:textId="77777777" w:rsidTr="54FDD3F0">
        <w:trPr>
          <w:trHeight w:val="340"/>
        </w:trPr>
        <w:tc>
          <w:tcPr>
            <w:tcW w:w="5400" w:type="dxa"/>
            <w:tcBorders>
              <w:top w:val="single" w:sz="12" w:space="0" w:color="FFFFFF" w:themeColor="background1"/>
              <w:left w:val="single" w:sz="12" w:space="0" w:color="FFFFFF" w:themeColor="background1"/>
              <w:bottom w:val="nil"/>
              <w:right w:val="single" w:sz="12" w:space="0" w:color="FFFFFF" w:themeColor="background1"/>
            </w:tcBorders>
            <w:shd w:val="clear" w:color="auto" w:fill="365F91" w:themeFill="accent1" w:themeFillShade="BF"/>
            <w:vAlign w:val="center"/>
            <w:hideMark/>
          </w:tcPr>
          <w:p w14:paraId="0C8C8C70" w14:textId="77777777" w:rsidR="00140CFC" w:rsidRPr="00140CFC" w:rsidRDefault="00140CFC" w:rsidP="00140CFC">
            <w:pPr>
              <w:jc w:val="center"/>
              <w:rPr>
                <w:rFonts w:ascii="Calibri" w:eastAsia="Times New Roman" w:hAnsi="Calibri" w:cs="Times New Roman"/>
                <w:b/>
                <w:bCs/>
                <w:color w:val="FFFFFF"/>
                <w:sz w:val="18"/>
                <w:szCs w:val="18"/>
              </w:rPr>
            </w:pPr>
            <w:r w:rsidRPr="00140CFC">
              <w:rPr>
                <w:rFonts w:ascii="Calibri" w:eastAsia="Times New Roman" w:hAnsi="Calibri" w:cs="Times New Roman"/>
                <w:b/>
                <w:bCs/>
                <w:color w:val="FFFFFF"/>
                <w:sz w:val="18"/>
                <w:szCs w:val="18"/>
              </w:rPr>
              <w:t> </w:t>
            </w:r>
          </w:p>
        </w:tc>
        <w:tc>
          <w:tcPr>
            <w:tcW w:w="1300" w:type="dxa"/>
            <w:tcBorders>
              <w:top w:val="single" w:sz="12" w:space="0" w:color="FFFFFF" w:themeColor="background1"/>
              <w:left w:val="nil"/>
              <w:bottom w:val="single" w:sz="12" w:space="0" w:color="FFFFFF" w:themeColor="background1"/>
              <w:right w:val="nil"/>
            </w:tcBorders>
            <w:shd w:val="clear" w:color="auto" w:fill="365F91" w:themeFill="accent1" w:themeFillShade="BF"/>
            <w:vAlign w:val="center"/>
            <w:hideMark/>
          </w:tcPr>
          <w:p w14:paraId="06F4547F" w14:textId="24A50A23" w:rsidR="00140CFC" w:rsidRPr="00140CFC" w:rsidRDefault="00760928" w:rsidP="00140CFC">
            <w:pPr>
              <w:jc w:val="center"/>
              <w:rPr>
                <w:rFonts w:ascii="Calibri" w:eastAsia="Times New Roman" w:hAnsi="Calibri" w:cs="Times New Roman"/>
                <w:b/>
                <w:bCs/>
                <w:color w:val="FFFFFF"/>
                <w:sz w:val="18"/>
                <w:szCs w:val="18"/>
              </w:rPr>
            </w:pPr>
            <w:r>
              <w:rPr>
                <w:rFonts w:ascii="Calibri" w:eastAsia="Times New Roman" w:hAnsi="Calibri" w:cs="Times New Roman"/>
                <w:b/>
                <w:bCs/>
                <w:color w:val="FFFFFF"/>
                <w:sz w:val="18"/>
                <w:szCs w:val="18"/>
              </w:rPr>
              <w:t>2020</w:t>
            </w:r>
          </w:p>
        </w:tc>
        <w:tc>
          <w:tcPr>
            <w:tcW w:w="1300" w:type="dxa"/>
            <w:tcBorders>
              <w:top w:val="single" w:sz="12" w:space="0" w:color="FFFFFF" w:themeColor="background1"/>
              <w:left w:val="single" w:sz="12" w:space="0" w:color="FFFFFF" w:themeColor="background1"/>
              <w:bottom w:val="single" w:sz="12" w:space="0" w:color="FFFFFF" w:themeColor="background1"/>
              <w:right w:val="nil"/>
            </w:tcBorders>
            <w:shd w:val="clear" w:color="auto" w:fill="365F91" w:themeFill="accent1" w:themeFillShade="BF"/>
            <w:vAlign w:val="center"/>
            <w:hideMark/>
          </w:tcPr>
          <w:p w14:paraId="665A3B44" w14:textId="2FEEBCCA" w:rsidR="00140CFC" w:rsidRPr="00140CFC" w:rsidRDefault="00760928" w:rsidP="00140CFC">
            <w:pPr>
              <w:jc w:val="center"/>
              <w:rPr>
                <w:rFonts w:ascii="Calibri" w:eastAsia="Times New Roman" w:hAnsi="Calibri" w:cs="Times New Roman"/>
                <w:b/>
                <w:bCs/>
                <w:color w:val="FFFFFF"/>
                <w:sz w:val="18"/>
                <w:szCs w:val="18"/>
              </w:rPr>
            </w:pPr>
            <w:r>
              <w:rPr>
                <w:rFonts w:ascii="Calibri" w:eastAsia="Times New Roman" w:hAnsi="Calibri" w:cs="Times New Roman"/>
                <w:b/>
                <w:bCs/>
                <w:color w:val="FFFFFF"/>
                <w:sz w:val="18"/>
                <w:szCs w:val="18"/>
              </w:rPr>
              <w:t>2019</w:t>
            </w:r>
          </w:p>
        </w:tc>
      </w:tr>
      <w:tr w:rsidR="00140CFC" w:rsidRPr="00140CFC" w14:paraId="79499D78" w14:textId="77777777" w:rsidTr="54FDD3F0">
        <w:trPr>
          <w:trHeight w:val="340"/>
        </w:trPr>
        <w:tc>
          <w:tcPr>
            <w:tcW w:w="5400" w:type="dxa"/>
            <w:tcBorders>
              <w:top w:val="single" w:sz="12" w:space="0" w:color="FFFFFF" w:themeColor="background1"/>
              <w:left w:val="single" w:sz="12" w:space="0" w:color="FFFFFF" w:themeColor="background1"/>
              <w:bottom w:val="single" w:sz="12" w:space="0" w:color="FFFFFF" w:themeColor="background1"/>
              <w:right w:val="nil"/>
            </w:tcBorders>
            <w:shd w:val="clear" w:color="auto" w:fill="365F91" w:themeFill="accent1" w:themeFillShade="BF"/>
            <w:vAlign w:val="center"/>
            <w:hideMark/>
          </w:tcPr>
          <w:p w14:paraId="5ED66A7C" w14:textId="77777777" w:rsidR="00140CFC" w:rsidRPr="00140CFC" w:rsidRDefault="00140CFC" w:rsidP="00140CFC">
            <w:pPr>
              <w:jc w:val="center"/>
              <w:rPr>
                <w:rFonts w:ascii="Calibri" w:eastAsia="Times New Roman" w:hAnsi="Calibri" w:cs="Times New Roman"/>
                <w:b/>
                <w:bCs/>
                <w:color w:val="FFFFFF"/>
                <w:sz w:val="18"/>
                <w:szCs w:val="18"/>
              </w:rPr>
            </w:pPr>
            <w:r w:rsidRPr="00140CFC">
              <w:rPr>
                <w:rFonts w:ascii="Calibri" w:eastAsia="Times New Roman" w:hAnsi="Calibri" w:cs="Times New Roman"/>
                <w:b/>
                <w:bCs/>
                <w:color w:val="FFFFFF"/>
                <w:sz w:val="18"/>
                <w:szCs w:val="18"/>
              </w:rPr>
              <w:t>M. Stéphane Le Roux, Président Directeur Général</w:t>
            </w:r>
          </w:p>
        </w:tc>
        <w:tc>
          <w:tcPr>
            <w:tcW w:w="2600" w:type="dxa"/>
            <w:gridSpan w:val="2"/>
            <w:tcBorders>
              <w:top w:val="single" w:sz="12" w:space="0" w:color="FFFFFF" w:themeColor="background1"/>
              <w:left w:val="single" w:sz="12" w:space="0" w:color="FFFFFF" w:themeColor="background1"/>
              <w:bottom w:val="single" w:sz="12" w:space="0" w:color="FFFFFF" w:themeColor="background1"/>
              <w:right w:val="nil"/>
            </w:tcBorders>
            <w:shd w:val="clear" w:color="auto" w:fill="365F91" w:themeFill="accent1" w:themeFillShade="BF"/>
            <w:vAlign w:val="center"/>
            <w:hideMark/>
          </w:tcPr>
          <w:p w14:paraId="62BFF5E8" w14:textId="77777777" w:rsidR="00140CFC" w:rsidRPr="00140CFC" w:rsidRDefault="00140CFC" w:rsidP="00140CFC">
            <w:pPr>
              <w:jc w:val="center"/>
              <w:rPr>
                <w:rFonts w:ascii="Calibri" w:eastAsia="Times New Roman" w:hAnsi="Calibri" w:cs="Times New Roman"/>
                <w:b/>
                <w:bCs/>
                <w:color w:val="FFFFFF"/>
                <w:sz w:val="18"/>
                <w:szCs w:val="18"/>
              </w:rPr>
            </w:pPr>
            <w:r w:rsidRPr="00140CFC">
              <w:rPr>
                <w:rFonts w:ascii="Calibri" w:eastAsia="Times New Roman" w:hAnsi="Calibri" w:cs="Times New Roman"/>
                <w:b/>
                <w:bCs/>
                <w:color w:val="FFFFFF"/>
                <w:sz w:val="18"/>
                <w:szCs w:val="18"/>
              </w:rPr>
              <w:t> </w:t>
            </w:r>
          </w:p>
        </w:tc>
      </w:tr>
      <w:tr w:rsidR="00140CFC" w:rsidRPr="00140CFC" w14:paraId="0E022DE4" w14:textId="77777777" w:rsidTr="54FDD3F0">
        <w:trPr>
          <w:trHeight w:val="340"/>
        </w:trPr>
        <w:tc>
          <w:tcPr>
            <w:tcW w:w="5400" w:type="dxa"/>
            <w:tcBorders>
              <w:top w:val="nil"/>
              <w:left w:val="single" w:sz="12" w:space="0" w:color="FFFFFF" w:themeColor="background1"/>
              <w:bottom w:val="single" w:sz="12" w:space="0" w:color="FFFFFF" w:themeColor="background1"/>
              <w:right w:val="single" w:sz="12" w:space="0" w:color="FFFFFF" w:themeColor="background1"/>
            </w:tcBorders>
            <w:shd w:val="clear" w:color="auto" w:fill="DBE5F1" w:themeFill="accent1" w:themeFillTint="33"/>
            <w:vAlign w:val="center"/>
            <w:hideMark/>
          </w:tcPr>
          <w:p w14:paraId="182AFCC8" w14:textId="3C654763" w:rsidR="00140CFC" w:rsidRPr="00140CFC" w:rsidRDefault="00140CFC" w:rsidP="00140CFC">
            <w:pPr>
              <w:rPr>
                <w:rFonts w:ascii="Calibri" w:eastAsia="Times New Roman" w:hAnsi="Calibri" w:cs="Times New Roman"/>
                <w:color w:val="000000"/>
                <w:sz w:val="18"/>
                <w:szCs w:val="18"/>
              </w:rPr>
            </w:pPr>
            <w:r w:rsidRPr="00140CFC">
              <w:rPr>
                <w:rFonts w:ascii="Calibri" w:eastAsia="Times New Roman" w:hAnsi="Calibri" w:cs="Times New Roman"/>
                <w:color w:val="000000"/>
                <w:sz w:val="18"/>
                <w:szCs w:val="18"/>
              </w:rPr>
              <w:t>Rémunérations dues au titre de l'exercice (détaillées au tableau 2)</w:t>
            </w:r>
            <w:r w:rsidR="000672F7" w:rsidRPr="00A64C93">
              <w:rPr>
                <w:rFonts w:ascii="Calibri" w:eastAsia="Times New Roman" w:hAnsi="Calibri" w:cs="Times New Roman"/>
                <w:sz w:val="18"/>
                <w:szCs w:val="18"/>
              </w:rPr>
              <w:t xml:space="preserve"> </w:t>
            </w:r>
          </w:p>
        </w:tc>
        <w:tc>
          <w:tcPr>
            <w:tcW w:w="1300" w:type="dxa"/>
            <w:tcBorders>
              <w:top w:val="nil"/>
              <w:left w:val="nil"/>
              <w:bottom w:val="single" w:sz="12" w:space="0" w:color="FFFFFF" w:themeColor="background1"/>
              <w:right w:val="single" w:sz="12" w:space="0" w:color="FFFFFF" w:themeColor="background1"/>
            </w:tcBorders>
            <w:shd w:val="clear" w:color="auto" w:fill="DBE5F1" w:themeFill="accent1" w:themeFillTint="33"/>
            <w:vAlign w:val="center"/>
            <w:hideMark/>
          </w:tcPr>
          <w:p w14:paraId="4430459F" w14:textId="08CE951C" w:rsidR="00140CFC" w:rsidRPr="00A64C93" w:rsidRDefault="009107CD" w:rsidP="000672F7">
            <w:pPr>
              <w:spacing w:line="259" w:lineRule="auto"/>
              <w:jc w:val="center"/>
              <w:rPr>
                <w:rFonts w:ascii="Calibri" w:eastAsia="Calibri" w:hAnsi="Calibri" w:cs="Calibri"/>
                <w:sz w:val="18"/>
                <w:szCs w:val="18"/>
              </w:rPr>
            </w:pPr>
            <w:r>
              <w:rPr>
                <w:rFonts w:eastAsia="Times New Roman" w:cs="Times New Roman"/>
                <w:sz w:val="18"/>
                <w:szCs w:val="18"/>
              </w:rPr>
              <w:t xml:space="preserve">189 </w:t>
            </w:r>
            <w:r w:rsidR="000672F7">
              <w:rPr>
                <w:rFonts w:eastAsia="Times New Roman" w:cs="Times New Roman"/>
                <w:sz w:val="18"/>
                <w:szCs w:val="18"/>
              </w:rPr>
              <w:t>379</w:t>
            </w:r>
          </w:p>
        </w:tc>
        <w:tc>
          <w:tcPr>
            <w:tcW w:w="1300" w:type="dxa"/>
            <w:tcBorders>
              <w:top w:val="nil"/>
              <w:left w:val="nil"/>
              <w:bottom w:val="single" w:sz="12" w:space="0" w:color="FFFFFF" w:themeColor="background1"/>
              <w:right w:val="single" w:sz="12" w:space="0" w:color="FFFFFF" w:themeColor="background1"/>
            </w:tcBorders>
            <w:shd w:val="clear" w:color="auto" w:fill="DBE5F1" w:themeFill="accent1" w:themeFillTint="33"/>
            <w:vAlign w:val="center"/>
            <w:hideMark/>
          </w:tcPr>
          <w:p w14:paraId="0AEBAAC0" w14:textId="3A96D234" w:rsidR="00140CFC" w:rsidRPr="00140CFC" w:rsidRDefault="009107CD" w:rsidP="00140CFC">
            <w:pPr>
              <w:jc w:val="center"/>
              <w:rPr>
                <w:rFonts w:ascii="Calibri" w:eastAsia="Times New Roman" w:hAnsi="Calibri" w:cs="Times New Roman"/>
                <w:sz w:val="18"/>
                <w:szCs w:val="18"/>
              </w:rPr>
            </w:pPr>
            <w:r>
              <w:rPr>
                <w:rFonts w:eastAsia="Times New Roman" w:cs="Times New Roman"/>
                <w:sz w:val="18"/>
                <w:szCs w:val="18"/>
              </w:rPr>
              <w:t xml:space="preserve">152 </w:t>
            </w:r>
            <w:r w:rsidR="000672F7" w:rsidRPr="00A64C93">
              <w:rPr>
                <w:rFonts w:eastAsia="Times New Roman" w:cs="Times New Roman"/>
                <w:sz w:val="18"/>
                <w:szCs w:val="18"/>
              </w:rPr>
              <w:t>044</w:t>
            </w:r>
          </w:p>
        </w:tc>
      </w:tr>
      <w:tr w:rsidR="00140CFC" w:rsidRPr="00140CFC" w14:paraId="4E653F5E" w14:textId="77777777" w:rsidTr="54FDD3F0">
        <w:trPr>
          <w:trHeight w:val="520"/>
        </w:trPr>
        <w:tc>
          <w:tcPr>
            <w:tcW w:w="5400" w:type="dxa"/>
            <w:tcBorders>
              <w:top w:val="nil"/>
              <w:left w:val="single" w:sz="12" w:space="0" w:color="FFFFFF" w:themeColor="background1"/>
              <w:bottom w:val="single" w:sz="12" w:space="0" w:color="FFFFFF" w:themeColor="background1"/>
              <w:right w:val="single" w:sz="12" w:space="0" w:color="FFFFFF" w:themeColor="background1"/>
            </w:tcBorders>
            <w:shd w:val="clear" w:color="auto" w:fill="DBE5F1" w:themeFill="accent1" w:themeFillTint="33"/>
            <w:vAlign w:val="center"/>
            <w:hideMark/>
          </w:tcPr>
          <w:p w14:paraId="04A748C4" w14:textId="77777777" w:rsidR="00140CFC" w:rsidRPr="00140CFC" w:rsidRDefault="00140CFC" w:rsidP="00140CFC">
            <w:pPr>
              <w:rPr>
                <w:rFonts w:ascii="Calibri" w:eastAsia="Times New Roman" w:hAnsi="Calibri" w:cs="Times New Roman"/>
                <w:color w:val="000000"/>
                <w:sz w:val="18"/>
                <w:szCs w:val="18"/>
              </w:rPr>
            </w:pPr>
            <w:r w:rsidRPr="00140CFC">
              <w:rPr>
                <w:rFonts w:ascii="Calibri" w:eastAsia="Times New Roman" w:hAnsi="Calibri" w:cs="Times New Roman"/>
                <w:color w:val="000000"/>
                <w:sz w:val="18"/>
                <w:szCs w:val="18"/>
              </w:rPr>
              <w:t>Valorisation des rémunérations variables pluriannuelles attribuées au cours de l'exercice</w:t>
            </w:r>
          </w:p>
        </w:tc>
        <w:tc>
          <w:tcPr>
            <w:tcW w:w="1300" w:type="dxa"/>
            <w:tcBorders>
              <w:top w:val="nil"/>
              <w:left w:val="nil"/>
              <w:bottom w:val="single" w:sz="12" w:space="0" w:color="FFFFFF" w:themeColor="background1"/>
              <w:right w:val="single" w:sz="12" w:space="0" w:color="FFFFFF" w:themeColor="background1"/>
            </w:tcBorders>
            <w:shd w:val="clear" w:color="auto" w:fill="DBE5F1" w:themeFill="accent1" w:themeFillTint="33"/>
            <w:vAlign w:val="center"/>
            <w:hideMark/>
          </w:tcPr>
          <w:p w14:paraId="209F3EE1" w14:textId="77777777" w:rsidR="00140CFC" w:rsidRPr="00A64C93" w:rsidRDefault="00140CFC" w:rsidP="00140CFC">
            <w:pPr>
              <w:jc w:val="center"/>
              <w:rPr>
                <w:rFonts w:ascii="Calibri" w:eastAsia="Times New Roman" w:hAnsi="Calibri" w:cs="Times New Roman"/>
                <w:sz w:val="18"/>
                <w:szCs w:val="18"/>
              </w:rPr>
            </w:pPr>
            <w:r w:rsidRPr="00A64C93">
              <w:rPr>
                <w:rFonts w:ascii="Calibri" w:eastAsia="Times New Roman" w:hAnsi="Calibri" w:cs="Times New Roman"/>
                <w:sz w:val="18"/>
                <w:szCs w:val="18"/>
              </w:rPr>
              <w:t>Non applicable</w:t>
            </w:r>
          </w:p>
        </w:tc>
        <w:tc>
          <w:tcPr>
            <w:tcW w:w="1300" w:type="dxa"/>
            <w:tcBorders>
              <w:top w:val="nil"/>
              <w:left w:val="nil"/>
              <w:bottom w:val="single" w:sz="12" w:space="0" w:color="FFFFFF" w:themeColor="background1"/>
              <w:right w:val="single" w:sz="12" w:space="0" w:color="FFFFFF" w:themeColor="background1"/>
            </w:tcBorders>
            <w:shd w:val="clear" w:color="auto" w:fill="DBE5F1" w:themeFill="accent1" w:themeFillTint="33"/>
            <w:vAlign w:val="center"/>
            <w:hideMark/>
          </w:tcPr>
          <w:p w14:paraId="183BEFA5" w14:textId="77777777" w:rsidR="00140CFC" w:rsidRPr="00A64C93" w:rsidRDefault="00140CFC" w:rsidP="00140CFC">
            <w:pPr>
              <w:jc w:val="center"/>
              <w:rPr>
                <w:rFonts w:ascii="Calibri" w:eastAsia="Times New Roman" w:hAnsi="Calibri" w:cs="Times New Roman"/>
                <w:sz w:val="18"/>
                <w:szCs w:val="18"/>
              </w:rPr>
            </w:pPr>
            <w:r w:rsidRPr="00A64C93">
              <w:rPr>
                <w:rFonts w:ascii="Calibri" w:eastAsia="Times New Roman" w:hAnsi="Calibri" w:cs="Times New Roman"/>
                <w:sz w:val="18"/>
                <w:szCs w:val="18"/>
              </w:rPr>
              <w:t>Non applicable</w:t>
            </w:r>
          </w:p>
        </w:tc>
      </w:tr>
      <w:tr w:rsidR="00140CFC" w:rsidRPr="00140CFC" w14:paraId="2F30FE8D" w14:textId="77777777" w:rsidTr="54FDD3F0">
        <w:trPr>
          <w:trHeight w:val="520"/>
        </w:trPr>
        <w:tc>
          <w:tcPr>
            <w:tcW w:w="5400" w:type="dxa"/>
            <w:tcBorders>
              <w:top w:val="nil"/>
              <w:left w:val="single" w:sz="12" w:space="0" w:color="FFFFFF" w:themeColor="background1"/>
              <w:bottom w:val="single" w:sz="12" w:space="0" w:color="FFFFFF" w:themeColor="background1"/>
              <w:right w:val="single" w:sz="12" w:space="0" w:color="FFFFFF" w:themeColor="background1"/>
            </w:tcBorders>
            <w:shd w:val="clear" w:color="auto" w:fill="DBE5F1" w:themeFill="accent1" w:themeFillTint="33"/>
            <w:vAlign w:val="center"/>
            <w:hideMark/>
          </w:tcPr>
          <w:p w14:paraId="4A89835F" w14:textId="14C06EBA" w:rsidR="00140CFC" w:rsidRPr="00140CFC" w:rsidRDefault="00140CFC" w:rsidP="00140CFC">
            <w:pPr>
              <w:rPr>
                <w:rFonts w:ascii="Calibri" w:eastAsia="Times New Roman" w:hAnsi="Calibri" w:cs="Times New Roman"/>
                <w:color w:val="000000"/>
                <w:sz w:val="18"/>
                <w:szCs w:val="18"/>
              </w:rPr>
            </w:pPr>
            <w:r w:rsidRPr="00140CFC">
              <w:rPr>
                <w:rFonts w:ascii="Calibri" w:eastAsia="Times New Roman" w:hAnsi="Calibri" w:cs="Times New Roman"/>
                <w:color w:val="000000"/>
                <w:sz w:val="18"/>
                <w:szCs w:val="18"/>
              </w:rPr>
              <w:t xml:space="preserve">Valorisation des actions attribuées gratuitement au cours de </w:t>
            </w:r>
            <w:r w:rsidR="006444BE" w:rsidRPr="00140CFC">
              <w:rPr>
                <w:rFonts w:ascii="Calibri" w:eastAsia="Times New Roman" w:hAnsi="Calibri" w:cs="Times New Roman"/>
                <w:color w:val="000000"/>
                <w:sz w:val="18"/>
                <w:szCs w:val="18"/>
              </w:rPr>
              <w:t>l’exercice (</w:t>
            </w:r>
            <w:r w:rsidRPr="00140CFC">
              <w:rPr>
                <w:rFonts w:ascii="Calibri" w:eastAsia="Times New Roman" w:hAnsi="Calibri" w:cs="Times New Roman"/>
                <w:color w:val="000000"/>
                <w:sz w:val="18"/>
                <w:szCs w:val="18"/>
              </w:rPr>
              <w:t>détaillées au tableau 6)</w:t>
            </w:r>
          </w:p>
        </w:tc>
        <w:tc>
          <w:tcPr>
            <w:tcW w:w="1300" w:type="dxa"/>
            <w:tcBorders>
              <w:top w:val="nil"/>
              <w:left w:val="nil"/>
              <w:bottom w:val="single" w:sz="12" w:space="0" w:color="FFFFFF" w:themeColor="background1"/>
              <w:right w:val="single" w:sz="12" w:space="0" w:color="FFFFFF" w:themeColor="background1"/>
            </w:tcBorders>
            <w:shd w:val="clear" w:color="auto" w:fill="DBE5F1" w:themeFill="accent1" w:themeFillTint="33"/>
            <w:vAlign w:val="center"/>
            <w:hideMark/>
          </w:tcPr>
          <w:p w14:paraId="1881C089" w14:textId="77777777" w:rsidR="00140CFC" w:rsidRPr="00A64C93" w:rsidRDefault="00140CFC" w:rsidP="00140CFC">
            <w:pPr>
              <w:jc w:val="center"/>
              <w:rPr>
                <w:rFonts w:ascii="Calibri" w:eastAsia="Times New Roman" w:hAnsi="Calibri" w:cs="Times New Roman"/>
                <w:sz w:val="18"/>
                <w:szCs w:val="18"/>
              </w:rPr>
            </w:pPr>
            <w:r w:rsidRPr="00A64C93">
              <w:rPr>
                <w:rFonts w:ascii="Calibri" w:eastAsia="Times New Roman" w:hAnsi="Calibri" w:cs="Times New Roman"/>
                <w:sz w:val="18"/>
                <w:szCs w:val="18"/>
              </w:rPr>
              <w:t>Non applicable</w:t>
            </w:r>
          </w:p>
        </w:tc>
        <w:tc>
          <w:tcPr>
            <w:tcW w:w="1300" w:type="dxa"/>
            <w:tcBorders>
              <w:top w:val="nil"/>
              <w:left w:val="nil"/>
              <w:bottom w:val="single" w:sz="12" w:space="0" w:color="FFFFFF" w:themeColor="background1"/>
              <w:right w:val="single" w:sz="12" w:space="0" w:color="FFFFFF" w:themeColor="background1"/>
            </w:tcBorders>
            <w:shd w:val="clear" w:color="auto" w:fill="DBE5F1" w:themeFill="accent1" w:themeFillTint="33"/>
            <w:vAlign w:val="center"/>
            <w:hideMark/>
          </w:tcPr>
          <w:p w14:paraId="44C40642" w14:textId="77777777" w:rsidR="00140CFC" w:rsidRPr="00A64C93" w:rsidRDefault="00140CFC" w:rsidP="00140CFC">
            <w:pPr>
              <w:jc w:val="center"/>
              <w:rPr>
                <w:rFonts w:ascii="Calibri" w:eastAsia="Times New Roman" w:hAnsi="Calibri" w:cs="Times New Roman"/>
                <w:sz w:val="18"/>
                <w:szCs w:val="18"/>
              </w:rPr>
            </w:pPr>
            <w:r w:rsidRPr="00A64C93">
              <w:rPr>
                <w:rFonts w:ascii="Calibri" w:eastAsia="Times New Roman" w:hAnsi="Calibri" w:cs="Times New Roman"/>
                <w:sz w:val="18"/>
                <w:szCs w:val="18"/>
              </w:rPr>
              <w:t>Non applicable</w:t>
            </w:r>
          </w:p>
        </w:tc>
      </w:tr>
      <w:tr w:rsidR="00140CFC" w:rsidRPr="00140CFC" w14:paraId="49D83D93" w14:textId="77777777" w:rsidTr="54FDD3F0">
        <w:trPr>
          <w:trHeight w:val="340"/>
        </w:trPr>
        <w:tc>
          <w:tcPr>
            <w:tcW w:w="5400" w:type="dxa"/>
            <w:tcBorders>
              <w:top w:val="nil"/>
              <w:left w:val="single" w:sz="12" w:space="0" w:color="FFFFFF" w:themeColor="background1"/>
              <w:bottom w:val="single" w:sz="12" w:space="0" w:color="FFFFFF" w:themeColor="background1"/>
              <w:right w:val="single" w:sz="12" w:space="0" w:color="FFFFFF" w:themeColor="background1"/>
            </w:tcBorders>
            <w:shd w:val="clear" w:color="auto" w:fill="B8CCE4" w:themeFill="accent1" w:themeFillTint="66"/>
            <w:vAlign w:val="center"/>
            <w:hideMark/>
          </w:tcPr>
          <w:p w14:paraId="05A22245" w14:textId="77777777" w:rsidR="00140CFC" w:rsidRPr="00140CFC" w:rsidRDefault="00140CFC" w:rsidP="00140CFC">
            <w:pPr>
              <w:rPr>
                <w:rFonts w:ascii="Calibri" w:eastAsia="Times New Roman" w:hAnsi="Calibri" w:cs="Times New Roman"/>
                <w:b/>
                <w:bCs/>
                <w:color w:val="000000"/>
                <w:sz w:val="18"/>
                <w:szCs w:val="18"/>
              </w:rPr>
            </w:pPr>
            <w:r w:rsidRPr="00140CFC">
              <w:rPr>
                <w:rFonts w:ascii="Calibri" w:eastAsia="Times New Roman" w:hAnsi="Calibri" w:cs="Times New Roman"/>
                <w:b/>
                <w:bCs/>
                <w:color w:val="000000"/>
                <w:sz w:val="18"/>
                <w:szCs w:val="18"/>
              </w:rPr>
              <w:t>Total</w:t>
            </w:r>
          </w:p>
        </w:tc>
        <w:tc>
          <w:tcPr>
            <w:tcW w:w="1300" w:type="dxa"/>
            <w:tcBorders>
              <w:top w:val="nil"/>
              <w:left w:val="nil"/>
              <w:bottom w:val="single" w:sz="12" w:space="0" w:color="FFFFFF" w:themeColor="background1"/>
              <w:right w:val="single" w:sz="12" w:space="0" w:color="FFFFFF" w:themeColor="background1"/>
            </w:tcBorders>
            <w:shd w:val="clear" w:color="auto" w:fill="B8CCE4" w:themeFill="accent1" w:themeFillTint="66"/>
            <w:vAlign w:val="center"/>
            <w:hideMark/>
          </w:tcPr>
          <w:p w14:paraId="380969A3" w14:textId="464E60BE" w:rsidR="00140CFC" w:rsidRPr="000672F7" w:rsidRDefault="009107CD" w:rsidP="00140CFC">
            <w:pPr>
              <w:jc w:val="center"/>
              <w:rPr>
                <w:rFonts w:ascii="Calibri" w:eastAsia="Times New Roman" w:hAnsi="Calibri" w:cs="Times New Roman"/>
                <w:b/>
                <w:bCs/>
                <w:color w:val="000000"/>
                <w:sz w:val="18"/>
                <w:szCs w:val="18"/>
              </w:rPr>
            </w:pPr>
            <w:r>
              <w:rPr>
                <w:rFonts w:eastAsia="Times New Roman" w:cs="Times New Roman"/>
                <w:b/>
                <w:sz w:val="18"/>
                <w:szCs w:val="18"/>
              </w:rPr>
              <w:t xml:space="preserve">189 </w:t>
            </w:r>
            <w:r w:rsidR="000672F7" w:rsidRPr="000672F7">
              <w:rPr>
                <w:rFonts w:eastAsia="Times New Roman" w:cs="Times New Roman"/>
                <w:b/>
                <w:sz w:val="18"/>
                <w:szCs w:val="18"/>
              </w:rPr>
              <w:t>379</w:t>
            </w:r>
          </w:p>
        </w:tc>
        <w:tc>
          <w:tcPr>
            <w:tcW w:w="1300" w:type="dxa"/>
            <w:tcBorders>
              <w:top w:val="nil"/>
              <w:left w:val="nil"/>
              <w:bottom w:val="single" w:sz="12" w:space="0" w:color="FFFFFF" w:themeColor="background1"/>
              <w:right w:val="single" w:sz="12" w:space="0" w:color="FFFFFF" w:themeColor="background1"/>
            </w:tcBorders>
            <w:shd w:val="clear" w:color="auto" w:fill="B8CCE4" w:themeFill="accent1" w:themeFillTint="66"/>
            <w:vAlign w:val="center"/>
            <w:hideMark/>
          </w:tcPr>
          <w:p w14:paraId="5C26715F" w14:textId="4BFCCE81" w:rsidR="00140CFC" w:rsidRPr="000672F7" w:rsidRDefault="009107CD" w:rsidP="00140CFC">
            <w:pPr>
              <w:jc w:val="center"/>
              <w:rPr>
                <w:rFonts w:ascii="Calibri" w:eastAsia="Times New Roman" w:hAnsi="Calibri" w:cs="Times New Roman"/>
                <w:b/>
                <w:bCs/>
                <w:sz w:val="18"/>
                <w:szCs w:val="18"/>
              </w:rPr>
            </w:pPr>
            <w:r>
              <w:rPr>
                <w:rFonts w:eastAsia="Times New Roman" w:cs="Times New Roman"/>
                <w:b/>
                <w:sz w:val="18"/>
                <w:szCs w:val="18"/>
              </w:rPr>
              <w:t xml:space="preserve">152 </w:t>
            </w:r>
            <w:r w:rsidR="000672F7" w:rsidRPr="000672F7">
              <w:rPr>
                <w:rFonts w:eastAsia="Times New Roman" w:cs="Times New Roman"/>
                <w:b/>
                <w:sz w:val="18"/>
                <w:szCs w:val="18"/>
              </w:rPr>
              <w:t>044</w:t>
            </w:r>
          </w:p>
        </w:tc>
      </w:tr>
    </w:tbl>
    <w:p w14:paraId="5CEAEBC6" w14:textId="77777777" w:rsidR="00140CFC" w:rsidRDefault="00140CFC" w:rsidP="00FB001F">
      <w:pPr>
        <w:rPr>
          <w:b/>
        </w:rPr>
      </w:pPr>
    </w:p>
    <w:p w14:paraId="57B489EB" w14:textId="77777777" w:rsidR="00FB001F" w:rsidRPr="00FB001F" w:rsidRDefault="00FB001F" w:rsidP="00FB001F">
      <w:pPr>
        <w:rPr>
          <w:b/>
        </w:rPr>
      </w:pPr>
    </w:p>
    <w:p w14:paraId="46C12CB3" w14:textId="5EE6BB29" w:rsidR="00FB001F" w:rsidRDefault="00D11BDB" w:rsidP="00FB001F">
      <w:pPr>
        <w:rPr>
          <w:b/>
        </w:rPr>
      </w:pPr>
      <w:r>
        <w:rPr>
          <w:b/>
        </w:rPr>
        <w:t>Tableaux n</w:t>
      </w:r>
      <w:r w:rsidR="00FB001F">
        <w:rPr>
          <w:b/>
        </w:rPr>
        <w:t>°</w:t>
      </w:r>
      <w:r w:rsidR="00140CFC">
        <w:rPr>
          <w:b/>
        </w:rPr>
        <w:t>2</w:t>
      </w:r>
      <w:r w:rsidR="006444BE">
        <w:rPr>
          <w:b/>
        </w:rPr>
        <w:t xml:space="preserve"> </w:t>
      </w:r>
      <w:r w:rsidR="00FB001F">
        <w:rPr>
          <w:b/>
        </w:rPr>
        <w:t>:</w:t>
      </w:r>
    </w:p>
    <w:p w14:paraId="5EF383A6" w14:textId="77777777" w:rsidR="00140CFC" w:rsidRDefault="00140CFC" w:rsidP="00FB001F">
      <w:pPr>
        <w:rPr>
          <w:b/>
        </w:rPr>
      </w:pPr>
    </w:p>
    <w:tbl>
      <w:tblPr>
        <w:tblW w:w="8251" w:type="dxa"/>
        <w:tblInd w:w="55" w:type="dxa"/>
        <w:tblCellMar>
          <w:left w:w="70" w:type="dxa"/>
          <w:right w:w="70" w:type="dxa"/>
        </w:tblCellMar>
        <w:tblLook w:val="04A0" w:firstRow="1" w:lastRow="0" w:firstColumn="1" w:lastColumn="0" w:noHBand="0" w:noVBand="1"/>
      </w:tblPr>
      <w:tblGrid>
        <w:gridCol w:w="3119"/>
        <w:gridCol w:w="1283"/>
        <w:gridCol w:w="1283"/>
        <w:gridCol w:w="1283"/>
        <w:gridCol w:w="1283"/>
      </w:tblGrid>
      <w:tr w:rsidR="0057712A" w14:paraId="44B41DA1" w14:textId="77777777" w:rsidTr="245A6EAB">
        <w:trPr>
          <w:trHeight w:val="580"/>
        </w:trPr>
        <w:tc>
          <w:tcPr>
            <w:tcW w:w="8251" w:type="dxa"/>
            <w:gridSpan w:val="5"/>
            <w:tcBorders>
              <w:top w:val="single" w:sz="12" w:space="0" w:color="FFFFFF" w:themeColor="background1"/>
              <w:left w:val="single" w:sz="12" w:space="0" w:color="FFFFFF" w:themeColor="background1"/>
              <w:bottom w:val="nil"/>
              <w:right w:val="nil"/>
            </w:tcBorders>
            <w:shd w:val="clear" w:color="auto" w:fill="365F91" w:themeFill="accent1" w:themeFillShade="BF"/>
            <w:vAlign w:val="center"/>
            <w:hideMark/>
          </w:tcPr>
          <w:p w14:paraId="1863B8C5" w14:textId="77777777" w:rsidR="0057712A" w:rsidRDefault="0057712A">
            <w:pPr>
              <w:jc w:val="center"/>
              <w:rPr>
                <w:rFonts w:ascii="Calibri" w:eastAsia="Times New Roman" w:hAnsi="Calibri" w:cs="Times New Roman"/>
                <w:b/>
                <w:bCs/>
                <w:color w:val="FFFFFF"/>
                <w:sz w:val="18"/>
                <w:szCs w:val="18"/>
              </w:rPr>
            </w:pPr>
            <w:r>
              <w:rPr>
                <w:rFonts w:ascii="Calibri" w:eastAsia="Times New Roman" w:hAnsi="Calibri" w:cs="Times New Roman"/>
                <w:b/>
                <w:bCs/>
                <w:color w:val="FFFFFF"/>
                <w:sz w:val="18"/>
                <w:szCs w:val="18"/>
              </w:rPr>
              <w:t>Tableau récapitulatif des rémunérations de M. Stéphane Le Roux, Président Directeur Général</w:t>
            </w:r>
          </w:p>
        </w:tc>
      </w:tr>
      <w:tr w:rsidR="0057712A" w14:paraId="329EFBAC" w14:textId="77777777" w:rsidTr="245A6EAB">
        <w:trPr>
          <w:trHeight w:val="340"/>
        </w:trPr>
        <w:tc>
          <w:tcPr>
            <w:tcW w:w="3119" w:type="dxa"/>
            <w:vMerge w:val="restar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365F91" w:themeFill="accent1" w:themeFillShade="BF"/>
            <w:vAlign w:val="center"/>
            <w:hideMark/>
          </w:tcPr>
          <w:p w14:paraId="4CE18EF1" w14:textId="77777777" w:rsidR="0057712A" w:rsidRDefault="0057712A">
            <w:pPr>
              <w:jc w:val="center"/>
              <w:rPr>
                <w:rFonts w:ascii="Calibri" w:eastAsia="Times New Roman" w:hAnsi="Calibri" w:cs="Times New Roman"/>
                <w:b/>
                <w:bCs/>
                <w:color w:val="FFFFFF"/>
                <w:sz w:val="18"/>
                <w:szCs w:val="18"/>
              </w:rPr>
            </w:pPr>
            <w:r>
              <w:rPr>
                <w:rFonts w:ascii="Calibri" w:eastAsia="Times New Roman" w:hAnsi="Calibri" w:cs="Times New Roman"/>
                <w:b/>
                <w:bCs/>
                <w:color w:val="FFFFFF"/>
                <w:sz w:val="18"/>
                <w:szCs w:val="18"/>
              </w:rPr>
              <w:t> </w:t>
            </w:r>
          </w:p>
        </w:tc>
        <w:tc>
          <w:tcPr>
            <w:tcW w:w="2566" w:type="dxa"/>
            <w:gridSpan w:val="2"/>
            <w:tcBorders>
              <w:top w:val="single" w:sz="12" w:space="0" w:color="FFFFFF" w:themeColor="background1"/>
              <w:left w:val="nil"/>
              <w:bottom w:val="single" w:sz="12" w:space="0" w:color="FFFFFF" w:themeColor="background1"/>
              <w:right w:val="single" w:sz="12" w:space="0" w:color="FFFFFF" w:themeColor="background1"/>
            </w:tcBorders>
            <w:shd w:val="clear" w:color="auto" w:fill="365F91" w:themeFill="accent1" w:themeFillShade="BF"/>
            <w:vAlign w:val="center"/>
            <w:hideMark/>
          </w:tcPr>
          <w:p w14:paraId="04358B25" w14:textId="64B78CD0" w:rsidR="0057712A" w:rsidRDefault="00B22E53">
            <w:pPr>
              <w:jc w:val="center"/>
              <w:rPr>
                <w:rFonts w:ascii="Calibri" w:eastAsia="Times New Roman" w:hAnsi="Calibri" w:cs="Times New Roman"/>
                <w:b/>
                <w:bCs/>
                <w:color w:val="FFFFFF"/>
                <w:sz w:val="18"/>
                <w:szCs w:val="18"/>
              </w:rPr>
            </w:pPr>
            <w:r>
              <w:rPr>
                <w:rFonts w:ascii="Calibri" w:eastAsia="Times New Roman" w:hAnsi="Calibri" w:cs="Times New Roman"/>
                <w:b/>
                <w:bCs/>
                <w:color w:val="FFFFFF"/>
                <w:sz w:val="18"/>
                <w:szCs w:val="18"/>
              </w:rPr>
              <w:t>2020</w:t>
            </w:r>
          </w:p>
        </w:tc>
        <w:tc>
          <w:tcPr>
            <w:tcW w:w="2566" w:type="dxa"/>
            <w:gridSpan w:val="2"/>
            <w:tcBorders>
              <w:top w:val="single" w:sz="12" w:space="0" w:color="FFFFFF" w:themeColor="background1"/>
              <w:left w:val="nil"/>
              <w:bottom w:val="single" w:sz="12" w:space="0" w:color="FFFFFF" w:themeColor="background1"/>
              <w:right w:val="single" w:sz="12" w:space="0" w:color="FFFFFF" w:themeColor="background1"/>
            </w:tcBorders>
            <w:shd w:val="clear" w:color="auto" w:fill="365F91" w:themeFill="accent1" w:themeFillShade="BF"/>
            <w:vAlign w:val="center"/>
            <w:hideMark/>
          </w:tcPr>
          <w:p w14:paraId="1527CAE2" w14:textId="1081595D" w:rsidR="0057712A" w:rsidRDefault="00B22E53">
            <w:pPr>
              <w:jc w:val="center"/>
              <w:rPr>
                <w:rFonts w:ascii="Calibri" w:eastAsia="Times New Roman" w:hAnsi="Calibri" w:cs="Times New Roman"/>
                <w:b/>
                <w:bCs/>
                <w:color w:val="FFFFFF"/>
                <w:sz w:val="18"/>
                <w:szCs w:val="18"/>
              </w:rPr>
            </w:pPr>
            <w:r>
              <w:rPr>
                <w:rFonts w:ascii="Calibri" w:eastAsia="Times New Roman" w:hAnsi="Calibri" w:cs="Times New Roman"/>
                <w:b/>
                <w:bCs/>
                <w:color w:val="FFFFFF"/>
                <w:sz w:val="18"/>
                <w:szCs w:val="18"/>
              </w:rPr>
              <w:t>2019</w:t>
            </w:r>
          </w:p>
        </w:tc>
      </w:tr>
      <w:tr w:rsidR="0057712A" w14:paraId="2BE62262" w14:textId="77777777" w:rsidTr="245A6EAB">
        <w:trPr>
          <w:trHeight w:val="520"/>
        </w:trPr>
        <w:tc>
          <w:tcPr>
            <w:tcW w:w="3119" w:type="dxa"/>
            <w:vMerge/>
            <w:vAlign w:val="center"/>
            <w:hideMark/>
          </w:tcPr>
          <w:p w14:paraId="1829B879" w14:textId="77777777" w:rsidR="0057712A" w:rsidRDefault="0057712A">
            <w:pPr>
              <w:rPr>
                <w:rFonts w:ascii="Calibri" w:eastAsia="Times New Roman" w:hAnsi="Calibri" w:cs="Times New Roman"/>
                <w:b/>
                <w:bCs/>
                <w:color w:val="FFFFFF"/>
                <w:sz w:val="18"/>
                <w:szCs w:val="18"/>
              </w:rPr>
            </w:pPr>
          </w:p>
        </w:tc>
        <w:tc>
          <w:tcPr>
            <w:tcW w:w="1283" w:type="dxa"/>
            <w:tcBorders>
              <w:top w:val="nil"/>
              <w:left w:val="nil"/>
              <w:bottom w:val="single" w:sz="12" w:space="0" w:color="FFFFFF" w:themeColor="background1"/>
              <w:right w:val="single" w:sz="12" w:space="0" w:color="FFFFFF" w:themeColor="background1"/>
            </w:tcBorders>
            <w:shd w:val="clear" w:color="auto" w:fill="365F91" w:themeFill="accent1" w:themeFillShade="BF"/>
            <w:vAlign w:val="center"/>
            <w:hideMark/>
          </w:tcPr>
          <w:p w14:paraId="1396BC46" w14:textId="77777777" w:rsidR="0057712A" w:rsidRDefault="0057712A">
            <w:pPr>
              <w:jc w:val="center"/>
              <w:rPr>
                <w:rFonts w:ascii="Calibri" w:eastAsia="Times New Roman" w:hAnsi="Calibri" w:cs="Times New Roman"/>
                <w:b/>
                <w:bCs/>
                <w:color w:val="FFFFFF"/>
                <w:sz w:val="18"/>
                <w:szCs w:val="18"/>
              </w:rPr>
            </w:pPr>
            <w:r>
              <w:rPr>
                <w:rFonts w:ascii="Calibri" w:eastAsia="Times New Roman" w:hAnsi="Calibri" w:cs="Times New Roman"/>
                <w:b/>
                <w:bCs/>
                <w:color w:val="FFFFFF"/>
                <w:sz w:val="18"/>
                <w:szCs w:val="18"/>
              </w:rPr>
              <w:t>Montants bruts dus</w:t>
            </w:r>
          </w:p>
        </w:tc>
        <w:tc>
          <w:tcPr>
            <w:tcW w:w="1283" w:type="dxa"/>
            <w:tcBorders>
              <w:top w:val="nil"/>
              <w:left w:val="nil"/>
              <w:bottom w:val="single" w:sz="12" w:space="0" w:color="FFFFFF" w:themeColor="background1"/>
              <w:right w:val="single" w:sz="12" w:space="0" w:color="FFFFFF" w:themeColor="background1"/>
            </w:tcBorders>
            <w:shd w:val="clear" w:color="auto" w:fill="365F91" w:themeFill="accent1" w:themeFillShade="BF"/>
            <w:vAlign w:val="center"/>
            <w:hideMark/>
          </w:tcPr>
          <w:p w14:paraId="18C17364" w14:textId="77777777" w:rsidR="0057712A" w:rsidRDefault="0057712A">
            <w:pPr>
              <w:jc w:val="center"/>
              <w:rPr>
                <w:rFonts w:ascii="Calibri" w:eastAsia="Times New Roman" w:hAnsi="Calibri" w:cs="Times New Roman"/>
                <w:b/>
                <w:bCs/>
                <w:color w:val="FFFFFF"/>
                <w:sz w:val="18"/>
                <w:szCs w:val="18"/>
              </w:rPr>
            </w:pPr>
            <w:r>
              <w:rPr>
                <w:rFonts w:ascii="Calibri" w:eastAsia="Times New Roman" w:hAnsi="Calibri" w:cs="Times New Roman"/>
                <w:b/>
                <w:bCs/>
                <w:color w:val="FFFFFF"/>
                <w:sz w:val="18"/>
                <w:szCs w:val="18"/>
              </w:rPr>
              <w:t>Montants bruts versés</w:t>
            </w:r>
          </w:p>
        </w:tc>
        <w:tc>
          <w:tcPr>
            <w:tcW w:w="1283" w:type="dxa"/>
            <w:tcBorders>
              <w:top w:val="nil"/>
              <w:left w:val="nil"/>
              <w:bottom w:val="single" w:sz="12" w:space="0" w:color="FFFFFF" w:themeColor="background1"/>
              <w:right w:val="single" w:sz="12" w:space="0" w:color="FFFFFF" w:themeColor="background1"/>
            </w:tcBorders>
            <w:shd w:val="clear" w:color="auto" w:fill="365F91" w:themeFill="accent1" w:themeFillShade="BF"/>
            <w:vAlign w:val="center"/>
            <w:hideMark/>
          </w:tcPr>
          <w:p w14:paraId="50749260" w14:textId="77777777" w:rsidR="0057712A" w:rsidRDefault="0057712A">
            <w:pPr>
              <w:jc w:val="center"/>
              <w:rPr>
                <w:rFonts w:ascii="Calibri" w:eastAsia="Times New Roman" w:hAnsi="Calibri" w:cs="Times New Roman"/>
                <w:b/>
                <w:bCs/>
                <w:color w:val="FFFFFF"/>
                <w:sz w:val="18"/>
                <w:szCs w:val="18"/>
              </w:rPr>
            </w:pPr>
            <w:r>
              <w:rPr>
                <w:rFonts w:ascii="Calibri" w:eastAsia="Times New Roman" w:hAnsi="Calibri" w:cs="Times New Roman"/>
                <w:b/>
                <w:bCs/>
                <w:color w:val="FFFFFF"/>
                <w:sz w:val="18"/>
                <w:szCs w:val="18"/>
              </w:rPr>
              <w:t>Montants bruts dus</w:t>
            </w:r>
          </w:p>
        </w:tc>
        <w:tc>
          <w:tcPr>
            <w:tcW w:w="1283" w:type="dxa"/>
            <w:tcBorders>
              <w:top w:val="nil"/>
              <w:left w:val="nil"/>
              <w:bottom w:val="single" w:sz="12" w:space="0" w:color="FFFFFF" w:themeColor="background1"/>
              <w:right w:val="single" w:sz="12" w:space="0" w:color="FFFFFF" w:themeColor="background1"/>
            </w:tcBorders>
            <w:shd w:val="clear" w:color="auto" w:fill="365F91" w:themeFill="accent1" w:themeFillShade="BF"/>
            <w:vAlign w:val="center"/>
            <w:hideMark/>
          </w:tcPr>
          <w:p w14:paraId="23205EEB" w14:textId="77777777" w:rsidR="0057712A" w:rsidRDefault="0057712A">
            <w:pPr>
              <w:jc w:val="center"/>
              <w:rPr>
                <w:rFonts w:ascii="Calibri" w:eastAsia="Times New Roman" w:hAnsi="Calibri" w:cs="Times New Roman"/>
                <w:b/>
                <w:bCs/>
                <w:color w:val="FFFFFF"/>
                <w:sz w:val="18"/>
                <w:szCs w:val="18"/>
              </w:rPr>
            </w:pPr>
            <w:r>
              <w:rPr>
                <w:rFonts w:ascii="Calibri" w:eastAsia="Times New Roman" w:hAnsi="Calibri" w:cs="Times New Roman"/>
                <w:b/>
                <w:bCs/>
                <w:color w:val="FFFFFF"/>
                <w:sz w:val="18"/>
                <w:szCs w:val="18"/>
              </w:rPr>
              <w:t>Montants bruts versés</w:t>
            </w:r>
          </w:p>
        </w:tc>
      </w:tr>
      <w:tr w:rsidR="00B22E53" w14:paraId="10AFAD1F" w14:textId="77777777" w:rsidTr="00A64C93">
        <w:trPr>
          <w:trHeight w:val="340"/>
        </w:trPr>
        <w:tc>
          <w:tcPr>
            <w:tcW w:w="3119" w:type="dxa"/>
            <w:tcBorders>
              <w:top w:val="nil"/>
              <w:left w:val="single" w:sz="12" w:space="0" w:color="FFFFFF" w:themeColor="background1"/>
              <w:bottom w:val="single" w:sz="12" w:space="0" w:color="FFFFFF" w:themeColor="background1"/>
              <w:right w:val="single" w:sz="12" w:space="0" w:color="FFFFFF" w:themeColor="background1"/>
            </w:tcBorders>
            <w:shd w:val="clear" w:color="auto" w:fill="DBE5F1" w:themeFill="accent1" w:themeFillTint="33"/>
            <w:vAlign w:val="center"/>
            <w:hideMark/>
          </w:tcPr>
          <w:p w14:paraId="36C1C83E" w14:textId="77777777" w:rsidR="00B22E53" w:rsidRPr="00A64C93" w:rsidRDefault="00B22E53">
            <w:pPr>
              <w:rPr>
                <w:rFonts w:eastAsia="Times New Roman" w:cs="Times New Roman"/>
                <w:color w:val="000000"/>
                <w:sz w:val="18"/>
                <w:szCs w:val="18"/>
              </w:rPr>
            </w:pPr>
            <w:r w:rsidRPr="00A64C93">
              <w:rPr>
                <w:rFonts w:eastAsia="Times New Roman" w:cs="Times New Roman"/>
                <w:color w:val="000000"/>
                <w:sz w:val="18"/>
                <w:szCs w:val="18"/>
              </w:rPr>
              <w:t xml:space="preserve">Rémunération fixe </w:t>
            </w:r>
          </w:p>
        </w:tc>
        <w:tc>
          <w:tcPr>
            <w:tcW w:w="1283" w:type="dxa"/>
            <w:tcBorders>
              <w:top w:val="nil"/>
              <w:left w:val="nil"/>
              <w:bottom w:val="single" w:sz="12" w:space="0" w:color="FFFFFF" w:themeColor="background1"/>
              <w:right w:val="single" w:sz="12" w:space="0" w:color="FFFFFF" w:themeColor="background1"/>
            </w:tcBorders>
            <w:shd w:val="clear" w:color="auto" w:fill="DBE5F1" w:themeFill="accent1" w:themeFillTint="33"/>
            <w:vAlign w:val="center"/>
            <w:hideMark/>
          </w:tcPr>
          <w:p w14:paraId="432BC6AB" w14:textId="1E013FFA" w:rsidR="00B22E53" w:rsidRPr="00A64C93" w:rsidRDefault="009107CD" w:rsidP="00A64C93">
            <w:pPr>
              <w:spacing w:line="259" w:lineRule="auto"/>
              <w:jc w:val="center"/>
              <w:rPr>
                <w:rFonts w:eastAsia="Calibri" w:cs="Calibri"/>
                <w:sz w:val="18"/>
                <w:szCs w:val="18"/>
              </w:rPr>
            </w:pPr>
            <w:r>
              <w:rPr>
                <w:rFonts w:eastAsia="Times New Roman" w:cs="Times New Roman"/>
                <w:sz w:val="18"/>
                <w:szCs w:val="18"/>
              </w:rPr>
              <w:t xml:space="preserve">155 </w:t>
            </w:r>
            <w:r w:rsidR="245A6EAB" w:rsidRPr="00A64C93">
              <w:rPr>
                <w:rFonts w:eastAsia="Times New Roman" w:cs="Times New Roman"/>
                <w:sz w:val="18"/>
                <w:szCs w:val="18"/>
              </w:rPr>
              <w:t>874</w:t>
            </w:r>
          </w:p>
        </w:tc>
        <w:tc>
          <w:tcPr>
            <w:tcW w:w="1283" w:type="dxa"/>
            <w:tcBorders>
              <w:top w:val="nil"/>
              <w:left w:val="nil"/>
              <w:bottom w:val="single" w:sz="12" w:space="0" w:color="FFFFFF" w:themeColor="background1"/>
              <w:right w:val="single" w:sz="12" w:space="0" w:color="FFFFFF" w:themeColor="background1"/>
            </w:tcBorders>
            <w:shd w:val="clear" w:color="auto" w:fill="DBE5F1" w:themeFill="accent1" w:themeFillTint="33"/>
            <w:vAlign w:val="center"/>
            <w:hideMark/>
          </w:tcPr>
          <w:p w14:paraId="0171674A" w14:textId="20AED452" w:rsidR="00B22E53" w:rsidRPr="00A64C93" w:rsidRDefault="009107CD" w:rsidP="00A64C93">
            <w:pPr>
              <w:spacing w:line="259" w:lineRule="auto"/>
              <w:jc w:val="center"/>
              <w:rPr>
                <w:rFonts w:eastAsia="Calibri" w:cs="Calibri"/>
                <w:sz w:val="18"/>
                <w:szCs w:val="18"/>
              </w:rPr>
            </w:pPr>
            <w:r>
              <w:rPr>
                <w:rFonts w:eastAsia="Times New Roman" w:cs="Times New Roman"/>
                <w:sz w:val="18"/>
                <w:szCs w:val="18"/>
              </w:rPr>
              <w:t xml:space="preserve">148 </w:t>
            </w:r>
            <w:r w:rsidR="245A6EAB" w:rsidRPr="00A64C93">
              <w:rPr>
                <w:rFonts w:eastAsia="Times New Roman" w:cs="Times New Roman"/>
                <w:sz w:val="18"/>
                <w:szCs w:val="18"/>
              </w:rPr>
              <w:t>451</w:t>
            </w:r>
          </w:p>
        </w:tc>
        <w:tc>
          <w:tcPr>
            <w:tcW w:w="1283" w:type="dxa"/>
            <w:tcBorders>
              <w:top w:val="nil"/>
              <w:left w:val="nil"/>
              <w:bottom w:val="single" w:sz="12" w:space="0" w:color="FFFFFF" w:themeColor="background1"/>
              <w:right w:val="single" w:sz="12" w:space="0" w:color="FFFFFF" w:themeColor="background1"/>
            </w:tcBorders>
            <w:shd w:val="clear" w:color="auto" w:fill="DBE5F1" w:themeFill="accent1" w:themeFillTint="33"/>
            <w:vAlign w:val="center"/>
            <w:hideMark/>
          </w:tcPr>
          <w:p w14:paraId="76943B33" w14:textId="122ACC3D" w:rsidR="00B22E53" w:rsidRPr="00A64C93" w:rsidRDefault="009107CD" w:rsidP="00A64C93">
            <w:pPr>
              <w:spacing w:line="259" w:lineRule="auto"/>
              <w:jc w:val="center"/>
              <w:rPr>
                <w:rFonts w:eastAsia="Calibri" w:cs="Calibri"/>
                <w:sz w:val="18"/>
                <w:szCs w:val="18"/>
              </w:rPr>
            </w:pPr>
            <w:r>
              <w:rPr>
                <w:rFonts w:eastAsia="Times New Roman" w:cs="Times New Roman"/>
                <w:sz w:val="18"/>
                <w:szCs w:val="18"/>
              </w:rPr>
              <w:t xml:space="preserve">148 </w:t>
            </w:r>
            <w:r w:rsidR="245A6EAB" w:rsidRPr="00A64C93">
              <w:rPr>
                <w:rFonts w:eastAsia="Times New Roman" w:cs="Times New Roman"/>
                <w:sz w:val="18"/>
                <w:szCs w:val="18"/>
              </w:rPr>
              <w:t>451</w:t>
            </w:r>
          </w:p>
        </w:tc>
        <w:tc>
          <w:tcPr>
            <w:tcW w:w="1283" w:type="dxa"/>
            <w:tcBorders>
              <w:top w:val="nil"/>
              <w:left w:val="nil"/>
              <w:bottom w:val="single" w:sz="12" w:space="0" w:color="FFFFFF" w:themeColor="background1"/>
              <w:right w:val="single" w:sz="12" w:space="0" w:color="FFFFFF" w:themeColor="background1"/>
            </w:tcBorders>
            <w:shd w:val="clear" w:color="auto" w:fill="DBE5F1" w:themeFill="accent1" w:themeFillTint="33"/>
            <w:vAlign w:val="center"/>
            <w:hideMark/>
          </w:tcPr>
          <w:p w14:paraId="2FB01202" w14:textId="40BE7FAE" w:rsidR="00B22E53" w:rsidRPr="00A64C93" w:rsidRDefault="009107CD" w:rsidP="00A64C93">
            <w:pPr>
              <w:spacing w:line="259" w:lineRule="auto"/>
              <w:jc w:val="center"/>
              <w:rPr>
                <w:rFonts w:eastAsia="Calibri" w:cs="Calibri"/>
                <w:sz w:val="18"/>
                <w:szCs w:val="18"/>
              </w:rPr>
            </w:pPr>
            <w:r>
              <w:rPr>
                <w:rFonts w:eastAsia="Times New Roman" w:cs="Times New Roman"/>
                <w:sz w:val="18"/>
                <w:szCs w:val="18"/>
              </w:rPr>
              <w:t xml:space="preserve">148 </w:t>
            </w:r>
            <w:r w:rsidR="245A6EAB" w:rsidRPr="00A64C93">
              <w:rPr>
                <w:rFonts w:eastAsia="Times New Roman" w:cs="Times New Roman"/>
                <w:sz w:val="18"/>
                <w:szCs w:val="18"/>
              </w:rPr>
              <w:t>451</w:t>
            </w:r>
          </w:p>
        </w:tc>
      </w:tr>
      <w:tr w:rsidR="00B22E53" w14:paraId="360B8F4D" w14:textId="77777777" w:rsidTr="00A64C93">
        <w:trPr>
          <w:trHeight w:val="340"/>
        </w:trPr>
        <w:tc>
          <w:tcPr>
            <w:tcW w:w="3119" w:type="dxa"/>
            <w:tcBorders>
              <w:top w:val="nil"/>
              <w:left w:val="single" w:sz="12" w:space="0" w:color="FFFFFF" w:themeColor="background1"/>
              <w:bottom w:val="single" w:sz="12" w:space="0" w:color="FFFFFF" w:themeColor="background1"/>
              <w:right w:val="single" w:sz="12" w:space="0" w:color="FFFFFF" w:themeColor="background1"/>
            </w:tcBorders>
            <w:shd w:val="clear" w:color="auto" w:fill="DBE5F1" w:themeFill="accent1" w:themeFillTint="33"/>
            <w:vAlign w:val="center"/>
            <w:hideMark/>
          </w:tcPr>
          <w:p w14:paraId="3E91424C" w14:textId="77777777" w:rsidR="00B22E53" w:rsidRPr="00A64C93" w:rsidRDefault="00B22E53">
            <w:pPr>
              <w:rPr>
                <w:rFonts w:eastAsia="Times New Roman" w:cs="Times New Roman"/>
                <w:color w:val="000000"/>
                <w:sz w:val="18"/>
                <w:szCs w:val="18"/>
              </w:rPr>
            </w:pPr>
            <w:r w:rsidRPr="00A64C93">
              <w:rPr>
                <w:rFonts w:eastAsia="Times New Roman" w:cs="Times New Roman"/>
                <w:color w:val="000000"/>
                <w:sz w:val="18"/>
                <w:szCs w:val="18"/>
              </w:rPr>
              <w:t>Rémunération variable</w:t>
            </w:r>
          </w:p>
        </w:tc>
        <w:tc>
          <w:tcPr>
            <w:tcW w:w="1283" w:type="dxa"/>
            <w:tcBorders>
              <w:top w:val="nil"/>
              <w:left w:val="nil"/>
              <w:bottom w:val="single" w:sz="12" w:space="0" w:color="FFFFFF" w:themeColor="background1"/>
              <w:right w:val="single" w:sz="12" w:space="0" w:color="FFFFFF" w:themeColor="background1"/>
            </w:tcBorders>
            <w:shd w:val="clear" w:color="auto" w:fill="DBE5F1" w:themeFill="accent1" w:themeFillTint="33"/>
            <w:vAlign w:val="center"/>
            <w:hideMark/>
          </w:tcPr>
          <w:p w14:paraId="65A934C0" w14:textId="6E88BA8C" w:rsidR="00B22E53" w:rsidRPr="00A64C93" w:rsidRDefault="009107CD" w:rsidP="00A64C93">
            <w:pPr>
              <w:spacing w:line="259" w:lineRule="auto"/>
              <w:jc w:val="center"/>
              <w:rPr>
                <w:rFonts w:eastAsia="Calibri" w:cs="Calibri"/>
                <w:sz w:val="18"/>
                <w:szCs w:val="18"/>
              </w:rPr>
            </w:pPr>
            <w:r>
              <w:rPr>
                <w:rFonts w:eastAsia="Times New Roman" w:cs="Times New Roman"/>
                <w:sz w:val="18"/>
                <w:szCs w:val="18"/>
              </w:rPr>
              <w:t xml:space="preserve">30 </w:t>
            </w:r>
            <w:r w:rsidR="245A6EAB" w:rsidRPr="00A64C93">
              <w:rPr>
                <w:rFonts w:eastAsia="Times New Roman" w:cs="Times New Roman"/>
                <w:sz w:val="18"/>
                <w:szCs w:val="18"/>
              </w:rPr>
              <w:t>000</w:t>
            </w:r>
          </w:p>
        </w:tc>
        <w:tc>
          <w:tcPr>
            <w:tcW w:w="1283" w:type="dxa"/>
            <w:tcBorders>
              <w:top w:val="nil"/>
              <w:left w:val="nil"/>
              <w:bottom w:val="single" w:sz="12" w:space="0" w:color="FFFFFF" w:themeColor="background1"/>
              <w:right w:val="single" w:sz="12" w:space="0" w:color="FFFFFF" w:themeColor="background1"/>
            </w:tcBorders>
            <w:shd w:val="clear" w:color="auto" w:fill="DBE5F1" w:themeFill="accent1" w:themeFillTint="33"/>
            <w:vAlign w:val="center"/>
            <w:hideMark/>
          </w:tcPr>
          <w:p w14:paraId="27598D1B" w14:textId="6E6E6979" w:rsidR="00B22E53" w:rsidRPr="00A64C93" w:rsidRDefault="245A6EAB" w:rsidP="00A64C93">
            <w:pPr>
              <w:spacing w:line="259" w:lineRule="auto"/>
              <w:jc w:val="center"/>
              <w:rPr>
                <w:rFonts w:eastAsia="Calibri" w:cs="Calibri"/>
                <w:sz w:val="18"/>
                <w:szCs w:val="18"/>
              </w:rPr>
            </w:pPr>
            <w:r w:rsidRPr="00A64C93">
              <w:rPr>
                <w:rFonts w:eastAsia="Times New Roman" w:cs="Times New Roman"/>
                <w:sz w:val="18"/>
                <w:szCs w:val="18"/>
              </w:rPr>
              <w:t>0</w:t>
            </w:r>
          </w:p>
        </w:tc>
        <w:tc>
          <w:tcPr>
            <w:tcW w:w="1283" w:type="dxa"/>
            <w:tcBorders>
              <w:top w:val="nil"/>
              <w:left w:val="nil"/>
              <w:bottom w:val="single" w:sz="12" w:space="0" w:color="FFFFFF" w:themeColor="background1"/>
              <w:right w:val="single" w:sz="12" w:space="0" w:color="FFFFFF" w:themeColor="background1"/>
            </w:tcBorders>
            <w:shd w:val="clear" w:color="auto" w:fill="DBE5F1" w:themeFill="accent1" w:themeFillTint="33"/>
            <w:vAlign w:val="center"/>
            <w:hideMark/>
          </w:tcPr>
          <w:p w14:paraId="3187191B" w14:textId="2F0A39A3" w:rsidR="00B22E53" w:rsidRPr="00A64C93" w:rsidRDefault="000672F7" w:rsidP="00A64C93">
            <w:pPr>
              <w:jc w:val="center"/>
              <w:rPr>
                <w:rFonts w:eastAsia="Times New Roman" w:cs="Times New Roman"/>
                <w:color w:val="FF0000"/>
                <w:sz w:val="18"/>
                <w:szCs w:val="18"/>
              </w:rPr>
            </w:pPr>
            <w:r w:rsidRPr="00A64C93">
              <w:rPr>
                <w:rFonts w:eastAsia="Times New Roman" w:cs="Times New Roman"/>
                <w:sz w:val="18"/>
                <w:szCs w:val="18"/>
              </w:rPr>
              <w:t>0</w:t>
            </w:r>
          </w:p>
        </w:tc>
        <w:tc>
          <w:tcPr>
            <w:tcW w:w="1283" w:type="dxa"/>
            <w:tcBorders>
              <w:top w:val="nil"/>
              <w:left w:val="nil"/>
              <w:bottom w:val="single" w:sz="12" w:space="0" w:color="FFFFFF" w:themeColor="background1"/>
              <w:right w:val="single" w:sz="12" w:space="0" w:color="FFFFFF" w:themeColor="background1"/>
            </w:tcBorders>
            <w:shd w:val="clear" w:color="auto" w:fill="DBE5F1" w:themeFill="accent1" w:themeFillTint="33"/>
            <w:vAlign w:val="center"/>
            <w:hideMark/>
          </w:tcPr>
          <w:p w14:paraId="26DAE18C" w14:textId="78BE5F83" w:rsidR="00B22E53" w:rsidRPr="00A64C93" w:rsidRDefault="009107CD" w:rsidP="00A64C93">
            <w:pPr>
              <w:spacing w:line="259" w:lineRule="auto"/>
              <w:jc w:val="center"/>
              <w:rPr>
                <w:rFonts w:eastAsia="Calibri" w:cs="Calibri"/>
                <w:sz w:val="18"/>
                <w:szCs w:val="18"/>
              </w:rPr>
            </w:pPr>
            <w:r>
              <w:rPr>
                <w:rFonts w:eastAsia="Times New Roman" w:cs="Times New Roman"/>
                <w:sz w:val="18"/>
                <w:szCs w:val="18"/>
              </w:rPr>
              <w:t xml:space="preserve">60 </w:t>
            </w:r>
            <w:r w:rsidR="245A6EAB" w:rsidRPr="00A64C93">
              <w:rPr>
                <w:rFonts w:eastAsia="Times New Roman" w:cs="Times New Roman"/>
                <w:sz w:val="18"/>
                <w:szCs w:val="18"/>
              </w:rPr>
              <w:t>958</w:t>
            </w:r>
          </w:p>
        </w:tc>
      </w:tr>
      <w:tr w:rsidR="0057712A" w14:paraId="5008FE0F" w14:textId="77777777" w:rsidTr="00A64C93">
        <w:trPr>
          <w:trHeight w:val="340"/>
        </w:trPr>
        <w:tc>
          <w:tcPr>
            <w:tcW w:w="3119" w:type="dxa"/>
            <w:tcBorders>
              <w:top w:val="nil"/>
              <w:left w:val="single" w:sz="12" w:space="0" w:color="FFFFFF" w:themeColor="background1"/>
              <w:bottom w:val="single" w:sz="12" w:space="0" w:color="FFFFFF" w:themeColor="background1"/>
              <w:right w:val="single" w:sz="12" w:space="0" w:color="FFFFFF" w:themeColor="background1"/>
            </w:tcBorders>
            <w:shd w:val="clear" w:color="auto" w:fill="DBE5F1" w:themeFill="accent1" w:themeFillTint="33"/>
            <w:vAlign w:val="center"/>
            <w:hideMark/>
          </w:tcPr>
          <w:p w14:paraId="748555D6" w14:textId="77777777" w:rsidR="0057712A" w:rsidRPr="00A64C93" w:rsidRDefault="0057712A">
            <w:pPr>
              <w:rPr>
                <w:rFonts w:eastAsia="Times New Roman" w:cs="Times New Roman"/>
                <w:color w:val="000000"/>
                <w:sz w:val="18"/>
                <w:szCs w:val="18"/>
              </w:rPr>
            </w:pPr>
            <w:r w:rsidRPr="00A64C93">
              <w:rPr>
                <w:rFonts w:eastAsia="Times New Roman" w:cs="Times New Roman"/>
                <w:color w:val="000000"/>
                <w:sz w:val="18"/>
                <w:szCs w:val="18"/>
              </w:rPr>
              <w:t>Rémunération exceptionnelle</w:t>
            </w:r>
          </w:p>
        </w:tc>
        <w:tc>
          <w:tcPr>
            <w:tcW w:w="1283" w:type="dxa"/>
            <w:tcBorders>
              <w:top w:val="nil"/>
              <w:left w:val="nil"/>
              <w:bottom w:val="single" w:sz="12" w:space="0" w:color="FFFFFF" w:themeColor="background1"/>
              <w:right w:val="single" w:sz="12" w:space="0" w:color="FFFFFF" w:themeColor="background1"/>
            </w:tcBorders>
            <w:shd w:val="clear" w:color="auto" w:fill="DBE5F1" w:themeFill="accent1" w:themeFillTint="33"/>
            <w:vAlign w:val="center"/>
            <w:hideMark/>
          </w:tcPr>
          <w:p w14:paraId="3A3ADCEB" w14:textId="77777777" w:rsidR="0057712A" w:rsidRPr="00A64C93" w:rsidRDefault="0057712A" w:rsidP="00A64C93">
            <w:pPr>
              <w:jc w:val="center"/>
              <w:rPr>
                <w:rFonts w:eastAsia="Times New Roman" w:cs="Times New Roman"/>
                <w:sz w:val="18"/>
                <w:szCs w:val="18"/>
              </w:rPr>
            </w:pPr>
            <w:r w:rsidRPr="00A64C93">
              <w:rPr>
                <w:rFonts w:eastAsia="Times New Roman" w:cs="Times New Roman"/>
                <w:sz w:val="18"/>
                <w:szCs w:val="18"/>
              </w:rPr>
              <w:t>Non applicable</w:t>
            </w:r>
          </w:p>
        </w:tc>
        <w:tc>
          <w:tcPr>
            <w:tcW w:w="1283" w:type="dxa"/>
            <w:tcBorders>
              <w:top w:val="nil"/>
              <w:left w:val="nil"/>
              <w:bottom w:val="single" w:sz="12" w:space="0" w:color="FFFFFF" w:themeColor="background1"/>
              <w:right w:val="single" w:sz="12" w:space="0" w:color="FFFFFF" w:themeColor="background1"/>
            </w:tcBorders>
            <w:shd w:val="clear" w:color="auto" w:fill="DBE5F1" w:themeFill="accent1" w:themeFillTint="33"/>
            <w:vAlign w:val="center"/>
            <w:hideMark/>
          </w:tcPr>
          <w:p w14:paraId="7F39E5AE" w14:textId="77777777" w:rsidR="0057712A" w:rsidRPr="00A64C93" w:rsidRDefault="0057712A" w:rsidP="00A64C93">
            <w:pPr>
              <w:jc w:val="center"/>
              <w:rPr>
                <w:rFonts w:eastAsia="Times New Roman" w:cs="Times New Roman"/>
                <w:sz w:val="18"/>
                <w:szCs w:val="18"/>
              </w:rPr>
            </w:pPr>
            <w:r w:rsidRPr="00A64C93">
              <w:rPr>
                <w:rFonts w:eastAsia="Times New Roman" w:cs="Times New Roman"/>
                <w:sz w:val="18"/>
                <w:szCs w:val="18"/>
              </w:rPr>
              <w:t>Non applicable</w:t>
            </w:r>
          </w:p>
        </w:tc>
        <w:tc>
          <w:tcPr>
            <w:tcW w:w="1283" w:type="dxa"/>
            <w:tcBorders>
              <w:top w:val="nil"/>
              <w:left w:val="nil"/>
              <w:bottom w:val="single" w:sz="12" w:space="0" w:color="FFFFFF" w:themeColor="background1"/>
              <w:right w:val="single" w:sz="12" w:space="0" w:color="FFFFFF" w:themeColor="background1"/>
            </w:tcBorders>
            <w:shd w:val="clear" w:color="auto" w:fill="DBE5F1" w:themeFill="accent1" w:themeFillTint="33"/>
            <w:vAlign w:val="center"/>
            <w:hideMark/>
          </w:tcPr>
          <w:p w14:paraId="6B2D3AE5" w14:textId="77777777" w:rsidR="0057712A" w:rsidRPr="00A64C93" w:rsidRDefault="0057712A" w:rsidP="00A64C93">
            <w:pPr>
              <w:jc w:val="center"/>
              <w:rPr>
                <w:rFonts w:eastAsia="Times New Roman" w:cs="Times New Roman"/>
                <w:sz w:val="18"/>
                <w:szCs w:val="18"/>
              </w:rPr>
            </w:pPr>
            <w:r w:rsidRPr="00A64C93">
              <w:rPr>
                <w:rFonts w:eastAsia="Times New Roman" w:cs="Times New Roman"/>
                <w:sz w:val="18"/>
                <w:szCs w:val="18"/>
              </w:rPr>
              <w:t>Non applicable</w:t>
            </w:r>
          </w:p>
        </w:tc>
        <w:tc>
          <w:tcPr>
            <w:tcW w:w="1283" w:type="dxa"/>
            <w:tcBorders>
              <w:top w:val="nil"/>
              <w:left w:val="nil"/>
              <w:bottom w:val="single" w:sz="12" w:space="0" w:color="FFFFFF" w:themeColor="background1"/>
              <w:right w:val="single" w:sz="12" w:space="0" w:color="FFFFFF" w:themeColor="background1"/>
            </w:tcBorders>
            <w:shd w:val="clear" w:color="auto" w:fill="DBE5F1" w:themeFill="accent1" w:themeFillTint="33"/>
            <w:vAlign w:val="center"/>
            <w:hideMark/>
          </w:tcPr>
          <w:p w14:paraId="4139589B" w14:textId="77777777" w:rsidR="0057712A" w:rsidRPr="00A64C93" w:rsidRDefault="0057712A" w:rsidP="00A64C93">
            <w:pPr>
              <w:jc w:val="center"/>
              <w:rPr>
                <w:rFonts w:eastAsia="Times New Roman" w:cs="Times New Roman"/>
                <w:sz w:val="18"/>
                <w:szCs w:val="18"/>
              </w:rPr>
            </w:pPr>
            <w:r w:rsidRPr="00A64C93">
              <w:rPr>
                <w:rFonts w:eastAsia="Times New Roman" w:cs="Times New Roman"/>
                <w:sz w:val="18"/>
                <w:szCs w:val="18"/>
              </w:rPr>
              <w:t>Non applicable</w:t>
            </w:r>
          </w:p>
        </w:tc>
      </w:tr>
      <w:tr w:rsidR="0057712A" w14:paraId="0B14FAEC" w14:textId="77777777" w:rsidTr="00A64C93">
        <w:trPr>
          <w:trHeight w:val="340"/>
        </w:trPr>
        <w:tc>
          <w:tcPr>
            <w:tcW w:w="3119" w:type="dxa"/>
            <w:tcBorders>
              <w:top w:val="nil"/>
              <w:left w:val="single" w:sz="12" w:space="0" w:color="FFFFFF" w:themeColor="background1"/>
              <w:bottom w:val="single" w:sz="12" w:space="0" w:color="FFFFFF" w:themeColor="background1"/>
              <w:right w:val="single" w:sz="12" w:space="0" w:color="FFFFFF" w:themeColor="background1"/>
            </w:tcBorders>
            <w:shd w:val="clear" w:color="auto" w:fill="DBE5F1" w:themeFill="accent1" w:themeFillTint="33"/>
            <w:vAlign w:val="center"/>
            <w:hideMark/>
          </w:tcPr>
          <w:p w14:paraId="040777CB" w14:textId="77777777" w:rsidR="0057712A" w:rsidRPr="00A64C93" w:rsidRDefault="0057712A">
            <w:pPr>
              <w:rPr>
                <w:rFonts w:eastAsia="Times New Roman" w:cs="Times New Roman"/>
                <w:color w:val="000000"/>
                <w:sz w:val="18"/>
                <w:szCs w:val="18"/>
              </w:rPr>
            </w:pPr>
            <w:r w:rsidRPr="00A64C93">
              <w:rPr>
                <w:rFonts w:eastAsia="Times New Roman" w:cs="Times New Roman"/>
                <w:color w:val="000000"/>
                <w:sz w:val="18"/>
                <w:szCs w:val="18"/>
              </w:rPr>
              <w:t>Jetons de présence</w:t>
            </w:r>
          </w:p>
        </w:tc>
        <w:tc>
          <w:tcPr>
            <w:tcW w:w="1283" w:type="dxa"/>
            <w:tcBorders>
              <w:top w:val="nil"/>
              <w:left w:val="nil"/>
              <w:bottom w:val="single" w:sz="12" w:space="0" w:color="FFFFFF" w:themeColor="background1"/>
              <w:right w:val="single" w:sz="12" w:space="0" w:color="FFFFFF" w:themeColor="background1"/>
            </w:tcBorders>
            <w:shd w:val="clear" w:color="auto" w:fill="DBE5F1" w:themeFill="accent1" w:themeFillTint="33"/>
            <w:vAlign w:val="center"/>
            <w:hideMark/>
          </w:tcPr>
          <w:p w14:paraId="2D8B6144" w14:textId="77777777" w:rsidR="0057712A" w:rsidRPr="00A64C93" w:rsidRDefault="0057712A" w:rsidP="00A64C93">
            <w:pPr>
              <w:jc w:val="center"/>
              <w:rPr>
                <w:rFonts w:eastAsia="Times New Roman" w:cs="Times New Roman"/>
                <w:sz w:val="18"/>
                <w:szCs w:val="18"/>
              </w:rPr>
            </w:pPr>
            <w:r w:rsidRPr="00A64C93">
              <w:rPr>
                <w:rFonts w:eastAsia="Times New Roman" w:cs="Times New Roman"/>
                <w:sz w:val="18"/>
                <w:szCs w:val="18"/>
              </w:rPr>
              <w:t>Non applicable</w:t>
            </w:r>
          </w:p>
        </w:tc>
        <w:tc>
          <w:tcPr>
            <w:tcW w:w="1283" w:type="dxa"/>
            <w:tcBorders>
              <w:top w:val="nil"/>
              <w:left w:val="nil"/>
              <w:bottom w:val="single" w:sz="12" w:space="0" w:color="FFFFFF" w:themeColor="background1"/>
              <w:right w:val="single" w:sz="12" w:space="0" w:color="FFFFFF" w:themeColor="background1"/>
            </w:tcBorders>
            <w:shd w:val="clear" w:color="auto" w:fill="DBE5F1" w:themeFill="accent1" w:themeFillTint="33"/>
            <w:vAlign w:val="center"/>
            <w:hideMark/>
          </w:tcPr>
          <w:p w14:paraId="571F4239" w14:textId="77777777" w:rsidR="0057712A" w:rsidRPr="00A64C93" w:rsidRDefault="0057712A" w:rsidP="00A64C93">
            <w:pPr>
              <w:jc w:val="center"/>
              <w:rPr>
                <w:rFonts w:eastAsia="Times New Roman" w:cs="Times New Roman"/>
                <w:sz w:val="18"/>
                <w:szCs w:val="18"/>
              </w:rPr>
            </w:pPr>
            <w:r w:rsidRPr="00A64C93">
              <w:rPr>
                <w:rFonts w:eastAsia="Times New Roman" w:cs="Times New Roman"/>
                <w:sz w:val="18"/>
                <w:szCs w:val="18"/>
              </w:rPr>
              <w:t>Non applicable</w:t>
            </w:r>
          </w:p>
        </w:tc>
        <w:tc>
          <w:tcPr>
            <w:tcW w:w="1283" w:type="dxa"/>
            <w:tcBorders>
              <w:top w:val="nil"/>
              <w:left w:val="nil"/>
              <w:bottom w:val="single" w:sz="12" w:space="0" w:color="FFFFFF" w:themeColor="background1"/>
              <w:right w:val="single" w:sz="12" w:space="0" w:color="FFFFFF" w:themeColor="background1"/>
            </w:tcBorders>
            <w:shd w:val="clear" w:color="auto" w:fill="DBE5F1" w:themeFill="accent1" w:themeFillTint="33"/>
            <w:vAlign w:val="center"/>
            <w:hideMark/>
          </w:tcPr>
          <w:p w14:paraId="653C5A59" w14:textId="77777777" w:rsidR="0057712A" w:rsidRPr="00A64C93" w:rsidRDefault="0057712A" w:rsidP="00A64C93">
            <w:pPr>
              <w:jc w:val="center"/>
              <w:rPr>
                <w:rFonts w:eastAsia="Times New Roman" w:cs="Times New Roman"/>
                <w:sz w:val="18"/>
                <w:szCs w:val="18"/>
              </w:rPr>
            </w:pPr>
            <w:r w:rsidRPr="00A64C93">
              <w:rPr>
                <w:rFonts w:eastAsia="Times New Roman" w:cs="Times New Roman"/>
                <w:sz w:val="18"/>
                <w:szCs w:val="18"/>
              </w:rPr>
              <w:t>Non applicable</w:t>
            </w:r>
          </w:p>
        </w:tc>
        <w:tc>
          <w:tcPr>
            <w:tcW w:w="1283" w:type="dxa"/>
            <w:tcBorders>
              <w:top w:val="nil"/>
              <w:left w:val="nil"/>
              <w:bottom w:val="single" w:sz="12" w:space="0" w:color="FFFFFF" w:themeColor="background1"/>
              <w:right w:val="single" w:sz="12" w:space="0" w:color="FFFFFF" w:themeColor="background1"/>
            </w:tcBorders>
            <w:shd w:val="clear" w:color="auto" w:fill="DBE5F1" w:themeFill="accent1" w:themeFillTint="33"/>
            <w:vAlign w:val="center"/>
            <w:hideMark/>
          </w:tcPr>
          <w:p w14:paraId="5762F9C6" w14:textId="77777777" w:rsidR="0057712A" w:rsidRPr="00A64C93" w:rsidRDefault="0057712A" w:rsidP="00A64C93">
            <w:pPr>
              <w:jc w:val="center"/>
              <w:rPr>
                <w:rFonts w:eastAsia="Times New Roman" w:cs="Times New Roman"/>
                <w:sz w:val="18"/>
                <w:szCs w:val="18"/>
              </w:rPr>
            </w:pPr>
            <w:r w:rsidRPr="00A64C93">
              <w:rPr>
                <w:rFonts w:eastAsia="Times New Roman" w:cs="Times New Roman"/>
                <w:sz w:val="18"/>
                <w:szCs w:val="18"/>
              </w:rPr>
              <w:t>Non applicable</w:t>
            </w:r>
          </w:p>
        </w:tc>
      </w:tr>
      <w:tr w:rsidR="0057712A" w14:paraId="072215CC" w14:textId="77777777" w:rsidTr="00A64C93">
        <w:trPr>
          <w:trHeight w:val="340"/>
        </w:trPr>
        <w:tc>
          <w:tcPr>
            <w:tcW w:w="3119" w:type="dxa"/>
            <w:tcBorders>
              <w:top w:val="nil"/>
              <w:left w:val="single" w:sz="12" w:space="0" w:color="FFFFFF" w:themeColor="background1"/>
              <w:bottom w:val="single" w:sz="12" w:space="0" w:color="FFFFFF" w:themeColor="background1"/>
              <w:right w:val="single" w:sz="12" w:space="0" w:color="FFFFFF" w:themeColor="background1"/>
            </w:tcBorders>
            <w:shd w:val="clear" w:color="auto" w:fill="DBE5F1" w:themeFill="accent1" w:themeFillTint="33"/>
            <w:vAlign w:val="center"/>
            <w:hideMark/>
          </w:tcPr>
          <w:p w14:paraId="3EEAE8FB" w14:textId="77777777" w:rsidR="0057712A" w:rsidRPr="00A64C93" w:rsidRDefault="0057712A">
            <w:pPr>
              <w:rPr>
                <w:rFonts w:eastAsia="Times New Roman" w:cs="Times New Roman"/>
                <w:color w:val="000000"/>
                <w:sz w:val="18"/>
                <w:szCs w:val="18"/>
              </w:rPr>
            </w:pPr>
            <w:r w:rsidRPr="00A64C93">
              <w:rPr>
                <w:rFonts w:eastAsia="Times New Roman" w:cs="Times New Roman"/>
                <w:color w:val="000000"/>
                <w:sz w:val="18"/>
                <w:szCs w:val="18"/>
              </w:rPr>
              <w:t>Avantages en nature</w:t>
            </w:r>
          </w:p>
        </w:tc>
        <w:tc>
          <w:tcPr>
            <w:tcW w:w="1283" w:type="dxa"/>
            <w:tcBorders>
              <w:top w:val="nil"/>
              <w:left w:val="nil"/>
              <w:bottom w:val="single" w:sz="12" w:space="0" w:color="FFFFFF" w:themeColor="background1"/>
              <w:right w:val="single" w:sz="12" w:space="0" w:color="FFFFFF" w:themeColor="background1"/>
            </w:tcBorders>
            <w:shd w:val="clear" w:color="auto" w:fill="DBE5F1" w:themeFill="accent1" w:themeFillTint="33"/>
            <w:vAlign w:val="center"/>
            <w:hideMark/>
          </w:tcPr>
          <w:p w14:paraId="54F8B654" w14:textId="02722F45" w:rsidR="0057712A" w:rsidRPr="00A64C93" w:rsidRDefault="009107CD" w:rsidP="00A64C93">
            <w:pPr>
              <w:spacing w:line="259" w:lineRule="auto"/>
              <w:jc w:val="center"/>
              <w:rPr>
                <w:rFonts w:eastAsia="Calibri" w:cs="Calibri"/>
                <w:sz w:val="18"/>
                <w:szCs w:val="18"/>
              </w:rPr>
            </w:pPr>
            <w:r>
              <w:rPr>
                <w:rFonts w:eastAsia="Times New Roman" w:cs="Times New Roman"/>
                <w:sz w:val="18"/>
                <w:szCs w:val="18"/>
              </w:rPr>
              <w:t xml:space="preserve">3 </w:t>
            </w:r>
            <w:r w:rsidR="54FDD3F0" w:rsidRPr="00A64C93">
              <w:rPr>
                <w:rFonts w:eastAsia="Times New Roman" w:cs="Times New Roman"/>
                <w:sz w:val="18"/>
                <w:szCs w:val="18"/>
              </w:rPr>
              <w:t>505</w:t>
            </w:r>
          </w:p>
        </w:tc>
        <w:tc>
          <w:tcPr>
            <w:tcW w:w="1283" w:type="dxa"/>
            <w:tcBorders>
              <w:top w:val="nil"/>
              <w:left w:val="nil"/>
              <w:bottom w:val="single" w:sz="12" w:space="0" w:color="FFFFFF" w:themeColor="background1"/>
              <w:right w:val="single" w:sz="12" w:space="0" w:color="FFFFFF" w:themeColor="background1"/>
            </w:tcBorders>
            <w:shd w:val="clear" w:color="auto" w:fill="DBE5F1" w:themeFill="accent1" w:themeFillTint="33"/>
            <w:vAlign w:val="center"/>
            <w:hideMark/>
          </w:tcPr>
          <w:p w14:paraId="6477A9DA" w14:textId="079D398D" w:rsidR="0057712A" w:rsidRPr="00A64C93" w:rsidRDefault="009107CD" w:rsidP="00A64C93">
            <w:pPr>
              <w:spacing w:line="259" w:lineRule="auto"/>
              <w:jc w:val="center"/>
              <w:rPr>
                <w:rFonts w:eastAsia="Calibri" w:cs="Calibri"/>
                <w:sz w:val="18"/>
                <w:szCs w:val="18"/>
              </w:rPr>
            </w:pPr>
            <w:r>
              <w:rPr>
                <w:rFonts w:eastAsia="Times New Roman" w:cs="Times New Roman"/>
                <w:sz w:val="18"/>
                <w:szCs w:val="18"/>
              </w:rPr>
              <w:t xml:space="preserve">3 </w:t>
            </w:r>
            <w:r w:rsidR="245A6EAB" w:rsidRPr="00A64C93">
              <w:rPr>
                <w:rFonts w:eastAsia="Times New Roman" w:cs="Times New Roman"/>
                <w:sz w:val="18"/>
                <w:szCs w:val="18"/>
              </w:rPr>
              <w:t>305</w:t>
            </w:r>
          </w:p>
        </w:tc>
        <w:tc>
          <w:tcPr>
            <w:tcW w:w="1283" w:type="dxa"/>
            <w:tcBorders>
              <w:top w:val="nil"/>
              <w:left w:val="nil"/>
              <w:bottom w:val="single" w:sz="12" w:space="0" w:color="FFFFFF" w:themeColor="background1"/>
              <w:right w:val="single" w:sz="12" w:space="0" w:color="FFFFFF" w:themeColor="background1"/>
            </w:tcBorders>
            <w:shd w:val="clear" w:color="auto" w:fill="DBE5F1" w:themeFill="accent1" w:themeFillTint="33"/>
            <w:vAlign w:val="center"/>
            <w:hideMark/>
          </w:tcPr>
          <w:p w14:paraId="5DBBFB44" w14:textId="231BF24B" w:rsidR="0057712A" w:rsidRPr="00A64C93" w:rsidRDefault="009107CD" w:rsidP="00A64C93">
            <w:pPr>
              <w:spacing w:line="259" w:lineRule="auto"/>
              <w:jc w:val="center"/>
              <w:rPr>
                <w:rFonts w:eastAsia="Calibri" w:cs="Calibri"/>
                <w:sz w:val="18"/>
                <w:szCs w:val="18"/>
              </w:rPr>
            </w:pPr>
            <w:r>
              <w:rPr>
                <w:rFonts w:eastAsia="Times New Roman" w:cs="Times New Roman"/>
                <w:sz w:val="18"/>
                <w:szCs w:val="18"/>
              </w:rPr>
              <w:t xml:space="preserve">3 </w:t>
            </w:r>
            <w:r w:rsidR="245A6EAB" w:rsidRPr="00A64C93">
              <w:rPr>
                <w:rFonts w:eastAsia="Times New Roman" w:cs="Times New Roman"/>
                <w:sz w:val="18"/>
                <w:szCs w:val="18"/>
              </w:rPr>
              <w:t>593</w:t>
            </w:r>
          </w:p>
        </w:tc>
        <w:tc>
          <w:tcPr>
            <w:tcW w:w="1283" w:type="dxa"/>
            <w:tcBorders>
              <w:top w:val="nil"/>
              <w:left w:val="nil"/>
              <w:bottom w:val="single" w:sz="12" w:space="0" w:color="FFFFFF" w:themeColor="background1"/>
              <w:right w:val="single" w:sz="12" w:space="0" w:color="FFFFFF" w:themeColor="background1"/>
            </w:tcBorders>
            <w:shd w:val="clear" w:color="auto" w:fill="DBE5F1" w:themeFill="accent1" w:themeFillTint="33"/>
            <w:vAlign w:val="center"/>
            <w:hideMark/>
          </w:tcPr>
          <w:p w14:paraId="0FA34F33" w14:textId="09D4C27F" w:rsidR="0057712A" w:rsidRPr="00A64C93" w:rsidRDefault="009107CD" w:rsidP="00A64C93">
            <w:pPr>
              <w:spacing w:line="259" w:lineRule="auto"/>
              <w:jc w:val="center"/>
              <w:rPr>
                <w:rFonts w:eastAsia="Calibri" w:cs="Calibri"/>
                <w:sz w:val="18"/>
                <w:szCs w:val="18"/>
              </w:rPr>
            </w:pPr>
            <w:r>
              <w:rPr>
                <w:rFonts w:eastAsia="Times New Roman" w:cs="Times New Roman"/>
                <w:sz w:val="18"/>
                <w:szCs w:val="18"/>
              </w:rPr>
              <w:t xml:space="preserve">3 </w:t>
            </w:r>
            <w:r w:rsidR="245A6EAB" w:rsidRPr="00A64C93">
              <w:rPr>
                <w:rFonts w:eastAsia="Times New Roman" w:cs="Times New Roman"/>
                <w:sz w:val="18"/>
                <w:szCs w:val="18"/>
              </w:rPr>
              <w:t>593</w:t>
            </w:r>
          </w:p>
        </w:tc>
      </w:tr>
      <w:tr w:rsidR="00B22E53" w14:paraId="46480196" w14:textId="77777777" w:rsidTr="00A64C93">
        <w:trPr>
          <w:trHeight w:val="340"/>
        </w:trPr>
        <w:tc>
          <w:tcPr>
            <w:tcW w:w="3119" w:type="dxa"/>
            <w:tcBorders>
              <w:top w:val="nil"/>
              <w:left w:val="single" w:sz="12" w:space="0" w:color="FFFFFF" w:themeColor="background1"/>
              <w:bottom w:val="single" w:sz="12" w:space="0" w:color="FFFFFF" w:themeColor="background1"/>
              <w:right w:val="single" w:sz="12" w:space="0" w:color="FFFFFF" w:themeColor="background1"/>
            </w:tcBorders>
            <w:shd w:val="clear" w:color="auto" w:fill="B8CCE4" w:themeFill="accent1" w:themeFillTint="66"/>
            <w:vAlign w:val="center"/>
            <w:hideMark/>
          </w:tcPr>
          <w:p w14:paraId="41AAE46A" w14:textId="77777777" w:rsidR="00B22E53" w:rsidRPr="00A64C93" w:rsidRDefault="00B22E53">
            <w:pPr>
              <w:rPr>
                <w:rFonts w:eastAsia="Times New Roman" w:cs="Times New Roman"/>
                <w:b/>
                <w:bCs/>
                <w:color w:val="000000"/>
                <w:sz w:val="18"/>
                <w:szCs w:val="18"/>
              </w:rPr>
            </w:pPr>
            <w:r w:rsidRPr="00A64C93">
              <w:rPr>
                <w:rFonts w:eastAsia="Times New Roman" w:cs="Times New Roman"/>
                <w:b/>
                <w:bCs/>
                <w:color w:val="000000"/>
                <w:sz w:val="18"/>
                <w:szCs w:val="18"/>
              </w:rPr>
              <w:t>Total</w:t>
            </w:r>
          </w:p>
        </w:tc>
        <w:tc>
          <w:tcPr>
            <w:tcW w:w="1283" w:type="dxa"/>
            <w:tcBorders>
              <w:top w:val="nil"/>
              <w:left w:val="nil"/>
              <w:bottom w:val="single" w:sz="12" w:space="0" w:color="FFFFFF" w:themeColor="background1"/>
              <w:right w:val="single" w:sz="12" w:space="0" w:color="FFFFFF" w:themeColor="background1"/>
            </w:tcBorders>
            <w:shd w:val="clear" w:color="auto" w:fill="B8CCE4" w:themeFill="accent1" w:themeFillTint="66"/>
            <w:vAlign w:val="center"/>
            <w:hideMark/>
          </w:tcPr>
          <w:p w14:paraId="54097DEA" w14:textId="27E308D6" w:rsidR="00B22E53" w:rsidRPr="00A64C93" w:rsidRDefault="009107CD" w:rsidP="00A64C93">
            <w:pPr>
              <w:spacing w:line="259" w:lineRule="auto"/>
              <w:jc w:val="center"/>
              <w:rPr>
                <w:rFonts w:eastAsia="Calibri" w:cs="Calibri"/>
                <w:sz w:val="18"/>
                <w:szCs w:val="18"/>
              </w:rPr>
            </w:pPr>
            <w:r>
              <w:rPr>
                <w:rFonts w:eastAsia="Times New Roman" w:cs="Times New Roman"/>
                <w:sz w:val="18"/>
                <w:szCs w:val="18"/>
              </w:rPr>
              <w:t xml:space="preserve">189 </w:t>
            </w:r>
            <w:r w:rsidR="000672F7">
              <w:rPr>
                <w:rFonts w:eastAsia="Times New Roman" w:cs="Times New Roman"/>
                <w:sz w:val="18"/>
                <w:szCs w:val="18"/>
              </w:rPr>
              <w:t>379</w:t>
            </w:r>
          </w:p>
        </w:tc>
        <w:tc>
          <w:tcPr>
            <w:tcW w:w="1283" w:type="dxa"/>
            <w:tcBorders>
              <w:top w:val="nil"/>
              <w:left w:val="nil"/>
              <w:bottom w:val="single" w:sz="12" w:space="0" w:color="FFFFFF" w:themeColor="background1"/>
              <w:right w:val="single" w:sz="12" w:space="0" w:color="FFFFFF" w:themeColor="background1"/>
            </w:tcBorders>
            <w:shd w:val="clear" w:color="auto" w:fill="B8CCE4" w:themeFill="accent1" w:themeFillTint="66"/>
            <w:vAlign w:val="center"/>
            <w:hideMark/>
          </w:tcPr>
          <w:p w14:paraId="0B3057D2" w14:textId="11565F5B" w:rsidR="00B22E53" w:rsidRPr="00A64C93" w:rsidRDefault="009107CD" w:rsidP="00A64C93">
            <w:pPr>
              <w:spacing w:line="259" w:lineRule="auto"/>
              <w:jc w:val="center"/>
              <w:rPr>
                <w:rFonts w:eastAsia="Calibri" w:cs="Calibri"/>
                <w:sz w:val="18"/>
                <w:szCs w:val="18"/>
              </w:rPr>
            </w:pPr>
            <w:r>
              <w:rPr>
                <w:rFonts w:eastAsia="Times New Roman" w:cs="Times New Roman"/>
                <w:sz w:val="18"/>
                <w:szCs w:val="18"/>
              </w:rPr>
              <w:t xml:space="preserve">151 </w:t>
            </w:r>
            <w:r w:rsidR="245A6EAB" w:rsidRPr="00A64C93">
              <w:rPr>
                <w:rFonts w:eastAsia="Times New Roman" w:cs="Times New Roman"/>
                <w:sz w:val="18"/>
                <w:szCs w:val="18"/>
              </w:rPr>
              <w:t>956</w:t>
            </w:r>
          </w:p>
        </w:tc>
        <w:tc>
          <w:tcPr>
            <w:tcW w:w="1283" w:type="dxa"/>
            <w:tcBorders>
              <w:top w:val="nil"/>
              <w:left w:val="nil"/>
              <w:bottom w:val="single" w:sz="12" w:space="0" w:color="FFFFFF" w:themeColor="background1"/>
              <w:right w:val="single" w:sz="12" w:space="0" w:color="FFFFFF" w:themeColor="background1"/>
            </w:tcBorders>
            <w:shd w:val="clear" w:color="auto" w:fill="B8CCE4" w:themeFill="accent1" w:themeFillTint="66"/>
            <w:vAlign w:val="center"/>
            <w:hideMark/>
          </w:tcPr>
          <w:p w14:paraId="58A5D6A6" w14:textId="1C1B4175" w:rsidR="00B22E53" w:rsidRPr="00A64C93" w:rsidRDefault="009107CD" w:rsidP="00A64C93">
            <w:pPr>
              <w:spacing w:line="259" w:lineRule="auto"/>
              <w:jc w:val="center"/>
              <w:rPr>
                <w:rFonts w:eastAsia="Calibri" w:cs="Calibri"/>
                <w:sz w:val="18"/>
                <w:szCs w:val="18"/>
              </w:rPr>
            </w:pPr>
            <w:r>
              <w:rPr>
                <w:rFonts w:eastAsia="Times New Roman" w:cs="Times New Roman"/>
                <w:sz w:val="18"/>
                <w:szCs w:val="18"/>
              </w:rPr>
              <w:t xml:space="preserve">152 </w:t>
            </w:r>
            <w:r w:rsidR="245A6EAB" w:rsidRPr="00A64C93">
              <w:rPr>
                <w:rFonts w:eastAsia="Times New Roman" w:cs="Times New Roman"/>
                <w:sz w:val="18"/>
                <w:szCs w:val="18"/>
              </w:rPr>
              <w:t>044</w:t>
            </w:r>
          </w:p>
        </w:tc>
        <w:tc>
          <w:tcPr>
            <w:tcW w:w="1283" w:type="dxa"/>
            <w:tcBorders>
              <w:top w:val="nil"/>
              <w:left w:val="nil"/>
              <w:bottom w:val="single" w:sz="12" w:space="0" w:color="FFFFFF" w:themeColor="background1"/>
              <w:right w:val="single" w:sz="12" w:space="0" w:color="FFFFFF" w:themeColor="background1"/>
            </w:tcBorders>
            <w:shd w:val="clear" w:color="auto" w:fill="B8CCE4" w:themeFill="accent1" w:themeFillTint="66"/>
            <w:vAlign w:val="center"/>
            <w:hideMark/>
          </w:tcPr>
          <w:p w14:paraId="6D288375" w14:textId="33074CFA" w:rsidR="00B22E53" w:rsidRPr="00A64C93" w:rsidRDefault="009107CD" w:rsidP="00A64C93">
            <w:pPr>
              <w:spacing w:line="259" w:lineRule="auto"/>
              <w:jc w:val="center"/>
              <w:rPr>
                <w:rFonts w:eastAsia="Calibri" w:cs="Calibri"/>
                <w:sz w:val="18"/>
                <w:szCs w:val="18"/>
              </w:rPr>
            </w:pPr>
            <w:r>
              <w:rPr>
                <w:rFonts w:eastAsia="Times New Roman" w:cs="Times New Roman"/>
                <w:sz w:val="18"/>
                <w:szCs w:val="18"/>
              </w:rPr>
              <w:t xml:space="preserve">213 </w:t>
            </w:r>
            <w:r w:rsidR="245A6EAB" w:rsidRPr="00A64C93">
              <w:rPr>
                <w:rFonts w:eastAsia="Times New Roman" w:cs="Times New Roman"/>
                <w:sz w:val="18"/>
                <w:szCs w:val="18"/>
              </w:rPr>
              <w:t>002</w:t>
            </w:r>
          </w:p>
        </w:tc>
      </w:tr>
    </w:tbl>
    <w:p w14:paraId="25F5E879" w14:textId="77777777" w:rsidR="0057712A" w:rsidRPr="00A64C93" w:rsidRDefault="0057712A" w:rsidP="007759F8">
      <w:pPr>
        <w:rPr>
          <w:rFonts w:ascii="Calibri" w:eastAsia="Times New Roman" w:hAnsi="Calibri" w:cs="Times New Roman"/>
          <w:b/>
          <w:bCs/>
          <w:sz w:val="18"/>
          <w:szCs w:val="18"/>
        </w:rPr>
      </w:pPr>
    </w:p>
    <w:p w14:paraId="327FE440" w14:textId="3D7809FB" w:rsidR="00A444F4" w:rsidRPr="00A64C93" w:rsidRDefault="54FDD3F0" w:rsidP="00A444F4">
      <w:r w:rsidRPr="00A64C93">
        <w:t>Les rémunérations perçues par M. Stéphane Le Roux lui sont versés au titre de ses fonctions de Président Directeur Général de Spineway et ont été fixées par le Conseil d’</w:t>
      </w:r>
      <w:r w:rsidR="005D488B">
        <w:t>a</w:t>
      </w:r>
      <w:r w:rsidRPr="00A64C93">
        <w:t xml:space="preserve">dministration dans ses séances des 22 novembre 2012, 26 avril 2016, 15 avril 2020 et 25 janvier 2021. La rémunération variable est calculée sur la base de la rémunération fixe, de la réalisation de projets et </w:t>
      </w:r>
      <w:r w:rsidR="00E513E0">
        <w:t>d’</w:t>
      </w:r>
      <w:r w:rsidRPr="00A64C93">
        <w:t>investissements favorisant le retournement de la société.</w:t>
      </w:r>
    </w:p>
    <w:p w14:paraId="364D531F" w14:textId="3BC5FA38" w:rsidR="00C62CF5" w:rsidRPr="00A64C93" w:rsidRDefault="5F1F329D" w:rsidP="00AE300A">
      <w:r w:rsidRPr="00A64C93">
        <w:t xml:space="preserve">S’agissant de </w:t>
      </w:r>
      <w:r w:rsidR="00E513E0">
        <w:t>la</w:t>
      </w:r>
      <w:r w:rsidR="00E513E0" w:rsidRPr="00A64C93">
        <w:t xml:space="preserve"> </w:t>
      </w:r>
      <w:r w:rsidRPr="00A64C93">
        <w:t>part variable de la rémunération de M. Stéphane Le Roux, le Conseil d’</w:t>
      </w:r>
      <w:r w:rsidR="005D488B">
        <w:t>a</w:t>
      </w:r>
      <w:r w:rsidRPr="00A64C93">
        <w:t>dministration du 25 janvier 2021 a décidé d’en ajuster les modalités afin de tenir compte de la situation actuelle et de l’engagement de M. Stéphane L</w:t>
      </w:r>
      <w:r w:rsidR="00A64C93">
        <w:t>e</w:t>
      </w:r>
      <w:r w:rsidRPr="00A64C93">
        <w:t xml:space="preserve"> Roux </w:t>
      </w:r>
      <w:r w:rsidR="00E513E0">
        <w:t>de</w:t>
      </w:r>
      <w:r w:rsidR="00E513E0" w:rsidRPr="00A64C93">
        <w:t xml:space="preserve"> </w:t>
      </w:r>
      <w:r w:rsidR="00A64C93" w:rsidRPr="00A64C93">
        <w:t>pérenniser</w:t>
      </w:r>
      <w:r w:rsidRPr="00A64C93">
        <w:t xml:space="preserve"> la société et </w:t>
      </w:r>
      <w:r w:rsidR="00E513E0">
        <w:t xml:space="preserve">de </w:t>
      </w:r>
      <w:r w:rsidRPr="00A64C93">
        <w:t xml:space="preserve">mener les nombreux chantiers de retournement et développement. </w:t>
      </w:r>
    </w:p>
    <w:p w14:paraId="2C90DC7A" w14:textId="13C9DA13" w:rsidR="004B1BB4" w:rsidRPr="004B1BB4" w:rsidRDefault="54FDD3F0" w:rsidP="004B1BB4">
      <w:pPr>
        <w:rPr>
          <w:rFonts w:ascii="Calibri" w:eastAsia="Times New Roman" w:hAnsi="Calibri" w:cs="Times New Roman"/>
          <w:b/>
          <w:bCs/>
          <w:sz w:val="18"/>
          <w:szCs w:val="18"/>
        </w:rPr>
      </w:pPr>
      <w:r w:rsidRPr="004B1BB4">
        <w:rPr>
          <w:rFonts w:cs="Segoe UI"/>
        </w:rPr>
        <w:t>Le Conseil d’</w:t>
      </w:r>
      <w:r w:rsidR="00AA02A2">
        <w:rPr>
          <w:rFonts w:cs="Segoe UI"/>
        </w:rPr>
        <w:t>a</w:t>
      </w:r>
      <w:r w:rsidRPr="004B1BB4">
        <w:rPr>
          <w:rFonts w:cs="Segoe UI"/>
        </w:rPr>
        <w:t>dministration du 4 avril</w:t>
      </w:r>
      <w:r w:rsidR="004B1BB4" w:rsidRPr="004B1BB4">
        <w:rPr>
          <w:rFonts w:cs="Segoe UI"/>
        </w:rPr>
        <w:t xml:space="preserve"> </w:t>
      </w:r>
      <w:r w:rsidRPr="004B1BB4">
        <w:rPr>
          <w:rFonts w:cs="Segoe UI"/>
        </w:rPr>
        <w:t xml:space="preserve">2020 a acté le principe d’une </w:t>
      </w:r>
      <w:r w:rsidR="004B1BB4" w:rsidRPr="004B1BB4">
        <w:rPr>
          <w:rFonts w:cs="Segoe UI"/>
        </w:rPr>
        <w:t xml:space="preserve">modification de la rémunération fixe. </w:t>
      </w:r>
      <w:r w:rsidR="004B1BB4" w:rsidRPr="004B1BB4">
        <w:t xml:space="preserve">Le </w:t>
      </w:r>
      <w:r w:rsidR="004B1BB4" w:rsidRPr="004B1BB4">
        <w:rPr>
          <w:rFonts w:cs="Segoe UI"/>
        </w:rPr>
        <w:t>Conseil d’</w:t>
      </w:r>
      <w:r w:rsidR="00AA02A2">
        <w:rPr>
          <w:rFonts w:cs="Segoe UI"/>
        </w:rPr>
        <w:t>a</w:t>
      </w:r>
      <w:r w:rsidR="004B1BB4" w:rsidRPr="004B1BB4">
        <w:rPr>
          <w:rFonts w:cs="Segoe UI"/>
        </w:rPr>
        <w:t xml:space="preserve">dministration </w:t>
      </w:r>
      <w:r w:rsidR="004B1BB4" w:rsidRPr="004B1BB4">
        <w:t>du 25 janvier 2021 a ajusté la partie fixe de la rémunération, avec un effet à compter du 1</w:t>
      </w:r>
      <w:r w:rsidR="004B1BB4" w:rsidRPr="004B1BB4">
        <w:rPr>
          <w:vertAlign w:val="superscript"/>
        </w:rPr>
        <w:t>er</w:t>
      </w:r>
      <w:r w:rsidR="004B1BB4" w:rsidRPr="004B1BB4">
        <w:t xml:space="preserve"> octobre 2020, outre l’allocation d’une prime exceptionnelle de 30 K</w:t>
      </w:r>
      <w:r w:rsidR="004B1BB4" w:rsidRPr="004B1BB4">
        <w:rPr>
          <w:rFonts w:cstheme="majorHAnsi"/>
        </w:rPr>
        <w:t>€</w:t>
      </w:r>
      <w:r w:rsidR="004B1BB4" w:rsidRPr="004B1BB4">
        <w:t xml:space="preserve"> bruts. La partie variable de la rémunération n’a pas été modifiée.</w:t>
      </w:r>
    </w:p>
    <w:p w14:paraId="19105AE0" w14:textId="2FB7785A" w:rsidR="001C336B" w:rsidRDefault="001C336B" w:rsidP="001C336B">
      <w:pPr>
        <w:rPr>
          <w:rFonts w:cs="Segoe UI"/>
        </w:rPr>
      </w:pPr>
    </w:p>
    <w:p w14:paraId="5A2022F7" w14:textId="77777777" w:rsidR="001C336B" w:rsidRDefault="001C336B" w:rsidP="00A444F4">
      <w:pPr>
        <w:rPr>
          <w:color w:val="00B050"/>
        </w:rPr>
      </w:pPr>
    </w:p>
    <w:p w14:paraId="33E1BBF4" w14:textId="77777777" w:rsidR="004B1BB4" w:rsidRDefault="004B1BB4" w:rsidP="00A444F4">
      <w:pPr>
        <w:rPr>
          <w:rFonts w:eastAsiaTheme="majorEastAsia" w:cstheme="majorBidi"/>
          <w:bCs/>
          <w:szCs w:val="20"/>
        </w:rPr>
      </w:pPr>
    </w:p>
    <w:p w14:paraId="4264A8C2" w14:textId="41BFD2AF" w:rsidR="00513BB3" w:rsidRDefault="00D11BDB" w:rsidP="007759F8">
      <w:pPr>
        <w:rPr>
          <w:b/>
        </w:rPr>
      </w:pPr>
      <w:r>
        <w:rPr>
          <w:b/>
        </w:rPr>
        <w:t>Tableaux n</w:t>
      </w:r>
      <w:r w:rsidR="001C336B">
        <w:rPr>
          <w:b/>
        </w:rPr>
        <w:t>°</w:t>
      </w:r>
      <w:r w:rsidR="00051CA0">
        <w:rPr>
          <w:b/>
        </w:rPr>
        <w:t>3 :</w:t>
      </w:r>
    </w:p>
    <w:p w14:paraId="0C096D06" w14:textId="77777777" w:rsidR="00942A4F" w:rsidRPr="006F091C" w:rsidRDefault="00942A4F" w:rsidP="007759F8">
      <w:pPr>
        <w:rPr>
          <w:b/>
        </w:rPr>
      </w:pPr>
    </w:p>
    <w:tbl>
      <w:tblPr>
        <w:tblW w:w="8400" w:type="dxa"/>
        <w:tblInd w:w="55" w:type="dxa"/>
        <w:tblCellMar>
          <w:left w:w="70" w:type="dxa"/>
          <w:right w:w="70" w:type="dxa"/>
        </w:tblCellMar>
        <w:tblLook w:val="04A0" w:firstRow="1" w:lastRow="0" w:firstColumn="1" w:lastColumn="0" w:noHBand="0" w:noVBand="1"/>
      </w:tblPr>
      <w:tblGrid>
        <w:gridCol w:w="3200"/>
        <w:gridCol w:w="1300"/>
        <w:gridCol w:w="1300"/>
        <w:gridCol w:w="1300"/>
        <w:gridCol w:w="1300"/>
      </w:tblGrid>
      <w:tr w:rsidR="001C336B" w:rsidRPr="001C336B" w14:paraId="4147D2CA" w14:textId="77777777" w:rsidTr="5F1F329D">
        <w:trPr>
          <w:trHeight w:val="560"/>
        </w:trPr>
        <w:tc>
          <w:tcPr>
            <w:tcW w:w="8400" w:type="dxa"/>
            <w:gridSpan w:val="5"/>
            <w:tcBorders>
              <w:top w:val="single" w:sz="12" w:space="0" w:color="FFFFFF" w:themeColor="background1"/>
              <w:left w:val="single" w:sz="12" w:space="0" w:color="FFFFFF" w:themeColor="background1"/>
              <w:bottom w:val="nil"/>
              <w:right w:val="nil"/>
            </w:tcBorders>
            <w:shd w:val="clear" w:color="auto" w:fill="365F91" w:themeFill="accent1" w:themeFillShade="BF"/>
            <w:vAlign w:val="center"/>
            <w:hideMark/>
          </w:tcPr>
          <w:p w14:paraId="4C9D1552" w14:textId="77777777" w:rsidR="001C336B" w:rsidRPr="001C336B" w:rsidRDefault="001C336B" w:rsidP="001C336B">
            <w:pPr>
              <w:jc w:val="center"/>
              <w:rPr>
                <w:rFonts w:ascii="Calibri" w:eastAsia="Times New Roman" w:hAnsi="Calibri" w:cs="Times New Roman"/>
                <w:b/>
                <w:bCs/>
                <w:color w:val="FFFFFF"/>
                <w:sz w:val="18"/>
                <w:szCs w:val="18"/>
              </w:rPr>
            </w:pPr>
            <w:r w:rsidRPr="001C336B">
              <w:rPr>
                <w:rFonts w:ascii="Calibri" w:eastAsia="Times New Roman" w:hAnsi="Calibri" w:cs="Times New Roman"/>
                <w:b/>
                <w:bCs/>
                <w:color w:val="FFFFFF"/>
                <w:sz w:val="18"/>
                <w:szCs w:val="18"/>
              </w:rPr>
              <w:t>Tableau récapitulatif des rémunérations de M. Joseph Brigneaud, administrateur depuis octobre 2017</w:t>
            </w:r>
          </w:p>
        </w:tc>
      </w:tr>
      <w:tr w:rsidR="001C336B" w:rsidRPr="001C336B" w14:paraId="2D6D5D9F" w14:textId="77777777" w:rsidTr="5F1F329D">
        <w:trPr>
          <w:trHeight w:val="340"/>
        </w:trPr>
        <w:tc>
          <w:tcPr>
            <w:tcW w:w="3200" w:type="dxa"/>
            <w:vMerge w:val="restar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365F91" w:themeFill="accent1" w:themeFillShade="BF"/>
            <w:vAlign w:val="center"/>
            <w:hideMark/>
          </w:tcPr>
          <w:p w14:paraId="7B6E6DB7" w14:textId="77777777" w:rsidR="001C336B" w:rsidRPr="001C336B" w:rsidRDefault="001C336B" w:rsidP="001C336B">
            <w:pPr>
              <w:jc w:val="center"/>
              <w:rPr>
                <w:rFonts w:ascii="Calibri" w:eastAsia="Times New Roman" w:hAnsi="Calibri" w:cs="Times New Roman"/>
                <w:b/>
                <w:bCs/>
                <w:color w:val="FFFFFF"/>
                <w:sz w:val="18"/>
                <w:szCs w:val="18"/>
              </w:rPr>
            </w:pPr>
            <w:r w:rsidRPr="001C336B">
              <w:rPr>
                <w:rFonts w:ascii="Calibri" w:eastAsia="Times New Roman" w:hAnsi="Calibri" w:cs="Times New Roman"/>
                <w:b/>
                <w:bCs/>
                <w:color w:val="FFFFFF"/>
                <w:sz w:val="18"/>
                <w:szCs w:val="18"/>
              </w:rPr>
              <w:t> </w:t>
            </w:r>
          </w:p>
        </w:tc>
        <w:tc>
          <w:tcPr>
            <w:tcW w:w="2600" w:type="dxa"/>
            <w:gridSpan w:val="2"/>
            <w:tcBorders>
              <w:top w:val="single" w:sz="12" w:space="0" w:color="FFFFFF" w:themeColor="background1"/>
              <w:left w:val="nil"/>
              <w:bottom w:val="single" w:sz="12" w:space="0" w:color="FFFFFF" w:themeColor="background1"/>
              <w:right w:val="single" w:sz="12" w:space="0" w:color="FFFFFF" w:themeColor="background1"/>
            </w:tcBorders>
            <w:shd w:val="clear" w:color="auto" w:fill="365F91" w:themeFill="accent1" w:themeFillShade="BF"/>
            <w:vAlign w:val="center"/>
            <w:hideMark/>
          </w:tcPr>
          <w:p w14:paraId="5673F99E" w14:textId="27255ABE" w:rsidR="001C336B" w:rsidRPr="001C336B" w:rsidRDefault="00B22E53" w:rsidP="001C336B">
            <w:pPr>
              <w:jc w:val="center"/>
              <w:rPr>
                <w:rFonts w:ascii="Calibri" w:eastAsia="Times New Roman" w:hAnsi="Calibri" w:cs="Times New Roman"/>
                <w:b/>
                <w:bCs/>
                <w:color w:val="FFFFFF"/>
                <w:sz w:val="18"/>
                <w:szCs w:val="18"/>
              </w:rPr>
            </w:pPr>
            <w:r>
              <w:rPr>
                <w:rFonts w:ascii="Calibri" w:eastAsia="Times New Roman" w:hAnsi="Calibri" w:cs="Times New Roman"/>
                <w:b/>
                <w:bCs/>
                <w:color w:val="FFFFFF"/>
                <w:sz w:val="18"/>
                <w:szCs w:val="18"/>
              </w:rPr>
              <w:t>2020</w:t>
            </w:r>
          </w:p>
        </w:tc>
        <w:tc>
          <w:tcPr>
            <w:tcW w:w="2600" w:type="dxa"/>
            <w:gridSpan w:val="2"/>
            <w:tcBorders>
              <w:top w:val="single" w:sz="12" w:space="0" w:color="FFFFFF" w:themeColor="background1"/>
              <w:left w:val="nil"/>
              <w:bottom w:val="single" w:sz="12" w:space="0" w:color="FFFFFF" w:themeColor="background1"/>
              <w:right w:val="single" w:sz="12" w:space="0" w:color="FFFFFF" w:themeColor="background1"/>
            </w:tcBorders>
            <w:shd w:val="clear" w:color="auto" w:fill="365F91" w:themeFill="accent1" w:themeFillShade="BF"/>
            <w:vAlign w:val="center"/>
            <w:hideMark/>
          </w:tcPr>
          <w:p w14:paraId="3A3C1138" w14:textId="0E0347EA" w:rsidR="001C336B" w:rsidRPr="001C336B" w:rsidRDefault="00B22E53" w:rsidP="001C336B">
            <w:pPr>
              <w:jc w:val="center"/>
              <w:rPr>
                <w:rFonts w:ascii="Calibri" w:eastAsia="Times New Roman" w:hAnsi="Calibri" w:cs="Times New Roman"/>
                <w:b/>
                <w:bCs/>
                <w:color w:val="FFFFFF"/>
                <w:sz w:val="18"/>
                <w:szCs w:val="18"/>
              </w:rPr>
            </w:pPr>
            <w:r>
              <w:rPr>
                <w:rFonts w:ascii="Calibri" w:eastAsia="Times New Roman" w:hAnsi="Calibri" w:cs="Times New Roman"/>
                <w:b/>
                <w:bCs/>
                <w:color w:val="FFFFFF"/>
                <w:sz w:val="18"/>
                <w:szCs w:val="18"/>
              </w:rPr>
              <w:t>2019</w:t>
            </w:r>
          </w:p>
        </w:tc>
      </w:tr>
      <w:tr w:rsidR="001C336B" w:rsidRPr="001C336B" w14:paraId="205D93B2" w14:textId="77777777" w:rsidTr="5F1F329D">
        <w:trPr>
          <w:trHeight w:val="520"/>
        </w:trPr>
        <w:tc>
          <w:tcPr>
            <w:tcW w:w="3200" w:type="dxa"/>
            <w:vMerge/>
            <w:vAlign w:val="center"/>
            <w:hideMark/>
          </w:tcPr>
          <w:p w14:paraId="57AD7327" w14:textId="77777777" w:rsidR="001C336B" w:rsidRPr="001C336B" w:rsidRDefault="001C336B" w:rsidP="001C336B">
            <w:pPr>
              <w:jc w:val="left"/>
              <w:rPr>
                <w:rFonts w:ascii="Calibri" w:eastAsia="Times New Roman" w:hAnsi="Calibri" w:cs="Times New Roman"/>
                <w:b/>
                <w:bCs/>
                <w:color w:val="FFFFFF"/>
                <w:sz w:val="18"/>
                <w:szCs w:val="18"/>
              </w:rPr>
            </w:pPr>
          </w:p>
        </w:tc>
        <w:tc>
          <w:tcPr>
            <w:tcW w:w="1300" w:type="dxa"/>
            <w:tcBorders>
              <w:top w:val="nil"/>
              <w:left w:val="nil"/>
              <w:bottom w:val="single" w:sz="12" w:space="0" w:color="FFFFFF" w:themeColor="background1"/>
              <w:right w:val="single" w:sz="12" w:space="0" w:color="FFFFFF" w:themeColor="background1"/>
            </w:tcBorders>
            <w:shd w:val="clear" w:color="auto" w:fill="365F91" w:themeFill="accent1" w:themeFillShade="BF"/>
            <w:vAlign w:val="center"/>
            <w:hideMark/>
          </w:tcPr>
          <w:p w14:paraId="34278991" w14:textId="77777777" w:rsidR="001C336B" w:rsidRPr="001C336B" w:rsidRDefault="001C336B" w:rsidP="001C336B">
            <w:pPr>
              <w:jc w:val="center"/>
              <w:rPr>
                <w:rFonts w:ascii="Calibri" w:eastAsia="Times New Roman" w:hAnsi="Calibri" w:cs="Times New Roman"/>
                <w:b/>
                <w:bCs/>
                <w:color w:val="FFFFFF"/>
                <w:sz w:val="18"/>
                <w:szCs w:val="18"/>
              </w:rPr>
            </w:pPr>
            <w:r w:rsidRPr="001C336B">
              <w:rPr>
                <w:rFonts w:ascii="Calibri" w:eastAsia="Times New Roman" w:hAnsi="Calibri" w:cs="Times New Roman"/>
                <w:b/>
                <w:bCs/>
                <w:color w:val="FFFFFF"/>
                <w:sz w:val="18"/>
                <w:szCs w:val="18"/>
              </w:rPr>
              <w:t>Montants bruts dus</w:t>
            </w:r>
          </w:p>
        </w:tc>
        <w:tc>
          <w:tcPr>
            <w:tcW w:w="1300" w:type="dxa"/>
            <w:tcBorders>
              <w:top w:val="nil"/>
              <w:left w:val="nil"/>
              <w:bottom w:val="single" w:sz="12" w:space="0" w:color="FFFFFF" w:themeColor="background1"/>
              <w:right w:val="single" w:sz="12" w:space="0" w:color="FFFFFF" w:themeColor="background1"/>
            </w:tcBorders>
            <w:shd w:val="clear" w:color="auto" w:fill="365F91" w:themeFill="accent1" w:themeFillShade="BF"/>
            <w:vAlign w:val="center"/>
            <w:hideMark/>
          </w:tcPr>
          <w:p w14:paraId="6BD556D1" w14:textId="77777777" w:rsidR="001C336B" w:rsidRPr="001C336B" w:rsidRDefault="001C336B" w:rsidP="001C336B">
            <w:pPr>
              <w:jc w:val="center"/>
              <w:rPr>
                <w:rFonts w:ascii="Calibri" w:eastAsia="Times New Roman" w:hAnsi="Calibri" w:cs="Times New Roman"/>
                <w:b/>
                <w:bCs/>
                <w:color w:val="FFFFFF"/>
                <w:sz w:val="18"/>
                <w:szCs w:val="18"/>
              </w:rPr>
            </w:pPr>
            <w:r w:rsidRPr="001C336B">
              <w:rPr>
                <w:rFonts w:ascii="Calibri" w:eastAsia="Times New Roman" w:hAnsi="Calibri" w:cs="Times New Roman"/>
                <w:b/>
                <w:bCs/>
                <w:color w:val="FFFFFF"/>
                <w:sz w:val="18"/>
                <w:szCs w:val="18"/>
              </w:rPr>
              <w:t>Montants bruts versés</w:t>
            </w:r>
          </w:p>
        </w:tc>
        <w:tc>
          <w:tcPr>
            <w:tcW w:w="1300" w:type="dxa"/>
            <w:tcBorders>
              <w:top w:val="nil"/>
              <w:left w:val="nil"/>
              <w:bottom w:val="single" w:sz="12" w:space="0" w:color="FFFFFF" w:themeColor="background1"/>
              <w:right w:val="single" w:sz="12" w:space="0" w:color="FFFFFF" w:themeColor="background1"/>
            </w:tcBorders>
            <w:shd w:val="clear" w:color="auto" w:fill="365F91" w:themeFill="accent1" w:themeFillShade="BF"/>
            <w:vAlign w:val="center"/>
            <w:hideMark/>
          </w:tcPr>
          <w:p w14:paraId="72707347" w14:textId="77777777" w:rsidR="001C336B" w:rsidRPr="001C336B" w:rsidRDefault="001C336B" w:rsidP="001C336B">
            <w:pPr>
              <w:jc w:val="center"/>
              <w:rPr>
                <w:rFonts w:ascii="Calibri" w:eastAsia="Times New Roman" w:hAnsi="Calibri" w:cs="Times New Roman"/>
                <w:b/>
                <w:bCs/>
                <w:color w:val="FFFFFF"/>
                <w:sz w:val="18"/>
                <w:szCs w:val="18"/>
              </w:rPr>
            </w:pPr>
            <w:r w:rsidRPr="001C336B">
              <w:rPr>
                <w:rFonts w:ascii="Calibri" w:eastAsia="Times New Roman" w:hAnsi="Calibri" w:cs="Times New Roman"/>
                <w:b/>
                <w:bCs/>
                <w:color w:val="FFFFFF"/>
                <w:sz w:val="18"/>
                <w:szCs w:val="18"/>
              </w:rPr>
              <w:t>Montants bruts dus</w:t>
            </w:r>
          </w:p>
        </w:tc>
        <w:tc>
          <w:tcPr>
            <w:tcW w:w="1300" w:type="dxa"/>
            <w:tcBorders>
              <w:top w:val="nil"/>
              <w:left w:val="nil"/>
              <w:bottom w:val="single" w:sz="12" w:space="0" w:color="FFFFFF" w:themeColor="background1"/>
              <w:right w:val="single" w:sz="12" w:space="0" w:color="FFFFFF" w:themeColor="background1"/>
            </w:tcBorders>
            <w:shd w:val="clear" w:color="auto" w:fill="365F91" w:themeFill="accent1" w:themeFillShade="BF"/>
            <w:vAlign w:val="center"/>
            <w:hideMark/>
          </w:tcPr>
          <w:p w14:paraId="5F036599" w14:textId="77777777" w:rsidR="001C336B" w:rsidRPr="001C336B" w:rsidRDefault="001C336B" w:rsidP="001C336B">
            <w:pPr>
              <w:jc w:val="center"/>
              <w:rPr>
                <w:rFonts w:ascii="Calibri" w:eastAsia="Times New Roman" w:hAnsi="Calibri" w:cs="Times New Roman"/>
                <w:b/>
                <w:bCs/>
                <w:color w:val="FFFFFF"/>
                <w:sz w:val="18"/>
                <w:szCs w:val="18"/>
              </w:rPr>
            </w:pPr>
            <w:r w:rsidRPr="001C336B">
              <w:rPr>
                <w:rFonts w:ascii="Calibri" w:eastAsia="Times New Roman" w:hAnsi="Calibri" w:cs="Times New Roman"/>
                <w:b/>
                <w:bCs/>
                <w:color w:val="FFFFFF"/>
                <w:sz w:val="18"/>
                <w:szCs w:val="18"/>
              </w:rPr>
              <w:t>Montants bruts versés</w:t>
            </w:r>
          </w:p>
        </w:tc>
      </w:tr>
      <w:tr w:rsidR="00B22E53" w:rsidRPr="00A64C93" w14:paraId="6BDB3B62" w14:textId="77777777" w:rsidTr="5F1F329D">
        <w:trPr>
          <w:trHeight w:val="340"/>
        </w:trPr>
        <w:tc>
          <w:tcPr>
            <w:tcW w:w="3200" w:type="dxa"/>
            <w:tcBorders>
              <w:top w:val="nil"/>
              <w:left w:val="single" w:sz="12" w:space="0" w:color="FFFFFF" w:themeColor="background1"/>
              <w:bottom w:val="single" w:sz="12" w:space="0" w:color="FFFFFF" w:themeColor="background1"/>
              <w:right w:val="single" w:sz="12" w:space="0" w:color="FFFFFF" w:themeColor="background1"/>
            </w:tcBorders>
            <w:shd w:val="clear" w:color="auto" w:fill="DBE5F1" w:themeFill="accent1" w:themeFillTint="33"/>
            <w:vAlign w:val="center"/>
            <w:hideMark/>
          </w:tcPr>
          <w:p w14:paraId="40F7E9D5" w14:textId="77777777" w:rsidR="00B22E53" w:rsidRPr="00A64C93" w:rsidRDefault="00B22E53" w:rsidP="001C336B">
            <w:pPr>
              <w:rPr>
                <w:rFonts w:ascii="Calibri" w:eastAsia="Times New Roman" w:hAnsi="Calibri" w:cs="Times New Roman"/>
                <w:sz w:val="18"/>
                <w:szCs w:val="18"/>
              </w:rPr>
            </w:pPr>
            <w:r w:rsidRPr="00A64C93">
              <w:rPr>
                <w:rFonts w:ascii="Calibri" w:eastAsia="Times New Roman" w:hAnsi="Calibri" w:cs="Times New Roman"/>
                <w:sz w:val="18"/>
                <w:szCs w:val="18"/>
              </w:rPr>
              <w:t>Jetons de présence</w:t>
            </w:r>
          </w:p>
        </w:tc>
        <w:tc>
          <w:tcPr>
            <w:tcW w:w="1300" w:type="dxa"/>
            <w:tcBorders>
              <w:top w:val="nil"/>
              <w:left w:val="nil"/>
              <w:bottom w:val="single" w:sz="12" w:space="0" w:color="FFFFFF" w:themeColor="background1"/>
              <w:right w:val="single" w:sz="12" w:space="0" w:color="FFFFFF" w:themeColor="background1"/>
            </w:tcBorders>
            <w:shd w:val="clear" w:color="auto" w:fill="DBE5F1" w:themeFill="accent1" w:themeFillTint="33"/>
            <w:vAlign w:val="center"/>
            <w:hideMark/>
          </w:tcPr>
          <w:p w14:paraId="01D265E0" w14:textId="213FE30A" w:rsidR="00B22E53" w:rsidRPr="00A64C93" w:rsidRDefault="5F1F329D" w:rsidP="00A64C93">
            <w:pPr>
              <w:spacing w:line="259" w:lineRule="auto"/>
              <w:jc w:val="center"/>
              <w:rPr>
                <w:rFonts w:ascii="Calibri" w:eastAsia="Calibri" w:hAnsi="Calibri" w:cs="Calibri"/>
                <w:sz w:val="18"/>
                <w:szCs w:val="18"/>
              </w:rPr>
            </w:pPr>
            <w:r w:rsidRPr="00A64C93">
              <w:rPr>
                <w:rFonts w:ascii="Calibri" w:eastAsia="Times New Roman" w:hAnsi="Calibri" w:cs="Times New Roman"/>
                <w:sz w:val="18"/>
                <w:szCs w:val="18"/>
              </w:rPr>
              <w:t>2 000</w:t>
            </w:r>
          </w:p>
        </w:tc>
        <w:tc>
          <w:tcPr>
            <w:tcW w:w="1300" w:type="dxa"/>
            <w:tcBorders>
              <w:top w:val="nil"/>
              <w:left w:val="nil"/>
              <w:bottom w:val="single" w:sz="12" w:space="0" w:color="FFFFFF" w:themeColor="background1"/>
              <w:right w:val="single" w:sz="12" w:space="0" w:color="FFFFFF" w:themeColor="background1"/>
            </w:tcBorders>
            <w:shd w:val="clear" w:color="auto" w:fill="DBE5F1" w:themeFill="accent1" w:themeFillTint="33"/>
            <w:vAlign w:val="center"/>
            <w:hideMark/>
          </w:tcPr>
          <w:p w14:paraId="7F9AFF83" w14:textId="2AF5AF5B" w:rsidR="00B22E53" w:rsidRPr="00A64C93" w:rsidRDefault="5F1F329D" w:rsidP="00A64C93">
            <w:pPr>
              <w:spacing w:line="259" w:lineRule="auto"/>
              <w:jc w:val="center"/>
              <w:rPr>
                <w:rFonts w:ascii="Calibri" w:eastAsia="Calibri" w:hAnsi="Calibri" w:cs="Calibri"/>
                <w:sz w:val="18"/>
                <w:szCs w:val="18"/>
              </w:rPr>
            </w:pPr>
            <w:r w:rsidRPr="00A64C93">
              <w:rPr>
                <w:rFonts w:ascii="Calibri" w:eastAsia="Times New Roman" w:hAnsi="Calibri" w:cs="Times New Roman"/>
                <w:sz w:val="18"/>
                <w:szCs w:val="18"/>
              </w:rPr>
              <w:t>2 000</w:t>
            </w:r>
          </w:p>
        </w:tc>
        <w:tc>
          <w:tcPr>
            <w:tcW w:w="1300" w:type="dxa"/>
            <w:tcBorders>
              <w:top w:val="nil"/>
              <w:left w:val="nil"/>
              <w:bottom w:val="single" w:sz="12" w:space="0" w:color="FFFFFF" w:themeColor="background1"/>
              <w:right w:val="single" w:sz="12" w:space="0" w:color="FFFFFF" w:themeColor="background1"/>
            </w:tcBorders>
            <w:shd w:val="clear" w:color="auto" w:fill="DBE5F1" w:themeFill="accent1" w:themeFillTint="33"/>
            <w:vAlign w:val="center"/>
            <w:hideMark/>
          </w:tcPr>
          <w:p w14:paraId="78494D2F" w14:textId="2E54FCCB" w:rsidR="00B22E53" w:rsidRPr="00A64C93" w:rsidRDefault="5F1F329D" w:rsidP="00A64C93">
            <w:pPr>
              <w:spacing w:line="259" w:lineRule="auto"/>
              <w:jc w:val="center"/>
              <w:rPr>
                <w:rFonts w:ascii="Calibri" w:eastAsia="Calibri" w:hAnsi="Calibri" w:cs="Calibri"/>
                <w:sz w:val="18"/>
                <w:szCs w:val="18"/>
              </w:rPr>
            </w:pPr>
            <w:r w:rsidRPr="00A64C93">
              <w:rPr>
                <w:rFonts w:ascii="Calibri" w:eastAsia="Times New Roman" w:hAnsi="Calibri" w:cs="Times New Roman"/>
                <w:sz w:val="18"/>
                <w:szCs w:val="18"/>
              </w:rPr>
              <w:t>2 000</w:t>
            </w:r>
          </w:p>
        </w:tc>
        <w:tc>
          <w:tcPr>
            <w:tcW w:w="1300" w:type="dxa"/>
            <w:tcBorders>
              <w:top w:val="nil"/>
              <w:left w:val="nil"/>
              <w:bottom w:val="single" w:sz="12" w:space="0" w:color="FFFFFF" w:themeColor="background1"/>
              <w:right w:val="single" w:sz="12" w:space="0" w:color="FFFFFF" w:themeColor="background1"/>
            </w:tcBorders>
            <w:shd w:val="clear" w:color="auto" w:fill="DBE5F1" w:themeFill="accent1" w:themeFillTint="33"/>
            <w:vAlign w:val="center"/>
            <w:hideMark/>
          </w:tcPr>
          <w:p w14:paraId="2F22F9F0" w14:textId="0D72BD35" w:rsidR="00B22E53" w:rsidRPr="00A64C93" w:rsidRDefault="5F1F329D" w:rsidP="00A64C93">
            <w:pPr>
              <w:spacing w:line="259" w:lineRule="auto"/>
              <w:jc w:val="center"/>
              <w:rPr>
                <w:rFonts w:ascii="Calibri" w:eastAsia="Calibri" w:hAnsi="Calibri" w:cs="Calibri"/>
                <w:sz w:val="18"/>
                <w:szCs w:val="18"/>
              </w:rPr>
            </w:pPr>
            <w:r w:rsidRPr="00A64C93">
              <w:rPr>
                <w:rFonts w:ascii="Calibri" w:eastAsia="Times New Roman" w:hAnsi="Calibri" w:cs="Times New Roman"/>
                <w:sz w:val="18"/>
                <w:szCs w:val="18"/>
              </w:rPr>
              <w:t>0</w:t>
            </w:r>
          </w:p>
        </w:tc>
      </w:tr>
      <w:tr w:rsidR="001C336B" w:rsidRPr="00A64C93" w14:paraId="0D45D8DF" w14:textId="77777777" w:rsidTr="5F1F329D">
        <w:trPr>
          <w:trHeight w:val="340"/>
        </w:trPr>
        <w:tc>
          <w:tcPr>
            <w:tcW w:w="3200" w:type="dxa"/>
            <w:tcBorders>
              <w:top w:val="nil"/>
              <w:left w:val="single" w:sz="12" w:space="0" w:color="FFFFFF" w:themeColor="background1"/>
              <w:bottom w:val="single" w:sz="12" w:space="0" w:color="FFFFFF" w:themeColor="background1"/>
              <w:right w:val="single" w:sz="12" w:space="0" w:color="FFFFFF" w:themeColor="background1"/>
            </w:tcBorders>
            <w:shd w:val="clear" w:color="auto" w:fill="DBE5F1" w:themeFill="accent1" w:themeFillTint="33"/>
            <w:vAlign w:val="center"/>
            <w:hideMark/>
          </w:tcPr>
          <w:p w14:paraId="54821E94" w14:textId="77777777" w:rsidR="001C336B" w:rsidRPr="00A64C93" w:rsidRDefault="001C336B" w:rsidP="001C336B">
            <w:pPr>
              <w:rPr>
                <w:rFonts w:ascii="Calibri" w:eastAsia="Times New Roman" w:hAnsi="Calibri" w:cs="Times New Roman"/>
                <w:sz w:val="18"/>
                <w:szCs w:val="18"/>
              </w:rPr>
            </w:pPr>
            <w:r w:rsidRPr="00A64C93">
              <w:rPr>
                <w:rFonts w:ascii="Calibri" w:eastAsia="Times New Roman" w:hAnsi="Calibri" w:cs="Times New Roman"/>
                <w:sz w:val="18"/>
                <w:szCs w:val="18"/>
              </w:rPr>
              <w:t>Autres rémunérations</w:t>
            </w:r>
          </w:p>
        </w:tc>
        <w:tc>
          <w:tcPr>
            <w:tcW w:w="1300" w:type="dxa"/>
            <w:tcBorders>
              <w:top w:val="nil"/>
              <w:left w:val="nil"/>
              <w:bottom w:val="single" w:sz="12" w:space="0" w:color="FFFFFF" w:themeColor="background1"/>
              <w:right w:val="single" w:sz="12" w:space="0" w:color="FFFFFF" w:themeColor="background1"/>
            </w:tcBorders>
            <w:shd w:val="clear" w:color="auto" w:fill="DBE5F1" w:themeFill="accent1" w:themeFillTint="33"/>
            <w:vAlign w:val="center"/>
            <w:hideMark/>
          </w:tcPr>
          <w:p w14:paraId="1EDBF6E6" w14:textId="77777777" w:rsidR="001C336B" w:rsidRPr="00A64C93" w:rsidRDefault="001C336B" w:rsidP="00B22E53">
            <w:pPr>
              <w:jc w:val="center"/>
              <w:rPr>
                <w:rFonts w:ascii="Calibri" w:eastAsia="Times New Roman" w:hAnsi="Calibri" w:cs="Times New Roman"/>
                <w:sz w:val="18"/>
                <w:szCs w:val="18"/>
              </w:rPr>
            </w:pPr>
            <w:r w:rsidRPr="00A64C93">
              <w:rPr>
                <w:rFonts w:ascii="Calibri" w:eastAsia="Times New Roman" w:hAnsi="Calibri" w:cs="Times New Roman"/>
                <w:sz w:val="18"/>
                <w:szCs w:val="18"/>
              </w:rPr>
              <w:t>Non applicable</w:t>
            </w:r>
          </w:p>
        </w:tc>
        <w:tc>
          <w:tcPr>
            <w:tcW w:w="1300" w:type="dxa"/>
            <w:tcBorders>
              <w:top w:val="nil"/>
              <w:left w:val="nil"/>
              <w:bottom w:val="single" w:sz="12" w:space="0" w:color="FFFFFF" w:themeColor="background1"/>
              <w:right w:val="single" w:sz="12" w:space="0" w:color="FFFFFF" w:themeColor="background1"/>
            </w:tcBorders>
            <w:shd w:val="clear" w:color="auto" w:fill="DBE5F1" w:themeFill="accent1" w:themeFillTint="33"/>
            <w:vAlign w:val="center"/>
            <w:hideMark/>
          </w:tcPr>
          <w:p w14:paraId="779B94F1" w14:textId="77777777" w:rsidR="001C336B" w:rsidRPr="00A64C93" w:rsidRDefault="001C336B" w:rsidP="00B22E53">
            <w:pPr>
              <w:jc w:val="center"/>
              <w:rPr>
                <w:rFonts w:ascii="Calibri" w:eastAsia="Times New Roman" w:hAnsi="Calibri" w:cs="Times New Roman"/>
                <w:sz w:val="18"/>
                <w:szCs w:val="18"/>
              </w:rPr>
            </w:pPr>
            <w:r w:rsidRPr="00A64C93">
              <w:rPr>
                <w:rFonts w:ascii="Calibri" w:eastAsia="Times New Roman" w:hAnsi="Calibri" w:cs="Times New Roman"/>
                <w:sz w:val="18"/>
                <w:szCs w:val="18"/>
              </w:rPr>
              <w:t>Non applicable</w:t>
            </w:r>
          </w:p>
        </w:tc>
        <w:tc>
          <w:tcPr>
            <w:tcW w:w="1300" w:type="dxa"/>
            <w:tcBorders>
              <w:top w:val="nil"/>
              <w:left w:val="nil"/>
              <w:bottom w:val="single" w:sz="12" w:space="0" w:color="FFFFFF" w:themeColor="background1"/>
              <w:right w:val="single" w:sz="12" w:space="0" w:color="FFFFFF" w:themeColor="background1"/>
            </w:tcBorders>
            <w:shd w:val="clear" w:color="auto" w:fill="DBE5F1" w:themeFill="accent1" w:themeFillTint="33"/>
            <w:vAlign w:val="center"/>
            <w:hideMark/>
          </w:tcPr>
          <w:p w14:paraId="26ADD504" w14:textId="77777777" w:rsidR="001C336B" w:rsidRPr="00A64C93" w:rsidRDefault="001C336B" w:rsidP="00B22E53">
            <w:pPr>
              <w:jc w:val="center"/>
              <w:rPr>
                <w:rFonts w:ascii="Calibri" w:eastAsia="Times New Roman" w:hAnsi="Calibri" w:cs="Times New Roman"/>
                <w:sz w:val="18"/>
                <w:szCs w:val="18"/>
              </w:rPr>
            </w:pPr>
            <w:r w:rsidRPr="00A64C93">
              <w:rPr>
                <w:rFonts w:ascii="Calibri" w:eastAsia="Times New Roman" w:hAnsi="Calibri" w:cs="Times New Roman"/>
                <w:sz w:val="18"/>
                <w:szCs w:val="18"/>
              </w:rPr>
              <w:t>Non applicable</w:t>
            </w:r>
          </w:p>
        </w:tc>
        <w:tc>
          <w:tcPr>
            <w:tcW w:w="1300" w:type="dxa"/>
            <w:tcBorders>
              <w:top w:val="nil"/>
              <w:left w:val="nil"/>
              <w:bottom w:val="single" w:sz="12" w:space="0" w:color="FFFFFF" w:themeColor="background1"/>
              <w:right w:val="single" w:sz="12" w:space="0" w:color="FFFFFF" w:themeColor="background1"/>
            </w:tcBorders>
            <w:shd w:val="clear" w:color="auto" w:fill="DBE5F1" w:themeFill="accent1" w:themeFillTint="33"/>
            <w:vAlign w:val="center"/>
            <w:hideMark/>
          </w:tcPr>
          <w:p w14:paraId="75D1D0D8" w14:textId="77777777" w:rsidR="001C336B" w:rsidRPr="00A64C93" w:rsidRDefault="001C336B" w:rsidP="00B22E53">
            <w:pPr>
              <w:jc w:val="center"/>
              <w:rPr>
                <w:rFonts w:ascii="Calibri" w:eastAsia="Times New Roman" w:hAnsi="Calibri" w:cs="Times New Roman"/>
                <w:sz w:val="18"/>
                <w:szCs w:val="18"/>
              </w:rPr>
            </w:pPr>
            <w:r w:rsidRPr="00A64C93">
              <w:rPr>
                <w:rFonts w:ascii="Calibri" w:eastAsia="Times New Roman" w:hAnsi="Calibri" w:cs="Times New Roman"/>
                <w:sz w:val="18"/>
                <w:szCs w:val="18"/>
              </w:rPr>
              <w:t>Non applicable</w:t>
            </w:r>
          </w:p>
        </w:tc>
      </w:tr>
      <w:tr w:rsidR="00B22E53" w:rsidRPr="00A64C93" w14:paraId="5E9F13FC" w14:textId="77777777" w:rsidTr="5F1F329D">
        <w:trPr>
          <w:trHeight w:val="340"/>
        </w:trPr>
        <w:tc>
          <w:tcPr>
            <w:tcW w:w="3200" w:type="dxa"/>
            <w:tcBorders>
              <w:top w:val="nil"/>
              <w:left w:val="single" w:sz="12" w:space="0" w:color="FFFFFF" w:themeColor="background1"/>
              <w:bottom w:val="single" w:sz="12" w:space="0" w:color="FFFFFF" w:themeColor="background1"/>
              <w:right w:val="single" w:sz="12" w:space="0" w:color="FFFFFF" w:themeColor="background1"/>
            </w:tcBorders>
            <w:shd w:val="clear" w:color="auto" w:fill="B8CCE4" w:themeFill="accent1" w:themeFillTint="66"/>
            <w:vAlign w:val="center"/>
            <w:hideMark/>
          </w:tcPr>
          <w:p w14:paraId="4B9D93CA" w14:textId="77777777" w:rsidR="00B22E53" w:rsidRPr="00A64C93" w:rsidRDefault="00B22E53" w:rsidP="001C336B">
            <w:pPr>
              <w:rPr>
                <w:rFonts w:ascii="Calibri" w:eastAsia="Times New Roman" w:hAnsi="Calibri" w:cs="Times New Roman"/>
                <w:b/>
                <w:bCs/>
                <w:sz w:val="18"/>
                <w:szCs w:val="18"/>
              </w:rPr>
            </w:pPr>
            <w:r w:rsidRPr="00A64C93">
              <w:rPr>
                <w:rFonts w:ascii="Calibri" w:eastAsia="Times New Roman" w:hAnsi="Calibri" w:cs="Times New Roman"/>
                <w:b/>
                <w:bCs/>
                <w:sz w:val="18"/>
                <w:szCs w:val="18"/>
              </w:rPr>
              <w:t>Total</w:t>
            </w:r>
          </w:p>
        </w:tc>
        <w:tc>
          <w:tcPr>
            <w:tcW w:w="1300" w:type="dxa"/>
            <w:tcBorders>
              <w:top w:val="nil"/>
              <w:left w:val="nil"/>
              <w:bottom w:val="single" w:sz="12" w:space="0" w:color="FFFFFF" w:themeColor="background1"/>
              <w:right w:val="single" w:sz="12" w:space="0" w:color="FFFFFF" w:themeColor="background1"/>
            </w:tcBorders>
            <w:shd w:val="clear" w:color="auto" w:fill="B8CCE4" w:themeFill="accent1" w:themeFillTint="66"/>
            <w:vAlign w:val="center"/>
            <w:hideMark/>
          </w:tcPr>
          <w:p w14:paraId="773B8FBC" w14:textId="05D15C58" w:rsidR="00B22E53" w:rsidRPr="00A64C93" w:rsidRDefault="5F1F329D" w:rsidP="00A64C93">
            <w:pPr>
              <w:spacing w:line="259" w:lineRule="auto"/>
              <w:jc w:val="center"/>
              <w:rPr>
                <w:rFonts w:ascii="Calibri" w:eastAsia="Calibri" w:hAnsi="Calibri" w:cs="Calibri"/>
                <w:sz w:val="18"/>
                <w:szCs w:val="18"/>
              </w:rPr>
            </w:pPr>
            <w:r w:rsidRPr="00A64C93">
              <w:rPr>
                <w:rFonts w:ascii="Calibri" w:eastAsia="Times New Roman" w:hAnsi="Calibri" w:cs="Times New Roman"/>
                <w:sz w:val="18"/>
                <w:szCs w:val="18"/>
              </w:rPr>
              <w:t>2 000</w:t>
            </w:r>
          </w:p>
        </w:tc>
        <w:tc>
          <w:tcPr>
            <w:tcW w:w="1300" w:type="dxa"/>
            <w:tcBorders>
              <w:top w:val="nil"/>
              <w:left w:val="nil"/>
              <w:bottom w:val="single" w:sz="12" w:space="0" w:color="FFFFFF" w:themeColor="background1"/>
              <w:right w:val="single" w:sz="12" w:space="0" w:color="FFFFFF" w:themeColor="background1"/>
            </w:tcBorders>
            <w:shd w:val="clear" w:color="auto" w:fill="B8CCE4" w:themeFill="accent1" w:themeFillTint="66"/>
            <w:vAlign w:val="center"/>
            <w:hideMark/>
          </w:tcPr>
          <w:p w14:paraId="430619F4" w14:textId="4BD05763" w:rsidR="00B22E53" w:rsidRPr="00A64C93" w:rsidRDefault="5F1F329D" w:rsidP="00A64C93">
            <w:pPr>
              <w:spacing w:line="259" w:lineRule="auto"/>
              <w:jc w:val="center"/>
              <w:rPr>
                <w:rFonts w:ascii="Calibri" w:eastAsia="Calibri" w:hAnsi="Calibri" w:cs="Calibri"/>
                <w:sz w:val="18"/>
                <w:szCs w:val="18"/>
              </w:rPr>
            </w:pPr>
            <w:r w:rsidRPr="00A64C93">
              <w:rPr>
                <w:rFonts w:ascii="Calibri" w:eastAsia="Times New Roman" w:hAnsi="Calibri" w:cs="Times New Roman"/>
                <w:sz w:val="18"/>
                <w:szCs w:val="18"/>
              </w:rPr>
              <w:t>2 000</w:t>
            </w:r>
          </w:p>
        </w:tc>
        <w:tc>
          <w:tcPr>
            <w:tcW w:w="1300" w:type="dxa"/>
            <w:tcBorders>
              <w:top w:val="nil"/>
              <w:left w:val="nil"/>
              <w:bottom w:val="single" w:sz="12" w:space="0" w:color="FFFFFF" w:themeColor="background1"/>
              <w:right w:val="single" w:sz="12" w:space="0" w:color="FFFFFF" w:themeColor="background1"/>
            </w:tcBorders>
            <w:shd w:val="clear" w:color="auto" w:fill="B8CCE4" w:themeFill="accent1" w:themeFillTint="66"/>
            <w:vAlign w:val="center"/>
            <w:hideMark/>
          </w:tcPr>
          <w:p w14:paraId="5C1E8CD1" w14:textId="12B54C61" w:rsidR="00B22E53" w:rsidRPr="00A64C93" w:rsidRDefault="5F1F329D" w:rsidP="00A64C93">
            <w:pPr>
              <w:spacing w:line="259" w:lineRule="auto"/>
              <w:jc w:val="center"/>
              <w:rPr>
                <w:rFonts w:ascii="Calibri" w:eastAsia="Calibri" w:hAnsi="Calibri" w:cs="Calibri"/>
                <w:sz w:val="18"/>
                <w:szCs w:val="18"/>
              </w:rPr>
            </w:pPr>
            <w:r w:rsidRPr="00A64C93">
              <w:rPr>
                <w:rFonts w:ascii="Calibri" w:eastAsia="Times New Roman" w:hAnsi="Calibri" w:cs="Times New Roman"/>
                <w:sz w:val="18"/>
                <w:szCs w:val="18"/>
              </w:rPr>
              <w:t>2 000</w:t>
            </w:r>
          </w:p>
        </w:tc>
        <w:tc>
          <w:tcPr>
            <w:tcW w:w="1300" w:type="dxa"/>
            <w:tcBorders>
              <w:top w:val="nil"/>
              <w:left w:val="nil"/>
              <w:bottom w:val="single" w:sz="12" w:space="0" w:color="FFFFFF" w:themeColor="background1"/>
              <w:right w:val="single" w:sz="12" w:space="0" w:color="FFFFFF" w:themeColor="background1"/>
            </w:tcBorders>
            <w:shd w:val="clear" w:color="auto" w:fill="B8CCE4" w:themeFill="accent1" w:themeFillTint="66"/>
            <w:vAlign w:val="center"/>
            <w:hideMark/>
          </w:tcPr>
          <w:p w14:paraId="1B0D0C57" w14:textId="503FEFCB" w:rsidR="00B22E53" w:rsidRPr="00A64C93" w:rsidRDefault="5F1F329D" w:rsidP="00A64C93">
            <w:pPr>
              <w:spacing w:line="259" w:lineRule="auto"/>
              <w:jc w:val="center"/>
              <w:rPr>
                <w:rFonts w:ascii="Calibri" w:eastAsia="Calibri" w:hAnsi="Calibri" w:cs="Calibri"/>
                <w:sz w:val="18"/>
                <w:szCs w:val="18"/>
              </w:rPr>
            </w:pPr>
            <w:r w:rsidRPr="00A64C93">
              <w:rPr>
                <w:rFonts w:ascii="Calibri" w:eastAsia="Times New Roman" w:hAnsi="Calibri" w:cs="Times New Roman"/>
                <w:sz w:val="18"/>
                <w:szCs w:val="18"/>
              </w:rPr>
              <w:t>0</w:t>
            </w:r>
          </w:p>
        </w:tc>
      </w:tr>
      <w:tr w:rsidR="001C336B" w:rsidRPr="001C336B" w14:paraId="402380CB" w14:textId="77777777" w:rsidTr="5F1F329D">
        <w:trPr>
          <w:trHeight w:val="340"/>
        </w:trPr>
        <w:tc>
          <w:tcPr>
            <w:tcW w:w="3200" w:type="dxa"/>
            <w:tcBorders>
              <w:top w:val="nil"/>
              <w:left w:val="nil"/>
              <w:bottom w:val="nil"/>
              <w:right w:val="nil"/>
            </w:tcBorders>
            <w:shd w:val="clear" w:color="auto" w:fill="auto"/>
            <w:noWrap/>
            <w:vAlign w:val="bottom"/>
            <w:hideMark/>
          </w:tcPr>
          <w:p w14:paraId="17CE9519" w14:textId="77777777" w:rsidR="001C336B" w:rsidRPr="001C336B" w:rsidRDefault="001C336B" w:rsidP="001C336B">
            <w:pPr>
              <w:jc w:val="left"/>
              <w:rPr>
                <w:rFonts w:ascii="Calibri" w:eastAsia="Times New Roman" w:hAnsi="Calibri" w:cs="Times New Roman"/>
                <w:color w:val="000000"/>
                <w:sz w:val="24"/>
              </w:rPr>
            </w:pPr>
          </w:p>
        </w:tc>
        <w:tc>
          <w:tcPr>
            <w:tcW w:w="1300" w:type="dxa"/>
            <w:tcBorders>
              <w:top w:val="nil"/>
              <w:left w:val="nil"/>
              <w:bottom w:val="nil"/>
              <w:right w:val="nil"/>
            </w:tcBorders>
            <w:shd w:val="clear" w:color="auto" w:fill="auto"/>
            <w:noWrap/>
            <w:vAlign w:val="bottom"/>
            <w:hideMark/>
          </w:tcPr>
          <w:p w14:paraId="6B3A9ECB" w14:textId="77777777" w:rsidR="001C336B" w:rsidRPr="001C336B" w:rsidRDefault="001C336B" w:rsidP="001C336B">
            <w:pPr>
              <w:jc w:val="left"/>
              <w:rPr>
                <w:rFonts w:ascii="Calibri" w:eastAsia="Times New Roman" w:hAnsi="Calibri" w:cs="Times New Roman"/>
                <w:color w:val="000000"/>
                <w:sz w:val="24"/>
              </w:rPr>
            </w:pPr>
          </w:p>
        </w:tc>
        <w:tc>
          <w:tcPr>
            <w:tcW w:w="1300" w:type="dxa"/>
            <w:tcBorders>
              <w:top w:val="nil"/>
              <w:left w:val="nil"/>
              <w:bottom w:val="nil"/>
              <w:right w:val="nil"/>
            </w:tcBorders>
            <w:shd w:val="clear" w:color="auto" w:fill="auto"/>
            <w:noWrap/>
            <w:vAlign w:val="bottom"/>
            <w:hideMark/>
          </w:tcPr>
          <w:p w14:paraId="42EAD339" w14:textId="77777777" w:rsidR="001C336B" w:rsidRPr="001C336B" w:rsidRDefault="001C336B" w:rsidP="001C336B">
            <w:pPr>
              <w:jc w:val="left"/>
              <w:rPr>
                <w:rFonts w:ascii="Calibri" w:eastAsia="Times New Roman" w:hAnsi="Calibri" w:cs="Times New Roman"/>
                <w:color w:val="000000"/>
                <w:sz w:val="24"/>
              </w:rPr>
            </w:pPr>
          </w:p>
        </w:tc>
        <w:tc>
          <w:tcPr>
            <w:tcW w:w="1300" w:type="dxa"/>
            <w:tcBorders>
              <w:top w:val="nil"/>
              <w:left w:val="nil"/>
              <w:bottom w:val="nil"/>
              <w:right w:val="nil"/>
            </w:tcBorders>
            <w:shd w:val="clear" w:color="auto" w:fill="auto"/>
            <w:noWrap/>
            <w:vAlign w:val="bottom"/>
            <w:hideMark/>
          </w:tcPr>
          <w:p w14:paraId="45B606C0" w14:textId="77777777" w:rsidR="001C336B" w:rsidRPr="001C336B" w:rsidRDefault="001C336B" w:rsidP="001C336B">
            <w:pPr>
              <w:jc w:val="left"/>
              <w:rPr>
                <w:rFonts w:ascii="Calibri" w:eastAsia="Times New Roman" w:hAnsi="Calibri" w:cs="Times New Roman"/>
                <w:color w:val="000000"/>
                <w:sz w:val="24"/>
              </w:rPr>
            </w:pPr>
          </w:p>
        </w:tc>
        <w:tc>
          <w:tcPr>
            <w:tcW w:w="1300" w:type="dxa"/>
            <w:tcBorders>
              <w:top w:val="nil"/>
              <w:left w:val="nil"/>
              <w:bottom w:val="nil"/>
              <w:right w:val="nil"/>
            </w:tcBorders>
            <w:shd w:val="clear" w:color="auto" w:fill="auto"/>
            <w:noWrap/>
            <w:vAlign w:val="bottom"/>
            <w:hideMark/>
          </w:tcPr>
          <w:p w14:paraId="732DD3CE" w14:textId="77777777" w:rsidR="001C336B" w:rsidRPr="001C336B" w:rsidRDefault="001C336B" w:rsidP="001C336B">
            <w:pPr>
              <w:jc w:val="left"/>
              <w:rPr>
                <w:rFonts w:ascii="Calibri" w:eastAsia="Times New Roman" w:hAnsi="Calibri" w:cs="Times New Roman"/>
                <w:color w:val="000000"/>
                <w:sz w:val="24"/>
              </w:rPr>
            </w:pPr>
          </w:p>
        </w:tc>
      </w:tr>
      <w:tr w:rsidR="001C336B" w:rsidRPr="001C336B" w14:paraId="3DF61BF5" w14:textId="77777777" w:rsidTr="5F1F329D">
        <w:trPr>
          <w:trHeight w:val="340"/>
        </w:trPr>
        <w:tc>
          <w:tcPr>
            <w:tcW w:w="3200" w:type="dxa"/>
            <w:tcBorders>
              <w:top w:val="nil"/>
              <w:left w:val="nil"/>
              <w:bottom w:val="nil"/>
              <w:right w:val="nil"/>
            </w:tcBorders>
            <w:shd w:val="clear" w:color="auto" w:fill="auto"/>
            <w:noWrap/>
            <w:vAlign w:val="bottom"/>
            <w:hideMark/>
          </w:tcPr>
          <w:p w14:paraId="5103DA8C" w14:textId="77777777" w:rsidR="001C336B" w:rsidRPr="001C336B" w:rsidRDefault="001C336B" w:rsidP="001C336B">
            <w:pPr>
              <w:jc w:val="left"/>
              <w:rPr>
                <w:rFonts w:ascii="Calibri" w:eastAsia="Times New Roman" w:hAnsi="Calibri" w:cs="Times New Roman"/>
                <w:color w:val="000000"/>
                <w:sz w:val="24"/>
              </w:rPr>
            </w:pPr>
          </w:p>
        </w:tc>
        <w:tc>
          <w:tcPr>
            <w:tcW w:w="1300" w:type="dxa"/>
            <w:tcBorders>
              <w:top w:val="nil"/>
              <w:left w:val="nil"/>
              <w:bottom w:val="nil"/>
              <w:right w:val="nil"/>
            </w:tcBorders>
            <w:shd w:val="clear" w:color="auto" w:fill="auto"/>
            <w:noWrap/>
            <w:vAlign w:val="bottom"/>
            <w:hideMark/>
          </w:tcPr>
          <w:p w14:paraId="1BE41EF1" w14:textId="77777777" w:rsidR="001C336B" w:rsidRPr="001C336B" w:rsidRDefault="001C336B" w:rsidP="001C336B">
            <w:pPr>
              <w:jc w:val="left"/>
              <w:rPr>
                <w:rFonts w:ascii="Calibri" w:eastAsia="Times New Roman" w:hAnsi="Calibri" w:cs="Times New Roman"/>
                <w:color w:val="000000"/>
                <w:sz w:val="24"/>
              </w:rPr>
            </w:pPr>
          </w:p>
        </w:tc>
        <w:tc>
          <w:tcPr>
            <w:tcW w:w="1300" w:type="dxa"/>
            <w:tcBorders>
              <w:top w:val="nil"/>
              <w:left w:val="nil"/>
              <w:bottom w:val="nil"/>
              <w:right w:val="nil"/>
            </w:tcBorders>
            <w:shd w:val="clear" w:color="auto" w:fill="auto"/>
            <w:noWrap/>
            <w:vAlign w:val="bottom"/>
            <w:hideMark/>
          </w:tcPr>
          <w:p w14:paraId="1983B8E7" w14:textId="77777777" w:rsidR="001C336B" w:rsidRPr="001C336B" w:rsidRDefault="001C336B" w:rsidP="001C336B">
            <w:pPr>
              <w:jc w:val="left"/>
              <w:rPr>
                <w:rFonts w:ascii="Calibri" w:eastAsia="Times New Roman" w:hAnsi="Calibri" w:cs="Times New Roman"/>
                <w:color w:val="000000"/>
                <w:sz w:val="24"/>
              </w:rPr>
            </w:pPr>
          </w:p>
        </w:tc>
        <w:tc>
          <w:tcPr>
            <w:tcW w:w="1300" w:type="dxa"/>
            <w:tcBorders>
              <w:top w:val="nil"/>
              <w:left w:val="nil"/>
              <w:bottom w:val="nil"/>
              <w:right w:val="nil"/>
            </w:tcBorders>
            <w:shd w:val="clear" w:color="auto" w:fill="auto"/>
            <w:noWrap/>
            <w:vAlign w:val="bottom"/>
            <w:hideMark/>
          </w:tcPr>
          <w:p w14:paraId="6D5935FB" w14:textId="77777777" w:rsidR="001C336B" w:rsidRPr="001C336B" w:rsidRDefault="001C336B" w:rsidP="001C336B">
            <w:pPr>
              <w:jc w:val="left"/>
              <w:rPr>
                <w:rFonts w:ascii="Calibri" w:eastAsia="Times New Roman" w:hAnsi="Calibri" w:cs="Times New Roman"/>
                <w:color w:val="000000"/>
                <w:sz w:val="24"/>
              </w:rPr>
            </w:pPr>
          </w:p>
        </w:tc>
        <w:tc>
          <w:tcPr>
            <w:tcW w:w="1300" w:type="dxa"/>
            <w:tcBorders>
              <w:top w:val="nil"/>
              <w:left w:val="nil"/>
              <w:bottom w:val="nil"/>
              <w:right w:val="nil"/>
            </w:tcBorders>
            <w:shd w:val="clear" w:color="auto" w:fill="auto"/>
            <w:noWrap/>
            <w:vAlign w:val="bottom"/>
            <w:hideMark/>
          </w:tcPr>
          <w:p w14:paraId="1278C3A4" w14:textId="77777777" w:rsidR="001C336B" w:rsidRPr="001C336B" w:rsidRDefault="001C336B" w:rsidP="001C336B">
            <w:pPr>
              <w:jc w:val="left"/>
              <w:rPr>
                <w:rFonts w:ascii="Calibri" w:eastAsia="Times New Roman" w:hAnsi="Calibri" w:cs="Times New Roman"/>
                <w:color w:val="000000"/>
                <w:sz w:val="24"/>
              </w:rPr>
            </w:pPr>
          </w:p>
        </w:tc>
      </w:tr>
      <w:tr w:rsidR="001C336B" w:rsidRPr="001C336B" w14:paraId="5300E6ED" w14:textId="77777777" w:rsidTr="5F1F329D">
        <w:trPr>
          <w:trHeight w:val="560"/>
        </w:trPr>
        <w:tc>
          <w:tcPr>
            <w:tcW w:w="8400" w:type="dxa"/>
            <w:gridSpan w:val="5"/>
            <w:tcBorders>
              <w:top w:val="single" w:sz="12" w:space="0" w:color="FFFFFF" w:themeColor="background1"/>
              <w:left w:val="single" w:sz="12" w:space="0" w:color="FFFFFF" w:themeColor="background1"/>
              <w:bottom w:val="nil"/>
              <w:right w:val="nil"/>
            </w:tcBorders>
            <w:shd w:val="clear" w:color="auto" w:fill="365F91" w:themeFill="accent1" w:themeFillShade="BF"/>
            <w:vAlign w:val="center"/>
            <w:hideMark/>
          </w:tcPr>
          <w:p w14:paraId="259B5461" w14:textId="1736A47F" w:rsidR="001C336B" w:rsidRPr="001C336B" w:rsidRDefault="001C336B" w:rsidP="001C336B">
            <w:pPr>
              <w:jc w:val="center"/>
              <w:rPr>
                <w:rFonts w:ascii="Calibri" w:eastAsia="Times New Roman" w:hAnsi="Calibri" w:cs="Times New Roman"/>
                <w:b/>
                <w:bCs/>
                <w:color w:val="FFFFFF"/>
                <w:sz w:val="18"/>
                <w:szCs w:val="18"/>
              </w:rPr>
            </w:pPr>
            <w:r w:rsidRPr="001C336B">
              <w:rPr>
                <w:rFonts w:ascii="Calibri" w:eastAsia="Times New Roman" w:hAnsi="Calibri" w:cs="Times New Roman"/>
                <w:b/>
                <w:bCs/>
                <w:color w:val="FFFFFF"/>
                <w:sz w:val="18"/>
                <w:szCs w:val="18"/>
              </w:rPr>
              <w:t>Tableau récapitulatif des rémunérations de M</w:t>
            </w:r>
            <w:r w:rsidR="00AA02A2">
              <w:rPr>
                <w:rFonts w:ascii="Calibri" w:eastAsia="Times New Roman" w:hAnsi="Calibri" w:cs="Times New Roman"/>
                <w:b/>
                <w:bCs/>
                <w:color w:val="FFFFFF"/>
                <w:sz w:val="18"/>
                <w:szCs w:val="18"/>
              </w:rPr>
              <w:t>ada</w:t>
            </w:r>
            <w:r w:rsidRPr="001C336B">
              <w:rPr>
                <w:rFonts w:ascii="Calibri" w:eastAsia="Times New Roman" w:hAnsi="Calibri" w:cs="Times New Roman"/>
                <w:b/>
                <w:bCs/>
                <w:color w:val="FFFFFF"/>
                <w:sz w:val="18"/>
                <w:szCs w:val="18"/>
              </w:rPr>
              <w:t>me Bérangère Boggio, administrateur depuis avril 2016</w:t>
            </w:r>
          </w:p>
        </w:tc>
      </w:tr>
      <w:tr w:rsidR="00B22E53" w:rsidRPr="001C336B" w14:paraId="0048534B" w14:textId="77777777" w:rsidTr="5F1F329D">
        <w:trPr>
          <w:trHeight w:val="340"/>
        </w:trPr>
        <w:tc>
          <w:tcPr>
            <w:tcW w:w="3200" w:type="dxa"/>
            <w:vMerge w:val="restar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365F91" w:themeFill="accent1" w:themeFillShade="BF"/>
            <w:vAlign w:val="center"/>
            <w:hideMark/>
          </w:tcPr>
          <w:p w14:paraId="64A7FC32" w14:textId="77777777" w:rsidR="00B22E53" w:rsidRPr="001C336B" w:rsidRDefault="00B22E53" w:rsidP="001C336B">
            <w:pPr>
              <w:jc w:val="center"/>
              <w:rPr>
                <w:rFonts w:ascii="Calibri" w:eastAsia="Times New Roman" w:hAnsi="Calibri" w:cs="Times New Roman"/>
                <w:b/>
                <w:bCs/>
                <w:color w:val="FFFFFF"/>
                <w:sz w:val="18"/>
                <w:szCs w:val="18"/>
              </w:rPr>
            </w:pPr>
            <w:r w:rsidRPr="001C336B">
              <w:rPr>
                <w:rFonts w:ascii="Calibri" w:eastAsia="Times New Roman" w:hAnsi="Calibri" w:cs="Times New Roman"/>
                <w:b/>
                <w:bCs/>
                <w:color w:val="FFFFFF"/>
                <w:sz w:val="18"/>
                <w:szCs w:val="18"/>
              </w:rPr>
              <w:t> </w:t>
            </w:r>
          </w:p>
        </w:tc>
        <w:tc>
          <w:tcPr>
            <w:tcW w:w="2600" w:type="dxa"/>
            <w:gridSpan w:val="2"/>
            <w:tcBorders>
              <w:top w:val="single" w:sz="12" w:space="0" w:color="FFFFFF" w:themeColor="background1"/>
              <w:left w:val="nil"/>
              <w:bottom w:val="single" w:sz="12" w:space="0" w:color="FFFFFF" w:themeColor="background1"/>
              <w:right w:val="single" w:sz="12" w:space="0" w:color="FFFFFF" w:themeColor="background1"/>
            </w:tcBorders>
            <w:shd w:val="clear" w:color="auto" w:fill="365F91" w:themeFill="accent1" w:themeFillShade="BF"/>
            <w:vAlign w:val="center"/>
            <w:hideMark/>
          </w:tcPr>
          <w:p w14:paraId="1B82EBCC" w14:textId="58404DD4" w:rsidR="00B22E53" w:rsidRPr="001C336B" w:rsidRDefault="00B22E53" w:rsidP="001C336B">
            <w:pPr>
              <w:jc w:val="center"/>
              <w:rPr>
                <w:rFonts w:ascii="Calibri" w:eastAsia="Times New Roman" w:hAnsi="Calibri" w:cs="Times New Roman"/>
                <w:b/>
                <w:bCs/>
                <w:color w:val="FFFFFF"/>
                <w:sz w:val="18"/>
                <w:szCs w:val="18"/>
              </w:rPr>
            </w:pPr>
            <w:r>
              <w:rPr>
                <w:rFonts w:ascii="Calibri" w:eastAsia="Times New Roman" w:hAnsi="Calibri" w:cs="Times New Roman"/>
                <w:b/>
                <w:bCs/>
                <w:color w:val="FFFFFF"/>
                <w:sz w:val="18"/>
                <w:szCs w:val="18"/>
              </w:rPr>
              <w:t>2020</w:t>
            </w:r>
          </w:p>
        </w:tc>
        <w:tc>
          <w:tcPr>
            <w:tcW w:w="2600" w:type="dxa"/>
            <w:gridSpan w:val="2"/>
            <w:tcBorders>
              <w:top w:val="single" w:sz="12" w:space="0" w:color="FFFFFF" w:themeColor="background1"/>
              <w:left w:val="nil"/>
              <w:bottom w:val="single" w:sz="12" w:space="0" w:color="FFFFFF" w:themeColor="background1"/>
              <w:right w:val="single" w:sz="12" w:space="0" w:color="FFFFFF" w:themeColor="background1"/>
            </w:tcBorders>
            <w:shd w:val="clear" w:color="auto" w:fill="365F91" w:themeFill="accent1" w:themeFillShade="BF"/>
            <w:vAlign w:val="center"/>
            <w:hideMark/>
          </w:tcPr>
          <w:p w14:paraId="089CBE97" w14:textId="50F2D54E" w:rsidR="00B22E53" w:rsidRPr="001C336B" w:rsidRDefault="00B22E53" w:rsidP="001C336B">
            <w:pPr>
              <w:jc w:val="center"/>
              <w:rPr>
                <w:rFonts w:ascii="Calibri" w:eastAsia="Times New Roman" w:hAnsi="Calibri" w:cs="Times New Roman"/>
                <w:b/>
                <w:bCs/>
                <w:color w:val="FFFFFF"/>
                <w:sz w:val="18"/>
                <w:szCs w:val="18"/>
              </w:rPr>
            </w:pPr>
            <w:r>
              <w:rPr>
                <w:rFonts w:ascii="Calibri" w:eastAsia="Times New Roman" w:hAnsi="Calibri" w:cs="Times New Roman"/>
                <w:b/>
                <w:bCs/>
                <w:color w:val="FFFFFF"/>
                <w:sz w:val="18"/>
                <w:szCs w:val="18"/>
              </w:rPr>
              <w:t>2019</w:t>
            </w:r>
          </w:p>
        </w:tc>
      </w:tr>
      <w:tr w:rsidR="00B22E53" w:rsidRPr="001C336B" w14:paraId="715BD33C" w14:textId="77777777" w:rsidTr="5F1F329D">
        <w:trPr>
          <w:trHeight w:val="520"/>
        </w:trPr>
        <w:tc>
          <w:tcPr>
            <w:tcW w:w="3200" w:type="dxa"/>
            <w:vMerge/>
            <w:vAlign w:val="center"/>
            <w:hideMark/>
          </w:tcPr>
          <w:p w14:paraId="71B00CB4" w14:textId="77777777" w:rsidR="00B22E53" w:rsidRPr="001C336B" w:rsidRDefault="00B22E53" w:rsidP="001C336B">
            <w:pPr>
              <w:jc w:val="left"/>
              <w:rPr>
                <w:rFonts w:ascii="Calibri" w:eastAsia="Times New Roman" w:hAnsi="Calibri" w:cs="Times New Roman"/>
                <w:b/>
                <w:bCs/>
                <w:color w:val="FFFFFF"/>
                <w:sz w:val="18"/>
                <w:szCs w:val="18"/>
              </w:rPr>
            </w:pPr>
          </w:p>
        </w:tc>
        <w:tc>
          <w:tcPr>
            <w:tcW w:w="1300" w:type="dxa"/>
            <w:tcBorders>
              <w:top w:val="nil"/>
              <w:left w:val="nil"/>
              <w:bottom w:val="single" w:sz="12" w:space="0" w:color="FFFFFF" w:themeColor="background1"/>
              <w:right w:val="single" w:sz="12" w:space="0" w:color="FFFFFF" w:themeColor="background1"/>
            </w:tcBorders>
            <w:shd w:val="clear" w:color="auto" w:fill="365F91" w:themeFill="accent1" w:themeFillShade="BF"/>
            <w:vAlign w:val="center"/>
            <w:hideMark/>
          </w:tcPr>
          <w:p w14:paraId="09E458E5" w14:textId="5BB3E8DE" w:rsidR="00B22E53" w:rsidRPr="001C336B" w:rsidRDefault="00B22E53" w:rsidP="001C336B">
            <w:pPr>
              <w:jc w:val="center"/>
              <w:rPr>
                <w:rFonts w:ascii="Calibri" w:eastAsia="Times New Roman" w:hAnsi="Calibri" w:cs="Times New Roman"/>
                <w:b/>
                <w:bCs/>
                <w:color w:val="FFFFFF"/>
                <w:sz w:val="18"/>
                <w:szCs w:val="18"/>
              </w:rPr>
            </w:pPr>
            <w:r w:rsidRPr="001C336B">
              <w:rPr>
                <w:rFonts w:ascii="Calibri" w:eastAsia="Times New Roman" w:hAnsi="Calibri" w:cs="Times New Roman"/>
                <w:b/>
                <w:bCs/>
                <w:color w:val="FFFFFF"/>
                <w:sz w:val="18"/>
                <w:szCs w:val="18"/>
              </w:rPr>
              <w:t>Montants bruts dus</w:t>
            </w:r>
          </w:p>
        </w:tc>
        <w:tc>
          <w:tcPr>
            <w:tcW w:w="1300" w:type="dxa"/>
            <w:tcBorders>
              <w:top w:val="nil"/>
              <w:left w:val="nil"/>
              <w:bottom w:val="single" w:sz="12" w:space="0" w:color="FFFFFF" w:themeColor="background1"/>
              <w:right w:val="single" w:sz="12" w:space="0" w:color="FFFFFF" w:themeColor="background1"/>
            </w:tcBorders>
            <w:shd w:val="clear" w:color="auto" w:fill="365F91" w:themeFill="accent1" w:themeFillShade="BF"/>
            <w:vAlign w:val="center"/>
            <w:hideMark/>
          </w:tcPr>
          <w:p w14:paraId="183302AA" w14:textId="3F95674C" w:rsidR="00B22E53" w:rsidRPr="001C336B" w:rsidRDefault="00B22E53" w:rsidP="001C336B">
            <w:pPr>
              <w:jc w:val="center"/>
              <w:rPr>
                <w:rFonts w:ascii="Calibri" w:eastAsia="Times New Roman" w:hAnsi="Calibri" w:cs="Times New Roman"/>
                <w:b/>
                <w:bCs/>
                <w:color w:val="FFFFFF"/>
                <w:sz w:val="18"/>
                <w:szCs w:val="18"/>
              </w:rPr>
            </w:pPr>
            <w:r w:rsidRPr="001C336B">
              <w:rPr>
                <w:rFonts w:ascii="Calibri" w:eastAsia="Times New Roman" w:hAnsi="Calibri" w:cs="Times New Roman"/>
                <w:b/>
                <w:bCs/>
                <w:color w:val="FFFFFF"/>
                <w:sz w:val="18"/>
                <w:szCs w:val="18"/>
              </w:rPr>
              <w:t>Montants bruts versés</w:t>
            </w:r>
          </w:p>
        </w:tc>
        <w:tc>
          <w:tcPr>
            <w:tcW w:w="1300" w:type="dxa"/>
            <w:tcBorders>
              <w:top w:val="nil"/>
              <w:left w:val="nil"/>
              <w:bottom w:val="single" w:sz="12" w:space="0" w:color="FFFFFF" w:themeColor="background1"/>
              <w:right w:val="single" w:sz="12" w:space="0" w:color="FFFFFF" w:themeColor="background1"/>
            </w:tcBorders>
            <w:shd w:val="clear" w:color="auto" w:fill="365F91" w:themeFill="accent1" w:themeFillShade="BF"/>
            <w:vAlign w:val="center"/>
            <w:hideMark/>
          </w:tcPr>
          <w:p w14:paraId="77F9F372" w14:textId="5EB2FB22" w:rsidR="00B22E53" w:rsidRPr="001C336B" w:rsidRDefault="00B22E53" w:rsidP="001C336B">
            <w:pPr>
              <w:jc w:val="center"/>
              <w:rPr>
                <w:rFonts w:ascii="Calibri" w:eastAsia="Times New Roman" w:hAnsi="Calibri" w:cs="Times New Roman"/>
                <w:b/>
                <w:bCs/>
                <w:color w:val="FFFFFF"/>
                <w:sz w:val="18"/>
                <w:szCs w:val="18"/>
              </w:rPr>
            </w:pPr>
            <w:r w:rsidRPr="001C336B">
              <w:rPr>
                <w:rFonts w:ascii="Calibri" w:eastAsia="Times New Roman" w:hAnsi="Calibri" w:cs="Times New Roman"/>
                <w:b/>
                <w:bCs/>
                <w:color w:val="FFFFFF"/>
                <w:sz w:val="18"/>
                <w:szCs w:val="18"/>
              </w:rPr>
              <w:t>Montants bruts dus</w:t>
            </w:r>
          </w:p>
        </w:tc>
        <w:tc>
          <w:tcPr>
            <w:tcW w:w="1300" w:type="dxa"/>
            <w:tcBorders>
              <w:top w:val="nil"/>
              <w:left w:val="nil"/>
              <w:bottom w:val="single" w:sz="12" w:space="0" w:color="FFFFFF" w:themeColor="background1"/>
              <w:right w:val="single" w:sz="12" w:space="0" w:color="FFFFFF" w:themeColor="background1"/>
            </w:tcBorders>
            <w:shd w:val="clear" w:color="auto" w:fill="365F91" w:themeFill="accent1" w:themeFillShade="BF"/>
            <w:vAlign w:val="center"/>
            <w:hideMark/>
          </w:tcPr>
          <w:p w14:paraId="4AFD4563" w14:textId="609FA0D6" w:rsidR="00B22E53" w:rsidRPr="001C336B" w:rsidRDefault="00B22E53" w:rsidP="001C336B">
            <w:pPr>
              <w:jc w:val="center"/>
              <w:rPr>
                <w:rFonts w:ascii="Calibri" w:eastAsia="Times New Roman" w:hAnsi="Calibri" w:cs="Times New Roman"/>
                <w:b/>
                <w:bCs/>
                <w:color w:val="FFFFFF"/>
                <w:sz w:val="18"/>
                <w:szCs w:val="18"/>
              </w:rPr>
            </w:pPr>
            <w:r w:rsidRPr="001C336B">
              <w:rPr>
                <w:rFonts w:ascii="Calibri" w:eastAsia="Times New Roman" w:hAnsi="Calibri" w:cs="Times New Roman"/>
                <w:b/>
                <w:bCs/>
                <w:color w:val="FFFFFF"/>
                <w:sz w:val="18"/>
                <w:szCs w:val="18"/>
              </w:rPr>
              <w:t>Montants bruts versés</w:t>
            </w:r>
          </w:p>
        </w:tc>
      </w:tr>
      <w:tr w:rsidR="00B22E53" w:rsidRPr="00A64C93" w14:paraId="3FF69603" w14:textId="77777777" w:rsidTr="5F1F329D">
        <w:trPr>
          <w:trHeight w:val="340"/>
        </w:trPr>
        <w:tc>
          <w:tcPr>
            <w:tcW w:w="3200" w:type="dxa"/>
            <w:tcBorders>
              <w:top w:val="nil"/>
              <w:left w:val="single" w:sz="12" w:space="0" w:color="FFFFFF" w:themeColor="background1"/>
              <w:bottom w:val="single" w:sz="12" w:space="0" w:color="FFFFFF" w:themeColor="background1"/>
              <w:right w:val="single" w:sz="12" w:space="0" w:color="FFFFFF" w:themeColor="background1"/>
            </w:tcBorders>
            <w:shd w:val="clear" w:color="auto" w:fill="DBE5F1" w:themeFill="accent1" w:themeFillTint="33"/>
            <w:vAlign w:val="center"/>
            <w:hideMark/>
          </w:tcPr>
          <w:p w14:paraId="6AC390B1" w14:textId="77777777" w:rsidR="00B22E53" w:rsidRPr="00A64C93" w:rsidRDefault="00B22E53" w:rsidP="001C336B">
            <w:pPr>
              <w:rPr>
                <w:rFonts w:ascii="Calibri" w:eastAsia="Times New Roman" w:hAnsi="Calibri" w:cs="Times New Roman"/>
                <w:sz w:val="18"/>
                <w:szCs w:val="18"/>
              </w:rPr>
            </w:pPr>
            <w:r w:rsidRPr="00A64C93">
              <w:rPr>
                <w:rFonts w:ascii="Calibri" w:eastAsia="Times New Roman" w:hAnsi="Calibri" w:cs="Times New Roman"/>
                <w:sz w:val="18"/>
                <w:szCs w:val="18"/>
              </w:rPr>
              <w:t>Jetons de présence</w:t>
            </w:r>
          </w:p>
        </w:tc>
        <w:tc>
          <w:tcPr>
            <w:tcW w:w="1300" w:type="dxa"/>
            <w:tcBorders>
              <w:top w:val="nil"/>
              <w:left w:val="nil"/>
              <w:bottom w:val="single" w:sz="12" w:space="0" w:color="FFFFFF" w:themeColor="background1"/>
              <w:right w:val="single" w:sz="12" w:space="0" w:color="FFFFFF" w:themeColor="background1"/>
            </w:tcBorders>
            <w:shd w:val="clear" w:color="auto" w:fill="DBE5F1" w:themeFill="accent1" w:themeFillTint="33"/>
            <w:vAlign w:val="center"/>
            <w:hideMark/>
          </w:tcPr>
          <w:p w14:paraId="6B92C5B8" w14:textId="3FDF0E52" w:rsidR="00B22E53" w:rsidRPr="00A64C93" w:rsidRDefault="5F1F329D" w:rsidP="00A64C93">
            <w:pPr>
              <w:spacing w:line="259" w:lineRule="auto"/>
              <w:jc w:val="center"/>
              <w:rPr>
                <w:rFonts w:ascii="Calibri" w:eastAsia="Calibri" w:hAnsi="Calibri" w:cs="Calibri"/>
                <w:sz w:val="18"/>
                <w:szCs w:val="18"/>
              </w:rPr>
            </w:pPr>
            <w:r w:rsidRPr="00A64C93">
              <w:rPr>
                <w:rFonts w:ascii="Calibri" w:eastAsia="Times New Roman" w:hAnsi="Calibri" w:cs="Times New Roman"/>
                <w:sz w:val="18"/>
                <w:szCs w:val="18"/>
              </w:rPr>
              <w:t>2 000</w:t>
            </w:r>
          </w:p>
        </w:tc>
        <w:tc>
          <w:tcPr>
            <w:tcW w:w="1300" w:type="dxa"/>
            <w:tcBorders>
              <w:top w:val="nil"/>
              <w:left w:val="nil"/>
              <w:bottom w:val="single" w:sz="12" w:space="0" w:color="FFFFFF" w:themeColor="background1"/>
              <w:right w:val="single" w:sz="12" w:space="0" w:color="FFFFFF" w:themeColor="background1"/>
            </w:tcBorders>
            <w:shd w:val="clear" w:color="auto" w:fill="DBE5F1" w:themeFill="accent1" w:themeFillTint="33"/>
            <w:vAlign w:val="center"/>
            <w:hideMark/>
          </w:tcPr>
          <w:p w14:paraId="78B80180" w14:textId="6B3535E1" w:rsidR="00B22E53" w:rsidRPr="00A64C93" w:rsidRDefault="5F1F329D" w:rsidP="00A64C93">
            <w:pPr>
              <w:spacing w:line="259" w:lineRule="auto"/>
              <w:jc w:val="center"/>
              <w:rPr>
                <w:rFonts w:ascii="Calibri" w:eastAsia="Calibri" w:hAnsi="Calibri" w:cs="Calibri"/>
                <w:sz w:val="18"/>
                <w:szCs w:val="18"/>
              </w:rPr>
            </w:pPr>
            <w:r w:rsidRPr="00A64C93">
              <w:rPr>
                <w:rFonts w:ascii="Calibri" w:eastAsia="Times New Roman" w:hAnsi="Calibri" w:cs="Times New Roman"/>
                <w:sz w:val="18"/>
                <w:szCs w:val="18"/>
              </w:rPr>
              <w:t>2 000</w:t>
            </w:r>
          </w:p>
        </w:tc>
        <w:tc>
          <w:tcPr>
            <w:tcW w:w="1300" w:type="dxa"/>
            <w:tcBorders>
              <w:top w:val="nil"/>
              <w:left w:val="nil"/>
              <w:bottom w:val="single" w:sz="12" w:space="0" w:color="FFFFFF" w:themeColor="background1"/>
              <w:right w:val="single" w:sz="12" w:space="0" w:color="FFFFFF" w:themeColor="background1"/>
            </w:tcBorders>
            <w:shd w:val="clear" w:color="auto" w:fill="DBE5F1" w:themeFill="accent1" w:themeFillTint="33"/>
            <w:vAlign w:val="center"/>
            <w:hideMark/>
          </w:tcPr>
          <w:p w14:paraId="461E8DCD" w14:textId="7360EDA0" w:rsidR="00B22E53" w:rsidRPr="00A64C93" w:rsidRDefault="5F1F329D" w:rsidP="001C336B">
            <w:pPr>
              <w:jc w:val="center"/>
              <w:rPr>
                <w:rFonts w:ascii="Calibri" w:eastAsia="Times New Roman" w:hAnsi="Calibri" w:cs="Times New Roman"/>
                <w:sz w:val="18"/>
                <w:szCs w:val="18"/>
              </w:rPr>
            </w:pPr>
            <w:r w:rsidRPr="00A64C93">
              <w:rPr>
                <w:rFonts w:ascii="Calibri" w:eastAsia="Times New Roman" w:hAnsi="Calibri" w:cs="Times New Roman"/>
                <w:sz w:val="18"/>
                <w:szCs w:val="18"/>
              </w:rPr>
              <w:t>2 000</w:t>
            </w:r>
          </w:p>
        </w:tc>
        <w:tc>
          <w:tcPr>
            <w:tcW w:w="1300" w:type="dxa"/>
            <w:tcBorders>
              <w:top w:val="nil"/>
              <w:left w:val="nil"/>
              <w:bottom w:val="single" w:sz="12" w:space="0" w:color="FFFFFF" w:themeColor="background1"/>
              <w:right w:val="single" w:sz="12" w:space="0" w:color="FFFFFF" w:themeColor="background1"/>
            </w:tcBorders>
            <w:shd w:val="clear" w:color="auto" w:fill="DBE5F1" w:themeFill="accent1" w:themeFillTint="33"/>
            <w:vAlign w:val="center"/>
            <w:hideMark/>
          </w:tcPr>
          <w:p w14:paraId="1D32C685" w14:textId="6888FAC0" w:rsidR="00B22E53" w:rsidRPr="00A64C93" w:rsidRDefault="5F1F329D" w:rsidP="00A64C93">
            <w:pPr>
              <w:spacing w:line="259" w:lineRule="auto"/>
              <w:jc w:val="center"/>
              <w:rPr>
                <w:rFonts w:ascii="Calibri" w:eastAsia="Calibri" w:hAnsi="Calibri" w:cs="Calibri"/>
                <w:sz w:val="18"/>
                <w:szCs w:val="18"/>
              </w:rPr>
            </w:pPr>
            <w:r w:rsidRPr="00A64C93">
              <w:rPr>
                <w:rFonts w:ascii="Calibri" w:eastAsia="Times New Roman" w:hAnsi="Calibri" w:cs="Times New Roman"/>
                <w:sz w:val="18"/>
                <w:szCs w:val="18"/>
              </w:rPr>
              <w:t>0</w:t>
            </w:r>
          </w:p>
        </w:tc>
      </w:tr>
      <w:tr w:rsidR="00B22E53" w:rsidRPr="00A64C93" w14:paraId="1FED4FE4" w14:textId="77777777" w:rsidTr="5F1F329D">
        <w:trPr>
          <w:trHeight w:val="340"/>
        </w:trPr>
        <w:tc>
          <w:tcPr>
            <w:tcW w:w="3200" w:type="dxa"/>
            <w:tcBorders>
              <w:top w:val="nil"/>
              <w:left w:val="single" w:sz="12" w:space="0" w:color="FFFFFF" w:themeColor="background1"/>
              <w:bottom w:val="single" w:sz="12" w:space="0" w:color="FFFFFF" w:themeColor="background1"/>
              <w:right w:val="single" w:sz="12" w:space="0" w:color="FFFFFF" w:themeColor="background1"/>
            </w:tcBorders>
            <w:shd w:val="clear" w:color="auto" w:fill="DBE5F1" w:themeFill="accent1" w:themeFillTint="33"/>
            <w:vAlign w:val="center"/>
            <w:hideMark/>
          </w:tcPr>
          <w:p w14:paraId="71E5C5AE" w14:textId="77777777" w:rsidR="00B22E53" w:rsidRPr="00A64C93" w:rsidRDefault="00B22E53" w:rsidP="001C336B">
            <w:pPr>
              <w:rPr>
                <w:rFonts w:ascii="Calibri" w:eastAsia="Times New Roman" w:hAnsi="Calibri" w:cs="Times New Roman"/>
                <w:sz w:val="18"/>
                <w:szCs w:val="18"/>
              </w:rPr>
            </w:pPr>
            <w:r w:rsidRPr="00A64C93">
              <w:rPr>
                <w:rFonts w:ascii="Calibri" w:eastAsia="Times New Roman" w:hAnsi="Calibri" w:cs="Times New Roman"/>
                <w:sz w:val="18"/>
                <w:szCs w:val="18"/>
              </w:rPr>
              <w:t>Autres rémunérations</w:t>
            </w:r>
          </w:p>
        </w:tc>
        <w:tc>
          <w:tcPr>
            <w:tcW w:w="1300" w:type="dxa"/>
            <w:tcBorders>
              <w:top w:val="nil"/>
              <w:left w:val="nil"/>
              <w:bottom w:val="single" w:sz="12" w:space="0" w:color="FFFFFF" w:themeColor="background1"/>
              <w:right w:val="single" w:sz="12" w:space="0" w:color="FFFFFF" w:themeColor="background1"/>
            </w:tcBorders>
            <w:shd w:val="clear" w:color="auto" w:fill="DBE5F1" w:themeFill="accent1" w:themeFillTint="33"/>
            <w:vAlign w:val="center"/>
            <w:hideMark/>
          </w:tcPr>
          <w:p w14:paraId="16DDA730" w14:textId="0FE481E6" w:rsidR="00B22E53" w:rsidRPr="00A64C93" w:rsidRDefault="00B22E53" w:rsidP="001C336B">
            <w:pPr>
              <w:jc w:val="center"/>
              <w:rPr>
                <w:rFonts w:ascii="Calibri" w:eastAsia="Times New Roman" w:hAnsi="Calibri" w:cs="Times New Roman"/>
                <w:sz w:val="18"/>
                <w:szCs w:val="18"/>
              </w:rPr>
            </w:pPr>
            <w:r w:rsidRPr="00A64C93">
              <w:rPr>
                <w:rFonts w:ascii="Calibri" w:eastAsia="Times New Roman" w:hAnsi="Calibri" w:cs="Times New Roman"/>
                <w:sz w:val="18"/>
                <w:szCs w:val="18"/>
              </w:rPr>
              <w:t>Non applicable</w:t>
            </w:r>
          </w:p>
        </w:tc>
        <w:tc>
          <w:tcPr>
            <w:tcW w:w="1300" w:type="dxa"/>
            <w:tcBorders>
              <w:top w:val="nil"/>
              <w:left w:val="nil"/>
              <w:bottom w:val="single" w:sz="12" w:space="0" w:color="FFFFFF" w:themeColor="background1"/>
              <w:right w:val="single" w:sz="12" w:space="0" w:color="FFFFFF" w:themeColor="background1"/>
            </w:tcBorders>
            <w:shd w:val="clear" w:color="auto" w:fill="DBE5F1" w:themeFill="accent1" w:themeFillTint="33"/>
            <w:vAlign w:val="center"/>
            <w:hideMark/>
          </w:tcPr>
          <w:p w14:paraId="5063A365" w14:textId="683BCC72" w:rsidR="00B22E53" w:rsidRPr="00A64C93" w:rsidRDefault="00B22E53" w:rsidP="001C336B">
            <w:pPr>
              <w:jc w:val="center"/>
              <w:rPr>
                <w:rFonts w:ascii="Calibri" w:eastAsia="Times New Roman" w:hAnsi="Calibri" w:cs="Times New Roman"/>
                <w:sz w:val="18"/>
                <w:szCs w:val="18"/>
              </w:rPr>
            </w:pPr>
            <w:r w:rsidRPr="00A64C93">
              <w:rPr>
                <w:rFonts w:ascii="Calibri" w:eastAsia="Times New Roman" w:hAnsi="Calibri" w:cs="Times New Roman"/>
                <w:sz w:val="18"/>
                <w:szCs w:val="18"/>
              </w:rPr>
              <w:t>Non applicable</w:t>
            </w:r>
          </w:p>
        </w:tc>
        <w:tc>
          <w:tcPr>
            <w:tcW w:w="1300" w:type="dxa"/>
            <w:tcBorders>
              <w:top w:val="nil"/>
              <w:left w:val="nil"/>
              <w:bottom w:val="single" w:sz="12" w:space="0" w:color="FFFFFF" w:themeColor="background1"/>
              <w:right w:val="single" w:sz="12" w:space="0" w:color="FFFFFF" w:themeColor="background1"/>
            </w:tcBorders>
            <w:shd w:val="clear" w:color="auto" w:fill="DBE5F1" w:themeFill="accent1" w:themeFillTint="33"/>
            <w:vAlign w:val="center"/>
            <w:hideMark/>
          </w:tcPr>
          <w:p w14:paraId="1980340F" w14:textId="35CF960D" w:rsidR="00B22E53" w:rsidRPr="00A64C93" w:rsidRDefault="00B22E53" w:rsidP="001C336B">
            <w:pPr>
              <w:jc w:val="center"/>
              <w:rPr>
                <w:rFonts w:ascii="Calibri" w:eastAsia="Times New Roman" w:hAnsi="Calibri" w:cs="Times New Roman"/>
                <w:sz w:val="18"/>
                <w:szCs w:val="18"/>
              </w:rPr>
            </w:pPr>
            <w:r w:rsidRPr="00A64C93">
              <w:rPr>
                <w:rFonts w:ascii="Calibri" w:eastAsia="Times New Roman" w:hAnsi="Calibri" w:cs="Times New Roman"/>
                <w:sz w:val="18"/>
                <w:szCs w:val="18"/>
              </w:rPr>
              <w:t>Non applicable</w:t>
            </w:r>
          </w:p>
        </w:tc>
        <w:tc>
          <w:tcPr>
            <w:tcW w:w="1300" w:type="dxa"/>
            <w:tcBorders>
              <w:top w:val="nil"/>
              <w:left w:val="nil"/>
              <w:bottom w:val="single" w:sz="12" w:space="0" w:color="FFFFFF" w:themeColor="background1"/>
              <w:right w:val="single" w:sz="12" w:space="0" w:color="FFFFFF" w:themeColor="background1"/>
            </w:tcBorders>
            <w:shd w:val="clear" w:color="auto" w:fill="DBE5F1" w:themeFill="accent1" w:themeFillTint="33"/>
            <w:vAlign w:val="center"/>
            <w:hideMark/>
          </w:tcPr>
          <w:p w14:paraId="6659D92C" w14:textId="0A0D0FF3" w:rsidR="00B22E53" w:rsidRPr="00A64C93" w:rsidRDefault="00B22E53" w:rsidP="001C336B">
            <w:pPr>
              <w:jc w:val="center"/>
              <w:rPr>
                <w:rFonts w:ascii="Calibri" w:eastAsia="Times New Roman" w:hAnsi="Calibri" w:cs="Times New Roman"/>
                <w:sz w:val="18"/>
                <w:szCs w:val="18"/>
              </w:rPr>
            </w:pPr>
            <w:r w:rsidRPr="00A64C93">
              <w:rPr>
                <w:rFonts w:ascii="Calibri" w:eastAsia="Times New Roman" w:hAnsi="Calibri" w:cs="Times New Roman"/>
                <w:sz w:val="18"/>
                <w:szCs w:val="18"/>
              </w:rPr>
              <w:t>Non applicable</w:t>
            </w:r>
          </w:p>
        </w:tc>
      </w:tr>
      <w:tr w:rsidR="00B22E53" w:rsidRPr="00A64C93" w14:paraId="3690D5F2" w14:textId="77777777" w:rsidTr="5F1F329D">
        <w:trPr>
          <w:trHeight w:val="340"/>
        </w:trPr>
        <w:tc>
          <w:tcPr>
            <w:tcW w:w="3200" w:type="dxa"/>
            <w:tcBorders>
              <w:top w:val="nil"/>
              <w:left w:val="single" w:sz="12" w:space="0" w:color="FFFFFF" w:themeColor="background1"/>
              <w:bottom w:val="single" w:sz="12" w:space="0" w:color="FFFFFF" w:themeColor="background1"/>
              <w:right w:val="single" w:sz="12" w:space="0" w:color="FFFFFF" w:themeColor="background1"/>
            </w:tcBorders>
            <w:shd w:val="clear" w:color="auto" w:fill="B8CCE4" w:themeFill="accent1" w:themeFillTint="66"/>
            <w:vAlign w:val="center"/>
            <w:hideMark/>
          </w:tcPr>
          <w:p w14:paraId="6E1EAEAC" w14:textId="77777777" w:rsidR="00B22E53" w:rsidRPr="00A64C93" w:rsidRDefault="00B22E53" w:rsidP="001C336B">
            <w:pPr>
              <w:rPr>
                <w:rFonts w:ascii="Calibri" w:eastAsia="Times New Roman" w:hAnsi="Calibri" w:cs="Times New Roman"/>
                <w:b/>
                <w:bCs/>
                <w:sz w:val="18"/>
                <w:szCs w:val="18"/>
              </w:rPr>
            </w:pPr>
            <w:r w:rsidRPr="00A64C93">
              <w:rPr>
                <w:rFonts w:ascii="Calibri" w:eastAsia="Times New Roman" w:hAnsi="Calibri" w:cs="Times New Roman"/>
                <w:b/>
                <w:bCs/>
                <w:sz w:val="18"/>
                <w:szCs w:val="18"/>
              </w:rPr>
              <w:t>Total</w:t>
            </w:r>
          </w:p>
        </w:tc>
        <w:tc>
          <w:tcPr>
            <w:tcW w:w="1300" w:type="dxa"/>
            <w:tcBorders>
              <w:top w:val="nil"/>
              <w:left w:val="nil"/>
              <w:bottom w:val="single" w:sz="12" w:space="0" w:color="FFFFFF" w:themeColor="background1"/>
              <w:right w:val="single" w:sz="12" w:space="0" w:color="FFFFFF" w:themeColor="background1"/>
            </w:tcBorders>
            <w:shd w:val="clear" w:color="auto" w:fill="B8CCE4" w:themeFill="accent1" w:themeFillTint="66"/>
            <w:vAlign w:val="center"/>
            <w:hideMark/>
          </w:tcPr>
          <w:p w14:paraId="2A1FFC50" w14:textId="6A0879AE" w:rsidR="00B22E53" w:rsidRPr="00A64C93" w:rsidRDefault="5F1F329D" w:rsidP="00A64C93">
            <w:pPr>
              <w:spacing w:line="259" w:lineRule="auto"/>
              <w:jc w:val="center"/>
              <w:rPr>
                <w:rFonts w:ascii="Calibri" w:eastAsia="Calibri" w:hAnsi="Calibri" w:cs="Calibri"/>
                <w:sz w:val="18"/>
                <w:szCs w:val="18"/>
              </w:rPr>
            </w:pPr>
            <w:r w:rsidRPr="00A64C93">
              <w:rPr>
                <w:rFonts w:ascii="Calibri" w:eastAsia="Times New Roman" w:hAnsi="Calibri" w:cs="Times New Roman"/>
                <w:sz w:val="18"/>
                <w:szCs w:val="18"/>
              </w:rPr>
              <w:t>2 000</w:t>
            </w:r>
          </w:p>
        </w:tc>
        <w:tc>
          <w:tcPr>
            <w:tcW w:w="1300" w:type="dxa"/>
            <w:tcBorders>
              <w:top w:val="nil"/>
              <w:left w:val="nil"/>
              <w:bottom w:val="single" w:sz="12" w:space="0" w:color="FFFFFF" w:themeColor="background1"/>
              <w:right w:val="single" w:sz="12" w:space="0" w:color="FFFFFF" w:themeColor="background1"/>
            </w:tcBorders>
            <w:shd w:val="clear" w:color="auto" w:fill="B8CCE4" w:themeFill="accent1" w:themeFillTint="66"/>
            <w:vAlign w:val="center"/>
            <w:hideMark/>
          </w:tcPr>
          <w:p w14:paraId="281F5E68" w14:textId="6230F18F" w:rsidR="00B22E53" w:rsidRPr="00A64C93" w:rsidRDefault="5F1F329D" w:rsidP="00A64C93">
            <w:pPr>
              <w:spacing w:line="259" w:lineRule="auto"/>
              <w:jc w:val="center"/>
              <w:rPr>
                <w:rFonts w:ascii="Calibri" w:eastAsia="Calibri" w:hAnsi="Calibri" w:cs="Calibri"/>
                <w:sz w:val="18"/>
                <w:szCs w:val="18"/>
              </w:rPr>
            </w:pPr>
            <w:r w:rsidRPr="00A64C93">
              <w:rPr>
                <w:rFonts w:ascii="Calibri" w:eastAsia="Times New Roman" w:hAnsi="Calibri" w:cs="Times New Roman"/>
                <w:sz w:val="18"/>
                <w:szCs w:val="18"/>
              </w:rPr>
              <w:t>2 000</w:t>
            </w:r>
          </w:p>
        </w:tc>
        <w:tc>
          <w:tcPr>
            <w:tcW w:w="1300" w:type="dxa"/>
            <w:tcBorders>
              <w:top w:val="nil"/>
              <w:left w:val="nil"/>
              <w:bottom w:val="single" w:sz="12" w:space="0" w:color="FFFFFF" w:themeColor="background1"/>
              <w:right w:val="single" w:sz="12" w:space="0" w:color="FFFFFF" w:themeColor="background1"/>
            </w:tcBorders>
            <w:shd w:val="clear" w:color="auto" w:fill="B8CCE4" w:themeFill="accent1" w:themeFillTint="66"/>
            <w:vAlign w:val="center"/>
            <w:hideMark/>
          </w:tcPr>
          <w:p w14:paraId="56759159" w14:textId="0AAFE3A1" w:rsidR="00B22E53" w:rsidRPr="00A64C93" w:rsidRDefault="5F1F329D" w:rsidP="00A64C93">
            <w:pPr>
              <w:spacing w:line="259" w:lineRule="auto"/>
              <w:jc w:val="center"/>
              <w:rPr>
                <w:rFonts w:ascii="Calibri" w:eastAsia="Calibri" w:hAnsi="Calibri" w:cs="Calibri"/>
                <w:sz w:val="18"/>
                <w:szCs w:val="18"/>
              </w:rPr>
            </w:pPr>
            <w:r w:rsidRPr="00A64C93">
              <w:rPr>
                <w:rFonts w:ascii="Calibri" w:eastAsia="Times New Roman" w:hAnsi="Calibri" w:cs="Times New Roman"/>
                <w:sz w:val="18"/>
                <w:szCs w:val="18"/>
              </w:rPr>
              <w:t>2 000</w:t>
            </w:r>
          </w:p>
        </w:tc>
        <w:tc>
          <w:tcPr>
            <w:tcW w:w="1300" w:type="dxa"/>
            <w:tcBorders>
              <w:top w:val="nil"/>
              <w:left w:val="nil"/>
              <w:bottom w:val="single" w:sz="12" w:space="0" w:color="FFFFFF" w:themeColor="background1"/>
              <w:right w:val="single" w:sz="12" w:space="0" w:color="FFFFFF" w:themeColor="background1"/>
            </w:tcBorders>
            <w:shd w:val="clear" w:color="auto" w:fill="B8CCE4" w:themeFill="accent1" w:themeFillTint="66"/>
            <w:vAlign w:val="center"/>
            <w:hideMark/>
          </w:tcPr>
          <w:p w14:paraId="7755EDCD" w14:textId="18BC4173" w:rsidR="00B22E53" w:rsidRPr="00A64C93" w:rsidRDefault="5F1F329D" w:rsidP="00A64C93">
            <w:pPr>
              <w:spacing w:line="259" w:lineRule="auto"/>
              <w:jc w:val="center"/>
              <w:rPr>
                <w:rFonts w:ascii="Calibri" w:eastAsia="Calibri" w:hAnsi="Calibri" w:cs="Calibri"/>
                <w:sz w:val="18"/>
                <w:szCs w:val="18"/>
              </w:rPr>
            </w:pPr>
            <w:r w:rsidRPr="00A64C93">
              <w:rPr>
                <w:rFonts w:ascii="Calibri" w:eastAsia="Times New Roman" w:hAnsi="Calibri" w:cs="Times New Roman"/>
                <w:sz w:val="18"/>
                <w:szCs w:val="18"/>
              </w:rPr>
              <w:t>0</w:t>
            </w:r>
          </w:p>
        </w:tc>
      </w:tr>
    </w:tbl>
    <w:p w14:paraId="515E3BB1" w14:textId="77777777" w:rsidR="00A64C93" w:rsidRDefault="00A64C93">
      <w:pPr>
        <w:jc w:val="left"/>
      </w:pPr>
    </w:p>
    <w:p w14:paraId="2724E0AD" w14:textId="77777777" w:rsidR="00A64C93" w:rsidRDefault="5F1F329D">
      <w:pPr>
        <w:jc w:val="left"/>
      </w:pPr>
      <w:r>
        <w:t xml:space="preserve">Les jetons de présence au titre d’une année sont versés l’année suivante. </w:t>
      </w:r>
    </w:p>
    <w:p w14:paraId="4AE18E8E" w14:textId="77777777" w:rsidR="00A64C93" w:rsidRDefault="00A64C93">
      <w:pPr>
        <w:jc w:val="left"/>
      </w:pPr>
    </w:p>
    <w:p w14:paraId="30C2FC29" w14:textId="5F63A271" w:rsidR="00942A4F" w:rsidRDefault="5F1F329D" w:rsidP="00A64C93">
      <w:r>
        <w:t>Le Conseil d’Administration du 15 avril 2020 a proposé la mise en place de ces jetons de présence pour les administrateurs indépendants investis de longue date à compter de 2019, résolution entérinée lors de</w:t>
      </w:r>
      <w:r w:rsidR="00A64C93">
        <w:t xml:space="preserve"> l‘</w:t>
      </w:r>
      <w:r w:rsidR="00964F0E">
        <w:t>a</w:t>
      </w:r>
      <w:r w:rsidR="00A64C93">
        <w:t xml:space="preserve">ssemblée </w:t>
      </w:r>
      <w:r w:rsidR="00964F0E">
        <w:t>g</w:t>
      </w:r>
      <w:r w:rsidR="00A64C93">
        <w:t>énérale du 26 mai</w:t>
      </w:r>
      <w:r>
        <w:t xml:space="preserve"> 2020. Cette décision a été reconduite lors du Conseil d’</w:t>
      </w:r>
      <w:r w:rsidR="00964F0E">
        <w:t>a</w:t>
      </w:r>
      <w:r>
        <w:t>dministration du 25 janvier 2021 pour l’exercice 2020 selon un montant individuel et des modalités comparables à celles relatives à 2019.</w:t>
      </w:r>
    </w:p>
    <w:p w14:paraId="13017454" w14:textId="77777777" w:rsidR="00E40959" w:rsidRDefault="00E40959" w:rsidP="001C336B"/>
    <w:p w14:paraId="1A25D9C2" w14:textId="4633E5EF" w:rsidR="00B544F5" w:rsidRPr="00DA1AB4" w:rsidRDefault="00B544F5" w:rsidP="00DA1AB4">
      <w:r w:rsidRPr="00DA1AB4">
        <w:t xml:space="preserve">Les administrateurs démissionnaires </w:t>
      </w:r>
      <w:r w:rsidR="00DA1AB4">
        <w:t>entre le 1</w:t>
      </w:r>
      <w:r w:rsidR="00DA1AB4" w:rsidRPr="00DA1AB4">
        <w:rPr>
          <w:vertAlign w:val="superscript"/>
        </w:rPr>
        <w:t>er</w:t>
      </w:r>
      <w:r w:rsidR="00DA1AB4">
        <w:t xml:space="preserve"> janvier 2019 et le 31 décembre 2020 </w:t>
      </w:r>
      <w:r w:rsidRPr="00DA1AB4">
        <w:t>(M. Kubinga et M. Albisetti</w:t>
      </w:r>
      <w:r w:rsidR="00DA1AB4">
        <w:t>)</w:t>
      </w:r>
      <w:r w:rsidRPr="00DA1AB4">
        <w:t xml:space="preserve"> </w:t>
      </w:r>
      <w:r w:rsidR="00DA1AB4" w:rsidRPr="00DA1AB4">
        <w:t>n’ont pas perçu de rémunération</w:t>
      </w:r>
      <w:r w:rsidR="00DA1AB4">
        <w:t xml:space="preserve"> versée par Spineway</w:t>
      </w:r>
      <w:r w:rsidR="00DA1AB4" w:rsidRPr="00DA1AB4">
        <w:t>.</w:t>
      </w:r>
    </w:p>
    <w:p w14:paraId="6C6B2311" w14:textId="77777777" w:rsidR="00B64FB8" w:rsidRDefault="00B64FB8" w:rsidP="00DA1AB4">
      <w:pPr>
        <w:rPr>
          <w:b/>
        </w:rPr>
      </w:pPr>
    </w:p>
    <w:p w14:paraId="236AEE1B" w14:textId="1EA2E104" w:rsidR="001C336B" w:rsidRDefault="00D11BDB" w:rsidP="001C336B">
      <w:pPr>
        <w:rPr>
          <w:b/>
        </w:rPr>
      </w:pPr>
      <w:r>
        <w:rPr>
          <w:b/>
        </w:rPr>
        <w:t>Tableau n</w:t>
      </w:r>
      <w:r w:rsidR="001C336B">
        <w:rPr>
          <w:b/>
        </w:rPr>
        <w:t>°4 :</w:t>
      </w:r>
    </w:p>
    <w:p w14:paraId="34EF3F5F" w14:textId="77777777" w:rsidR="006F091C" w:rsidRDefault="006F091C" w:rsidP="001C336B">
      <w:pPr>
        <w:rPr>
          <w:b/>
        </w:rPr>
      </w:pPr>
    </w:p>
    <w:tbl>
      <w:tblPr>
        <w:tblW w:w="9900" w:type="dxa"/>
        <w:tblInd w:w="55" w:type="dxa"/>
        <w:tblCellMar>
          <w:left w:w="70" w:type="dxa"/>
          <w:right w:w="70" w:type="dxa"/>
        </w:tblCellMar>
        <w:tblLook w:val="04A0" w:firstRow="1" w:lastRow="0" w:firstColumn="1" w:lastColumn="0" w:noHBand="0" w:noVBand="1"/>
      </w:tblPr>
      <w:tblGrid>
        <w:gridCol w:w="2100"/>
        <w:gridCol w:w="1300"/>
        <w:gridCol w:w="1300"/>
        <w:gridCol w:w="1300"/>
        <w:gridCol w:w="1300"/>
        <w:gridCol w:w="1300"/>
        <w:gridCol w:w="1300"/>
      </w:tblGrid>
      <w:tr w:rsidR="00D11BDB" w:rsidRPr="00D11BDB" w14:paraId="17E39B47" w14:textId="77777777" w:rsidTr="00D11BDB">
        <w:trPr>
          <w:trHeight w:val="560"/>
        </w:trPr>
        <w:tc>
          <w:tcPr>
            <w:tcW w:w="9900" w:type="dxa"/>
            <w:gridSpan w:val="7"/>
            <w:tcBorders>
              <w:top w:val="nil"/>
              <w:left w:val="single" w:sz="12" w:space="0" w:color="FFFFFF"/>
              <w:bottom w:val="single" w:sz="12" w:space="0" w:color="FFFFFF"/>
              <w:right w:val="nil"/>
            </w:tcBorders>
            <w:shd w:val="clear" w:color="000000" w:fill="365F91"/>
            <w:vAlign w:val="center"/>
            <w:hideMark/>
          </w:tcPr>
          <w:p w14:paraId="7B2D675F" w14:textId="0C5BBFE4" w:rsidR="00D11BDB" w:rsidRPr="00D11BDB" w:rsidRDefault="00D11BDB" w:rsidP="00D11BDB">
            <w:pPr>
              <w:jc w:val="center"/>
              <w:rPr>
                <w:rFonts w:ascii="Calibri" w:eastAsia="Times New Roman" w:hAnsi="Calibri" w:cs="Times New Roman"/>
                <w:b/>
                <w:bCs/>
                <w:color w:val="FFFFFF"/>
                <w:sz w:val="18"/>
                <w:szCs w:val="18"/>
              </w:rPr>
            </w:pPr>
            <w:r w:rsidRPr="00D11BDB">
              <w:rPr>
                <w:rFonts w:ascii="Calibri" w:eastAsia="Times New Roman" w:hAnsi="Calibri" w:cs="Times New Roman"/>
                <w:b/>
                <w:bCs/>
                <w:color w:val="FFFFFF"/>
                <w:sz w:val="18"/>
                <w:szCs w:val="18"/>
              </w:rPr>
              <w:t xml:space="preserve">Options de souscription </w:t>
            </w:r>
            <w:r w:rsidR="001F374E">
              <w:rPr>
                <w:rFonts w:ascii="Calibri" w:eastAsia="Times New Roman" w:hAnsi="Calibri" w:cs="Times New Roman"/>
                <w:b/>
                <w:bCs/>
                <w:color w:val="FFFFFF"/>
                <w:sz w:val="18"/>
                <w:szCs w:val="18"/>
              </w:rPr>
              <w:t xml:space="preserve">ou </w:t>
            </w:r>
            <w:r w:rsidRPr="00D11BDB">
              <w:rPr>
                <w:rFonts w:ascii="Calibri" w:eastAsia="Times New Roman" w:hAnsi="Calibri" w:cs="Times New Roman"/>
                <w:b/>
                <w:bCs/>
                <w:color w:val="FFFFFF"/>
                <w:sz w:val="18"/>
                <w:szCs w:val="18"/>
              </w:rPr>
              <w:t xml:space="preserve">d'achat d'actions attribuées durant l'exercice à chaque </w:t>
            </w:r>
            <w:r w:rsidR="001A21CB" w:rsidRPr="00D11BDB">
              <w:rPr>
                <w:rFonts w:ascii="Calibri" w:eastAsia="Times New Roman" w:hAnsi="Calibri" w:cs="Times New Roman"/>
                <w:b/>
                <w:bCs/>
                <w:color w:val="FFFFFF"/>
                <w:sz w:val="18"/>
                <w:szCs w:val="18"/>
              </w:rPr>
              <w:t>dirigeant</w:t>
            </w:r>
            <w:r w:rsidRPr="00D11BDB">
              <w:rPr>
                <w:rFonts w:ascii="Calibri" w:eastAsia="Times New Roman" w:hAnsi="Calibri" w:cs="Times New Roman"/>
                <w:b/>
                <w:bCs/>
                <w:color w:val="FFFFFF"/>
                <w:sz w:val="18"/>
                <w:szCs w:val="18"/>
              </w:rPr>
              <w:t xml:space="preserve"> mandataire social par l</w:t>
            </w:r>
            <w:r w:rsidR="00F73D47">
              <w:rPr>
                <w:rFonts w:ascii="Calibri" w:eastAsia="Times New Roman" w:hAnsi="Calibri" w:cs="Times New Roman"/>
                <w:b/>
                <w:bCs/>
                <w:color w:val="FFFFFF"/>
                <w:sz w:val="18"/>
                <w:szCs w:val="18"/>
              </w:rPr>
              <w:t>a Société</w:t>
            </w:r>
            <w:r w:rsidRPr="00D11BDB">
              <w:rPr>
                <w:rFonts w:ascii="Calibri" w:eastAsia="Times New Roman" w:hAnsi="Calibri" w:cs="Times New Roman"/>
                <w:b/>
                <w:bCs/>
                <w:color w:val="FFFFFF"/>
                <w:sz w:val="18"/>
                <w:szCs w:val="18"/>
              </w:rPr>
              <w:t xml:space="preserve"> et par toute société du Groupe</w:t>
            </w:r>
          </w:p>
        </w:tc>
      </w:tr>
      <w:tr w:rsidR="00D11BDB" w:rsidRPr="00D11BDB" w14:paraId="6E71BAE3" w14:textId="77777777" w:rsidTr="00D11BDB">
        <w:trPr>
          <w:trHeight w:val="1720"/>
        </w:trPr>
        <w:tc>
          <w:tcPr>
            <w:tcW w:w="2100" w:type="dxa"/>
            <w:tcBorders>
              <w:top w:val="nil"/>
              <w:left w:val="single" w:sz="12" w:space="0" w:color="FFFFFF"/>
              <w:bottom w:val="nil"/>
              <w:right w:val="single" w:sz="12" w:space="0" w:color="FFFFFF"/>
            </w:tcBorders>
            <w:shd w:val="clear" w:color="000000" w:fill="365F91"/>
            <w:vAlign w:val="center"/>
            <w:hideMark/>
          </w:tcPr>
          <w:p w14:paraId="11C8BEB3" w14:textId="77777777" w:rsidR="00D11BDB" w:rsidRPr="00D11BDB" w:rsidRDefault="00D11BDB" w:rsidP="00D11BDB">
            <w:pPr>
              <w:jc w:val="center"/>
              <w:rPr>
                <w:rFonts w:ascii="Calibri" w:eastAsia="Times New Roman" w:hAnsi="Calibri" w:cs="Times New Roman"/>
                <w:b/>
                <w:bCs/>
                <w:color w:val="FFFFFF"/>
                <w:sz w:val="18"/>
                <w:szCs w:val="18"/>
              </w:rPr>
            </w:pPr>
            <w:r w:rsidRPr="00D11BDB">
              <w:rPr>
                <w:rFonts w:ascii="Calibri" w:eastAsia="Times New Roman" w:hAnsi="Calibri" w:cs="Times New Roman"/>
                <w:b/>
                <w:bCs/>
                <w:color w:val="FFFFFF"/>
                <w:sz w:val="18"/>
                <w:szCs w:val="18"/>
              </w:rPr>
              <w:t>Nom du dirigeant mandataire social</w:t>
            </w:r>
          </w:p>
        </w:tc>
        <w:tc>
          <w:tcPr>
            <w:tcW w:w="1300" w:type="dxa"/>
            <w:tcBorders>
              <w:top w:val="nil"/>
              <w:left w:val="nil"/>
              <w:bottom w:val="nil"/>
              <w:right w:val="nil"/>
            </w:tcBorders>
            <w:shd w:val="clear" w:color="000000" w:fill="365F91"/>
            <w:vAlign w:val="center"/>
            <w:hideMark/>
          </w:tcPr>
          <w:p w14:paraId="5D488C94" w14:textId="77777777" w:rsidR="00D11BDB" w:rsidRPr="00D11BDB" w:rsidRDefault="00D11BDB" w:rsidP="00D11BDB">
            <w:pPr>
              <w:jc w:val="center"/>
              <w:rPr>
                <w:rFonts w:ascii="Calibri" w:eastAsia="Times New Roman" w:hAnsi="Calibri" w:cs="Times New Roman"/>
                <w:b/>
                <w:bCs/>
                <w:color w:val="FFFFFF"/>
                <w:sz w:val="18"/>
                <w:szCs w:val="18"/>
              </w:rPr>
            </w:pPr>
            <w:r w:rsidRPr="00D11BDB">
              <w:rPr>
                <w:rFonts w:ascii="Calibri" w:eastAsia="Times New Roman" w:hAnsi="Calibri" w:cs="Times New Roman"/>
                <w:b/>
                <w:bCs/>
                <w:color w:val="FFFFFF"/>
                <w:sz w:val="18"/>
                <w:szCs w:val="18"/>
              </w:rPr>
              <w:t>N° et date du plan</w:t>
            </w:r>
          </w:p>
        </w:tc>
        <w:tc>
          <w:tcPr>
            <w:tcW w:w="1300" w:type="dxa"/>
            <w:tcBorders>
              <w:top w:val="nil"/>
              <w:left w:val="single" w:sz="12" w:space="0" w:color="FFFFFF"/>
              <w:bottom w:val="single" w:sz="12" w:space="0" w:color="FFFFFF"/>
              <w:right w:val="nil"/>
            </w:tcBorders>
            <w:shd w:val="clear" w:color="000000" w:fill="365F91"/>
            <w:vAlign w:val="center"/>
            <w:hideMark/>
          </w:tcPr>
          <w:p w14:paraId="4345E268" w14:textId="5377E89E" w:rsidR="00D11BDB" w:rsidRPr="00D11BDB" w:rsidRDefault="001A21CB" w:rsidP="00D11BDB">
            <w:pPr>
              <w:jc w:val="center"/>
              <w:rPr>
                <w:rFonts w:ascii="Calibri" w:eastAsia="Times New Roman" w:hAnsi="Calibri" w:cs="Times New Roman"/>
                <w:b/>
                <w:bCs/>
                <w:color w:val="FFFFFF"/>
                <w:sz w:val="18"/>
                <w:szCs w:val="18"/>
              </w:rPr>
            </w:pPr>
            <w:r>
              <w:rPr>
                <w:rFonts w:ascii="Calibri" w:eastAsia="Times New Roman" w:hAnsi="Calibri" w:cs="Times New Roman"/>
                <w:b/>
                <w:bCs/>
                <w:color w:val="FFFFFF"/>
                <w:sz w:val="18"/>
                <w:szCs w:val="18"/>
              </w:rPr>
              <w:t>Nat</w:t>
            </w:r>
            <w:r w:rsidR="00D11BDB" w:rsidRPr="00D11BDB">
              <w:rPr>
                <w:rFonts w:ascii="Calibri" w:eastAsia="Times New Roman" w:hAnsi="Calibri" w:cs="Times New Roman"/>
                <w:b/>
                <w:bCs/>
                <w:color w:val="FFFFFF"/>
                <w:sz w:val="18"/>
                <w:szCs w:val="18"/>
              </w:rPr>
              <w:t>ure des options (achat ou souscription)</w:t>
            </w:r>
          </w:p>
        </w:tc>
        <w:tc>
          <w:tcPr>
            <w:tcW w:w="1300" w:type="dxa"/>
            <w:tcBorders>
              <w:top w:val="nil"/>
              <w:left w:val="single" w:sz="12" w:space="0" w:color="FFFFFF"/>
              <w:bottom w:val="single" w:sz="12" w:space="0" w:color="FFFFFF"/>
              <w:right w:val="nil"/>
            </w:tcBorders>
            <w:shd w:val="clear" w:color="000000" w:fill="365F91"/>
            <w:vAlign w:val="center"/>
            <w:hideMark/>
          </w:tcPr>
          <w:p w14:paraId="6B0B850C" w14:textId="77777777" w:rsidR="00D11BDB" w:rsidRPr="00D11BDB" w:rsidRDefault="00D11BDB" w:rsidP="00D11BDB">
            <w:pPr>
              <w:jc w:val="center"/>
              <w:rPr>
                <w:rFonts w:ascii="Calibri" w:eastAsia="Times New Roman" w:hAnsi="Calibri" w:cs="Times New Roman"/>
                <w:b/>
                <w:bCs/>
                <w:color w:val="FFFFFF"/>
                <w:sz w:val="18"/>
                <w:szCs w:val="18"/>
              </w:rPr>
            </w:pPr>
            <w:r w:rsidRPr="00D11BDB">
              <w:rPr>
                <w:rFonts w:ascii="Calibri" w:eastAsia="Times New Roman" w:hAnsi="Calibri" w:cs="Times New Roman"/>
                <w:b/>
                <w:bCs/>
                <w:color w:val="FFFFFF"/>
                <w:sz w:val="18"/>
                <w:szCs w:val="18"/>
              </w:rPr>
              <w:t>Valorisation des options selon la méthode retenue pour les comptes consolidés</w:t>
            </w:r>
          </w:p>
        </w:tc>
        <w:tc>
          <w:tcPr>
            <w:tcW w:w="1300" w:type="dxa"/>
            <w:tcBorders>
              <w:top w:val="nil"/>
              <w:left w:val="single" w:sz="12" w:space="0" w:color="FFFFFF"/>
              <w:bottom w:val="single" w:sz="12" w:space="0" w:color="FFFFFF"/>
              <w:right w:val="single" w:sz="12" w:space="0" w:color="FFFFFF"/>
            </w:tcBorders>
            <w:shd w:val="clear" w:color="000000" w:fill="365F91"/>
            <w:vAlign w:val="center"/>
            <w:hideMark/>
          </w:tcPr>
          <w:p w14:paraId="33FC1253" w14:textId="26940C6D" w:rsidR="00D11BDB" w:rsidRPr="00D11BDB" w:rsidRDefault="00D11BDB" w:rsidP="00D11BDB">
            <w:pPr>
              <w:jc w:val="center"/>
              <w:rPr>
                <w:rFonts w:ascii="Calibri" w:eastAsia="Times New Roman" w:hAnsi="Calibri" w:cs="Times New Roman"/>
                <w:b/>
                <w:bCs/>
                <w:color w:val="FFFFFF"/>
                <w:sz w:val="18"/>
                <w:szCs w:val="18"/>
              </w:rPr>
            </w:pPr>
            <w:r w:rsidRPr="00D11BDB">
              <w:rPr>
                <w:rFonts w:ascii="Calibri" w:eastAsia="Times New Roman" w:hAnsi="Calibri" w:cs="Times New Roman"/>
                <w:b/>
                <w:bCs/>
                <w:color w:val="FFFFFF"/>
                <w:sz w:val="18"/>
                <w:szCs w:val="18"/>
              </w:rPr>
              <w:t xml:space="preserve">Nombre d'options </w:t>
            </w:r>
            <w:r w:rsidR="001A21CB" w:rsidRPr="00D11BDB">
              <w:rPr>
                <w:rFonts w:ascii="Calibri" w:eastAsia="Times New Roman" w:hAnsi="Calibri" w:cs="Times New Roman"/>
                <w:b/>
                <w:bCs/>
                <w:color w:val="FFFFFF"/>
                <w:sz w:val="18"/>
                <w:szCs w:val="18"/>
              </w:rPr>
              <w:t>attribuées</w:t>
            </w:r>
            <w:r w:rsidRPr="00D11BDB">
              <w:rPr>
                <w:rFonts w:ascii="Calibri" w:eastAsia="Times New Roman" w:hAnsi="Calibri" w:cs="Times New Roman"/>
                <w:b/>
                <w:bCs/>
                <w:color w:val="FFFFFF"/>
                <w:sz w:val="18"/>
                <w:szCs w:val="18"/>
              </w:rPr>
              <w:t xml:space="preserve"> durant l'exercice</w:t>
            </w:r>
          </w:p>
        </w:tc>
        <w:tc>
          <w:tcPr>
            <w:tcW w:w="1300" w:type="dxa"/>
            <w:tcBorders>
              <w:top w:val="nil"/>
              <w:left w:val="nil"/>
              <w:bottom w:val="single" w:sz="12" w:space="0" w:color="FFFFFF"/>
              <w:right w:val="single" w:sz="12" w:space="0" w:color="FFFFFF"/>
            </w:tcBorders>
            <w:shd w:val="clear" w:color="000000" w:fill="365F91"/>
            <w:vAlign w:val="center"/>
            <w:hideMark/>
          </w:tcPr>
          <w:p w14:paraId="6857C275" w14:textId="77777777" w:rsidR="00D11BDB" w:rsidRPr="00D11BDB" w:rsidRDefault="00D11BDB" w:rsidP="00D11BDB">
            <w:pPr>
              <w:jc w:val="center"/>
              <w:rPr>
                <w:rFonts w:ascii="Calibri" w:eastAsia="Times New Roman" w:hAnsi="Calibri" w:cs="Times New Roman"/>
                <w:b/>
                <w:bCs/>
                <w:color w:val="FFFFFF"/>
                <w:sz w:val="18"/>
                <w:szCs w:val="18"/>
              </w:rPr>
            </w:pPr>
            <w:r w:rsidRPr="00D11BDB">
              <w:rPr>
                <w:rFonts w:ascii="Calibri" w:eastAsia="Times New Roman" w:hAnsi="Calibri" w:cs="Times New Roman"/>
                <w:b/>
                <w:bCs/>
                <w:color w:val="FFFFFF"/>
                <w:sz w:val="18"/>
                <w:szCs w:val="18"/>
              </w:rPr>
              <w:t>Prix d'exercice</w:t>
            </w:r>
          </w:p>
        </w:tc>
        <w:tc>
          <w:tcPr>
            <w:tcW w:w="1300" w:type="dxa"/>
            <w:tcBorders>
              <w:top w:val="nil"/>
              <w:left w:val="nil"/>
              <w:bottom w:val="single" w:sz="12" w:space="0" w:color="FFFFFF"/>
              <w:right w:val="single" w:sz="12" w:space="0" w:color="FFFFFF"/>
            </w:tcBorders>
            <w:shd w:val="clear" w:color="000000" w:fill="365F91"/>
            <w:vAlign w:val="center"/>
            <w:hideMark/>
          </w:tcPr>
          <w:p w14:paraId="09CBE736" w14:textId="77777777" w:rsidR="00D11BDB" w:rsidRPr="00D11BDB" w:rsidRDefault="00D11BDB" w:rsidP="00D11BDB">
            <w:pPr>
              <w:jc w:val="center"/>
              <w:rPr>
                <w:rFonts w:ascii="Calibri" w:eastAsia="Times New Roman" w:hAnsi="Calibri" w:cs="Times New Roman"/>
                <w:b/>
                <w:bCs/>
                <w:color w:val="FFFFFF"/>
                <w:sz w:val="18"/>
                <w:szCs w:val="18"/>
              </w:rPr>
            </w:pPr>
            <w:r w:rsidRPr="00D11BDB">
              <w:rPr>
                <w:rFonts w:ascii="Calibri" w:eastAsia="Times New Roman" w:hAnsi="Calibri" w:cs="Times New Roman"/>
                <w:b/>
                <w:bCs/>
                <w:color w:val="FFFFFF"/>
                <w:sz w:val="18"/>
                <w:szCs w:val="18"/>
              </w:rPr>
              <w:t>Période d'exercice</w:t>
            </w:r>
          </w:p>
        </w:tc>
      </w:tr>
      <w:tr w:rsidR="00D11BDB" w:rsidRPr="00D11BDB" w14:paraId="18ED7CE4" w14:textId="77777777" w:rsidTr="00D11BDB">
        <w:trPr>
          <w:trHeight w:val="340"/>
        </w:trPr>
        <w:tc>
          <w:tcPr>
            <w:tcW w:w="2100" w:type="dxa"/>
            <w:tcBorders>
              <w:top w:val="nil"/>
              <w:left w:val="single" w:sz="12" w:space="0" w:color="FFFFFF"/>
              <w:bottom w:val="single" w:sz="12" w:space="0" w:color="FFFFFF"/>
              <w:right w:val="single" w:sz="12" w:space="0" w:color="FFFFFF"/>
            </w:tcBorders>
            <w:shd w:val="clear" w:color="000000" w:fill="DBE5F1"/>
            <w:vAlign w:val="center"/>
            <w:hideMark/>
          </w:tcPr>
          <w:p w14:paraId="1C1B801E" w14:textId="77777777" w:rsidR="00D11BDB" w:rsidRPr="00D11BDB" w:rsidRDefault="00D11BDB" w:rsidP="00D11BDB">
            <w:pPr>
              <w:rPr>
                <w:rFonts w:ascii="Calibri" w:eastAsia="Times New Roman" w:hAnsi="Calibri" w:cs="Times New Roman"/>
                <w:color w:val="000000"/>
                <w:sz w:val="18"/>
                <w:szCs w:val="18"/>
              </w:rPr>
            </w:pPr>
            <w:r w:rsidRPr="00D11BDB">
              <w:rPr>
                <w:rFonts w:ascii="Calibri" w:eastAsia="Times New Roman" w:hAnsi="Calibri" w:cs="Times New Roman"/>
                <w:color w:val="000000"/>
                <w:sz w:val="18"/>
                <w:szCs w:val="18"/>
              </w:rPr>
              <w:t>Stéphane Le Roux</w:t>
            </w:r>
          </w:p>
        </w:tc>
        <w:tc>
          <w:tcPr>
            <w:tcW w:w="1300" w:type="dxa"/>
            <w:tcBorders>
              <w:top w:val="nil"/>
              <w:left w:val="nil"/>
              <w:bottom w:val="single" w:sz="12" w:space="0" w:color="FFFFFF"/>
              <w:right w:val="single" w:sz="12" w:space="0" w:color="FFFFFF"/>
            </w:tcBorders>
            <w:shd w:val="clear" w:color="000000" w:fill="DBE5F1"/>
            <w:vAlign w:val="center"/>
            <w:hideMark/>
          </w:tcPr>
          <w:p w14:paraId="660EB6DE" w14:textId="77777777" w:rsidR="00D11BDB" w:rsidRPr="00343F64" w:rsidRDefault="00D11BDB" w:rsidP="00D11BDB">
            <w:pPr>
              <w:jc w:val="center"/>
              <w:rPr>
                <w:rFonts w:ascii="Calibri" w:eastAsia="Times New Roman" w:hAnsi="Calibri" w:cs="Times New Roman"/>
                <w:sz w:val="18"/>
                <w:szCs w:val="18"/>
              </w:rPr>
            </w:pPr>
            <w:r w:rsidRPr="00343F64">
              <w:rPr>
                <w:rFonts w:ascii="Calibri" w:eastAsia="Times New Roman" w:hAnsi="Calibri" w:cs="Times New Roman"/>
                <w:sz w:val="18"/>
                <w:szCs w:val="18"/>
              </w:rPr>
              <w:t>Non applicable</w:t>
            </w:r>
          </w:p>
        </w:tc>
        <w:tc>
          <w:tcPr>
            <w:tcW w:w="1300" w:type="dxa"/>
            <w:tcBorders>
              <w:top w:val="nil"/>
              <w:left w:val="nil"/>
              <w:bottom w:val="single" w:sz="12" w:space="0" w:color="FFFFFF"/>
              <w:right w:val="single" w:sz="12" w:space="0" w:color="FFFFFF"/>
            </w:tcBorders>
            <w:shd w:val="clear" w:color="000000" w:fill="DBE5F1"/>
            <w:vAlign w:val="center"/>
            <w:hideMark/>
          </w:tcPr>
          <w:p w14:paraId="5D8A56C9" w14:textId="77777777" w:rsidR="00D11BDB" w:rsidRPr="00343F64" w:rsidRDefault="00D11BDB" w:rsidP="00D11BDB">
            <w:pPr>
              <w:jc w:val="center"/>
              <w:rPr>
                <w:rFonts w:ascii="Calibri" w:eastAsia="Times New Roman" w:hAnsi="Calibri" w:cs="Times New Roman"/>
                <w:sz w:val="18"/>
                <w:szCs w:val="18"/>
              </w:rPr>
            </w:pPr>
            <w:r w:rsidRPr="00343F64">
              <w:rPr>
                <w:rFonts w:ascii="Calibri" w:eastAsia="Times New Roman" w:hAnsi="Calibri" w:cs="Times New Roman"/>
                <w:sz w:val="18"/>
                <w:szCs w:val="18"/>
              </w:rPr>
              <w:t>Non applicable</w:t>
            </w:r>
          </w:p>
        </w:tc>
        <w:tc>
          <w:tcPr>
            <w:tcW w:w="1300" w:type="dxa"/>
            <w:tcBorders>
              <w:top w:val="nil"/>
              <w:left w:val="nil"/>
              <w:bottom w:val="single" w:sz="12" w:space="0" w:color="FFFFFF"/>
              <w:right w:val="single" w:sz="12" w:space="0" w:color="FFFFFF"/>
            </w:tcBorders>
            <w:shd w:val="clear" w:color="000000" w:fill="DBE5F1"/>
            <w:vAlign w:val="center"/>
            <w:hideMark/>
          </w:tcPr>
          <w:p w14:paraId="1F304BB1" w14:textId="77777777" w:rsidR="00D11BDB" w:rsidRPr="00343F64" w:rsidRDefault="00D11BDB" w:rsidP="00D11BDB">
            <w:pPr>
              <w:jc w:val="center"/>
              <w:rPr>
                <w:rFonts w:ascii="Calibri" w:eastAsia="Times New Roman" w:hAnsi="Calibri" w:cs="Times New Roman"/>
                <w:sz w:val="18"/>
                <w:szCs w:val="18"/>
              </w:rPr>
            </w:pPr>
            <w:r w:rsidRPr="00343F64">
              <w:rPr>
                <w:rFonts w:ascii="Calibri" w:eastAsia="Times New Roman" w:hAnsi="Calibri" w:cs="Times New Roman"/>
                <w:sz w:val="18"/>
                <w:szCs w:val="18"/>
              </w:rPr>
              <w:t>Non applicable</w:t>
            </w:r>
          </w:p>
        </w:tc>
        <w:tc>
          <w:tcPr>
            <w:tcW w:w="1300" w:type="dxa"/>
            <w:tcBorders>
              <w:top w:val="nil"/>
              <w:left w:val="nil"/>
              <w:bottom w:val="single" w:sz="12" w:space="0" w:color="FFFFFF"/>
              <w:right w:val="single" w:sz="12" w:space="0" w:color="FFFFFF"/>
            </w:tcBorders>
            <w:shd w:val="clear" w:color="000000" w:fill="DBE5F1"/>
            <w:vAlign w:val="center"/>
            <w:hideMark/>
          </w:tcPr>
          <w:p w14:paraId="1AD483A5" w14:textId="77777777" w:rsidR="00D11BDB" w:rsidRPr="00343F64" w:rsidRDefault="00D11BDB" w:rsidP="00D11BDB">
            <w:pPr>
              <w:jc w:val="center"/>
              <w:rPr>
                <w:rFonts w:ascii="Calibri" w:eastAsia="Times New Roman" w:hAnsi="Calibri" w:cs="Times New Roman"/>
                <w:sz w:val="18"/>
                <w:szCs w:val="18"/>
              </w:rPr>
            </w:pPr>
            <w:r w:rsidRPr="00343F64">
              <w:rPr>
                <w:rFonts w:ascii="Calibri" w:eastAsia="Times New Roman" w:hAnsi="Calibri" w:cs="Times New Roman"/>
                <w:sz w:val="18"/>
                <w:szCs w:val="18"/>
              </w:rPr>
              <w:t>Non applicable</w:t>
            </w:r>
          </w:p>
        </w:tc>
        <w:tc>
          <w:tcPr>
            <w:tcW w:w="1300" w:type="dxa"/>
            <w:tcBorders>
              <w:top w:val="nil"/>
              <w:left w:val="nil"/>
              <w:bottom w:val="single" w:sz="12" w:space="0" w:color="FFFFFF"/>
              <w:right w:val="single" w:sz="12" w:space="0" w:color="FFFFFF"/>
            </w:tcBorders>
            <w:shd w:val="clear" w:color="000000" w:fill="DBE5F1"/>
            <w:vAlign w:val="center"/>
            <w:hideMark/>
          </w:tcPr>
          <w:p w14:paraId="65CB0936" w14:textId="77777777" w:rsidR="00D11BDB" w:rsidRPr="00343F64" w:rsidRDefault="00D11BDB" w:rsidP="00D11BDB">
            <w:pPr>
              <w:jc w:val="center"/>
              <w:rPr>
                <w:rFonts w:ascii="Calibri" w:eastAsia="Times New Roman" w:hAnsi="Calibri" w:cs="Times New Roman"/>
                <w:sz w:val="18"/>
                <w:szCs w:val="18"/>
              </w:rPr>
            </w:pPr>
            <w:r w:rsidRPr="00343F64">
              <w:rPr>
                <w:rFonts w:ascii="Calibri" w:eastAsia="Times New Roman" w:hAnsi="Calibri" w:cs="Times New Roman"/>
                <w:sz w:val="18"/>
                <w:szCs w:val="18"/>
              </w:rPr>
              <w:t>Non applicable</w:t>
            </w:r>
          </w:p>
        </w:tc>
        <w:tc>
          <w:tcPr>
            <w:tcW w:w="1300" w:type="dxa"/>
            <w:tcBorders>
              <w:top w:val="nil"/>
              <w:left w:val="nil"/>
              <w:bottom w:val="single" w:sz="12" w:space="0" w:color="FFFFFF"/>
              <w:right w:val="single" w:sz="12" w:space="0" w:color="FFFFFF"/>
            </w:tcBorders>
            <w:shd w:val="clear" w:color="000000" w:fill="DBE5F1"/>
            <w:vAlign w:val="center"/>
            <w:hideMark/>
          </w:tcPr>
          <w:p w14:paraId="392D4644" w14:textId="77777777" w:rsidR="00D11BDB" w:rsidRPr="00343F64" w:rsidRDefault="00D11BDB" w:rsidP="00D11BDB">
            <w:pPr>
              <w:jc w:val="center"/>
              <w:rPr>
                <w:rFonts w:ascii="Calibri" w:eastAsia="Times New Roman" w:hAnsi="Calibri" w:cs="Times New Roman"/>
                <w:sz w:val="18"/>
                <w:szCs w:val="18"/>
              </w:rPr>
            </w:pPr>
            <w:r w:rsidRPr="00343F64">
              <w:rPr>
                <w:rFonts w:ascii="Calibri" w:eastAsia="Times New Roman" w:hAnsi="Calibri" w:cs="Times New Roman"/>
                <w:sz w:val="18"/>
                <w:szCs w:val="18"/>
              </w:rPr>
              <w:t>Non applicable</w:t>
            </w:r>
          </w:p>
        </w:tc>
      </w:tr>
      <w:tr w:rsidR="00D11BDB" w:rsidRPr="00D11BDB" w14:paraId="569D1725" w14:textId="77777777" w:rsidTr="00D11BDB">
        <w:trPr>
          <w:trHeight w:val="340"/>
        </w:trPr>
        <w:tc>
          <w:tcPr>
            <w:tcW w:w="2100" w:type="dxa"/>
            <w:tcBorders>
              <w:top w:val="nil"/>
              <w:left w:val="single" w:sz="12" w:space="0" w:color="FFFFFF"/>
              <w:bottom w:val="single" w:sz="12" w:space="0" w:color="FFFFFF"/>
              <w:right w:val="single" w:sz="12" w:space="0" w:color="FFFFFF"/>
            </w:tcBorders>
            <w:shd w:val="clear" w:color="000000" w:fill="B8CCE4"/>
            <w:vAlign w:val="center"/>
            <w:hideMark/>
          </w:tcPr>
          <w:p w14:paraId="094AE37E" w14:textId="77777777" w:rsidR="00D11BDB" w:rsidRPr="00D11BDB" w:rsidRDefault="00D11BDB" w:rsidP="00D11BDB">
            <w:pPr>
              <w:rPr>
                <w:rFonts w:ascii="Calibri" w:eastAsia="Times New Roman" w:hAnsi="Calibri" w:cs="Times New Roman"/>
                <w:b/>
                <w:bCs/>
                <w:color w:val="000000"/>
                <w:sz w:val="18"/>
                <w:szCs w:val="18"/>
              </w:rPr>
            </w:pPr>
            <w:r w:rsidRPr="00D11BDB">
              <w:rPr>
                <w:rFonts w:ascii="Calibri" w:eastAsia="Times New Roman" w:hAnsi="Calibri" w:cs="Times New Roman"/>
                <w:b/>
                <w:bCs/>
                <w:color w:val="000000"/>
                <w:sz w:val="18"/>
                <w:szCs w:val="18"/>
              </w:rPr>
              <w:t xml:space="preserve">Total </w:t>
            </w:r>
          </w:p>
        </w:tc>
        <w:tc>
          <w:tcPr>
            <w:tcW w:w="1300" w:type="dxa"/>
            <w:tcBorders>
              <w:top w:val="nil"/>
              <w:left w:val="nil"/>
              <w:bottom w:val="single" w:sz="12" w:space="0" w:color="FFFFFF"/>
              <w:right w:val="single" w:sz="12" w:space="0" w:color="FFFFFF"/>
            </w:tcBorders>
            <w:shd w:val="clear" w:color="000000" w:fill="B8CCE4"/>
            <w:vAlign w:val="center"/>
            <w:hideMark/>
          </w:tcPr>
          <w:p w14:paraId="19061A1D" w14:textId="77777777" w:rsidR="00D11BDB" w:rsidRPr="00343F64" w:rsidRDefault="00D11BDB" w:rsidP="00D11BDB">
            <w:pPr>
              <w:jc w:val="center"/>
              <w:rPr>
                <w:rFonts w:ascii="Calibri" w:eastAsia="Times New Roman" w:hAnsi="Calibri" w:cs="Times New Roman"/>
                <w:b/>
                <w:bCs/>
                <w:sz w:val="18"/>
                <w:szCs w:val="18"/>
              </w:rPr>
            </w:pPr>
            <w:r w:rsidRPr="00343F64">
              <w:rPr>
                <w:rFonts w:ascii="Calibri" w:eastAsia="Times New Roman" w:hAnsi="Calibri" w:cs="Times New Roman"/>
                <w:b/>
                <w:bCs/>
                <w:sz w:val="18"/>
                <w:szCs w:val="18"/>
              </w:rPr>
              <w:t>Non applicable</w:t>
            </w:r>
          </w:p>
        </w:tc>
        <w:tc>
          <w:tcPr>
            <w:tcW w:w="1300" w:type="dxa"/>
            <w:tcBorders>
              <w:top w:val="nil"/>
              <w:left w:val="nil"/>
              <w:bottom w:val="single" w:sz="12" w:space="0" w:color="FFFFFF"/>
              <w:right w:val="single" w:sz="12" w:space="0" w:color="FFFFFF"/>
            </w:tcBorders>
            <w:shd w:val="clear" w:color="000000" w:fill="B8CCE4"/>
            <w:vAlign w:val="center"/>
            <w:hideMark/>
          </w:tcPr>
          <w:p w14:paraId="1A248D00" w14:textId="77777777" w:rsidR="00D11BDB" w:rsidRPr="00343F64" w:rsidRDefault="00D11BDB" w:rsidP="00D11BDB">
            <w:pPr>
              <w:jc w:val="center"/>
              <w:rPr>
                <w:rFonts w:ascii="Calibri" w:eastAsia="Times New Roman" w:hAnsi="Calibri" w:cs="Times New Roman"/>
                <w:b/>
                <w:bCs/>
                <w:sz w:val="18"/>
                <w:szCs w:val="18"/>
              </w:rPr>
            </w:pPr>
            <w:r w:rsidRPr="00343F64">
              <w:rPr>
                <w:rFonts w:ascii="Calibri" w:eastAsia="Times New Roman" w:hAnsi="Calibri" w:cs="Times New Roman"/>
                <w:b/>
                <w:bCs/>
                <w:sz w:val="18"/>
                <w:szCs w:val="18"/>
              </w:rPr>
              <w:t>Non applicable</w:t>
            </w:r>
          </w:p>
        </w:tc>
        <w:tc>
          <w:tcPr>
            <w:tcW w:w="1300" w:type="dxa"/>
            <w:tcBorders>
              <w:top w:val="nil"/>
              <w:left w:val="nil"/>
              <w:bottom w:val="single" w:sz="12" w:space="0" w:color="FFFFFF"/>
              <w:right w:val="single" w:sz="12" w:space="0" w:color="FFFFFF"/>
            </w:tcBorders>
            <w:shd w:val="clear" w:color="000000" w:fill="B8CCE4"/>
            <w:vAlign w:val="center"/>
            <w:hideMark/>
          </w:tcPr>
          <w:p w14:paraId="0741F0E6" w14:textId="77777777" w:rsidR="00D11BDB" w:rsidRPr="00343F64" w:rsidRDefault="00D11BDB" w:rsidP="00D11BDB">
            <w:pPr>
              <w:jc w:val="center"/>
              <w:rPr>
                <w:rFonts w:ascii="Calibri" w:eastAsia="Times New Roman" w:hAnsi="Calibri" w:cs="Times New Roman"/>
                <w:b/>
                <w:bCs/>
                <w:sz w:val="18"/>
                <w:szCs w:val="18"/>
              </w:rPr>
            </w:pPr>
            <w:r w:rsidRPr="00343F64">
              <w:rPr>
                <w:rFonts w:ascii="Calibri" w:eastAsia="Times New Roman" w:hAnsi="Calibri" w:cs="Times New Roman"/>
                <w:b/>
                <w:bCs/>
                <w:sz w:val="18"/>
                <w:szCs w:val="18"/>
              </w:rPr>
              <w:t>Non applicable</w:t>
            </w:r>
          </w:p>
        </w:tc>
        <w:tc>
          <w:tcPr>
            <w:tcW w:w="1300" w:type="dxa"/>
            <w:tcBorders>
              <w:top w:val="nil"/>
              <w:left w:val="nil"/>
              <w:bottom w:val="single" w:sz="12" w:space="0" w:color="FFFFFF"/>
              <w:right w:val="single" w:sz="12" w:space="0" w:color="FFFFFF"/>
            </w:tcBorders>
            <w:shd w:val="clear" w:color="000000" w:fill="B8CCE4"/>
            <w:vAlign w:val="center"/>
            <w:hideMark/>
          </w:tcPr>
          <w:p w14:paraId="07C36E5E" w14:textId="77777777" w:rsidR="00D11BDB" w:rsidRPr="00343F64" w:rsidRDefault="00D11BDB" w:rsidP="00D11BDB">
            <w:pPr>
              <w:jc w:val="center"/>
              <w:rPr>
                <w:rFonts w:ascii="Calibri" w:eastAsia="Times New Roman" w:hAnsi="Calibri" w:cs="Times New Roman"/>
                <w:b/>
                <w:bCs/>
                <w:sz w:val="18"/>
                <w:szCs w:val="18"/>
              </w:rPr>
            </w:pPr>
            <w:r w:rsidRPr="00343F64">
              <w:rPr>
                <w:rFonts w:ascii="Calibri" w:eastAsia="Times New Roman" w:hAnsi="Calibri" w:cs="Times New Roman"/>
                <w:b/>
                <w:bCs/>
                <w:sz w:val="18"/>
                <w:szCs w:val="18"/>
              </w:rPr>
              <w:t>Non applicable</w:t>
            </w:r>
          </w:p>
        </w:tc>
        <w:tc>
          <w:tcPr>
            <w:tcW w:w="1300" w:type="dxa"/>
            <w:tcBorders>
              <w:top w:val="nil"/>
              <w:left w:val="nil"/>
              <w:bottom w:val="single" w:sz="12" w:space="0" w:color="FFFFFF"/>
              <w:right w:val="single" w:sz="12" w:space="0" w:color="FFFFFF"/>
            </w:tcBorders>
            <w:shd w:val="clear" w:color="000000" w:fill="B8CCE4"/>
            <w:vAlign w:val="center"/>
            <w:hideMark/>
          </w:tcPr>
          <w:p w14:paraId="6F6DB236" w14:textId="77777777" w:rsidR="00D11BDB" w:rsidRPr="00343F64" w:rsidRDefault="00D11BDB" w:rsidP="00D11BDB">
            <w:pPr>
              <w:jc w:val="center"/>
              <w:rPr>
                <w:rFonts w:ascii="Calibri" w:eastAsia="Times New Roman" w:hAnsi="Calibri" w:cs="Times New Roman"/>
                <w:b/>
                <w:bCs/>
                <w:sz w:val="18"/>
                <w:szCs w:val="18"/>
              </w:rPr>
            </w:pPr>
            <w:r w:rsidRPr="00343F64">
              <w:rPr>
                <w:rFonts w:ascii="Calibri" w:eastAsia="Times New Roman" w:hAnsi="Calibri" w:cs="Times New Roman"/>
                <w:b/>
                <w:bCs/>
                <w:sz w:val="18"/>
                <w:szCs w:val="18"/>
              </w:rPr>
              <w:t>Non applicable</w:t>
            </w:r>
          </w:p>
        </w:tc>
        <w:tc>
          <w:tcPr>
            <w:tcW w:w="1300" w:type="dxa"/>
            <w:tcBorders>
              <w:top w:val="nil"/>
              <w:left w:val="nil"/>
              <w:bottom w:val="single" w:sz="12" w:space="0" w:color="FFFFFF"/>
              <w:right w:val="single" w:sz="12" w:space="0" w:color="FFFFFF"/>
            </w:tcBorders>
            <w:shd w:val="clear" w:color="000000" w:fill="B8CCE4"/>
            <w:vAlign w:val="center"/>
            <w:hideMark/>
          </w:tcPr>
          <w:p w14:paraId="5E5AA5F2" w14:textId="77777777" w:rsidR="00D11BDB" w:rsidRPr="00343F64" w:rsidRDefault="00D11BDB" w:rsidP="00D11BDB">
            <w:pPr>
              <w:jc w:val="center"/>
              <w:rPr>
                <w:rFonts w:ascii="Calibri" w:eastAsia="Times New Roman" w:hAnsi="Calibri" w:cs="Times New Roman"/>
                <w:b/>
                <w:bCs/>
                <w:sz w:val="18"/>
                <w:szCs w:val="18"/>
              </w:rPr>
            </w:pPr>
            <w:r w:rsidRPr="00343F64">
              <w:rPr>
                <w:rFonts w:ascii="Calibri" w:eastAsia="Times New Roman" w:hAnsi="Calibri" w:cs="Times New Roman"/>
                <w:b/>
                <w:bCs/>
                <w:sz w:val="18"/>
                <w:szCs w:val="18"/>
              </w:rPr>
              <w:t>Non applicable</w:t>
            </w:r>
          </w:p>
        </w:tc>
      </w:tr>
    </w:tbl>
    <w:p w14:paraId="583D4432" w14:textId="77777777" w:rsidR="001C336B" w:rsidRDefault="001C336B" w:rsidP="001C336B">
      <w:pPr>
        <w:rPr>
          <w:b/>
        </w:rPr>
      </w:pPr>
    </w:p>
    <w:p w14:paraId="699F2846" w14:textId="77777777" w:rsidR="006F091C" w:rsidRDefault="006F091C" w:rsidP="001C336B">
      <w:pPr>
        <w:rPr>
          <w:b/>
        </w:rPr>
      </w:pPr>
    </w:p>
    <w:p w14:paraId="356D986F" w14:textId="1EA798F0" w:rsidR="001C336B" w:rsidRDefault="5F1F329D" w:rsidP="5F1F329D">
      <w:pPr>
        <w:rPr>
          <w:b/>
          <w:bCs/>
        </w:rPr>
      </w:pPr>
      <w:r w:rsidRPr="5F1F329D">
        <w:rPr>
          <w:b/>
          <w:bCs/>
        </w:rPr>
        <w:lastRenderedPageBreak/>
        <w:t>Tableau n°5 :</w:t>
      </w:r>
    </w:p>
    <w:p w14:paraId="31FF9476" w14:textId="77777777" w:rsidR="006F091C" w:rsidRDefault="006F091C" w:rsidP="001C336B">
      <w:pPr>
        <w:rPr>
          <w:b/>
        </w:rPr>
      </w:pPr>
    </w:p>
    <w:tbl>
      <w:tblPr>
        <w:tblW w:w="9900" w:type="dxa"/>
        <w:tblInd w:w="55" w:type="dxa"/>
        <w:tblCellMar>
          <w:left w:w="70" w:type="dxa"/>
          <w:right w:w="70" w:type="dxa"/>
        </w:tblCellMar>
        <w:tblLook w:val="04A0" w:firstRow="1" w:lastRow="0" w:firstColumn="1" w:lastColumn="0" w:noHBand="0" w:noVBand="1"/>
      </w:tblPr>
      <w:tblGrid>
        <w:gridCol w:w="2100"/>
        <w:gridCol w:w="2600"/>
        <w:gridCol w:w="2600"/>
        <w:gridCol w:w="2600"/>
      </w:tblGrid>
      <w:tr w:rsidR="001F374E" w:rsidRPr="001F374E" w14:paraId="38F456BF" w14:textId="77777777" w:rsidTr="001F374E">
        <w:trPr>
          <w:trHeight w:val="600"/>
        </w:trPr>
        <w:tc>
          <w:tcPr>
            <w:tcW w:w="9900" w:type="dxa"/>
            <w:gridSpan w:val="4"/>
            <w:tcBorders>
              <w:top w:val="nil"/>
              <w:left w:val="single" w:sz="12" w:space="0" w:color="FFFFFF"/>
              <w:bottom w:val="single" w:sz="12" w:space="0" w:color="FFFFFF"/>
              <w:right w:val="nil"/>
            </w:tcBorders>
            <w:shd w:val="clear" w:color="000000" w:fill="365F91"/>
            <w:vAlign w:val="center"/>
            <w:hideMark/>
          </w:tcPr>
          <w:p w14:paraId="414CC37D" w14:textId="571E6A8D" w:rsidR="001F374E" w:rsidRPr="001F374E" w:rsidRDefault="001F374E" w:rsidP="001F374E">
            <w:pPr>
              <w:jc w:val="center"/>
              <w:rPr>
                <w:rFonts w:ascii="Calibri" w:eastAsia="Times New Roman" w:hAnsi="Calibri" w:cs="Times New Roman"/>
                <w:b/>
                <w:bCs/>
                <w:color w:val="FFFFFF"/>
                <w:sz w:val="18"/>
                <w:szCs w:val="18"/>
              </w:rPr>
            </w:pPr>
            <w:r w:rsidRPr="001F374E">
              <w:rPr>
                <w:rFonts w:ascii="Calibri" w:eastAsia="Times New Roman" w:hAnsi="Calibri" w:cs="Times New Roman"/>
                <w:b/>
                <w:bCs/>
                <w:color w:val="FFFFFF"/>
                <w:sz w:val="18"/>
                <w:szCs w:val="18"/>
              </w:rPr>
              <w:t>Options de souscription</w:t>
            </w:r>
            <w:r>
              <w:rPr>
                <w:rFonts w:ascii="Calibri" w:eastAsia="Times New Roman" w:hAnsi="Calibri" w:cs="Times New Roman"/>
                <w:b/>
                <w:bCs/>
                <w:color w:val="FFFFFF"/>
                <w:sz w:val="18"/>
                <w:szCs w:val="18"/>
              </w:rPr>
              <w:t xml:space="preserve"> </w:t>
            </w:r>
            <w:r w:rsidR="00DA1AB4">
              <w:rPr>
                <w:rFonts w:ascii="Calibri" w:eastAsia="Times New Roman" w:hAnsi="Calibri" w:cs="Times New Roman"/>
                <w:b/>
                <w:bCs/>
                <w:color w:val="FFFFFF"/>
                <w:sz w:val="18"/>
                <w:szCs w:val="18"/>
              </w:rPr>
              <w:t xml:space="preserve">ou </w:t>
            </w:r>
            <w:r w:rsidRPr="001F374E">
              <w:rPr>
                <w:rFonts w:ascii="Calibri" w:eastAsia="Times New Roman" w:hAnsi="Calibri" w:cs="Times New Roman"/>
                <w:b/>
                <w:bCs/>
                <w:color w:val="FFFFFF"/>
                <w:sz w:val="18"/>
                <w:szCs w:val="18"/>
              </w:rPr>
              <w:t>d'achat d'actions levées durant l'exercice à chaque dirigeant mandataire social</w:t>
            </w:r>
          </w:p>
        </w:tc>
      </w:tr>
      <w:tr w:rsidR="001F374E" w:rsidRPr="001F374E" w14:paraId="361EE190" w14:textId="77777777" w:rsidTr="001F374E">
        <w:trPr>
          <w:trHeight w:val="500"/>
        </w:trPr>
        <w:tc>
          <w:tcPr>
            <w:tcW w:w="2100" w:type="dxa"/>
            <w:tcBorders>
              <w:top w:val="nil"/>
              <w:left w:val="single" w:sz="12" w:space="0" w:color="FFFFFF"/>
              <w:bottom w:val="nil"/>
              <w:right w:val="single" w:sz="12" w:space="0" w:color="FFFFFF"/>
            </w:tcBorders>
            <w:shd w:val="clear" w:color="000000" w:fill="365F91"/>
            <w:vAlign w:val="center"/>
            <w:hideMark/>
          </w:tcPr>
          <w:p w14:paraId="10B0B581" w14:textId="77777777" w:rsidR="001F374E" w:rsidRPr="001F374E" w:rsidRDefault="001F374E" w:rsidP="001F374E">
            <w:pPr>
              <w:jc w:val="center"/>
              <w:rPr>
                <w:rFonts w:ascii="Calibri" w:eastAsia="Times New Roman" w:hAnsi="Calibri" w:cs="Times New Roman"/>
                <w:b/>
                <w:bCs/>
                <w:color w:val="FFFFFF"/>
                <w:sz w:val="18"/>
                <w:szCs w:val="18"/>
              </w:rPr>
            </w:pPr>
            <w:r w:rsidRPr="001F374E">
              <w:rPr>
                <w:rFonts w:ascii="Calibri" w:eastAsia="Times New Roman" w:hAnsi="Calibri" w:cs="Times New Roman"/>
                <w:b/>
                <w:bCs/>
                <w:color w:val="FFFFFF"/>
                <w:sz w:val="18"/>
                <w:szCs w:val="18"/>
              </w:rPr>
              <w:t>Nom du dirigeant mandataire social</w:t>
            </w:r>
          </w:p>
        </w:tc>
        <w:tc>
          <w:tcPr>
            <w:tcW w:w="2600" w:type="dxa"/>
            <w:tcBorders>
              <w:top w:val="single" w:sz="12" w:space="0" w:color="FFFFFF"/>
              <w:left w:val="nil"/>
              <w:bottom w:val="nil"/>
              <w:right w:val="single" w:sz="12" w:space="0" w:color="FFFFFF"/>
            </w:tcBorders>
            <w:shd w:val="clear" w:color="000000" w:fill="365F91"/>
            <w:vAlign w:val="center"/>
            <w:hideMark/>
          </w:tcPr>
          <w:p w14:paraId="662FE0B7" w14:textId="77777777" w:rsidR="001F374E" w:rsidRPr="001F374E" w:rsidRDefault="001F374E" w:rsidP="001F374E">
            <w:pPr>
              <w:jc w:val="center"/>
              <w:rPr>
                <w:rFonts w:ascii="Calibri" w:eastAsia="Times New Roman" w:hAnsi="Calibri" w:cs="Times New Roman"/>
                <w:b/>
                <w:bCs/>
                <w:color w:val="FFFFFF"/>
                <w:sz w:val="18"/>
                <w:szCs w:val="18"/>
              </w:rPr>
            </w:pPr>
            <w:r w:rsidRPr="001F374E">
              <w:rPr>
                <w:rFonts w:ascii="Calibri" w:eastAsia="Times New Roman" w:hAnsi="Calibri" w:cs="Times New Roman"/>
                <w:b/>
                <w:bCs/>
                <w:color w:val="FFFFFF"/>
                <w:sz w:val="18"/>
                <w:szCs w:val="18"/>
              </w:rPr>
              <w:t>N° et date du plan</w:t>
            </w:r>
          </w:p>
        </w:tc>
        <w:tc>
          <w:tcPr>
            <w:tcW w:w="2600" w:type="dxa"/>
            <w:tcBorders>
              <w:top w:val="single" w:sz="12" w:space="0" w:color="FFFFFF"/>
              <w:left w:val="nil"/>
              <w:bottom w:val="nil"/>
              <w:right w:val="single" w:sz="12" w:space="0" w:color="FFFFFF"/>
            </w:tcBorders>
            <w:shd w:val="clear" w:color="000000" w:fill="365F91"/>
            <w:vAlign w:val="center"/>
            <w:hideMark/>
          </w:tcPr>
          <w:p w14:paraId="55CCB7ED" w14:textId="77777777" w:rsidR="001F374E" w:rsidRPr="001F374E" w:rsidRDefault="001F374E" w:rsidP="001F374E">
            <w:pPr>
              <w:jc w:val="center"/>
              <w:rPr>
                <w:rFonts w:ascii="Calibri" w:eastAsia="Times New Roman" w:hAnsi="Calibri" w:cs="Times New Roman"/>
                <w:b/>
                <w:bCs/>
                <w:color w:val="FFFFFF"/>
                <w:sz w:val="18"/>
                <w:szCs w:val="18"/>
              </w:rPr>
            </w:pPr>
            <w:r w:rsidRPr="001F374E">
              <w:rPr>
                <w:rFonts w:ascii="Calibri" w:eastAsia="Times New Roman" w:hAnsi="Calibri" w:cs="Times New Roman"/>
                <w:b/>
                <w:bCs/>
                <w:color w:val="FFFFFF"/>
                <w:sz w:val="18"/>
                <w:szCs w:val="18"/>
              </w:rPr>
              <w:t>Nombre d'options levées durant l'exercice</w:t>
            </w:r>
          </w:p>
        </w:tc>
        <w:tc>
          <w:tcPr>
            <w:tcW w:w="2600" w:type="dxa"/>
            <w:tcBorders>
              <w:top w:val="single" w:sz="12" w:space="0" w:color="FFFFFF"/>
              <w:left w:val="nil"/>
              <w:bottom w:val="nil"/>
              <w:right w:val="single" w:sz="12" w:space="0" w:color="FFFFFF"/>
            </w:tcBorders>
            <w:shd w:val="clear" w:color="000000" w:fill="365F91"/>
            <w:vAlign w:val="center"/>
            <w:hideMark/>
          </w:tcPr>
          <w:p w14:paraId="29B8EB12" w14:textId="77777777" w:rsidR="001F374E" w:rsidRPr="001F374E" w:rsidRDefault="001F374E" w:rsidP="001F374E">
            <w:pPr>
              <w:jc w:val="center"/>
              <w:rPr>
                <w:rFonts w:ascii="Calibri" w:eastAsia="Times New Roman" w:hAnsi="Calibri" w:cs="Times New Roman"/>
                <w:b/>
                <w:bCs/>
                <w:color w:val="FFFFFF"/>
                <w:sz w:val="18"/>
                <w:szCs w:val="18"/>
              </w:rPr>
            </w:pPr>
            <w:r w:rsidRPr="001F374E">
              <w:rPr>
                <w:rFonts w:ascii="Calibri" w:eastAsia="Times New Roman" w:hAnsi="Calibri" w:cs="Times New Roman"/>
                <w:b/>
                <w:bCs/>
                <w:color w:val="FFFFFF"/>
                <w:sz w:val="18"/>
                <w:szCs w:val="18"/>
              </w:rPr>
              <w:t>Prix d'exercice</w:t>
            </w:r>
          </w:p>
        </w:tc>
      </w:tr>
      <w:tr w:rsidR="001F374E" w:rsidRPr="00343F64" w14:paraId="3D70DD10" w14:textId="77777777" w:rsidTr="001F374E">
        <w:trPr>
          <w:trHeight w:val="320"/>
        </w:trPr>
        <w:tc>
          <w:tcPr>
            <w:tcW w:w="2100" w:type="dxa"/>
            <w:tcBorders>
              <w:top w:val="nil"/>
              <w:left w:val="single" w:sz="12" w:space="0" w:color="FFFFFF"/>
              <w:bottom w:val="single" w:sz="12" w:space="0" w:color="FFFFFF"/>
              <w:right w:val="single" w:sz="12" w:space="0" w:color="FFFFFF"/>
            </w:tcBorders>
            <w:shd w:val="clear" w:color="000000" w:fill="DBE5F1"/>
            <w:vAlign w:val="center"/>
            <w:hideMark/>
          </w:tcPr>
          <w:p w14:paraId="59C02ADA" w14:textId="77777777" w:rsidR="001F374E" w:rsidRPr="00343F64" w:rsidRDefault="001F374E" w:rsidP="001F374E">
            <w:pPr>
              <w:rPr>
                <w:rFonts w:ascii="Calibri" w:eastAsia="Times New Roman" w:hAnsi="Calibri" w:cs="Times New Roman"/>
                <w:sz w:val="18"/>
                <w:szCs w:val="18"/>
              </w:rPr>
            </w:pPr>
            <w:r w:rsidRPr="00343F64">
              <w:rPr>
                <w:rFonts w:ascii="Calibri" w:eastAsia="Times New Roman" w:hAnsi="Calibri" w:cs="Times New Roman"/>
                <w:sz w:val="18"/>
                <w:szCs w:val="18"/>
              </w:rPr>
              <w:t>Stéphane Le Roux</w:t>
            </w:r>
          </w:p>
        </w:tc>
        <w:tc>
          <w:tcPr>
            <w:tcW w:w="2600" w:type="dxa"/>
            <w:tcBorders>
              <w:top w:val="nil"/>
              <w:left w:val="nil"/>
              <w:bottom w:val="single" w:sz="12" w:space="0" w:color="FFFFFF"/>
              <w:right w:val="single" w:sz="12" w:space="0" w:color="FFFFFF"/>
            </w:tcBorders>
            <w:shd w:val="clear" w:color="000000" w:fill="DBE5F1"/>
            <w:vAlign w:val="center"/>
            <w:hideMark/>
          </w:tcPr>
          <w:p w14:paraId="3C38C95C" w14:textId="77777777" w:rsidR="001F374E" w:rsidRPr="00343F64" w:rsidRDefault="001F374E" w:rsidP="001F374E">
            <w:pPr>
              <w:jc w:val="center"/>
              <w:rPr>
                <w:rFonts w:ascii="Calibri" w:eastAsia="Times New Roman" w:hAnsi="Calibri" w:cs="Times New Roman"/>
                <w:sz w:val="18"/>
                <w:szCs w:val="18"/>
              </w:rPr>
            </w:pPr>
            <w:r w:rsidRPr="00343F64">
              <w:rPr>
                <w:rFonts w:ascii="Calibri" w:eastAsia="Times New Roman" w:hAnsi="Calibri" w:cs="Times New Roman"/>
                <w:sz w:val="18"/>
                <w:szCs w:val="18"/>
              </w:rPr>
              <w:t>Non applicable</w:t>
            </w:r>
          </w:p>
        </w:tc>
        <w:tc>
          <w:tcPr>
            <w:tcW w:w="2600" w:type="dxa"/>
            <w:tcBorders>
              <w:top w:val="nil"/>
              <w:left w:val="nil"/>
              <w:bottom w:val="single" w:sz="12" w:space="0" w:color="FFFFFF"/>
              <w:right w:val="single" w:sz="12" w:space="0" w:color="FFFFFF"/>
            </w:tcBorders>
            <w:shd w:val="clear" w:color="000000" w:fill="DBE5F1"/>
            <w:vAlign w:val="center"/>
            <w:hideMark/>
          </w:tcPr>
          <w:p w14:paraId="699191EE" w14:textId="77777777" w:rsidR="001F374E" w:rsidRPr="00343F64" w:rsidRDefault="001F374E" w:rsidP="001F374E">
            <w:pPr>
              <w:jc w:val="center"/>
              <w:rPr>
                <w:rFonts w:ascii="Calibri" w:eastAsia="Times New Roman" w:hAnsi="Calibri" w:cs="Times New Roman"/>
                <w:sz w:val="18"/>
                <w:szCs w:val="18"/>
              </w:rPr>
            </w:pPr>
            <w:r w:rsidRPr="00343F64">
              <w:rPr>
                <w:rFonts w:ascii="Calibri" w:eastAsia="Times New Roman" w:hAnsi="Calibri" w:cs="Times New Roman"/>
                <w:sz w:val="18"/>
                <w:szCs w:val="18"/>
              </w:rPr>
              <w:t>Non applicable</w:t>
            </w:r>
          </w:p>
        </w:tc>
        <w:tc>
          <w:tcPr>
            <w:tcW w:w="2600" w:type="dxa"/>
            <w:tcBorders>
              <w:top w:val="nil"/>
              <w:left w:val="nil"/>
              <w:bottom w:val="single" w:sz="12" w:space="0" w:color="FFFFFF"/>
              <w:right w:val="single" w:sz="12" w:space="0" w:color="FFFFFF"/>
            </w:tcBorders>
            <w:shd w:val="clear" w:color="000000" w:fill="DBE5F1"/>
            <w:vAlign w:val="center"/>
            <w:hideMark/>
          </w:tcPr>
          <w:p w14:paraId="10984A8E" w14:textId="77777777" w:rsidR="001F374E" w:rsidRPr="00343F64" w:rsidRDefault="001F374E" w:rsidP="001F374E">
            <w:pPr>
              <w:jc w:val="center"/>
              <w:rPr>
                <w:rFonts w:ascii="Calibri" w:eastAsia="Times New Roman" w:hAnsi="Calibri" w:cs="Times New Roman"/>
                <w:sz w:val="18"/>
                <w:szCs w:val="18"/>
              </w:rPr>
            </w:pPr>
            <w:r w:rsidRPr="00343F64">
              <w:rPr>
                <w:rFonts w:ascii="Calibri" w:eastAsia="Times New Roman" w:hAnsi="Calibri" w:cs="Times New Roman"/>
                <w:sz w:val="18"/>
                <w:szCs w:val="18"/>
              </w:rPr>
              <w:t>Non applicable</w:t>
            </w:r>
          </w:p>
        </w:tc>
      </w:tr>
      <w:tr w:rsidR="001F374E" w:rsidRPr="00343F64" w14:paraId="54D6E07E" w14:textId="77777777" w:rsidTr="001F374E">
        <w:trPr>
          <w:trHeight w:val="340"/>
        </w:trPr>
        <w:tc>
          <w:tcPr>
            <w:tcW w:w="2100" w:type="dxa"/>
            <w:tcBorders>
              <w:top w:val="nil"/>
              <w:left w:val="single" w:sz="12" w:space="0" w:color="FFFFFF"/>
              <w:bottom w:val="single" w:sz="12" w:space="0" w:color="FFFFFF"/>
              <w:right w:val="single" w:sz="12" w:space="0" w:color="FFFFFF"/>
            </w:tcBorders>
            <w:shd w:val="clear" w:color="000000" w:fill="B8CCE4"/>
            <w:vAlign w:val="center"/>
            <w:hideMark/>
          </w:tcPr>
          <w:p w14:paraId="78C59ECE" w14:textId="77777777" w:rsidR="001F374E" w:rsidRPr="00343F64" w:rsidRDefault="001F374E" w:rsidP="001F374E">
            <w:pPr>
              <w:rPr>
                <w:rFonts w:ascii="Calibri" w:eastAsia="Times New Roman" w:hAnsi="Calibri" w:cs="Times New Roman"/>
                <w:b/>
                <w:bCs/>
                <w:sz w:val="18"/>
                <w:szCs w:val="18"/>
              </w:rPr>
            </w:pPr>
            <w:r w:rsidRPr="00343F64">
              <w:rPr>
                <w:rFonts w:ascii="Calibri" w:eastAsia="Times New Roman" w:hAnsi="Calibri" w:cs="Times New Roman"/>
                <w:b/>
                <w:bCs/>
                <w:sz w:val="18"/>
                <w:szCs w:val="18"/>
              </w:rPr>
              <w:t xml:space="preserve">Total </w:t>
            </w:r>
          </w:p>
        </w:tc>
        <w:tc>
          <w:tcPr>
            <w:tcW w:w="2600" w:type="dxa"/>
            <w:tcBorders>
              <w:top w:val="single" w:sz="12" w:space="0" w:color="FFFFFF"/>
              <w:left w:val="nil"/>
              <w:bottom w:val="single" w:sz="12" w:space="0" w:color="FFFFFF"/>
              <w:right w:val="single" w:sz="12" w:space="0" w:color="FFFFFF"/>
            </w:tcBorders>
            <w:shd w:val="clear" w:color="000000" w:fill="B8CCE4"/>
            <w:vAlign w:val="center"/>
            <w:hideMark/>
          </w:tcPr>
          <w:p w14:paraId="506A3FCB" w14:textId="77777777" w:rsidR="001F374E" w:rsidRPr="00343F64" w:rsidRDefault="001F374E" w:rsidP="001F374E">
            <w:pPr>
              <w:jc w:val="center"/>
              <w:rPr>
                <w:rFonts w:ascii="Calibri" w:eastAsia="Times New Roman" w:hAnsi="Calibri" w:cs="Times New Roman"/>
                <w:b/>
                <w:bCs/>
                <w:sz w:val="18"/>
                <w:szCs w:val="18"/>
              </w:rPr>
            </w:pPr>
            <w:r w:rsidRPr="00343F64">
              <w:rPr>
                <w:rFonts w:ascii="Calibri" w:eastAsia="Times New Roman" w:hAnsi="Calibri" w:cs="Times New Roman"/>
                <w:b/>
                <w:bCs/>
                <w:sz w:val="18"/>
                <w:szCs w:val="18"/>
              </w:rPr>
              <w:t>Non applicable</w:t>
            </w:r>
          </w:p>
        </w:tc>
        <w:tc>
          <w:tcPr>
            <w:tcW w:w="2600" w:type="dxa"/>
            <w:tcBorders>
              <w:top w:val="single" w:sz="12" w:space="0" w:color="FFFFFF"/>
              <w:left w:val="nil"/>
              <w:bottom w:val="single" w:sz="12" w:space="0" w:color="FFFFFF"/>
              <w:right w:val="single" w:sz="12" w:space="0" w:color="FFFFFF"/>
            </w:tcBorders>
            <w:shd w:val="clear" w:color="000000" w:fill="B8CCE4"/>
            <w:vAlign w:val="center"/>
            <w:hideMark/>
          </w:tcPr>
          <w:p w14:paraId="171E2B6F" w14:textId="77777777" w:rsidR="001F374E" w:rsidRPr="00343F64" w:rsidRDefault="001F374E" w:rsidP="001F374E">
            <w:pPr>
              <w:jc w:val="center"/>
              <w:rPr>
                <w:rFonts w:ascii="Calibri" w:eastAsia="Times New Roman" w:hAnsi="Calibri" w:cs="Times New Roman"/>
                <w:b/>
                <w:bCs/>
                <w:sz w:val="18"/>
                <w:szCs w:val="18"/>
              </w:rPr>
            </w:pPr>
            <w:r w:rsidRPr="00343F64">
              <w:rPr>
                <w:rFonts w:ascii="Calibri" w:eastAsia="Times New Roman" w:hAnsi="Calibri" w:cs="Times New Roman"/>
                <w:b/>
                <w:bCs/>
                <w:sz w:val="18"/>
                <w:szCs w:val="18"/>
              </w:rPr>
              <w:t>Non applicable</w:t>
            </w:r>
          </w:p>
        </w:tc>
        <w:tc>
          <w:tcPr>
            <w:tcW w:w="2600" w:type="dxa"/>
            <w:tcBorders>
              <w:top w:val="single" w:sz="12" w:space="0" w:color="FFFFFF"/>
              <w:left w:val="nil"/>
              <w:bottom w:val="single" w:sz="12" w:space="0" w:color="FFFFFF"/>
              <w:right w:val="single" w:sz="12" w:space="0" w:color="FFFFFF"/>
            </w:tcBorders>
            <w:shd w:val="clear" w:color="000000" w:fill="B8CCE4"/>
            <w:vAlign w:val="center"/>
            <w:hideMark/>
          </w:tcPr>
          <w:p w14:paraId="7B750F3F" w14:textId="77777777" w:rsidR="001F374E" w:rsidRPr="00343F64" w:rsidRDefault="001F374E" w:rsidP="001F374E">
            <w:pPr>
              <w:jc w:val="center"/>
              <w:rPr>
                <w:rFonts w:ascii="Calibri" w:eastAsia="Times New Roman" w:hAnsi="Calibri" w:cs="Times New Roman"/>
                <w:b/>
                <w:bCs/>
                <w:sz w:val="18"/>
                <w:szCs w:val="18"/>
              </w:rPr>
            </w:pPr>
            <w:r w:rsidRPr="00343F64">
              <w:rPr>
                <w:rFonts w:ascii="Calibri" w:eastAsia="Times New Roman" w:hAnsi="Calibri" w:cs="Times New Roman"/>
                <w:b/>
                <w:bCs/>
                <w:sz w:val="18"/>
                <w:szCs w:val="18"/>
              </w:rPr>
              <w:t>Non applicable</w:t>
            </w:r>
          </w:p>
        </w:tc>
      </w:tr>
    </w:tbl>
    <w:p w14:paraId="6883589A" w14:textId="77777777" w:rsidR="001F374E" w:rsidRPr="00343F64" w:rsidRDefault="001F374E" w:rsidP="001C336B">
      <w:pPr>
        <w:rPr>
          <w:b/>
        </w:rPr>
      </w:pPr>
    </w:p>
    <w:p w14:paraId="3289C080" w14:textId="77777777" w:rsidR="00343F64" w:rsidRDefault="00343F64" w:rsidP="5F1F329D">
      <w:pPr>
        <w:rPr>
          <w:b/>
        </w:rPr>
      </w:pPr>
    </w:p>
    <w:p w14:paraId="23877CA6" w14:textId="43507A2D" w:rsidR="00F5246F" w:rsidRDefault="5F1F329D" w:rsidP="5F1F329D">
      <w:pPr>
        <w:rPr>
          <w:b/>
          <w:bCs/>
        </w:rPr>
      </w:pPr>
      <w:r w:rsidRPr="5F1F329D">
        <w:rPr>
          <w:b/>
          <w:bCs/>
        </w:rPr>
        <w:t>Tableau n°6 :</w:t>
      </w:r>
    </w:p>
    <w:p w14:paraId="19D8ECC2" w14:textId="77777777" w:rsidR="006F091C" w:rsidRDefault="006F091C" w:rsidP="00F5246F">
      <w:pPr>
        <w:rPr>
          <w:b/>
        </w:rPr>
      </w:pPr>
    </w:p>
    <w:tbl>
      <w:tblPr>
        <w:tblW w:w="9900" w:type="dxa"/>
        <w:tblInd w:w="55" w:type="dxa"/>
        <w:tblCellMar>
          <w:left w:w="70" w:type="dxa"/>
          <w:right w:w="70" w:type="dxa"/>
        </w:tblCellMar>
        <w:tblLook w:val="04A0" w:firstRow="1" w:lastRow="0" w:firstColumn="1" w:lastColumn="0" w:noHBand="0" w:noVBand="1"/>
      </w:tblPr>
      <w:tblGrid>
        <w:gridCol w:w="2100"/>
        <w:gridCol w:w="1300"/>
        <w:gridCol w:w="1300"/>
        <w:gridCol w:w="1300"/>
        <w:gridCol w:w="1300"/>
        <w:gridCol w:w="1300"/>
        <w:gridCol w:w="1300"/>
      </w:tblGrid>
      <w:tr w:rsidR="00F5246F" w:rsidRPr="00F5246F" w14:paraId="48B9FBFF" w14:textId="77777777" w:rsidTr="00F5246F">
        <w:trPr>
          <w:trHeight w:val="560"/>
        </w:trPr>
        <w:tc>
          <w:tcPr>
            <w:tcW w:w="9900" w:type="dxa"/>
            <w:gridSpan w:val="7"/>
            <w:tcBorders>
              <w:top w:val="nil"/>
              <w:left w:val="single" w:sz="12" w:space="0" w:color="FFFFFF"/>
              <w:bottom w:val="single" w:sz="12" w:space="0" w:color="FFFFFF"/>
              <w:right w:val="nil"/>
            </w:tcBorders>
            <w:shd w:val="clear" w:color="000000" w:fill="365F91"/>
            <w:vAlign w:val="center"/>
            <w:hideMark/>
          </w:tcPr>
          <w:p w14:paraId="317AA288" w14:textId="77777777" w:rsidR="00F5246F" w:rsidRPr="00F5246F" w:rsidRDefault="00F5246F" w:rsidP="00F5246F">
            <w:pPr>
              <w:jc w:val="center"/>
              <w:rPr>
                <w:rFonts w:ascii="Calibri" w:eastAsia="Times New Roman" w:hAnsi="Calibri" w:cs="Times New Roman"/>
                <w:b/>
                <w:bCs/>
                <w:color w:val="FFFFFF"/>
                <w:sz w:val="18"/>
                <w:szCs w:val="18"/>
              </w:rPr>
            </w:pPr>
            <w:r w:rsidRPr="00F5246F">
              <w:rPr>
                <w:rFonts w:ascii="Calibri" w:eastAsia="Times New Roman" w:hAnsi="Calibri" w:cs="Times New Roman"/>
                <w:b/>
                <w:bCs/>
                <w:color w:val="FFFFFF"/>
                <w:sz w:val="18"/>
                <w:szCs w:val="18"/>
              </w:rPr>
              <w:t>Actions attribuées gratuitement à chaque mandataire social</w:t>
            </w:r>
          </w:p>
        </w:tc>
      </w:tr>
      <w:tr w:rsidR="00F5246F" w:rsidRPr="00F5246F" w14:paraId="1E9BC72E" w14:textId="77777777" w:rsidTr="00F5246F">
        <w:trPr>
          <w:trHeight w:val="1720"/>
        </w:trPr>
        <w:tc>
          <w:tcPr>
            <w:tcW w:w="2100" w:type="dxa"/>
            <w:tcBorders>
              <w:top w:val="nil"/>
              <w:left w:val="single" w:sz="12" w:space="0" w:color="FFFFFF"/>
              <w:bottom w:val="nil"/>
              <w:right w:val="single" w:sz="12" w:space="0" w:color="FFFFFF"/>
            </w:tcBorders>
            <w:shd w:val="clear" w:color="000000" w:fill="365F91"/>
            <w:vAlign w:val="center"/>
            <w:hideMark/>
          </w:tcPr>
          <w:p w14:paraId="22052F25" w14:textId="6197D993" w:rsidR="00F5246F" w:rsidRPr="00F5246F" w:rsidRDefault="00F5246F" w:rsidP="00F5246F">
            <w:pPr>
              <w:jc w:val="center"/>
              <w:rPr>
                <w:rFonts w:ascii="Calibri" w:eastAsia="Times New Roman" w:hAnsi="Calibri" w:cs="Times New Roman"/>
                <w:b/>
                <w:bCs/>
                <w:color w:val="FFFFFF"/>
                <w:sz w:val="18"/>
                <w:szCs w:val="18"/>
              </w:rPr>
            </w:pPr>
            <w:r w:rsidRPr="00F5246F">
              <w:rPr>
                <w:rFonts w:ascii="Calibri" w:eastAsia="Times New Roman" w:hAnsi="Calibri" w:cs="Times New Roman"/>
                <w:b/>
                <w:bCs/>
                <w:color w:val="FFFFFF"/>
                <w:sz w:val="18"/>
                <w:szCs w:val="18"/>
              </w:rPr>
              <w:t xml:space="preserve">Nom </w:t>
            </w:r>
            <w:r w:rsidR="00051CA0" w:rsidRPr="00F5246F">
              <w:rPr>
                <w:rFonts w:ascii="Calibri" w:eastAsia="Times New Roman" w:hAnsi="Calibri" w:cs="Times New Roman"/>
                <w:b/>
                <w:bCs/>
                <w:color w:val="FFFFFF"/>
                <w:sz w:val="18"/>
                <w:szCs w:val="18"/>
              </w:rPr>
              <w:t>du mandataire</w:t>
            </w:r>
            <w:r w:rsidRPr="00F5246F">
              <w:rPr>
                <w:rFonts w:ascii="Calibri" w:eastAsia="Times New Roman" w:hAnsi="Calibri" w:cs="Times New Roman"/>
                <w:b/>
                <w:bCs/>
                <w:color w:val="FFFFFF"/>
                <w:sz w:val="18"/>
                <w:szCs w:val="18"/>
              </w:rPr>
              <w:t xml:space="preserve"> social</w:t>
            </w:r>
          </w:p>
        </w:tc>
        <w:tc>
          <w:tcPr>
            <w:tcW w:w="1300" w:type="dxa"/>
            <w:tcBorders>
              <w:top w:val="nil"/>
              <w:left w:val="nil"/>
              <w:bottom w:val="nil"/>
              <w:right w:val="nil"/>
            </w:tcBorders>
            <w:shd w:val="clear" w:color="000000" w:fill="365F91"/>
            <w:vAlign w:val="center"/>
            <w:hideMark/>
          </w:tcPr>
          <w:p w14:paraId="3BEE5930" w14:textId="77777777" w:rsidR="00F5246F" w:rsidRPr="00F5246F" w:rsidRDefault="00F5246F" w:rsidP="00F5246F">
            <w:pPr>
              <w:jc w:val="center"/>
              <w:rPr>
                <w:rFonts w:ascii="Calibri" w:eastAsia="Times New Roman" w:hAnsi="Calibri" w:cs="Times New Roman"/>
                <w:b/>
                <w:bCs/>
                <w:color w:val="FFFFFF"/>
                <w:sz w:val="18"/>
                <w:szCs w:val="18"/>
              </w:rPr>
            </w:pPr>
            <w:r w:rsidRPr="00F5246F">
              <w:rPr>
                <w:rFonts w:ascii="Calibri" w:eastAsia="Times New Roman" w:hAnsi="Calibri" w:cs="Times New Roman"/>
                <w:b/>
                <w:bCs/>
                <w:color w:val="FFFFFF"/>
                <w:sz w:val="18"/>
                <w:szCs w:val="18"/>
              </w:rPr>
              <w:t>N° et date du plan</w:t>
            </w:r>
          </w:p>
        </w:tc>
        <w:tc>
          <w:tcPr>
            <w:tcW w:w="1300" w:type="dxa"/>
            <w:tcBorders>
              <w:top w:val="nil"/>
              <w:left w:val="single" w:sz="12" w:space="0" w:color="FFFFFF"/>
              <w:bottom w:val="single" w:sz="12" w:space="0" w:color="FFFFFF"/>
              <w:right w:val="nil"/>
            </w:tcBorders>
            <w:shd w:val="clear" w:color="000000" w:fill="365F91"/>
            <w:vAlign w:val="center"/>
            <w:hideMark/>
          </w:tcPr>
          <w:p w14:paraId="41E04980" w14:textId="77777777" w:rsidR="00F5246F" w:rsidRPr="00F5246F" w:rsidRDefault="00F5246F" w:rsidP="00F5246F">
            <w:pPr>
              <w:jc w:val="center"/>
              <w:rPr>
                <w:rFonts w:ascii="Calibri" w:eastAsia="Times New Roman" w:hAnsi="Calibri" w:cs="Times New Roman"/>
                <w:b/>
                <w:bCs/>
                <w:color w:val="FFFFFF"/>
                <w:sz w:val="18"/>
                <w:szCs w:val="18"/>
              </w:rPr>
            </w:pPr>
            <w:r w:rsidRPr="00F5246F">
              <w:rPr>
                <w:rFonts w:ascii="Calibri" w:eastAsia="Times New Roman" w:hAnsi="Calibri" w:cs="Times New Roman"/>
                <w:b/>
                <w:bCs/>
                <w:color w:val="FFFFFF"/>
                <w:sz w:val="18"/>
                <w:szCs w:val="18"/>
              </w:rPr>
              <w:t>Nombre d'actions attribuées durant l'exercice</w:t>
            </w:r>
          </w:p>
        </w:tc>
        <w:tc>
          <w:tcPr>
            <w:tcW w:w="1300" w:type="dxa"/>
            <w:tcBorders>
              <w:top w:val="nil"/>
              <w:left w:val="single" w:sz="12" w:space="0" w:color="FFFFFF"/>
              <w:bottom w:val="single" w:sz="12" w:space="0" w:color="FFFFFF"/>
              <w:right w:val="nil"/>
            </w:tcBorders>
            <w:shd w:val="clear" w:color="000000" w:fill="365F91"/>
            <w:vAlign w:val="center"/>
            <w:hideMark/>
          </w:tcPr>
          <w:p w14:paraId="54707CC7" w14:textId="77777777" w:rsidR="00F5246F" w:rsidRPr="00F5246F" w:rsidRDefault="00F5246F" w:rsidP="00F5246F">
            <w:pPr>
              <w:jc w:val="center"/>
              <w:rPr>
                <w:rFonts w:ascii="Calibri" w:eastAsia="Times New Roman" w:hAnsi="Calibri" w:cs="Times New Roman"/>
                <w:b/>
                <w:bCs/>
                <w:color w:val="FFFFFF"/>
                <w:sz w:val="18"/>
                <w:szCs w:val="18"/>
              </w:rPr>
            </w:pPr>
            <w:r w:rsidRPr="00F5246F">
              <w:rPr>
                <w:rFonts w:ascii="Calibri" w:eastAsia="Times New Roman" w:hAnsi="Calibri" w:cs="Times New Roman"/>
                <w:b/>
                <w:bCs/>
                <w:color w:val="FFFFFF"/>
                <w:sz w:val="18"/>
                <w:szCs w:val="18"/>
              </w:rPr>
              <w:t>Valorisation des actions selon la méthode retenue pour les comptes consolidés</w:t>
            </w:r>
          </w:p>
        </w:tc>
        <w:tc>
          <w:tcPr>
            <w:tcW w:w="1300" w:type="dxa"/>
            <w:tcBorders>
              <w:top w:val="nil"/>
              <w:left w:val="single" w:sz="12" w:space="0" w:color="FFFFFF"/>
              <w:bottom w:val="single" w:sz="12" w:space="0" w:color="FFFFFF"/>
              <w:right w:val="single" w:sz="12" w:space="0" w:color="FFFFFF"/>
            </w:tcBorders>
            <w:shd w:val="clear" w:color="000000" w:fill="365F91"/>
            <w:vAlign w:val="center"/>
            <w:hideMark/>
          </w:tcPr>
          <w:p w14:paraId="7A6FD0DB" w14:textId="77777777" w:rsidR="00F5246F" w:rsidRPr="00F5246F" w:rsidRDefault="00F5246F" w:rsidP="00F5246F">
            <w:pPr>
              <w:jc w:val="center"/>
              <w:rPr>
                <w:rFonts w:ascii="Calibri" w:eastAsia="Times New Roman" w:hAnsi="Calibri" w:cs="Times New Roman"/>
                <w:b/>
                <w:bCs/>
                <w:color w:val="FFFFFF"/>
                <w:sz w:val="18"/>
                <w:szCs w:val="18"/>
              </w:rPr>
            </w:pPr>
            <w:r w:rsidRPr="00F5246F">
              <w:rPr>
                <w:rFonts w:ascii="Calibri" w:eastAsia="Times New Roman" w:hAnsi="Calibri" w:cs="Times New Roman"/>
                <w:b/>
                <w:bCs/>
                <w:color w:val="FFFFFF"/>
                <w:sz w:val="18"/>
                <w:szCs w:val="18"/>
              </w:rPr>
              <w:t>Date d'acquisition</w:t>
            </w:r>
          </w:p>
        </w:tc>
        <w:tc>
          <w:tcPr>
            <w:tcW w:w="1300" w:type="dxa"/>
            <w:tcBorders>
              <w:top w:val="nil"/>
              <w:left w:val="nil"/>
              <w:bottom w:val="single" w:sz="12" w:space="0" w:color="FFFFFF"/>
              <w:right w:val="single" w:sz="12" w:space="0" w:color="FFFFFF"/>
            </w:tcBorders>
            <w:shd w:val="clear" w:color="000000" w:fill="365F91"/>
            <w:vAlign w:val="center"/>
            <w:hideMark/>
          </w:tcPr>
          <w:p w14:paraId="2EAC5759" w14:textId="77777777" w:rsidR="00F5246F" w:rsidRPr="00F5246F" w:rsidRDefault="00F5246F" w:rsidP="00F5246F">
            <w:pPr>
              <w:jc w:val="center"/>
              <w:rPr>
                <w:rFonts w:ascii="Calibri" w:eastAsia="Times New Roman" w:hAnsi="Calibri" w:cs="Times New Roman"/>
                <w:b/>
                <w:bCs/>
                <w:color w:val="FFFFFF"/>
                <w:sz w:val="18"/>
                <w:szCs w:val="18"/>
              </w:rPr>
            </w:pPr>
            <w:r w:rsidRPr="00F5246F">
              <w:rPr>
                <w:rFonts w:ascii="Calibri" w:eastAsia="Times New Roman" w:hAnsi="Calibri" w:cs="Times New Roman"/>
                <w:b/>
                <w:bCs/>
                <w:color w:val="FFFFFF"/>
                <w:sz w:val="18"/>
                <w:szCs w:val="18"/>
              </w:rPr>
              <w:t>Date de disponibilité</w:t>
            </w:r>
          </w:p>
        </w:tc>
        <w:tc>
          <w:tcPr>
            <w:tcW w:w="1300" w:type="dxa"/>
            <w:tcBorders>
              <w:top w:val="nil"/>
              <w:left w:val="nil"/>
              <w:bottom w:val="single" w:sz="12" w:space="0" w:color="FFFFFF"/>
              <w:right w:val="single" w:sz="12" w:space="0" w:color="FFFFFF"/>
            </w:tcBorders>
            <w:shd w:val="clear" w:color="000000" w:fill="365F91"/>
            <w:vAlign w:val="center"/>
            <w:hideMark/>
          </w:tcPr>
          <w:p w14:paraId="249FB97D" w14:textId="77777777" w:rsidR="00F5246F" w:rsidRPr="00F5246F" w:rsidRDefault="00F5246F" w:rsidP="00F5246F">
            <w:pPr>
              <w:jc w:val="center"/>
              <w:rPr>
                <w:rFonts w:ascii="Calibri" w:eastAsia="Times New Roman" w:hAnsi="Calibri" w:cs="Times New Roman"/>
                <w:b/>
                <w:bCs/>
                <w:color w:val="FFFFFF"/>
                <w:sz w:val="18"/>
                <w:szCs w:val="18"/>
              </w:rPr>
            </w:pPr>
            <w:r w:rsidRPr="00F5246F">
              <w:rPr>
                <w:rFonts w:ascii="Calibri" w:eastAsia="Times New Roman" w:hAnsi="Calibri" w:cs="Times New Roman"/>
                <w:b/>
                <w:bCs/>
                <w:color w:val="FFFFFF"/>
                <w:sz w:val="18"/>
                <w:szCs w:val="18"/>
              </w:rPr>
              <w:t>Conditions de performance</w:t>
            </w:r>
          </w:p>
        </w:tc>
      </w:tr>
      <w:tr w:rsidR="00F5246F" w:rsidRPr="00F5246F" w14:paraId="4A0A28F7" w14:textId="77777777" w:rsidTr="00F5246F">
        <w:trPr>
          <w:trHeight w:val="340"/>
        </w:trPr>
        <w:tc>
          <w:tcPr>
            <w:tcW w:w="2100" w:type="dxa"/>
            <w:tcBorders>
              <w:top w:val="nil"/>
              <w:left w:val="single" w:sz="12" w:space="0" w:color="FFFFFF"/>
              <w:bottom w:val="single" w:sz="12" w:space="0" w:color="FFFFFF"/>
              <w:right w:val="single" w:sz="12" w:space="0" w:color="FFFFFF"/>
            </w:tcBorders>
            <w:shd w:val="clear" w:color="000000" w:fill="DBE5F1"/>
            <w:vAlign w:val="center"/>
            <w:hideMark/>
          </w:tcPr>
          <w:p w14:paraId="5934F039" w14:textId="77777777" w:rsidR="00F5246F" w:rsidRPr="00F5246F" w:rsidRDefault="00F5246F" w:rsidP="00F5246F">
            <w:pPr>
              <w:rPr>
                <w:rFonts w:ascii="Calibri" w:eastAsia="Times New Roman" w:hAnsi="Calibri" w:cs="Times New Roman"/>
                <w:color w:val="000000"/>
                <w:sz w:val="18"/>
                <w:szCs w:val="18"/>
              </w:rPr>
            </w:pPr>
            <w:r w:rsidRPr="00F5246F">
              <w:rPr>
                <w:rFonts w:ascii="Calibri" w:eastAsia="Times New Roman" w:hAnsi="Calibri" w:cs="Times New Roman"/>
                <w:color w:val="000000"/>
                <w:sz w:val="18"/>
                <w:szCs w:val="18"/>
              </w:rPr>
              <w:t>Stéphane Le Roux</w:t>
            </w:r>
          </w:p>
        </w:tc>
        <w:tc>
          <w:tcPr>
            <w:tcW w:w="1300" w:type="dxa"/>
            <w:tcBorders>
              <w:top w:val="nil"/>
              <w:left w:val="nil"/>
              <w:bottom w:val="single" w:sz="12" w:space="0" w:color="FFFFFF"/>
              <w:right w:val="single" w:sz="12" w:space="0" w:color="FFFFFF"/>
            </w:tcBorders>
            <w:shd w:val="clear" w:color="000000" w:fill="DBE5F1"/>
            <w:vAlign w:val="center"/>
            <w:hideMark/>
          </w:tcPr>
          <w:p w14:paraId="5EF0A39B" w14:textId="77777777" w:rsidR="00F5246F" w:rsidRPr="00F5246F" w:rsidRDefault="00F5246F" w:rsidP="00F5246F">
            <w:pPr>
              <w:jc w:val="center"/>
              <w:rPr>
                <w:rFonts w:ascii="Calibri" w:eastAsia="Times New Roman" w:hAnsi="Calibri" w:cs="Times New Roman"/>
                <w:color w:val="000000"/>
                <w:sz w:val="18"/>
                <w:szCs w:val="18"/>
              </w:rPr>
            </w:pPr>
            <w:r w:rsidRPr="00F5246F">
              <w:rPr>
                <w:rFonts w:ascii="Calibri" w:eastAsia="Times New Roman" w:hAnsi="Calibri" w:cs="Times New Roman"/>
                <w:color w:val="000000"/>
                <w:sz w:val="18"/>
                <w:szCs w:val="18"/>
              </w:rPr>
              <w:t>Non applicable</w:t>
            </w:r>
          </w:p>
        </w:tc>
        <w:tc>
          <w:tcPr>
            <w:tcW w:w="1300" w:type="dxa"/>
            <w:tcBorders>
              <w:top w:val="nil"/>
              <w:left w:val="nil"/>
              <w:bottom w:val="single" w:sz="12" w:space="0" w:color="FFFFFF"/>
              <w:right w:val="single" w:sz="12" w:space="0" w:color="FFFFFF"/>
            </w:tcBorders>
            <w:shd w:val="clear" w:color="000000" w:fill="DBE5F1"/>
            <w:vAlign w:val="center"/>
            <w:hideMark/>
          </w:tcPr>
          <w:p w14:paraId="50C15689" w14:textId="77777777" w:rsidR="00F5246F" w:rsidRPr="00F5246F" w:rsidRDefault="00F5246F" w:rsidP="00F5246F">
            <w:pPr>
              <w:jc w:val="center"/>
              <w:rPr>
                <w:rFonts w:ascii="Calibri" w:eastAsia="Times New Roman" w:hAnsi="Calibri" w:cs="Times New Roman"/>
                <w:color w:val="000000"/>
                <w:sz w:val="18"/>
                <w:szCs w:val="18"/>
              </w:rPr>
            </w:pPr>
            <w:r w:rsidRPr="00F5246F">
              <w:rPr>
                <w:rFonts w:ascii="Calibri" w:eastAsia="Times New Roman" w:hAnsi="Calibri" w:cs="Times New Roman"/>
                <w:color w:val="000000"/>
                <w:sz w:val="18"/>
                <w:szCs w:val="18"/>
              </w:rPr>
              <w:t>Non applicable</w:t>
            </w:r>
          </w:p>
        </w:tc>
        <w:tc>
          <w:tcPr>
            <w:tcW w:w="1300" w:type="dxa"/>
            <w:tcBorders>
              <w:top w:val="nil"/>
              <w:left w:val="nil"/>
              <w:bottom w:val="single" w:sz="12" w:space="0" w:color="FFFFFF"/>
              <w:right w:val="single" w:sz="12" w:space="0" w:color="FFFFFF"/>
            </w:tcBorders>
            <w:shd w:val="clear" w:color="000000" w:fill="DBE5F1"/>
            <w:vAlign w:val="center"/>
            <w:hideMark/>
          </w:tcPr>
          <w:p w14:paraId="2421AED2" w14:textId="77777777" w:rsidR="00F5246F" w:rsidRPr="00F5246F" w:rsidRDefault="00F5246F" w:rsidP="00F5246F">
            <w:pPr>
              <w:jc w:val="center"/>
              <w:rPr>
                <w:rFonts w:ascii="Calibri" w:eastAsia="Times New Roman" w:hAnsi="Calibri" w:cs="Times New Roman"/>
                <w:color w:val="000000"/>
                <w:sz w:val="18"/>
                <w:szCs w:val="18"/>
              </w:rPr>
            </w:pPr>
            <w:r w:rsidRPr="00F5246F">
              <w:rPr>
                <w:rFonts w:ascii="Calibri" w:eastAsia="Times New Roman" w:hAnsi="Calibri" w:cs="Times New Roman"/>
                <w:color w:val="000000"/>
                <w:sz w:val="18"/>
                <w:szCs w:val="18"/>
              </w:rPr>
              <w:t>Non applicable</w:t>
            </w:r>
          </w:p>
        </w:tc>
        <w:tc>
          <w:tcPr>
            <w:tcW w:w="1300" w:type="dxa"/>
            <w:tcBorders>
              <w:top w:val="nil"/>
              <w:left w:val="nil"/>
              <w:bottom w:val="single" w:sz="12" w:space="0" w:color="FFFFFF"/>
              <w:right w:val="single" w:sz="12" w:space="0" w:color="FFFFFF"/>
            </w:tcBorders>
            <w:shd w:val="clear" w:color="000000" w:fill="DBE5F1"/>
            <w:vAlign w:val="center"/>
            <w:hideMark/>
          </w:tcPr>
          <w:p w14:paraId="3B3C7B17" w14:textId="77777777" w:rsidR="00F5246F" w:rsidRPr="00F5246F" w:rsidRDefault="00F5246F" w:rsidP="00F5246F">
            <w:pPr>
              <w:jc w:val="center"/>
              <w:rPr>
                <w:rFonts w:ascii="Calibri" w:eastAsia="Times New Roman" w:hAnsi="Calibri" w:cs="Times New Roman"/>
                <w:color w:val="000000"/>
                <w:sz w:val="18"/>
                <w:szCs w:val="18"/>
              </w:rPr>
            </w:pPr>
            <w:r w:rsidRPr="00F5246F">
              <w:rPr>
                <w:rFonts w:ascii="Calibri" w:eastAsia="Times New Roman" w:hAnsi="Calibri" w:cs="Times New Roman"/>
                <w:color w:val="000000"/>
                <w:sz w:val="18"/>
                <w:szCs w:val="18"/>
              </w:rPr>
              <w:t>Non applicable</w:t>
            </w:r>
          </w:p>
        </w:tc>
        <w:tc>
          <w:tcPr>
            <w:tcW w:w="1300" w:type="dxa"/>
            <w:tcBorders>
              <w:top w:val="nil"/>
              <w:left w:val="nil"/>
              <w:bottom w:val="single" w:sz="12" w:space="0" w:color="FFFFFF"/>
              <w:right w:val="single" w:sz="12" w:space="0" w:color="FFFFFF"/>
            </w:tcBorders>
            <w:shd w:val="clear" w:color="000000" w:fill="DBE5F1"/>
            <w:vAlign w:val="center"/>
            <w:hideMark/>
          </w:tcPr>
          <w:p w14:paraId="1A4B022A" w14:textId="77777777" w:rsidR="00F5246F" w:rsidRPr="00F5246F" w:rsidRDefault="00F5246F" w:rsidP="00F5246F">
            <w:pPr>
              <w:jc w:val="center"/>
              <w:rPr>
                <w:rFonts w:ascii="Calibri" w:eastAsia="Times New Roman" w:hAnsi="Calibri" w:cs="Times New Roman"/>
                <w:color w:val="000000"/>
                <w:sz w:val="18"/>
                <w:szCs w:val="18"/>
              </w:rPr>
            </w:pPr>
            <w:r w:rsidRPr="00F5246F">
              <w:rPr>
                <w:rFonts w:ascii="Calibri" w:eastAsia="Times New Roman" w:hAnsi="Calibri" w:cs="Times New Roman"/>
                <w:color w:val="000000"/>
                <w:sz w:val="18"/>
                <w:szCs w:val="18"/>
              </w:rPr>
              <w:t>Non applicable</w:t>
            </w:r>
          </w:p>
        </w:tc>
        <w:tc>
          <w:tcPr>
            <w:tcW w:w="1300" w:type="dxa"/>
            <w:tcBorders>
              <w:top w:val="nil"/>
              <w:left w:val="nil"/>
              <w:bottom w:val="single" w:sz="12" w:space="0" w:color="FFFFFF"/>
              <w:right w:val="single" w:sz="12" w:space="0" w:color="FFFFFF"/>
            </w:tcBorders>
            <w:shd w:val="clear" w:color="000000" w:fill="DBE5F1"/>
            <w:vAlign w:val="center"/>
            <w:hideMark/>
          </w:tcPr>
          <w:p w14:paraId="4A9ED2CF" w14:textId="77777777" w:rsidR="00F5246F" w:rsidRPr="00F5246F" w:rsidRDefault="00F5246F" w:rsidP="00F5246F">
            <w:pPr>
              <w:jc w:val="center"/>
              <w:rPr>
                <w:rFonts w:ascii="Calibri" w:eastAsia="Times New Roman" w:hAnsi="Calibri" w:cs="Times New Roman"/>
                <w:color w:val="000000"/>
                <w:sz w:val="18"/>
                <w:szCs w:val="18"/>
              </w:rPr>
            </w:pPr>
            <w:r w:rsidRPr="00F5246F">
              <w:rPr>
                <w:rFonts w:ascii="Calibri" w:eastAsia="Times New Roman" w:hAnsi="Calibri" w:cs="Times New Roman"/>
                <w:color w:val="000000"/>
                <w:sz w:val="18"/>
                <w:szCs w:val="18"/>
              </w:rPr>
              <w:t>Non applicable</w:t>
            </w:r>
          </w:p>
        </w:tc>
      </w:tr>
      <w:tr w:rsidR="00F5246F" w:rsidRPr="00F5246F" w14:paraId="5733D7D4" w14:textId="77777777" w:rsidTr="00F5246F">
        <w:trPr>
          <w:trHeight w:val="340"/>
        </w:trPr>
        <w:tc>
          <w:tcPr>
            <w:tcW w:w="2100" w:type="dxa"/>
            <w:tcBorders>
              <w:top w:val="nil"/>
              <w:left w:val="single" w:sz="12" w:space="0" w:color="FFFFFF"/>
              <w:bottom w:val="single" w:sz="12" w:space="0" w:color="FFFFFF"/>
              <w:right w:val="single" w:sz="12" w:space="0" w:color="FFFFFF"/>
            </w:tcBorders>
            <w:shd w:val="clear" w:color="000000" w:fill="DBE5F1"/>
            <w:vAlign w:val="center"/>
            <w:hideMark/>
          </w:tcPr>
          <w:p w14:paraId="4A62E54B" w14:textId="77777777" w:rsidR="00F5246F" w:rsidRPr="00F5246F" w:rsidRDefault="00F5246F" w:rsidP="00F5246F">
            <w:pPr>
              <w:rPr>
                <w:rFonts w:ascii="Calibri" w:eastAsia="Times New Roman" w:hAnsi="Calibri" w:cs="Times New Roman"/>
                <w:color w:val="000000"/>
                <w:sz w:val="18"/>
                <w:szCs w:val="18"/>
              </w:rPr>
            </w:pPr>
            <w:r w:rsidRPr="00F5246F">
              <w:rPr>
                <w:rFonts w:ascii="Calibri" w:eastAsia="Times New Roman" w:hAnsi="Calibri" w:cs="Times New Roman"/>
                <w:color w:val="000000"/>
                <w:sz w:val="18"/>
                <w:szCs w:val="18"/>
              </w:rPr>
              <w:t>Joseph Brigneaud</w:t>
            </w:r>
          </w:p>
        </w:tc>
        <w:tc>
          <w:tcPr>
            <w:tcW w:w="1300" w:type="dxa"/>
            <w:tcBorders>
              <w:top w:val="nil"/>
              <w:left w:val="nil"/>
              <w:bottom w:val="single" w:sz="12" w:space="0" w:color="FFFFFF"/>
              <w:right w:val="single" w:sz="12" w:space="0" w:color="FFFFFF"/>
            </w:tcBorders>
            <w:shd w:val="clear" w:color="000000" w:fill="DBE5F1"/>
            <w:vAlign w:val="center"/>
            <w:hideMark/>
          </w:tcPr>
          <w:p w14:paraId="4F033B32" w14:textId="77777777" w:rsidR="00F5246F" w:rsidRPr="00F5246F" w:rsidRDefault="00F5246F" w:rsidP="00F5246F">
            <w:pPr>
              <w:jc w:val="center"/>
              <w:rPr>
                <w:rFonts w:ascii="Calibri" w:eastAsia="Times New Roman" w:hAnsi="Calibri" w:cs="Times New Roman"/>
                <w:color w:val="000000"/>
                <w:sz w:val="18"/>
                <w:szCs w:val="18"/>
              </w:rPr>
            </w:pPr>
            <w:r w:rsidRPr="00F5246F">
              <w:rPr>
                <w:rFonts w:ascii="Calibri" w:eastAsia="Times New Roman" w:hAnsi="Calibri" w:cs="Times New Roman"/>
                <w:color w:val="000000"/>
                <w:sz w:val="18"/>
                <w:szCs w:val="18"/>
              </w:rPr>
              <w:t>Non applicable</w:t>
            </w:r>
          </w:p>
        </w:tc>
        <w:tc>
          <w:tcPr>
            <w:tcW w:w="1300" w:type="dxa"/>
            <w:tcBorders>
              <w:top w:val="nil"/>
              <w:left w:val="nil"/>
              <w:bottom w:val="single" w:sz="12" w:space="0" w:color="FFFFFF"/>
              <w:right w:val="single" w:sz="12" w:space="0" w:color="FFFFFF"/>
            </w:tcBorders>
            <w:shd w:val="clear" w:color="000000" w:fill="DBE5F1"/>
            <w:vAlign w:val="center"/>
            <w:hideMark/>
          </w:tcPr>
          <w:p w14:paraId="4A02DBE8" w14:textId="77777777" w:rsidR="00F5246F" w:rsidRPr="00F5246F" w:rsidRDefault="00F5246F" w:rsidP="00F5246F">
            <w:pPr>
              <w:jc w:val="center"/>
              <w:rPr>
                <w:rFonts w:ascii="Calibri" w:eastAsia="Times New Roman" w:hAnsi="Calibri" w:cs="Times New Roman"/>
                <w:color w:val="000000"/>
                <w:sz w:val="18"/>
                <w:szCs w:val="18"/>
              </w:rPr>
            </w:pPr>
            <w:r w:rsidRPr="00F5246F">
              <w:rPr>
                <w:rFonts w:ascii="Calibri" w:eastAsia="Times New Roman" w:hAnsi="Calibri" w:cs="Times New Roman"/>
                <w:color w:val="000000"/>
                <w:sz w:val="18"/>
                <w:szCs w:val="18"/>
              </w:rPr>
              <w:t>Non applicable</w:t>
            </w:r>
          </w:p>
        </w:tc>
        <w:tc>
          <w:tcPr>
            <w:tcW w:w="1300" w:type="dxa"/>
            <w:tcBorders>
              <w:top w:val="nil"/>
              <w:left w:val="nil"/>
              <w:bottom w:val="single" w:sz="12" w:space="0" w:color="FFFFFF"/>
              <w:right w:val="single" w:sz="12" w:space="0" w:color="FFFFFF"/>
            </w:tcBorders>
            <w:shd w:val="clear" w:color="000000" w:fill="DBE5F1"/>
            <w:vAlign w:val="center"/>
            <w:hideMark/>
          </w:tcPr>
          <w:p w14:paraId="6ABB3EF3" w14:textId="77777777" w:rsidR="00F5246F" w:rsidRPr="00F5246F" w:rsidRDefault="00F5246F" w:rsidP="00F5246F">
            <w:pPr>
              <w:jc w:val="center"/>
              <w:rPr>
                <w:rFonts w:ascii="Calibri" w:eastAsia="Times New Roman" w:hAnsi="Calibri" w:cs="Times New Roman"/>
                <w:color w:val="000000"/>
                <w:sz w:val="18"/>
                <w:szCs w:val="18"/>
              </w:rPr>
            </w:pPr>
            <w:r w:rsidRPr="00F5246F">
              <w:rPr>
                <w:rFonts w:ascii="Calibri" w:eastAsia="Times New Roman" w:hAnsi="Calibri" w:cs="Times New Roman"/>
                <w:color w:val="000000"/>
                <w:sz w:val="18"/>
                <w:szCs w:val="18"/>
              </w:rPr>
              <w:t>Non applicable</w:t>
            </w:r>
          </w:p>
        </w:tc>
        <w:tc>
          <w:tcPr>
            <w:tcW w:w="1300" w:type="dxa"/>
            <w:tcBorders>
              <w:top w:val="nil"/>
              <w:left w:val="nil"/>
              <w:bottom w:val="single" w:sz="12" w:space="0" w:color="FFFFFF"/>
              <w:right w:val="single" w:sz="12" w:space="0" w:color="FFFFFF"/>
            </w:tcBorders>
            <w:shd w:val="clear" w:color="000000" w:fill="DBE5F1"/>
            <w:vAlign w:val="center"/>
            <w:hideMark/>
          </w:tcPr>
          <w:p w14:paraId="2C6AF128" w14:textId="77777777" w:rsidR="00F5246F" w:rsidRPr="00F5246F" w:rsidRDefault="00F5246F" w:rsidP="00F5246F">
            <w:pPr>
              <w:jc w:val="center"/>
              <w:rPr>
                <w:rFonts w:ascii="Calibri" w:eastAsia="Times New Roman" w:hAnsi="Calibri" w:cs="Times New Roman"/>
                <w:color w:val="000000"/>
                <w:sz w:val="18"/>
                <w:szCs w:val="18"/>
              </w:rPr>
            </w:pPr>
            <w:r w:rsidRPr="00F5246F">
              <w:rPr>
                <w:rFonts w:ascii="Calibri" w:eastAsia="Times New Roman" w:hAnsi="Calibri" w:cs="Times New Roman"/>
                <w:color w:val="000000"/>
                <w:sz w:val="18"/>
                <w:szCs w:val="18"/>
              </w:rPr>
              <w:t>Non applicable</w:t>
            </w:r>
          </w:p>
        </w:tc>
        <w:tc>
          <w:tcPr>
            <w:tcW w:w="1300" w:type="dxa"/>
            <w:tcBorders>
              <w:top w:val="nil"/>
              <w:left w:val="nil"/>
              <w:bottom w:val="single" w:sz="12" w:space="0" w:color="FFFFFF"/>
              <w:right w:val="single" w:sz="12" w:space="0" w:color="FFFFFF"/>
            </w:tcBorders>
            <w:shd w:val="clear" w:color="000000" w:fill="DBE5F1"/>
            <w:vAlign w:val="center"/>
            <w:hideMark/>
          </w:tcPr>
          <w:p w14:paraId="1DB24F32" w14:textId="77777777" w:rsidR="00F5246F" w:rsidRPr="00F5246F" w:rsidRDefault="00F5246F" w:rsidP="00F5246F">
            <w:pPr>
              <w:jc w:val="center"/>
              <w:rPr>
                <w:rFonts w:ascii="Calibri" w:eastAsia="Times New Roman" w:hAnsi="Calibri" w:cs="Times New Roman"/>
                <w:color w:val="000000"/>
                <w:sz w:val="18"/>
                <w:szCs w:val="18"/>
              </w:rPr>
            </w:pPr>
            <w:r w:rsidRPr="00F5246F">
              <w:rPr>
                <w:rFonts w:ascii="Calibri" w:eastAsia="Times New Roman" w:hAnsi="Calibri" w:cs="Times New Roman"/>
                <w:color w:val="000000"/>
                <w:sz w:val="18"/>
                <w:szCs w:val="18"/>
              </w:rPr>
              <w:t>Non applicable</w:t>
            </w:r>
          </w:p>
        </w:tc>
        <w:tc>
          <w:tcPr>
            <w:tcW w:w="1300" w:type="dxa"/>
            <w:tcBorders>
              <w:top w:val="nil"/>
              <w:left w:val="nil"/>
              <w:bottom w:val="single" w:sz="12" w:space="0" w:color="FFFFFF"/>
              <w:right w:val="single" w:sz="12" w:space="0" w:color="FFFFFF"/>
            </w:tcBorders>
            <w:shd w:val="clear" w:color="000000" w:fill="DBE5F1"/>
            <w:vAlign w:val="center"/>
            <w:hideMark/>
          </w:tcPr>
          <w:p w14:paraId="5C94E576" w14:textId="77777777" w:rsidR="00F5246F" w:rsidRPr="00F5246F" w:rsidRDefault="00F5246F" w:rsidP="00F5246F">
            <w:pPr>
              <w:jc w:val="center"/>
              <w:rPr>
                <w:rFonts w:ascii="Calibri" w:eastAsia="Times New Roman" w:hAnsi="Calibri" w:cs="Times New Roman"/>
                <w:color w:val="000000"/>
                <w:sz w:val="18"/>
                <w:szCs w:val="18"/>
              </w:rPr>
            </w:pPr>
            <w:r w:rsidRPr="00F5246F">
              <w:rPr>
                <w:rFonts w:ascii="Calibri" w:eastAsia="Times New Roman" w:hAnsi="Calibri" w:cs="Times New Roman"/>
                <w:color w:val="000000"/>
                <w:sz w:val="18"/>
                <w:szCs w:val="18"/>
              </w:rPr>
              <w:t>Non applicable</w:t>
            </w:r>
          </w:p>
        </w:tc>
      </w:tr>
      <w:tr w:rsidR="00F5246F" w:rsidRPr="00F5246F" w14:paraId="2946D483" w14:textId="77777777" w:rsidTr="00F5246F">
        <w:trPr>
          <w:trHeight w:val="340"/>
        </w:trPr>
        <w:tc>
          <w:tcPr>
            <w:tcW w:w="2100" w:type="dxa"/>
            <w:tcBorders>
              <w:top w:val="nil"/>
              <w:left w:val="single" w:sz="12" w:space="0" w:color="FFFFFF"/>
              <w:bottom w:val="single" w:sz="12" w:space="0" w:color="FFFFFF"/>
              <w:right w:val="single" w:sz="12" w:space="0" w:color="FFFFFF"/>
            </w:tcBorders>
            <w:shd w:val="clear" w:color="000000" w:fill="DBE5F1"/>
            <w:vAlign w:val="center"/>
            <w:hideMark/>
          </w:tcPr>
          <w:p w14:paraId="52665153" w14:textId="77777777" w:rsidR="00F5246F" w:rsidRPr="00F5246F" w:rsidRDefault="00F5246F" w:rsidP="00F5246F">
            <w:pPr>
              <w:rPr>
                <w:rFonts w:ascii="Calibri" w:eastAsia="Times New Roman" w:hAnsi="Calibri" w:cs="Times New Roman"/>
                <w:color w:val="000000"/>
                <w:sz w:val="18"/>
                <w:szCs w:val="18"/>
              </w:rPr>
            </w:pPr>
            <w:r w:rsidRPr="00F5246F">
              <w:rPr>
                <w:rFonts w:ascii="Calibri" w:eastAsia="Times New Roman" w:hAnsi="Calibri" w:cs="Times New Roman"/>
                <w:color w:val="000000"/>
                <w:sz w:val="18"/>
                <w:szCs w:val="18"/>
              </w:rPr>
              <w:t>Bérangère Boggio</w:t>
            </w:r>
          </w:p>
        </w:tc>
        <w:tc>
          <w:tcPr>
            <w:tcW w:w="1300" w:type="dxa"/>
            <w:tcBorders>
              <w:top w:val="nil"/>
              <w:left w:val="nil"/>
              <w:bottom w:val="single" w:sz="12" w:space="0" w:color="FFFFFF"/>
              <w:right w:val="single" w:sz="12" w:space="0" w:color="FFFFFF"/>
            </w:tcBorders>
            <w:shd w:val="clear" w:color="000000" w:fill="DBE5F1"/>
            <w:vAlign w:val="center"/>
            <w:hideMark/>
          </w:tcPr>
          <w:p w14:paraId="3A4AB68B" w14:textId="77777777" w:rsidR="00F5246F" w:rsidRPr="00F5246F" w:rsidRDefault="00F5246F" w:rsidP="00F5246F">
            <w:pPr>
              <w:jc w:val="center"/>
              <w:rPr>
                <w:rFonts w:ascii="Calibri" w:eastAsia="Times New Roman" w:hAnsi="Calibri" w:cs="Times New Roman"/>
                <w:color w:val="000000"/>
                <w:sz w:val="18"/>
                <w:szCs w:val="18"/>
              </w:rPr>
            </w:pPr>
            <w:r w:rsidRPr="00F5246F">
              <w:rPr>
                <w:rFonts w:ascii="Calibri" w:eastAsia="Times New Roman" w:hAnsi="Calibri" w:cs="Times New Roman"/>
                <w:color w:val="000000"/>
                <w:sz w:val="18"/>
                <w:szCs w:val="18"/>
              </w:rPr>
              <w:t>Non applicable</w:t>
            </w:r>
          </w:p>
        </w:tc>
        <w:tc>
          <w:tcPr>
            <w:tcW w:w="1300" w:type="dxa"/>
            <w:tcBorders>
              <w:top w:val="nil"/>
              <w:left w:val="nil"/>
              <w:bottom w:val="single" w:sz="12" w:space="0" w:color="FFFFFF"/>
              <w:right w:val="single" w:sz="12" w:space="0" w:color="FFFFFF"/>
            </w:tcBorders>
            <w:shd w:val="clear" w:color="000000" w:fill="DBE5F1"/>
            <w:vAlign w:val="center"/>
            <w:hideMark/>
          </w:tcPr>
          <w:p w14:paraId="5F49C0B8" w14:textId="77777777" w:rsidR="00F5246F" w:rsidRPr="00F5246F" w:rsidRDefault="00F5246F" w:rsidP="00F5246F">
            <w:pPr>
              <w:jc w:val="center"/>
              <w:rPr>
                <w:rFonts w:ascii="Calibri" w:eastAsia="Times New Roman" w:hAnsi="Calibri" w:cs="Times New Roman"/>
                <w:color w:val="000000"/>
                <w:sz w:val="18"/>
                <w:szCs w:val="18"/>
              </w:rPr>
            </w:pPr>
            <w:r w:rsidRPr="00F5246F">
              <w:rPr>
                <w:rFonts w:ascii="Calibri" w:eastAsia="Times New Roman" w:hAnsi="Calibri" w:cs="Times New Roman"/>
                <w:color w:val="000000"/>
                <w:sz w:val="18"/>
                <w:szCs w:val="18"/>
              </w:rPr>
              <w:t>Non applicable</w:t>
            </w:r>
          </w:p>
        </w:tc>
        <w:tc>
          <w:tcPr>
            <w:tcW w:w="1300" w:type="dxa"/>
            <w:tcBorders>
              <w:top w:val="nil"/>
              <w:left w:val="nil"/>
              <w:bottom w:val="single" w:sz="12" w:space="0" w:color="FFFFFF"/>
              <w:right w:val="single" w:sz="12" w:space="0" w:color="FFFFFF"/>
            </w:tcBorders>
            <w:shd w:val="clear" w:color="000000" w:fill="DBE5F1"/>
            <w:vAlign w:val="center"/>
            <w:hideMark/>
          </w:tcPr>
          <w:p w14:paraId="2B7344F6" w14:textId="77777777" w:rsidR="00F5246F" w:rsidRPr="00F5246F" w:rsidRDefault="00F5246F" w:rsidP="00F5246F">
            <w:pPr>
              <w:jc w:val="center"/>
              <w:rPr>
                <w:rFonts w:ascii="Calibri" w:eastAsia="Times New Roman" w:hAnsi="Calibri" w:cs="Times New Roman"/>
                <w:color w:val="000000"/>
                <w:sz w:val="18"/>
                <w:szCs w:val="18"/>
              </w:rPr>
            </w:pPr>
            <w:r w:rsidRPr="00F5246F">
              <w:rPr>
                <w:rFonts w:ascii="Calibri" w:eastAsia="Times New Roman" w:hAnsi="Calibri" w:cs="Times New Roman"/>
                <w:color w:val="000000"/>
                <w:sz w:val="18"/>
                <w:szCs w:val="18"/>
              </w:rPr>
              <w:t>Non applicable</w:t>
            </w:r>
          </w:p>
        </w:tc>
        <w:tc>
          <w:tcPr>
            <w:tcW w:w="1300" w:type="dxa"/>
            <w:tcBorders>
              <w:top w:val="nil"/>
              <w:left w:val="nil"/>
              <w:bottom w:val="single" w:sz="12" w:space="0" w:color="FFFFFF"/>
              <w:right w:val="single" w:sz="12" w:space="0" w:color="FFFFFF"/>
            </w:tcBorders>
            <w:shd w:val="clear" w:color="000000" w:fill="DBE5F1"/>
            <w:vAlign w:val="center"/>
            <w:hideMark/>
          </w:tcPr>
          <w:p w14:paraId="00295D59" w14:textId="77777777" w:rsidR="00F5246F" w:rsidRPr="00F5246F" w:rsidRDefault="00F5246F" w:rsidP="00F5246F">
            <w:pPr>
              <w:jc w:val="center"/>
              <w:rPr>
                <w:rFonts w:ascii="Calibri" w:eastAsia="Times New Roman" w:hAnsi="Calibri" w:cs="Times New Roman"/>
                <w:color w:val="000000"/>
                <w:sz w:val="18"/>
                <w:szCs w:val="18"/>
              </w:rPr>
            </w:pPr>
            <w:r w:rsidRPr="00F5246F">
              <w:rPr>
                <w:rFonts w:ascii="Calibri" w:eastAsia="Times New Roman" w:hAnsi="Calibri" w:cs="Times New Roman"/>
                <w:color w:val="000000"/>
                <w:sz w:val="18"/>
                <w:szCs w:val="18"/>
              </w:rPr>
              <w:t>Non applicable</w:t>
            </w:r>
          </w:p>
        </w:tc>
        <w:tc>
          <w:tcPr>
            <w:tcW w:w="1300" w:type="dxa"/>
            <w:tcBorders>
              <w:top w:val="nil"/>
              <w:left w:val="nil"/>
              <w:bottom w:val="single" w:sz="12" w:space="0" w:color="FFFFFF"/>
              <w:right w:val="single" w:sz="12" w:space="0" w:color="FFFFFF"/>
            </w:tcBorders>
            <w:shd w:val="clear" w:color="000000" w:fill="DBE5F1"/>
            <w:vAlign w:val="center"/>
            <w:hideMark/>
          </w:tcPr>
          <w:p w14:paraId="4DEED9DA" w14:textId="77777777" w:rsidR="00F5246F" w:rsidRPr="00F5246F" w:rsidRDefault="00F5246F" w:rsidP="00F5246F">
            <w:pPr>
              <w:jc w:val="center"/>
              <w:rPr>
                <w:rFonts w:ascii="Calibri" w:eastAsia="Times New Roman" w:hAnsi="Calibri" w:cs="Times New Roman"/>
                <w:color w:val="000000"/>
                <w:sz w:val="18"/>
                <w:szCs w:val="18"/>
              </w:rPr>
            </w:pPr>
            <w:r w:rsidRPr="00F5246F">
              <w:rPr>
                <w:rFonts w:ascii="Calibri" w:eastAsia="Times New Roman" w:hAnsi="Calibri" w:cs="Times New Roman"/>
                <w:color w:val="000000"/>
                <w:sz w:val="18"/>
                <w:szCs w:val="18"/>
              </w:rPr>
              <w:t>Non applicable</w:t>
            </w:r>
          </w:p>
        </w:tc>
        <w:tc>
          <w:tcPr>
            <w:tcW w:w="1300" w:type="dxa"/>
            <w:tcBorders>
              <w:top w:val="nil"/>
              <w:left w:val="nil"/>
              <w:bottom w:val="single" w:sz="12" w:space="0" w:color="FFFFFF"/>
              <w:right w:val="single" w:sz="12" w:space="0" w:color="FFFFFF"/>
            </w:tcBorders>
            <w:shd w:val="clear" w:color="000000" w:fill="DBE5F1"/>
            <w:vAlign w:val="center"/>
            <w:hideMark/>
          </w:tcPr>
          <w:p w14:paraId="5F2854B7" w14:textId="77777777" w:rsidR="00F5246F" w:rsidRPr="00F5246F" w:rsidRDefault="00F5246F" w:rsidP="00F5246F">
            <w:pPr>
              <w:jc w:val="center"/>
              <w:rPr>
                <w:rFonts w:ascii="Calibri" w:eastAsia="Times New Roman" w:hAnsi="Calibri" w:cs="Times New Roman"/>
                <w:color w:val="000000"/>
                <w:sz w:val="18"/>
                <w:szCs w:val="18"/>
              </w:rPr>
            </w:pPr>
            <w:r w:rsidRPr="00F5246F">
              <w:rPr>
                <w:rFonts w:ascii="Calibri" w:eastAsia="Times New Roman" w:hAnsi="Calibri" w:cs="Times New Roman"/>
                <w:color w:val="000000"/>
                <w:sz w:val="18"/>
                <w:szCs w:val="18"/>
              </w:rPr>
              <w:t>Non applicable</w:t>
            </w:r>
          </w:p>
        </w:tc>
      </w:tr>
      <w:tr w:rsidR="00F5246F" w:rsidRPr="00F5246F" w14:paraId="30AE1A48" w14:textId="77777777" w:rsidTr="00F5246F">
        <w:trPr>
          <w:trHeight w:val="340"/>
        </w:trPr>
        <w:tc>
          <w:tcPr>
            <w:tcW w:w="2100" w:type="dxa"/>
            <w:tcBorders>
              <w:top w:val="nil"/>
              <w:left w:val="single" w:sz="12" w:space="0" w:color="FFFFFF"/>
              <w:bottom w:val="single" w:sz="12" w:space="0" w:color="FFFFFF"/>
              <w:right w:val="single" w:sz="12" w:space="0" w:color="FFFFFF"/>
            </w:tcBorders>
            <w:shd w:val="clear" w:color="000000" w:fill="DBE5F1"/>
            <w:vAlign w:val="center"/>
            <w:hideMark/>
          </w:tcPr>
          <w:p w14:paraId="1D536BE0" w14:textId="01116824" w:rsidR="00F5246F" w:rsidRPr="00F5246F" w:rsidRDefault="00B22E53" w:rsidP="00F5246F">
            <w:pPr>
              <w:rPr>
                <w:rFonts w:ascii="Calibri" w:eastAsia="Times New Roman" w:hAnsi="Calibri" w:cs="Times New Roman"/>
                <w:color w:val="000000"/>
                <w:sz w:val="18"/>
                <w:szCs w:val="18"/>
              </w:rPr>
            </w:pPr>
            <w:r>
              <w:rPr>
                <w:rFonts w:ascii="Calibri" w:eastAsia="Times New Roman" w:hAnsi="Calibri" w:cs="Times New Roman"/>
                <w:color w:val="000000"/>
                <w:sz w:val="18"/>
                <w:szCs w:val="18"/>
              </w:rPr>
              <w:t>TINAVI</w:t>
            </w:r>
          </w:p>
        </w:tc>
        <w:tc>
          <w:tcPr>
            <w:tcW w:w="1300" w:type="dxa"/>
            <w:tcBorders>
              <w:top w:val="nil"/>
              <w:left w:val="nil"/>
              <w:bottom w:val="single" w:sz="12" w:space="0" w:color="FFFFFF"/>
              <w:right w:val="single" w:sz="12" w:space="0" w:color="FFFFFF"/>
            </w:tcBorders>
            <w:shd w:val="clear" w:color="000000" w:fill="DBE5F1"/>
            <w:vAlign w:val="center"/>
            <w:hideMark/>
          </w:tcPr>
          <w:p w14:paraId="245E3264" w14:textId="77777777" w:rsidR="00F5246F" w:rsidRPr="00F5246F" w:rsidRDefault="00F5246F" w:rsidP="00F5246F">
            <w:pPr>
              <w:jc w:val="center"/>
              <w:rPr>
                <w:rFonts w:ascii="Calibri" w:eastAsia="Times New Roman" w:hAnsi="Calibri" w:cs="Times New Roman"/>
                <w:color w:val="000000"/>
                <w:sz w:val="18"/>
                <w:szCs w:val="18"/>
              </w:rPr>
            </w:pPr>
            <w:r w:rsidRPr="00F5246F">
              <w:rPr>
                <w:rFonts w:ascii="Calibri" w:eastAsia="Times New Roman" w:hAnsi="Calibri" w:cs="Times New Roman"/>
                <w:color w:val="000000"/>
                <w:sz w:val="18"/>
                <w:szCs w:val="18"/>
              </w:rPr>
              <w:t>Non applicable</w:t>
            </w:r>
          </w:p>
        </w:tc>
        <w:tc>
          <w:tcPr>
            <w:tcW w:w="1300" w:type="dxa"/>
            <w:tcBorders>
              <w:top w:val="nil"/>
              <w:left w:val="nil"/>
              <w:bottom w:val="single" w:sz="12" w:space="0" w:color="FFFFFF"/>
              <w:right w:val="single" w:sz="12" w:space="0" w:color="FFFFFF"/>
            </w:tcBorders>
            <w:shd w:val="clear" w:color="000000" w:fill="DBE5F1"/>
            <w:vAlign w:val="center"/>
            <w:hideMark/>
          </w:tcPr>
          <w:p w14:paraId="4CBFDAC7" w14:textId="77777777" w:rsidR="00F5246F" w:rsidRPr="00F5246F" w:rsidRDefault="00F5246F" w:rsidP="00F5246F">
            <w:pPr>
              <w:jc w:val="center"/>
              <w:rPr>
                <w:rFonts w:ascii="Calibri" w:eastAsia="Times New Roman" w:hAnsi="Calibri" w:cs="Times New Roman"/>
                <w:color w:val="000000"/>
                <w:sz w:val="18"/>
                <w:szCs w:val="18"/>
              </w:rPr>
            </w:pPr>
            <w:r w:rsidRPr="00F5246F">
              <w:rPr>
                <w:rFonts w:ascii="Calibri" w:eastAsia="Times New Roman" w:hAnsi="Calibri" w:cs="Times New Roman"/>
                <w:color w:val="000000"/>
                <w:sz w:val="18"/>
                <w:szCs w:val="18"/>
              </w:rPr>
              <w:t>Non applicable</w:t>
            </w:r>
          </w:p>
        </w:tc>
        <w:tc>
          <w:tcPr>
            <w:tcW w:w="1300" w:type="dxa"/>
            <w:tcBorders>
              <w:top w:val="nil"/>
              <w:left w:val="nil"/>
              <w:bottom w:val="single" w:sz="12" w:space="0" w:color="FFFFFF"/>
              <w:right w:val="single" w:sz="12" w:space="0" w:color="FFFFFF"/>
            </w:tcBorders>
            <w:shd w:val="clear" w:color="000000" w:fill="DBE5F1"/>
            <w:vAlign w:val="center"/>
            <w:hideMark/>
          </w:tcPr>
          <w:p w14:paraId="7738E3D3" w14:textId="77777777" w:rsidR="00F5246F" w:rsidRPr="00F5246F" w:rsidRDefault="00F5246F" w:rsidP="00F5246F">
            <w:pPr>
              <w:jc w:val="center"/>
              <w:rPr>
                <w:rFonts w:ascii="Calibri" w:eastAsia="Times New Roman" w:hAnsi="Calibri" w:cs="Times New Roman"/>
                <w:color w:val="000000"/>
                <w:sz w:val="18"/>
                <w:szCs w:val="18"/>
              </w:rPr>
            </w:pPr>
            <w:r w:rsidRPr="00F5246F">
              <w:rPr>
                <w:rFonts w:ascii="Calibri" w:eastAsia="Times New Roman" w:hAnsi="Calibri" w:cs="Times New Roman"/>
                <w:color w:val="000000"/>
                <w:sz w:val="18"/>
                <w:szCs w:val="18"/>
              </w:rPr>
              <w:t>Non applicable</w:t>
            </w:r>
          </w:p>
        </w:tc>
        <w:tc>
          <w:tcPr>
            <w:tcW w:w="1300" w:type="dxa"/>
            <w:tcBorders>
              <w:top w:val="nil"/>
              <w:left w:val="nil"/>
              <w:bottom w:val="single" w:sz="12" w:space="0" w:color="FFFFFF"/>
              <w:right w:val="single" w:sz="12" w:space="0" w:color="FFFFFF"/>
            </w:tcBorders>
            <w:shd w:val="clear" w:color="000000" w:fill="DBE5F1"/>
            <w:vAlign w:val="center"/>
            <w:hideMark/>
          </w:tcPr>
          <w:p w14:paraId="5C890631" w14:textId="77777777" w:rsidR="00F5246F" w:rsidRPr="00F5246F" w:rsidRDefault="00F5246F" w:rsidP="00F5246F">
            <w:pPr>
              <w:jc w:val="center"/>
              <w:rPr>
                <w:rFonts w:ascii="Calibri" w:eastAsia="Times New Roman" w:hAnsi="Calibri" w:cs="Times New Roman"/>
                <w:color w:val="000000"/>
                <w:sz w:val="18"/>
                <w:szCs w:val="18"/>
              </w:rPr>
            </w:pPr>
            <w:r w:rsidRPr="00F5246F">
              <w:rPr>
                <w:rFonts w:ascii="Calibri" w:eastAsia="Times New Roman" w:hAnsi="Calibri" w:cs="Times New Roman"/>
                <w:color w:val="000000"/>
                <w:sz w:val="18"/>
                <w:szCs w:val="18"/>
              </w:rPr>
              <w:t>Non applicable</w:t>
            </w:r>
          </w:p>
        </w:tc>
        <w:tc>
          <w:tcPr>
            <w:tcW w:w="1300" w:type="dxa"/>
            <w:tcBorders>
              <w:top w:val="nil"/>
              <w:left w:val="nil"/>
              <w:bottom w:val="single" w:sz="12" w:space="0" w:color="FFFFFF"/>
              <w:right w:val="single" w:sz="12" w:space="0" w:color="FFFFFF"/>
            </w:tcBorders>
            <w:shd w:val="clear" w:color="000000" w:fill="DBE5F1"/>
            <w:vAlign w:val="center"/>
            <w:hideMark/>
          </w:tcPr>
          <w:p w14:paraId="0FBF7F6A" w14:textId="77777777" w:rsidR="00F5246F" w:rsidRPr="00F5246F" w:rsidRDefault="00F5246F" w:rsidP="00F5246F">
            <w:pPr>
              <w:jc w:val="center"/>
              <w:rPr>
                <w:rFonts w:ascii="Calibri" w:eastAsia="Times New Roman" w:hAnsi="Calibri" w:cs="Times New Roman"/>
                <w:color w:val="000000"/>
                <w:sz w:val="18"/>
                <w:szCs w:val="18"/>
              </w:rPr>
            </w:pPr>
            <w:r w:rsidRPr="00F5246F">
              <w:rPr>
                <w:rFonts w:ascii="Calibri" w:eastAsia="Times New Roman" w:hAnsi="Calibri" w:cs="Times New Roman"/>
                <w:color w:val="000000"/>
                <w:sz w:val="18"/>
                <w:szCs w:val="18"/>
              </w:rPr>
              <w:t>Non applicable</w:t>
            </w:r>
          </w:p>
        </w:tc>
        <w:tc>
          <w:tcPr>
            <w:tcW w:w="1300" w:type="dxa"/>
            <w:tcBorders>
              <w:top w:val="nil"/>
              <w:left w:val="nil"/>
              <w:bottom w:val="single" w:sz="12" w:space="0" w:color="FFFFFF"/>
              <w:right w:val="single" w:sz="12" w:space="0" w:color="FFFFFF"/>
            </w:tcBorders>
            <w:shd w:val="clear" w:color="000000" w:fill="DBE5F1"/>
            <w:vAlign w:val="center"/>
            <w:hideMark/>
          </w:tcPr>
          <w:p w14:paraId="4087B16B" w14:textId="77777777" w:rsidR="00F5246F" w:rsidRPr="00F5246F" w:rsidRDefault="00F5246F" w:rsidP="00F5246F">
            <w:pPr>
              <w:jc w:val="center"/>
              <w:rPr>
                <w:rFonts w:ascii="Calibri" w:eastAsia="Times New Roman" w:hAnsi="Calibri" w:cs="Times New Roman"/>
                <w:color w:val="000000"/>
                <w:sz w:val="18"/>
                <w:szCs w:val="18"/>
              </w:rPr>
            </w:pPr>
            <w:r w:rsidRPr="00F5246F">
              <w:rPr>
                <w:rFonts w:ascii="Calibri" w:eastAsia="Times New Roman" w:hAnsi="Calibri" w:cs="Times New Roman"/>
                <w:color w:val="000000"/>
                <w:sz w:val="18"/>
                <w:szCs w:val="18"/>
              </w:rPr>
              <w:t>Non applicable</w:t>
            </w:r>
          </w:p>
        </w:tc>
      </w:tr>
      <w:tr w:rsidR="00F5246F" w:rsidRPr="00F5246F" w14:paraId="6C559BB4" w14:textId="77777777" w:rsidTr="00F5246F">
        <w:trPr>
          <w:trHeight w:val="340"/>
        </w:trPr>
        <w:tc>
          <w:tcPr>
            <w:tcW w:w="2100" w:type="dxa"/>
            <w:tcBorders>
              <w:top w:val="nil"/>
              <w:left w:val="single" w:sz="12" w:space="0" w:color="FFFFFF"/>
              <w:bottom w:val="single" w:sz="12" w:space="0" w:color="FFFFFF"/>
              <w:right w:val="single" w:sz="12" w:space="0" w:color="FFFFFF"/>
            </w:tcBorders>
            <w:shd w:val="clear" w:color="000000" w:fill="B8CCE4"/>
            <w:vAlign w:val="center"/>
            <w:hideMark/>
          </w:tcPr>
          <w:p w14:paraId="22330FC7" w14:textId="77777777" w:rsidR="00F5246F" w:rsidRPr="00F5246F" w:rsidRDefault="00F5246F" w:rsidP="00F5246F">
            <w:pPr>
              <w:rPr>
                <w:rFonts w:ascii="Calibri" w:eastAsia="Times New Roman" w:hAnsi="Calibri" w:cs="Times New Roman"/>
                <w:b/>
                <w:bCs/>
                <w:color w:val="000000"/>
                <w:sz w:val="18"/>
                <w:szCs w:val="18"/>
              </w:rPr>
            </w:pPr>
            <w:r w:rsidRPr="00F5246F">
              <w:rPr>
                <w:rFonts w:ascii="Calibri" w:eastAsia="Times New Roman" w:hAnsi="Calibri" w:cs="Times New Roman"/>
                <w:b/>
                <w:bCs/>
                <w:color w:val="000000"/>
                <w:sz w:val="18"/>
                <w:szCs w:val="18"/>
              </w:rPr>
              <w:t xml:space="preserve">Total </w:t>
            </w:r>
          </w:p>
        </w:tc>
        <w:tc>
          <w:tcPr>
            <w:tcW w:w="1300" w:type="dxa"/>
            <w:tcBorders>
              <w:top w:val="nil"/>
              <w:left w:val="nil"/>
              <w:bottom w:val="single" w:sz="12" w:space="0" w:color="FFFFFF"/>
              <w:right w:val="single" w:sz="12" w:space="0" w:color="FFFFFF"/>
            </w:tcBorders>
            <w:shd w:val="clear" w:color="000000" w:fill="B8CCE4"/>
            <w:vAlign w:val="center"/>
            <w:hideMark/>
          </w:tcPr>
          <w:p w14:paraId="1BF1140C" w14:textId="77777777" w:rsidR="00F5246F" w:rsidRPr="00F5246F" w:rsidRDefault="00F5246F" w:rsidP="00F5246F">
            <w:pPr>
              <w:jc w:val="center"/>
              <w:rPr>
                <w:rFonts w:ascii="Calibri" w:eastAsia="Times New Roman" w:hAnsi="Calibri" w:cs="Times New Roman"/>
                <w:b/>
                <w:bCs/>
                <w:color w:val="000000"/>
                <w:sz w:val="18"/>
                <w:szCs w:val="18"/>
              </w:rPr>
            </w:pPr>
            <w:r w:rsidRPr="00F5246F">
              <w:rPr>
                <w:rFonts w:ascii="Calibri" w:eastAsia="Times New Roman" w:hAnsi="Calibri" w:cs="Times New Roman"/>
                <w:b/>
                <w:bCs/>
                <w:color w:val="000000"/>
                <w:sz w:val="18"/>
                <w:szCs w:val="18"/>
              </w:rPr>
              <w:t>Non applicable</w:t>
            </w:r>
          </w:p>
        </w:tc>
        <w:tc>
          <w:tcPr>
            <w:tcW w:w="1300" w:type="dxa"/>
            <w:tcBorders>
              <w:top w:val="nil"/>
              <w:left w:val="nil"/>
              <w:bottom w:val="single" w:sz="12" w:space="0" w:color="FFFFFF"/>
              <w:right w:val="single" w:sz="12" w:space="0" w:color="FFFFFF"/>
            </w:tcBorders>
            <w:shd w:val="clear" w:color="000000" w:fill="B8CCE4"/>
            <w:vAlign w:val="center"/>
            <w:hideMark/>
          </w:tcPr>
          <w:p w14:paraId="0A9AC02B" w14:textId="77777777" w:rsidR="00F5246F" w:rsidRPr="00F5246F" w:rsidRDefault="00F5246F" w:rsidP="00F5246F">
            <w:pPr>
              <w:jc w:val="center"/>
              <w:rPr>
                <w:rFonts w:ascii="Calibri" w:eastAsia="Times New Roman" w:hAnsi="Calibri" w:cs="Times New Roman"/>
                <w:b/>
                <w:bCs/>
                <w:color w:val="000000"/>
                <w:sz w:val="18"/>
                <w:szCs w:val="18"/>
              </w:rPr>
            </w:pPr>
            <w:r w:rsidRPr="00F5246F">
              <w:rPr>
                <w:rFonts w:ascii="Calibri" w:eastAsia="Times New Roman" w:hAnsi="Calibri" w:cs="Times New Roman"/>
                <w:b/>
                <w:bCs/>
                <w:color w:val="000000"/>
                <w:sz w:val="18"/>
                <w:szCs w:val="18"/>
              </w:rPr>
              <w:t>Non applicable</w:t>
            </w:r>
          </w:p>
        </w:tc>
        <w:tc>
          <w:tcPr>
            <w:tcW w:w="1300" w:type="dxa"/>
            <w:tcBorders>
              <w:top w:val="nil"/>
              <w:left w:val="nil"/>
              <w:bottom w:val="single" w:sz="12" w:space="0" w:color="FFFFFF"/>
              <w:right w:val="single" w:sz="12" w:space="0" w:color="FFFFFF"/>
            </w:tcBorders>
            <w:shd w:val="clear" w:color="000000" w:fill="B8CCE4"/>
            <w:vAlign w:val="center"/>
            <w:hideMark/>
          </w:tcPr>
          <w:p w14:paraId="6DCAE0C0" w14:textId="77777777" w:rsidR="00F5246F" w:rsidRPr="00F5246F" w:rsidRDefault="00F5246F" w:rsidP="00F5246F">
            <w:pPr>
              <w:jc w:val="center"/>
              <w:rPr>
                <w:rFonts w:ascii="Calibri" w:eastAsia="Times New Roman" w:hAnsi="Calibri" w:cs="Times New Roman"/>
                <w:b/>
                <w:bCs/>
                <w:color w:val="000000"/>
                <w:sz w:val="18"/>
                <w:szCs w:val="18"/>
              </w:rPr>
            </w:pPr>
            <w:r w:rsidRPr="00F5246F">
              <w:rPr>
                <w:rFonts w:ascii="Calibri" w:eastAsia="Times New Roman" w:hAnsi="Calibri" w:cs="Times New Roman"/>
                <w:b/>
                <w:bCs/>
                <w:color w:val="000000"/>
                <w:sz w:val="18"/>
                <w:szCs w:val="18"/>
              </w:rPr>
              <w:t>Non applicable</w:t>
            </w:r>
          </w:p>
        </w:tc>
        <w:tc>
          <w:tcPr>
            <w:tcW w:w="1300" w:type="dxa"/>
            <w:tcBorders>
              <w:top w:val="nil"/>
              <w:left w:val="nil"/>
              <w:bottom w:val="single" w:sz="12" w:space="0" w:color="FFFFFF"/>
              <w:right w:val="single" w:sz="12" w:space="0" w:color="FFFFFF"/>
            </w:tcBorders>
            <w:shd w:val="clear" w:color="000000" w:fill="B8CCE4"/>
            <w:vAlign w:val="center"/>
            <w:hideMark/>
          </w:tcPr>
          <w:p w14:paraId="1B1D0942" w14:textId="77777777" w:rsidR="00F5246F" w:rsidRPr="00F5246F" w:rsidRDefault="00F5246F" w:rsidP="00F5246F">
            <w:pPr>
              <w:jc w:val="center"/>
              <w:rPr>
                <w:rFonts w:ascii="Calibri" w:eastAsia="Times New Roman" w:hAnsi="Calibri" w:cs="Times New Roman"/>
                <w:b/>
                <w:bCs/>
                <w:color w:val="000000"/>
                <w:sz w:val="18"/>
                <w:szCs w:val="18"/>
              </w:rPr>
            </w:pPr>
            <w:r w:rsidRPr="00F5246F">
              <w:rPr>
                <w:rFonts w:ascii="Calibri" w:eastAsia="Times New Roman" w:hAnsi="Calibri" w:cs="Times New Roman"/>
                <w:b/>
                <w:bCs/>
                <w:color w:val="000000"/>
                <w:sz w:val="18"/>
                <w:szCs w:val="18"/>
              </w:rPr>
              <w:t>Non applicable</w:t>
            </w:r>
          </w:p>
        </w:tc>
        <w:tc>
          <w:tcPr>
            <w:tcW w:w="1300" w:type="dxa"/>
            <w:tcBorders>
              <w:top w:val="nil"/>
              <w:left w:val="nil"/>
              <w:bottom w:val="single" w:sz="12" w:space="0" w:color="FFFFFF"/>
              <w:right w:val="single" w:sz="12" w:space="0" w:color="FFFFFF"/>
            </w:tcBorders>
            <w:shd w:val="clear" w:color="000000" w:fill="B8CCE4"/>
            <w:vAlign w:val="center"/>
            <w:hideMark/>
          </w:tcPr>
          <w:p w14:paraId="43F8E4D8" w14:textId="77777777" w:rsidR="00F5246F" w:rsidRPr="00F5246F" w:rsidRDefault="00F5246F" w:rsidP="00F5246F">
            <w:pPr>
              <w:jc w:val="center"/>
              <w:rPr>
                <w:rFonts w:ascii="Calibri" w:eastAsia="Times New Roman" w:hAnsi="Calibri" w:cs="Times New Roman"/>
                <w:b/>
                <w:bCs/>
                <w:color w:val="000000"/>
                <w:sz w:val="18"/>
                <w:szCs w:val="18"/>
              </w:rPr>
            </w:pPr>
            <w:r w:rsidRPr="00F5246F">
              <w:rPr>
                <w:rFonts w:ascii="Calibri" w:eastAsia="Times New Roman" w:hAnsi="Calibri" w:cs="Times New Roman"/>
                <w:b/>
                <w:bCs/>
                <w:color w:val="000000"/>
                <w:sz w:val="18"/>
                <w:szCs w:val="18"/>
              </w:rPr>
              <w:t>Non applicable</w:t>
            </w:r>
          </w:p>
        </w:tc>
        <w:tc>
          <w:tcPr>
            <w:tcW w:w="1300" w:type="dxa"/>
            <w:tcBorders>
              <w:top w:val="nil"/>
              <w:left w:val="nil"/>
              <w:bottom w:val="single" w:sz="12" w:space="0" w:color="FFFFFF"/>
              <w:right w:val="single" w:sz="12" w:space="0" w:color="FFFFFF"/>
            </w:tcBorders>
            <w:shd w:val="clear" w:color="000000" w:fill="B8CCE4"/>
            <w:vAlign w:val="center"/>
            <w:hideMark/>
          </w:tcPr>
          <w:p w14:paraId="3E701154" w14:textId="77777777" w:rsidR="00F5246F" w:rsidRPr="00F5246F" w:rsidRDefault="00F5246F" w:rsidP="00F5246F">
            <w:pPr>
              <w:jc w:val="center"/>
              <w:rPr>
                <w:rFonts w:ascii="Calibri" w:eastAsia="Times New Roman" w:hAnsi="Calibri" w:cs="Times New Roman"/>
                <w:b/>
                <w:bCs/>
                <w:color w:val="000000"/>
                <w:sz w:val="18"/>
                <w:szCs w:val="18"/>
              </w:rPr>
            </w:pPr>
            <w:r w:rsidRPr="00F5246F">
              <w:rPr>
                <w:rFonts w:ascii="Calibri" w:eastAsia="Times New Roman" w:hAnsi="Calibri" w:cs="Times New Roman"/>
                <w:b/>
                <w:bCs/>
                <w:color w:val="000000"/>
                <w:sz w:val="18"/>
                <w:szCs w:val="18"/>
              </w:rPr>
              <w:t>Non applicable</w:t>
            </w:r>
          </w:p>
        </w:tc>
      </w:tr>
    </w:tbl>
    <w:p w14:paraId="7D6C759B" w14:textId="77777777" w:rsidR="00F5246F" w:rsidRDefault="00F5246F" w:rsidP="00F5246F">
      <w:pPr>
        <w:rPr>
          <w:b/>
        </w:rPr>
      </w:pPr>
    </w:p>
    <w:p w14:paraId="6A5FBC78" w14:textId="77777777" w:rsidR="00F5246F" w:rsidRDefault="00F5246F" w:rsidP="00F5246F">
      <w:pPr>
        <w:rPr>
          <w:b/>
        </w:rPr>
      </w:pPr>
    </w:p>
    <w:p w14:paraId="03972674" w14:textId="2CE58D5A" w:rsidR="00F5246F" w:rsidRDefault="00F5246F" w:rsidP="00F5246F">
      <w:pPr>
        <w:rPr>
          <w:b/>
        </w:rPr>
      </w:pPr>
      <w:r>
        <w:rPr>
          <w:b/>
        </w:rPr>
        <w:t>Tableau n°7 :</w:t>
      </w:r>
    </w:p>
    <w:p w14:paraId="75CE3A15" w14:textId="77777777" w:rsidR="00F5246F" w:rsidRDefault="00F5246F" w:rsidP="00F5246F">
      <w:pPr>
        <w:rPr>
          <w:b/>
        </w:rPr>
      </w:pPr>
    </w:p>
    <w:tbl>
      <w:tblPr>
        <w:tblW w:w="9900" w:type="dxa"/>
        <w:tblInd w:w="55" w:type="dxa"/>
        <w:tblCellMar>
          <w:left w:w="70" w:type="dxa"/>
          <w:right w:w="70" w:type="dxa"/>
        </w:tblCellMar>
        <w:tblLook w:val="04A0" w:firstRow="1" w:lastRow="0" w:firstColumn="1" w:lastColumn="0" w:noHBand="0" w:noVBand="1"/>
      </w:tblPr>
      <w:tblGrid>
        <w:gridCol w:w="2100"/>
        <w:gridCol w:w="2600"/>
        <w:gridCol w:w="2600"/>
        <w:gridCol w:w="2600"/>
      </w:tblGrid>
      <w:tr w:rsidR="00F5246F" w:rsidRPr="00F5246F" w14:paraId="3BF87ED0" w14:textId="77777777" w:rsidTr="00F5246F">
        <w:trPr>
          <w:trHeight w:val="320"/>
        </w:trPr>
        <w:tc>
          <w:tcPr>
            <w:tcW w:w="9900" w:type="dxa"/>
            <w:gridSpan w:val="4"/>
            <w:tcBorders>
              <w:top w:val="nil"/>
              <w:left w:val="single" w:sz="12" w:space="0" w:color="FFFFFF"/>
              <w:bottom w:val="single" w:sz="12" w:space="0" w:color="FFFFFF"/>
              <w:right w:val="nil"/>
            </w:tcBorders>
            <w:shd w:val="clear" w:color="000000" w:fill="365F91"/>
            <w:vAlign w:val="center"/>
            <w:hideMark/>
          </w:tcPr>
          <w:p w14:paraId="2E34D5BD" w14:textId="77777777" w:rsidR="00F5246F" w:rsidRPr="00F5246F" w:rsidRDefault="00F5246F" w:rsidP="00F5246F">
            <w:pPr>
              <w:jc w:val="center"/>
              <w:rPr>
                <w:rFonts w:ascii="Calibri" w:eastAsia="Times New Roman" w:hAnsi="Calibri" w:cs="Times New Roman"/>
                <w:b/>
                <w:bCs/>
                <w:color w:val="FFFFFF"/>
                <w:sz w:val="18"/>
                <w:szCs w:val="18"/>
              </w:rPr>
            </w:pPr>
            <w:r w:rsidRPr="00F5246F">
              <w:rPr>
                <w:rFonts w:ascii="Calibri" w:eastAsia="Times New Roman" w:hAnsi="Calibri" w:cs="Times New Roman"/>
                <w:b/>
                <w:bCs/>
                <w:color w:val="FFFFFF"/>
                <w:sz w:val="18"/>
                <w:szCs w:val="18"/>
              </w:rPr>
              <w:t>Actions attribuées gratuitement devenues disponibles pour chaque mandataire social</w:t>
            </w:r>
          </w:p>
        </w:tc>
      </w:tr>
      <w:tr w:rsidR="00F5246F" w:rsidRPr="00F5246F" w14:paraId="2915BAD8" w14:textId="77777777" w:rsidTr="00F5246F">
        <w:trPr>
          <w:trHeight w:val="500"/>
        </w:trPr>
        <w:tc>
          <w:tcPr>
            <w:tcW w:w="2100" w:type="dxa"/>
            <w:tcBorders>
              <w:top w:val="nil"/>
              <w:left w:val="single" w:sz="12" w:space="0" w:color="FFFFFF"/>
              <w:bottom w:val="nil"/>
              <w:right w:val="single" w:sz="12" w:space="0" w:color="FFFFFF"/>
            </w:tcBorders>
            <w:shd w:val="clear" w:color="000000" w:fill="365F91"/>
            <w:vAlign w:val="center"/>
            <w:hideMark/>
          </w:tcPr>
          <w:p w14:paraId="4725D285" w14:textId="1982C887" w:rsidR="00F5246F" w:rsidRPr="00F5246F" w:rsidRDefault="00F5246F" w:rsidP="00F5246F">
            <w:pPr>
              <w:jc w:val="center"/>
              <w:rPr>
                <w:rFonts w:ascii="Calibri" w:eastAsia="Times New Roman" w:hAnsi="Calibri" w:cs="Times New Roman"/>
                <w:b/>
                <w:bCs/>
                <w:color w:val="FFFFFF"/>
                <w:sz w:val="18"/>
                <w:szCs w:val="18"/>
              </w:rPr>
            </w:pPr>
            <w:r w:rsidRPr="00F5246F">
              <w:rPr>
                <w:rFonts w:ascii="Calibri" w:eastAsia="Times New Roman" w:hAnsi="Calibri" w:cs="Times New Roman"/>
                <w:b/>
                <w:bCs/>
                <w:color w:val="FFFFFF"/>
                <w:sz w:val="18"/>
                <w:szCs w:val="18"/>
              </w:rPr>
              <w:t xml:space="preserve">Nom </w:t>
            </w:r>
            <w:r w:rsidR="00051CA0" w:rsidRPr="00F5246F">
              <w:rPr>
                <w:rFonts w:ascii="Calibri" w:eastAsia="Times New Roman" w:hAnsi="Calibri" w:cs="Times New Roman"/>
                <w:b/>
                <w:bCs/>
                <w:color w:val="FFFFFF"/>
                <w:sz w:val="18"/>
                <w:szCs w:val="18"/>
              </w:rPr>
              <w:t>du mandataire</w:t>
            </w:r>
            <w:r w:rsidRPr="00F5246F">
              <w:rPr>
                <w:rFonts w:ascii="Calibri" w:eastAsia="Times New Roman" w:hAnsi="Calibri" w:cs="Times New Roman"/>
                <w:b/>
                <w:bCs/>
                <w:color w:val="FFFFFF"/>
                <w:sz w:val="18"/>
                <w:szCs w:val="18"/>
              </w:rPr>
              <w:t xml:space="preserve"> social</w:t>
            </w:r>
          </w:p>
        </w:tc>
        <w:tc>
          <w:tcPr>
            <w:tcW w:w="2600" w:type="dxa"/>
            <w:tcBorders>
              <w:top w:val="single" w:sz="12" w:space="0" w:color="FFFFFF"/>
              <w:left w:val="nil"/>
              <w:bottom w:val="nil"/>
              <w:right w:val="single" w:sz="12" w:space="0" w:color="FFFFFF"/>
            </w:tcBorders>
            <w:shd w:val="clear" w:color="000000" w:fill="365F91"/>
            <w:vAlign w:val="center"/>
            <w:hideMark/>
          </w:tcPr>
          <w:p w14:paraId="110A13CF" w14:textId="77777777" w:rsidR="00F5246F" w:rsidRPr="00F5246F" w:rsidRDefault="00F5246F" w:rsidP="00F5246F">
            <w:pPr>
              <w:jc w:val="center"/>
              <w:rPr>
                <w:rFonts w:ascii="Calibri" w:eastAsia="Times New Roman" w:hAnsi="Calibri" w:cs="Times New Roman"/>
                <w:b/>
                <w:bCs/>
                <w:color w:val="FFFFFF"/>
                <w:sz w:val="18"/>
                <w:szCs w:val="18"/>
              </w:rPr>
            </w:pPr>
            <w:r w:rsidRPr="00F5246F">
              <w:rPr>
                <w:rFonts w:ascii="Calibri" w:eastAsia="Times New Roman" w:hAnsi="Calibri" w:cs="Times New Roman"/>
                <w:b/>
                <w:bCs/>
                <w:color w:val="FFFFFF"/>
                <w:sz w:val="18"/>
                <w:szCs w:val="18"/>
              </w:rPr>
              <w:t>N° et date du plan</w:t>
            </w:r>
          </w:p>
        </w:tc>
        <w:tc>
          <w:tcPr>
            <w:tcW w:w="2600" w:type="dxa"/>
            <w:tcBorders>
              <w:top w:val="single" w:sz="12" w:space="0" w:color="FFFFFF"/>
              <w:left w:val="nil"/>
              <w:bottom w:val="nil"/>
              <w:right w:val="single" w:sz="12" w:space="0" w:color="FFFFFF"/>
            </w:tcBorders>
            <w:shd w:val="clear" w:color="000000" w:fill="365F91"/>
            <w:vAlign w:val="center"/>
            <w:hideMark/>
          </w:tcPr>
          <w:p w14:paraId="4AA6975C" w14:textId="77777777" w:rsidR="00F5246F" w:rsidRPr="00F5246F" w:rsidRDefault="00F5246F" w:rsidP="00F5246F">
            <w:pPr>
              <w:jc w:val="center"/>
              <w:rPr>
                <w:rFonts w:ascii="Calibri" w:eastAsia="Times New Roman" w:hAnsi="Calibri" w:cs="Times New Roman"/>
                <w:b/>
                <w:bCs/>
                <w:color w:val="FFFFFF"/>
                <w:sz w:val="18"/>
                <w:szCs w:val="18"/>
              </w:rPr>
            </w:pPr>
            <w:r w:rsidRPr="00F5246F">
              <w:rPr>
                <w:rFonts w:ascii="Calibri" w:eastAsia="Times New Roman" w:hAnsi="Calibri" w:cs="Times New Roman"/>
                <w:b/>
                <w:bCs/>
                <w:color w:val="FFFFFF"/>
                <w:sz w:val="18"/>
                <w:szCs w:val="18"/>
              </w:rPr>
              <w:t>Nombre d'actions devenues disponibles durant l'exercice</w:t>
            </w:r>
          </w:p>
        </w:tc>
        <w:tc>
          <w:tcPr>
            <w:tcW w:w="2600" w:type="dxa"/>
            <w:tcBorders>
              <w:top w:val="single" w:sz="12" w:space="0" w:color="FFFFFF"/>
              <w:left w:val="nil"/>
              <w:bottom w:val="nil"/>
              <w:right w:val="single" w:sz="12" w:space="0" w:color="FFFFFF"/>
            </w:tcBorders>
            <w:shd w:val="clear" w:color="000000" w:fill="365F91"/>
            <w:vAlign w:val="center"/>
            <w:hideMark/>
          </w:tcPr>
          <w:p w14:paraId="74096FDF" w14:textId="77777777" w:rsidR="00F5246F" w:rsidRPr="00F5246F" w:rsidRDefault="00F5246F" w:rsidP="00F5246F">
            <w:pPr>
              <w:jc w:val="center"/>
              <w:rPr>
                <w:rFonts w:ascii="Calibri" w:eastAsia="Times New Roman" w:hAnsi="Calibri" w:cs="Times New Roman"/>
                <w:b/>
                <w:bCs/>
                <w:color w:val="FFFFFF"/>
                <w:sz w:val="18"/>
                <w:szCs w:val="18"/>
              </w:rPr>
            </w:pPr>
            <w:r w:rsidRPr="00F5246F">
              <w:rPr>
                <w:rFonts w:ascii="Calibri" w:eastAsia="Times New Roman" w:hAnsi="Calibri" w:cs="Times New Roman"/>
                <w:b/>
                <w:bCs/>
                <w:color w:val="FFFFFF"/>
                <w:sz w:val="18"/>
                <w:szCs w:val="18"/>
              </w:rPr>
              <w:t>Conditions d'acquisition</w:t>
            </w:r>
          </w:p>
        </w:tc>
      </w:tr>
      <w:tr w:rsidR="00F5246F" w:rsidRPr="00F5246F" w14:paraId="71D75DDE" w14:textId="77777777" w:rsidTr="00F5246F">
        <w:trPr>
          <w:trHeight w:val="320"/>
        </w:trPr>
        <w:tc>
          <w:tcPr>
            <w:tcW w:w="2100" w:type="dxa"/>
            <w:tcBorders>
              <w:top w:val="nil"/>
              <w:left w:val="single" w:sz="12" w:space="0" w:color="FFFFFF"/>
              <w:bottom w:val="single" w:sz="12" w:space="0" w:color="FFFFFF"/>
              <w:right w:val="single" w:sz="12" w:space="0" w:color="FFFFFF"/>
            </w:tcBorders>
            <w:shd w:val="clear" w:color="000000" w:fill="DBE5F1"/>
            <w:vAlign w:val="center"/>
            <w:hideMark/>
          </w:tcPr>
          <w:p w14:paraId="41ADBB9F" w14:textId="77777777" w:rsidR="00F5246F" w:rsidRPr="00F5246F" w:rsidRDefault="00F5246F" w:rsidP="00F5246F">
            <w:pPr>
              <w:rPr>
                <w:rFonts w:ascii="Calibri" w:eastAsia="Times New Roman" w:hAnsi="Calibri" w:cs="Times New Roman"/>
                <w:color w:val="000000"/>
                <w:sz w:val="18"/>
                <w:szCs w:val="18"/>
              </w:rPr>
            </w:pPr>
            <w:r w:rsidRPr="00F5246F">
              <w:rPr>
                <w:rFonts w:ascii="Calibri" w:eastAsia="Times New Roman" w:hAnsi="Calibri" w:cs="Times New Roman"/>
                <w:color w:val="000000"/>
                <w:sz w:val="18"/>
                <w:szCs w:val="18"/>
              </w:rPr>
              <w:t>Stéphane Le Roux</w:t>
            </w:r>
          </w:p>
        </w:tc>
        <w:tc>
          <w:tcPr>
            <w:tcW w:w="2600" w:type="dxa"/>
            <w:tcBorders>
              <w:top w:val="nil"/>
              <w:left w:val="nil"/>
              <w:bottom w:val="single" w:sz="12" w:space="0" w:color="FFFFFF"/>
              <w:right w:val="single" w:sz="12" w:space="0" w:color="FFFFFF"/>
            </w:tcBorders>
            <w:shd w:val="clear" w:color="000000" w:fill="DBE5F1"/>
            <w:vAlign w:val="center"/>
            <w:hideMark/>
          </w:tcPr>
          <w:p w14:paraId="4103A3B8" w14:textId="77777777" w:rsidR="00F5246F" w:rsidRPr="00F5246F" w:rsidRDefault="00F5246F" w:rsidP="00F5246F">
            <w:pPr>
              <w:jc w:val="center"/>
              <w:rPr>
                <w:rFonts w:ascii="Calibri" w:eastAsia="Times New Roman" w:hAnsi="Calibri" w:cs="Times New Roman"/>
                <w:color w:val="000000"/>
                <w:sz w:val="18"/>
                <w:szCs w:val="18"/>
              </w:rPr>
            </w:pPr>
            <w:r w:rsidRPr="00F5246F">
              <w:rPr>
                <w:rFonts w:ascii="Calibri" w:eastAsia="Times New Roman" w:hAnsi="Calibri" w:cs="Times New Roman"/>
                <w:color w:val="000000"/>
                <w:sz w:val="18"/>
                <w:szCs w:val="18"/>
              </w:rPr>
              <w:t>Non applicable</w:t>
            </w:r>
          </w:p>
        </w:tc>
        <w:tc>
          <w:tcPr>
            <w:tcW w:w="2600" w:type="dxa"/>
            <w:tcBorders>
              <w:top w:val="nil"/>
              <w:left w:val="nil"/>
              <w:bottom w:val="single" w:sz="12" w:space="0" w:color="FFFFFF"/>
              <w:right w:val="single" w:sz="12" w:space="0" w:color="FFFFFF"/>
            </w:tcBorders>
            <w:shd w:val="clear" w:color="000000" w:fill="DBE5F1"/>
            <w:vAlign w:val="center"/>
            <w:hideMark/>
          </w:tcPr>
          <w:p w14:paraId="43ACA555" w14:textId="77777777" w:rsidR="00F5246F" w:rsidRPr="00F5246F" w:rsidRDefault="00F5246F" w:rsidP="00F5246F">
            <w:pPr>
              <w:jc w:val="center"/>
              <w:rPr>
                <w:rFonts w:ascii="Calibri" w:eastAsia="Times New Roman" w:hAnsi="Calibri" w:cs="Times New Roman"/>
                <w:color w:val="000000"/>
                <w:sz w:val="18"/>
                <w:szCs w:val="18"/>
              </w:rPr>
            </w:pPr>
            <w:r w:rsidRPr="00F5246F">
              <w:rPr>
                <w:rFonts w:ascii="Calibri" w:eastAsia="Times New Roman" w:hAnsi="Calibri" w:cs="Times New Roman"/>
                <w:color w:val="000000"/>
                <w:sz w:val="18"/>
                <w:szCs w:val="18"/>
              </w:rPr>
              <w:t>Non applicable</w:t>
            </w:r>
          </w:p>
        </w:tc>
        <w:tc>
          <w:tcPr>
            <w:tcW w:w="2600" w:type="dxa"/>
            <w:tcBorders>
              <w:top w:val="nil"/>
              <w:left w:val="nil"/>
              <w:bottom w:val="single" w:sz="12" w:space="0" w:color="FFFFFF"/>
              <w:right w:val="single" w:sz="12" w:space="0" w:color="FFFFFF"/>
            </w:tcBorders>
            <w:shd w:val="clear" w:color="000000" w:fill="DBE5F1"/>
            <w:vAlign w:val="center"/>
            <w:hideMark/>
          </w:tcPr>
          <w:p w14:paraId="514F7F66" w14:textId="77777777" w:rsidR="00F5246F" w:rsidRPr="00F5246F" w:rsidRDefault="00F5246F" w:rsidP="00F5246F">
            <w:pPr>
              <w:jc w:val="center"/>
              <w:rPr>
                <w:rFonts w:ascii="Calibri" w:eastAsia="Times New Roman" w:hAnsi="Calibri" w:cs="Times New Roman"/>
                <w:color w:val="000000"/>
                <w:sz w:val="18"/>
                <w:szCs w:val="18"/>
              </w:rPr>
            </w:pPr>
            <w:r w:rsidRPr="00F5246F">
              <w:rPr>
                <w:rFonts w:ascii="Calibri" w:eastAsia="Times New Roman" w:hAnsi="Calibri" w:cs="Times New Roman"/>
                <w:color w:val="000000"/>
                <w:sz w:val="18"/>
                <w:szCs w:val="18"/>
              </w:rPr>
              <w:t>Non applicable</w:t>
            </w:r>
          </w:p>
        </w:tc>
      </w:tr>
      <w:tr w:rsidR="00F5246F" w:rsidRPr="00F5246F" w14:paraId="1E2536D2" w14:textId="77777777" w:rsidTr="00F5246F">
        <w:trPr>
          <w:trHeight w:val="340"/>
        </w:trPr>
        <w:tc>
          <w:tcPr>
            <w:tcW w:w="2100" w:type="dxa"/>
            <w:tcBorders>
              <w:top w:val="nil"/>
              <w:left w:val="single" w:sz="12" w:space="0" w:color="FFFFFF"/>
              <w:bottom w:val="single" w:sz="12" w:space="0" w:color="FFFFFF"/>
              <w:right w:val="single" w:sz="12" w:space="0" w:color="FFFFFF"/>
            </w:tcBorders>
            <w:shd w:val="clear" w:color="000000" w:fill="DBE5F1"/>
            <w:vAlign w:val="center"/>
            <w:hideMark/>
          </w:tcPr>
          <w:p w14:paraId="691A1C0C" w14:textId="77777777" w:rsidR="00F5246F" w:rsidRPr="00F5246F" w:rsidRDefault="00F5246F" w:rsidP="00F5246F">
            <w:pPr>
              <w:rPr>
                <w:rFonts w:ascii="Calibri" w:eastAsia="Times New Roman" w:hAnsi="Calibri" w:cs="Times New Roman"/>
                <w:color w:val="000000"/>
                <w:sz w:val="18"/>
                <w:szCs w:val="18"/>
              </w:rPr>
            </w:pPr>
            <w:r w:rsidRPr="00F5246F">
              <w:rPr>
                <w:rFonts w:ascii="Calibri" w:eastAsia="Times New Roman" w:hAnsi="Calibri" w:cs="Times New Roman"/>
                <w:color w:val="000000"/>
                <w:sz w:val="18"/>
                <w:szCs w:val="18"/>
              </w:rPr>
              <w:t>Joseph Brigneaud</w:t>
            </w:r>
          </w:p>
        </w:tc>
        <w:tc>
          <w:tcPr>
            <w:tcW w:w="2600" w:type="dxa"/>
            <w:tcBorders>
              <w:top w:val="nil"/>
              <w:left w:val="nil"/>
              <w:bottom w:val="single" w:sz="12" w:space="0" w:color="FFFFFF"/>
              <w:right w:val="single" w:sz="12" w:space="0" w:color="FFFFFF"/>
            </w:tcBorders>
            <w:shd w:val="clear" w:color="000000" w:fill="DBE5F1"/>
            <w:vAlign w:val="center"/>
            <w:hideMark/>
          </w:tcPr>
          <w:p w14:paraId="29B2F8B7" w14:textId="77777777" w:rsidR="00F5246F" w:rsidRPr="00F5246F" w:rsidRDefault="00F5246F" w:rsidP="00F5246F">
            <w:pPr>
              <w:jc w:val="center"/>
              <w:rPr>
                <w:rFonts w:ascii="Calibri" w:eastAsia="Times New Roman" w:hAnsi="Calibri" w:cs="Times New Roman"/>
                <w:color w:val="000000"/>
                <w:sz w:val="18"/>
                <w:szCs w:val="18"/>
              </w:rPr>
            </w:pPr>
            <w:r w:rsidRPr="00F5246F">
              <w:rPr>
                <w:rFonts w:ascii="Calibri" w:eastAsia="Times New Roman" w:hAnsi="Calibri" w:cs="Times New Roman"/>
                <w:color w:val="000000"/>
                <w:sz w:val="18"/>
                <w:szCs w:val="18"/>
              </w:rPr>
              <w:t>Non applicable</w:t>
            </w:r>
          </w:p>
        </w:tc>
        <w:tc>
          <w:tcPr>
            <w:tcW w:w="2600" w:type="dxa"/>
            <w:tcBorders>
              <w:top w:val="nil"/>
              <w:left w:val="nil"/>
              <w:bottom w:val="single" w:sz="12" w:space="0" w:color="FFFFFF"/>
              <w:right w:val="single" w:sz="12" w:space="0" w:color="FFFFFF"/>
            </w:tcBorders>
            <w:shd w:val="clear" w:color="000000" w:fill="DBE5F1"/>
            <w:vAlign w:val="center"/>
            <w:hideMark/>
          </w:tcPr>
          <w:p w14:paraId="51FC3DBA" w14:textId="77777777" w:rsidR="00F5246F" w:rsidRPr="00F5246F" w:rsidRDefault="00F5246F" w:rsidP="00F5246F">
            <w:pPr>
              <w:jc w:val="center"/>
              <w:rPr>
                <w:rFonts w:ascii="Calibri" w:eastAsia="Times New Roman" w:hAnsi="Calibri" w:cs="Times New Roman"/>
                <w:color w:val="000000"/>
                <w:sz w:val="18"/>
                <w:szCs w:val="18"/>
              </w:rPr>
            </w:pPr>
            <w:r w:rsidRPr="00F5246F">
              <w:rPr>
                <w:rFonts w:ascii="Calibri" w:eastAsia="Times New Roman" w:hAnsi="Calibri" w:cs="Times New Roman"/>
                <w:color w:val="000000"/>
                <w:sz w:val="18"/>
                <w:szCs w:val="18"/>
              </w:rPr>
              <w:t>Non applicable</w:t>
            </w:r>
          </w:p>
        </w:tc>
        <w:tc>
          <w:tcPr>
            <w:tcW w:w="2600" w:type="dxa"/>
            <w:tcBorders>
              <w:top w:val="nil"/>
              <w:left w:val="nil"/>
              <w:bottom w:val="single" w:sz="12" w:space="0" w:color="FFFFFF"/>
              <w:right w:val="single" w:sz="12" w:space="0" w:color="FFFFFF"/>
            </w:tcBorders>
            <w:shd w:val="clear" w:color="000000" w:fill="DBE5F1"/>
            <w:vAlign w:val="center"/>
            <w:hideMark/>
          </w:tcPr>
          <w:p w14:paraId="54D8D9B7" w14:textId="77777777" w:rsidR="00F5246F" w:rsidRPr="00F5246F" w:rsidRDefault="00F5246F" w:rsidP="00F5246F">
            <w:pPr>
              <w:jc w:val="center"/>
              <w:rPr>
                <w:rFonts w:ascii="Calibri" w:eastAsia="Times New Roman" w:hAnsi="Calibri" w:cs="Times New Roman"/>
                <w:color w:val="000000"/>
                <w:sz w:val="18"/>
                <w:szCs w:val="18"/>
              </w:rPr>
            </w:pPr>
            <w:r w:rsidRPr="00F5246F">
              <w:rPr>
                <w:rFonts w:ascii="Calibri" w:eastAsia="Times New Roman" w:hAnsi="Calibri" w:cs="Times New Roman"/>
                <w:color w:val="000000"/>
                <w:sz w:val="18"/>
                <w:szCs w:val="18"/>
              </w:rPr>
              <w:t>Non applicable</w:t>
            </w:r>
          </w:p>
        </w:tc>
      </w:tr>
      <w:tr w:rsidR="00F5246F" w:rsidRPr="00F5246F" w14:paraId="73ED3DB3" w14:textId="77777777" w:rsidTr="00F5246F">
        <w:trPr>
          <w:trHeight w:val="340"/>
        </w:trPr>
        <w:tc>
          <w:tcPr>
            <w:tcW w:w="2100" w:type="dxa"/>
            <w:tcBorders>
              <w:top w:val="nil"/>
              <w:left w:val="single" w:sz="12" w:space="0" w:color="FFFFFF"/>
              <w:bottom w:val="single" w:sz="12" w:space="0" w:color="FFFFFF"/>
              <w:right w:val="single" w:sz="12" w:space="0" w:color="FFFFFF"/>
            </w:tcBorders>
            <w:shd w:val="clear" w:color="000000" w:fill="DBE5F1"/>
            <w:vAlign w:val="center"/>
            <w:hideMark/>
          </w:tcPr>
          <w:p w14:paraId="2E45415F" w14:textId="77777777" w:rsidR="00F5246F" w:rsidRPr="00F5246F" w:rsidRDefault="00F5246F" w:rsidP="00F5246F">
            <w:pPr>
              <w:rPr>
                <w:rFonts w:ascii="Calibri" w:eastAsia="Times New Roman" w:hAnsi="Calibri" w:cs="Times New Roman"/>
                <w:color w:val="000000"/>
                <w:sz w:val="18"/>
                <w:szCs w:val="18"/>
              </w:rPr>
            </w:pPr>
            <w:r w:rsidRPr="00F5246F">
              <w:rPr>
                <w:rFonts w:ascii="Calibri" w:eastAsia="Times New Roman" w:hAnsi="Calibri" w:cs="Times New Roman"/>
                <w:color w:val="000000"/>
                <w:sz w:val="18"/>
                <w:szCs w:val="18"/>
              </w:rPr>
              <w:t>Bérangère Boggio</w:t>
            </w:r>
          </w:p>
        </w:tc>
        <w:tc>
          <w:tcPr>
            <w:tcW w:w="2600" w:type="dxa"/>
            <w:tcBorders>
              <w:top w:val="nil"/>
              <w:left w:val="nil"/>
              <w:bottom w:val="single" w:sz="12" w:space="0" w:color="FFFFFF"/>
              <w:right w:val="single" w:sz="12" w:space="0" w:color="FFFFFF"/>
            </w:tcBorders>
            <w:shd w:val="clear" w:color="000000" w:fill="DBE5F1"/>
            <w:vAlign w:val="center"/>
            <w:hideMark/>
          </w:tcPr>
          <w:p w14:paraId="31E99C33" w14:textId="77777777" w:rsidR="00F5246F" w:rsidRPr="00F5246F" w:rsidRDefault="00F5246F" w:rsidP="00F5246F">
            <w:pPr>
              <w:jc w:val="center"/>
              <w:rPr>
                <w:rFonts w:ascii="Calibri" w:eastAsia="Times New Roman" w:hAnsi="Calibri" w:cs="Times New Roman"/>
                <w:color w:val="000000"/>
                <w:sz w:val="18"/>
                <w:szCs w:val="18"/>
              </w:rPr>
            </w:pPr>
            <w:r w:rsidRPr="00F5246F">
              <w:rPr>
                <w:rFonts w:ascii="Calibri" w:eastAsia="Times New Roman" w:hAnsi="Calibri" w:cs="Times New Roman"/>
                <w:color w:val="000000"/>
                <w:sz w:val="18"/>
                <w:szCs w:val="18"/>
              </w:rPr>
              <w:t>Non applicable</w:t>
            </w:r>
          </w:p>
        </w:tc>
        <w:tc>
          <w:tcPr>
            <w:tcW w:w="2600" w:type="dxa"/>
            <w:tcBorders>
              <w:top w:val="nil"/>
              <w:left w:val="nil"/>
              <w:bottom w:val="single" w:sz="12" w:space="0" w:color="FFFFFF"/>
              <w:right w:val="single" w:sz="12" w:space="0" w:color="FFFFFF"/>
            </w:tcBorders>
            <w:shd w:val="clear" w:color="000000" w:fill="DBE5F1"/>
            <w:vAlign w:val="center"/>
            <w:hideMark/>
          </w:tcPr>
          <w:p w14:paraId="6A1A1D54" w14:textId="77777777" w:rsidR="00F5246F" w:rsidRPr="00F5246F" w:rsidRDefault="00F5246F" w:rsidP="00F5246F">
            <w:pPr>
              <w:jc w:val="center"/>
              <w:rPr>
                <w:rFonts w:ascii="Calibri" w:eastAsia="Times New Roman" w:hAnsi="Calibri" w:cs="Times New Roman"/>
                <w:color w:val="000000"/>
                <w:sz w:val="18"/>
                <w:szCs w:val="18"/>
              </w:rPr>
            </w:pPr>
            <w:r w:rsidRPr="00F5246F">
              <w:rPr>
                <w:rFonts w:ascii="Calibri" w:eastAsia="Times New Roman" w:hAnsi="Calibri" w:cs="Times New Roman"/>
                <w:color w:val="000000"/>
                <w:sz w:val="18"/>
                <w:szCs w:val="18"/>
              </w:rPr>
              <w:t>Non applicable</w:t>
            </w:r>
          </w:p>
        </w:tc>
        <w:tc>
          <w:tcPr>
            <w:tcW w:w="2600" w:type="dxa"/>
            <w:tcBorders>
              <w:top w:val="nil"/>
              <w:left w:val="nil"/>
              <w:bottom w:val="single" w:sz="12" w:space="0" w:color="FFFFFF"/>
              <w:right w:val="single" w:sz="12" w:space="0" w:color="FFFFFF"/>
            </w:tcBorders>
            <w:shd w:val="clear" w:color="000000" w:fill="DBE5F1"/>
            <w:vAlign w:val="center"/>
            <w:hideMark/>
          </w:tcPr>
          <w:p w14:paraId="06E40054" w14:textId="77777777" w:rsidR="00F5246F" w:rsidRPr="00F5246F" w:rsidRDefault="00F5246F" w:rsidP="00F5246F">
            <w:pPr>
              <w:jc w:val="center"/>
              <w:rPr>
                <w:rFonts w:ascii="Calibri" w:eastAsia="Times New Roman" w:hAnsi="Calibri" w:cs="Times New Roman"/>
                <w:color w:val="000000"/>
                <w:sz w:val="18"/>
                <w:szCs w:val="18"/>
              </w:rPr>
            </w:pPr>
            <w:r w:rsidRPr="00F5246F">
              <w:rPr>
                <w:rFonts w:ascii="Calibri" w:eastAsia="Times New Roman" w:hAnsi="Calibri" w:cs="Times New Roman"/>
                <w:color w:val="000000"/>
                <w:sz w:val="18"/>
                <w:szCs w:val="18"/>
              </w:rPr>
              <w:t>Non applicable</w:t>
            </w:r>
          </w:p>
        </w:tc>
      </w:tr>
      <w:tr w:rsidR="00F5246F" w:rsidRPr="00F5246F" w14:paraId="4E602ACB" w14:textId="77777777" w:rsidTr="00F5246F">
        <w:trPr>
          <w:trHeight w:val="340"/>
        </w:trPr>
        <w:tc>
          <w:tcPr>
            <w:tcW w:w="2100" w:type="dxa"/>
            <w:tcBorders>
              <w:top w:val="nil"/>
              <w:left w:val="single" w:sz="12" w:space="0" w:color="FFFFFF"/>
              <w:bottom w:val="single" w:sz="12" w:space="0" w:color="FFFFFF"/>
              <w:right w:val="single" w:sz="12" w:space="0" w:color="FFFFFF"/>
            </w:tcBorders>
            <w:shd w:val="clear" w:color="000000" w:fill="DBE5F1"/>
            <w:vAlign w:val="center"/>
            <w:hideMark/>
          </w:tcPr>
          <w:p w14:paraId="6F64FC27" w14:textId="6710EC45" w:rsidR="00F5246F" w:rsidRPr="00F5246F" w:rsidRDefault="00B22E53" w:rsidP="00F5246F">
            <w:pPr>
              <w:rPr>
                <w:rFonts w:ascii="Calibri" w:eastAsia="Times New Roman" w:hAnsi="Calibri" w:cs="Times New Roman"/>
                <w:color w:val="000000"/>
                <w:sz w:val="18"/>
                <w:szCs w:val="18"/>
              </w:rPr>
            </w:pPr>
            <w:r>
              <w:rPr>
                <w:rFonts w:ascii="Calibri" w:eastAsia="Times New Roman" w:hAnsi="Calibri" w:cs="Times New Roman"/>
                <w:color w:val="000000"/>
                <w:sz w:val="18"/>
                <w:szCs w:val="18"/>
              </w:rPr>
              <w:t>TINAVI</w:t>
            </w:r>
          </w:p>
        </w:tc>
        <w:tc>
          <w:tcPr>
            <w:tcW w:w="2600" w:type="dxa"/>
            <w:tcBorders>
              <w:top w:val="single" w:sz="12" w:space="0" w:color="FFFFFF"/>
              <w:left w:val="nil"/>
              <w:bottom w:val="single" w:sz="12" w:space="0" w:color="FFFFFF"/>
              <w:right w:val="single" w:sz="12" w:space="0" w:color="FFFFFF"/>
            </w:tcBorders>
            <w:shd w:val="clear" w:color="000000" w:fill="DBE5F1"/>
            <w:vAlign w:val="center"/>
            <w:hideMark/>
          </w:tcPr>
          <w:p w14:paraId="102A5563" w14:textId="77777777" w:rsidR="00F5246F" w:rsidRPr="00F5246F" w:rsidRDefault="00F5246F" w:rsidP="00F5246F">
            <w:pPr>
              <w:jc w:val="center"/>
              <w:rPr>
                <w:rFonts w:ascii="Calibri" w:eastAsia="Times New Roman" w:hAnsi="Calibri" w:cs="Times New Roman"/>
                <w:color w:val="000000"/>
                <w:sz w:val="18"/>
                <w:szCs w:val="18"/>
              </w:rPr>
            </w:pPr>
            <w:r w:rsidRPr="00F5246F">
              <w:rPr>
                <w:rFonts w:ascii="Calibri" w:eastAsia="Times New Roman" w:hAnsi="Calibri" w:cs="Times New Roman"/>
                <w:color w:val="000000"/>
                <w:sz w:val="18"/>
                <w:szCs w:val="18"/>
              </w:rPr>
              <w:t>Non applicable</w:t>
            </w:r>
          </w:p>
        </w:tc>
        <w:tc>
          <w:tcPr>
            <w:tcW w:w="2600" w:type="dxa"/>
            <w:tcBorders>
              <w:top w:val="single" w:sz="12" w:space="0" w:color="FFFFFF"/>
              <w:left w:val="nil"/>
              <w:bottom w:val="single" w:sz="12" w:space="0" w:color="FFFFFF"/>
              <w:right w:val="single" w:sz="12" w:space="0" w:color="FFFFFF"/>
            </w:tcBorders>
            <w:shd w:val="clear" w:color="000000" w:fill="DBE5F1"/>
            <w:vAlign w:val="center"/>
            <w:hideMark/>
          </w:tcPr>
          <w:p w14:paraId="431A7C20" w14:textId="77777777" w:rsidR="00F5246F" w:rsidRPr="00F5246F" w:rsidRDefault="00F5246F" w:rsidP="00F5246F">
            <w:pPr>
              <w:jc w:val="center"/>
              <w:rPr>
                <w:rFonts w:ascii="Calibri" w:eastAsia="Times New Roman" w:hAnsi="Calibri" w:cs="Times New Roman"/>
                <w:color w:val="000000"/>
                <w:sz w:val="18"/>
                <w:szCs w:val="18"/>
              </w:rPr>
            </w:pPr>
            <w:r w:rsidRPr="00F5246F">
              <w:rPr>
                <w:rFonts w:ascii="Calibri" w:eastAsia="Times New Roman" w:hAnsi="Calibri" w:cs="Times New Roman"/>
                <w:color w:val="000000"/>
                <w:sz w:val="18"/>
                <w:szCs w:val="18"/>
              </w:rPr>
              <w:t>Non applicable</w:t>
            </w:r>
          </w:p>
        </w:tc>
        <w:tc>
          <w:tcPr>
            <w:tcW w:w="2600" w:type="dxa"/>
            <w:tcBorders>
              <w:top w:val="single" w:sz="12" w:space="0" w:color="FFFFFF"/>
              <w:left w:val="nil"/>
              <w:bottom w:val="single" w:sz="12" w:space="0" w:color="FFFFFF"/>
              <w:right w:val="single" w:sz="12" w:space="0" w:color="FFFFFF"/>
            </w:tcBorders>
            <w:shd w:val="clear" w:color="000000" w:fill="DBE5F1"/>
            <w:vAlign w:val="center"/>
            <w:hideMark/>
          </w:tcPr>
          <w:p w14:paraId="6A18A433" w14:textId="77777777" w:rsidR="00F5246F" w:rsidRPr="00F5246F" w:rsidRDefault="00F5246F" w:rsidP="00F5246F">
            <w:pPr>
              <w:jc w:val="center"/>
              <w:rPr>
                <w:rFonts w:ascii="Calibri" w:eastAsia="Times New Roman" w:hAnsi="Calibri" w:cs="Times New Roman"/>
                <w:color w:val="000000"/>
                <w:sz w:val="18"/>
                <w:szCs w:val="18"/>
              </w:rPr>
            </w:pPr>
            <w:r w:rsidRPr="00F5246F">
              <w:rPr>
                <w:rFonts w:ascii="Calibri" w:eastAsia="Times New Roman" w:hAnsi="Calibri" w:cs="Times New Roman"/>
                <w:color w:val="000000"/>
                <w:sz w:val="18"/>
                <w:szCs w:val="18"/>
              </w:rPr>
              <w:t>Non applicable</w:t>
            </w:r>
          </w:p>
        </w:tc>
      </w:tr>
      <w:tr w:rsidR="00F5246F" w:rsidRPr="00F5246F" w14:paraId="05E73188" w14:textId="77777777" w:rsidTr="00F5246F">
        <w:trPr>
          <w:trHeight w:val="340"/>
        </w:trPr>
        <w:tc>
          <w:tcPr>
            <w:tcW w:w="2100" w:type="dxa"/>
            <w:tcBorders>
              <w:top w:val="nil"/>
              <w:left w:val="single" w:sz="12" w:space="0" w:color="FFFFFF"/>
              <w:bottom w:val="single" w:sz="12" w:space="0" w:color="FFFFFF"/>
              <w:right w:val="single" w:sz="12" w:space="0" w:color="FFFFFF"/>
            </w:tcBorders>
            <w:shd w:val="clear" w:color="000000" w:fill="B8CCE4"/>
            <w:vAlign w:val="center"/>
            <w:hideMark/>
          </w:tcPr>
          <w:p w14:paraId="5A5687A9" w14:textId="77777777" w:rsidR="00F5246F" w:rsidRPr="00F5246F" w:rsidRDefault="00F5246F" w:rsidP="00F5246F">
            <w:pPr>
              <w:rPr>
                <w:rFonts w:ascii="Calibri" w:eastAsia="Times New Roman" w:hAnsi="Calibri" w:cs="Times New Roman"/>
                <w:b/>
                <w:bCs/>
                <w:color w:val="000000"/>
                <w:sz w:val="18"/>
                <w:szCs w:val="18"/>
              </w:rPr>
            </w:pPr>
            <w:r w:rsidRPr="00F5246F">
              <w:rPr>
                <w:rFonts w:ascii="Calibri" w:eastAsia="Times New Roman" w:hAnsi="Calibri" w:cs="Times New Roman"/>
                <w:b/>
                <w:bCs/>
                <w:color w:val="000000"/>
                <w:sz w:val="18"/>
                <w:szCs w:val="18"/>
              </w:rPr>
              <w:t xml:space="preserve">Total </w:t>
            </w:r>
          </w:p>
        </w:tc>
        <w:tc>
          <w:tcPr>
            <w:tcW w:w="2600" w:type="dxa"/>
            <w:tcBorders>
              <w:top w:val="single" w:sz="12" w:space="0" w:color="FFFFFF"/>
              <w:left w:val="nil"/>
              <w:bottom w:val="single" w:sz="12" w:space="0" w:color="FFFFFF"/>
              <w:right w:val="single" w:sz="12" w:space="0" w:color="FFFFFF"/>
            </w:tcBorders>
            <w:shd w:val="clear" w:color="000000" w:fill="B8CCE4"/>
            <w:vAlign w:val="center"/>
            <w:hideMark/>
          </w:tcPr>
          <w:p w14:paraId="449F3709" w14:textId="77777777" w:rsidR="00F5246F" w:rsidRPr="00F5246F" w:rsidRDefault="00F5246F" w:rsidP="00F5246F">
            <w:pPr>
              <w:jc w:val="center"/>
              <w:rPr>
                <w:rFonts w:ascii="Calibri" w:eastAsia="Times New Roman" w:hAnsi="Calibri" w:cs="Times New Roman"/>
                <w:b/>
                <w:bCs/>
                <w:color w:val="000000"/>
                <w:sz w:val="18"/>
                <w:szCs w:val="18"/>
              </w:rPr>
            </w:pPr>
            <w:r w:rsidRPr="00F5246F">
              <w:rPr>
                <w:rFonts w:ascii="Calibri" w:eastAsia="Times New Roman" w:hAnsi="Calibri" w:cs="Times New Roman"/>
                <w:b/>
                <w:bCs/>
                <w:color w:val="000000"/>
                <w:sz w:val="18"/>
                <w:szCs w:val="18"/>
              </w:rPr>
              <w:t>Non applicable</w:t>
            </w:r>
          </w:p>
        </w:tc>
        <w:tc>
          <w:tcPr>
            <w:tcW w:w="2600" w:type="dxa"/>
            <w:tcBorders>
              <w:top w:val="single" w:sz="12" w:space="0" w:color="FFFFFF"/>
              <w:left w:val="nil"/>
              <w:bottom w:val="single" w:sz="12" w:space="0" w:color="FFFFFF"/>
              <w:right w:val="single" w:sz="12" w:space="0" w:color="FFFFFF"/>
            </w:tcBorders>
            <w:shd w:val="clear" w:color="000000" w:fill="B8CCE4"/>
            <w:vAlign w:val="center"/>
            <w:hideMark/>
          </w:tcPr>
          <w:p w14:paraId="2B0F298A" w14:textId="77777777" w:rsidR="00F5246F" w:rsidRPr="00F5246F" w:rsidRDefault="00F5246F" w:rsidP="00F5246F">
            <w:pPr>
              <w:jc w:val="center"/>
              <w:rPr>
                <w:rFonts w:ascii="Calibri" w:eastAsia="Times New Roman" w:hAnsi="Calibri" w:cs="Times New Roman"/>
                <w:b/>
                <w:bCs/>
                <w:color w:val="000000"/>
                <w:sz w:val="18"/>
                <w:szCs w:val="18"/>
              </w:rPr>
            </w:pPr>
            <w:r w:rsidRPr="00F5246F">
              <w:rPr>
                <w:rFonts w:ascii="Calibri" w:eastAsia="Times New Roman" w:hAnsi="Calibri" w:cs="Times New Roman"/>
                <w:b/>
                <w:bCs/>
                <w:color w:val="000000"/>
                <w:sz w:val="18"/>
                <w:szCs w:val="18"/>
              </w:rPr>
              <w:t>Non applicable</w:t>
            </w:r>
          </w:p>
        </w:tc>
        <w:tc>
          <w:tcPr>
            <w:tcW w:w="2600" w:type="dxa"/>
            <w:tcBorders>
              <w:top w:val="single" w:sz="12" w:space="0" w:color="FFFFFF"/>
              <w:left w:val="nil"/>
              <w:bottom w:val="single" w:sz="12" w:space="0" w:color="FFFFFF"/>
              <w:right w:val="single" w:sz="12" w:space="0" w:color="FFFFFF"/>
            </w:tcBorders>
            <w:shd w:val="clear" w:color="000000" w:fill="B8CCE4"/>
            <w:vAlign w:val="center"/>
            <w:hideMark/>
          </w:tcPr>
          <w:p w14:paraId="7FB961BB" w14:textId="77777777" w:rsidR="00F5246F" w:rsidRPr="00F5246F" w:rsidRDefault="00F5246F" w:rsidP="00F5246F">
            <w:pPr>
              <w:jc w:val="center"/>
              <w:rPr>
                <w:rFonts w:ascii="Calibri" w:eastAsia="Times New Roman" w:hAnsi="Calibri" w:cs="Times New Roman"/>
                <w:b/>
                <w:bCs/>
                <w:color w:val="000000"/>
                <w:sz w:val="18"/>
                <w:szCs w:val="18"/>
              </w:rPr>
            </w:pPr>
            <w:r w:rsidRPr="00F5246F">
              <w:rPr>
                <w:rFonts w:ascii="Calibri" w:eastAsia="Times New Roman" w:hAnsi="Calibri" w:cs="Times New Roman"/>
                <w:b/>
                <w:bCs/>
                <w:color w:val="000000"/>
                <w:sz w:val="18"/>
                <w:szCs w:val="18"/>
              </w:rPr>
              <w:t>Non applicable</w:t>
            </w:r>
          </w:p>
        </w:tc>
      </w:tr>
    </w:tbl>
    <w:p w14:paraId="4905DC51" w14:textId="77777777" w:rsidR="00F5246F" w:rsidRDefault="00F5246F" w:rsidP="00F5246F">
      <w:pPr>
        <w:rPr>
          <w:b/>
        </w:rPr>
      </w:pPr>
    </w:p>
    <w:p w14:paraId="7C90682F" w14:textId="77777777" w:rsidR="00F5246F" w:rsidRDefault="00F5246F" w:rsidP="00F5246F">
      <w:pPr>
        <w:rPr>
          <w:b/>
        </w:rPr>
      </w:pPr>
    </w:p>
    <w:p w14:paraId="3CE41BBB" w14:textId="77777777" w:rsidR="00B1796E" w:rsidRDefault="00B1796E" w:rsidP="00F5246F">
      <w:pPr>
        <w:rPr>
          <w:b/>
        </w:rPr>
      </w:pPr>
    </w:p>
    <w:p w14:paraId="1608A6E8" w14:textId="77777777" w:rsidR="00B1796E" w:rsidRDefault="00B1796E" w:rsidP="00F5246F">
      <w:pPr>
        <w:rPr>
          <w:b/>
        </w:rPr>
      </w:pPr>
    </w:p>
    <w:p w14:paraId="64F7E12E" w14:textId="77777777" w:rsidR="00B1796E" w:rsidRDefault="00B1796E" w:rsidP="00F5246F">
      <w:pPr>
        <w:rPr>
          <w:b/>
        </w:rPr>
      </w:pPr>
    </w:p>
    <w:p w14:paraId="63359476" w14:textId="77777777" w:rsidR="00942A4F" w:rsidRDefault="00942A4F">
      <w:pPr>
        <w:jc w:val="left"/>
        <w:rPr>
          <w:b/>
        </w:rPr>
      </w:pPr>
      <w:r>
        <w:rPr>
          <w:b/>
        </w:rPr>
        <w:br w:type="page"/>
      </w:r>
    </w:p>
    <w:p w14:paraId="6AC9B7F4" w14:textId="21F8DCA6" w:rsidR="00F5246F" w:rsidRDefault="00F5246F" w:rsidP="00F5246F">
      <w:pPr>
        <w:rPr>
          <w:b/>
        </w:rPr>
      </w:pPr>
      <w:r>
        <w:rPr>
          <w:b/>
        </w:rPr>
        <w:lastRenderedPageBreak/>
        <w:t>Tableau n°8 :</w:t>
      </w:r>
    </w:p>
    <w:p w14:paraId="4AF9C364" w14:textId="77777777" w:rsidR="00F5246F" w:rsidRDefault="00F5246F" w:rsidP="00F5246F">
      <w:pPr>
        <w:rPr>
          <w:b/>
        </w:rPr>
      </w:pPr>
    </w:p>
    <w:tbl>
      <w:tblPr>
        <w:tblW w:w="8980" w:type="dxa"/>
        <w:tblInd w:w="55" w:type="dxa"/>
        <w:tblCellMar>
          <w:left w:w="70" w:type="dxa"/>
          <w:right w:w="70" w:type="dxa"/>
        </w:tblCellMar>
        <w:tblLook w:val="04A0" w:firstRow="1" w:lastRow="0" w:firstColumn="1" w:lastColumn="0" w:noHBand="0" w:noVBand="1"/>
      </w:tblPr>
      <w:tblGrid>
        <w:gridCol w:w="6620"/>
        <w:gridCol w:w="2360"/>
      </w:tblGrid>
      <w:tr w:rsidR="0015549E" w:rsidRPr="0015549E" w14:paraId="57246713" w14:textId="77777777" w:rsidTr="0015549E">
        <w:trPr>
          <w:trHeight w:val="320"/>
        </w:trPr>
        <w:tc>
          <w:tcPr>
            <w:tcW w:w="8980" w:type="dxa"/>
            <w:gridSpan w:val="2"/>
            <w:tcBorders>
              <w:top w:val="nil"/>
              <w:left w:val="single" w:sz="12" w:space="0" w:color="FFFFFF"/>
              <w:bottom w:val="single" w:sz="12" w:space="0" w:color="FFFFFF"/>
              <w:right w:val="nil"/>
            </w:tcBorders>
            <w:shd w:val="clear" w:color="000000" w:fill="365F91"/>
            <w:vAlign w:val="center"/>
            <w:hideMark/>
          </w:tcPr>
          <w:p w14:paraId="250F4DB2" w14:textId="77777777" w:rsidR="0015549E" w:rsidRPr="0015549E" w:rsidRDefault="0015549E" w:rsidP="0015549E">
            <w:pPr>
              <w:jc w:val="center"/>
              <w:rPr>
                <w:rFonts w:ascii="Calibri" w:eastAsia="Times New Roman" w:hAnsi="Calibri" w:cs="Times New Roman"/>
                <w:b/>
                <w:bCs/>
                <w:color w:val="FFFFFF"/>
                <w:sz w:val="18"/>
                <w:szCs w:val="18"/>
              </w:rPr>
            </w:pPr>
            <w:r w:rsidRPr="0015549E">
              <w:rPr>
                <w:rFonts w:ascii="Calibri" w:eastAsia="Times New Roman" w:hAnsi="Calibri" w:cs="Times New Roman"/>
                <w:b/>
                <w:bCs/>
                <w:color w:val="FFFFFF"/>
                <w:sz w:val="18"/>
                <w:szCs w:val="18"/>
              </w:rPr>
              <w:t>Historique des attributions d'options de souscription ou d'achat d'actions</w:t>
            </w:r>
          </w:p>
        </w:tc>
      </w:tr>
      <w:tr w:rsidR="0015549E" w:rsidRPr="0015549E" w14:paraId="6C330DCD" w14:textId="77777777" w:rsidTr="0015549E">
        <w:trPr>
          <w:trHeight w:val="340"/>
        </w:trPr>
        <w:tc>
          <w:tcPr>
            <w:tcW w:w="8980" w:type="dxa"/>
            <w:gridSpan w:val="2"/>
            <w:tcBorders>
              <w:top w:val="single" w:sz="12" w:space="0" w:color="FFFFFF"/>
              <w:left w:val="single" w:sz="12" w:space="0" w:color="FFFFFF"/>
              <w:bottom w:val="single" w:sz="12" w:space="0" w:color="FFFFFF"/>
              <w:right w:val="nil"/>
            </w:tcBorders>
            <w:shd w:val="clear" w:color="000000" w:fill="365F91"/>
            <w:vAlign w:val="center"/>
            <w:hideMark/>
          </w:tcPr>
          <w:p w14:paraId="2A9333B2" w14:textId="77777777" w:rsidR="0015549E" w:rsidRPr="0015549E" w:rsidRDefault="0015549E" w:rsidP="0015549E">
            <w:pPr>
              <w:jc w:val="center"/>
              <w:rPr>
                <w:rFonts w:ascii="Calibri" w:eastAsia="Times New Roman" w:hAnsi="Calibri" w:cs="Times New Roman"/>
                <w:b/>
                <w:bCs/>
                <w:color w:val="FFFFFF"/>
                <w:sz w:val="18"/>
                <w:szCs w:val="18"/>
              </w:rPr>
            </w:pPr>
            <w:r w:rsidRPr="0015549E">
              <w:rPr>
                <w:rFonts w:ascii="Calibri" w:eastAsia="Times New Roman" w:hAnsi="Calibri" w:cs="Times New Roman"/>
                <w:b/>
                <w:bCs/>
                <w:color w:val="FFFFFF"/>
                <w:sz w:val="18"/>
                <w:szCs w:val="18"/>
              </w:rPr>
              <w:t xml:space="preserve">Information sur les options de souscription ou d'achat </w:t>
            </w:r>
          </w:p>
        </w:tc>
      </w:tr>
      <w:tr w:rsidR="0015549E" w:rsidRPr="0015549E" w14:paraId="104347C0" w14:textId="77777777" w:rsidTr="0015549E">
        <w:trPr>
          <w:trHeight w:val="320"/>
        </w:trPr>
        <w:tc>
          <w:tcPr>
            <w:tcW w:w="6620" w:type="dxa"/>
            <w:tcBorders>
              <w:top w:val="nil"/>
              <w:left w:val="single" w:sz="12" w:space="0" w:color="FFFFFF"/>
              <w:bottom w:val="nil"/>
              <w:right w:val="single" w:sz="12" w:space="0" w:color="FFFFFF"/>
            </w:tcBorders>
            <w:shd w:val="clear" w:color="000000" w:fill="365F91"/>
            <w:vAlign w:val="center"/>
            <w:hideMark/>
          </w:tcPr>
          <w:p w14:paraId="7DA55F04" w14:textId="77777777" w:rsidR="0015549E" w:rsidRPr="0015549E" w:rsidRDefault="0015549E" w:rsidP="0015549E">
            <w:pPr>
              <w:jc w:val="center"/>
              <w:rPr>
                <w:rFonts w:ascii="Calibri" w:eastAsia="Times New Roman" w:hAnsi="Calibri" w:cs="Times New Roman"/>
                <w:b/>
                <w:bCs/>
                <w:color w:val="FFFFFF"/>
                <w:sz w:val="18"/>
                <w:szCs w:val="18"/>
              </w:rPr>
            </w:pPr>
            <w:r w:rsidRPr="0015549E">
              <w:rPr>
                <w:rFonts w:ascii="Calibri" w:eastAsia="Times New Roman" w:hAnsi="Calibri" w:cs="Times New Roman"/>
                <w:b/>
                <w:bCs/>
                <w:color w:val="FFFFFF"/>
                <w:sz w:val="18"/>
                <w:szCs w:val="18"/>
              </w:rPr>
              <w:t> </w:t>
            </w:r>
          </w:p>
        </w:tc>
        <w:tc>
          <w:tcPr>
            <w:tcW w:w="2360" w:type="dxa"/>
            <w:tcBorders>
              <w:top w:val="nil"/>
              <w:left w:val="nil"/>
              <w:bottom w:val="nil"/>
              <w:right w:val="nil"/>
            </w:tcBorders>
            <w:shd w:val="clear" w:color="000000" w:fill="365F91"/>
            <w:vAlign w:val="center"/>
            <w:hideMark/>
          </w:tcPr>
          <w:p w14:paraId="4C3B0BDF" w14:textId="77777777" w:rsidR="0015549E" w:rsidRPr="0015549E" w:rsidRDefault="0015549E" w:rsidP="0015549E">
            <w:pPr>
              <w:jc w:val="center"/>
              <w:rPr>
                <w:rFonts w:ascii="Calibri" w:eastAsia="Times New Roman" w:hAnsi="Calibri" w:cs="Times New Roman"/>
                <w:b/>
                <w:bCs/>
                <w:color w:val="FFFFFF"/>
                <w:sz w:val="18"/>
                <w:szCs w:val="18"/>
              </w:rPr>
            </w:pPr>
            <w:r w:rsidRPr="0015549E">
              <w:rPr>
                <w:rFonts w:ascii="Calibri" w:eastAsia="Times New Roman" w:hAnsi="Calibri" w:cs="Times New Roman"/>
                <w:b/>
                <w:bCs/>
                <w:color w:val="FFFFFF"/>
                <w:sz w:val="18"/>
                <w:szCs w:val="18"/>
              </w:rPr>
              <w:t>Plan</w:t>
            </w:r>
          </w:p>
        </w:tc>
      </w:tr>
      <w:tr w:rsidR="0015549E" w:rsidRPr="0015549E" w14:paraId="04AE2968" w14:textId="77777777" w:rsidTr="0015549E">
        <w:trPr>
          <w:trHeight w:val="320"/>
        </w:trPr>
        <w:tc>
          <w:tcPr>
            <w:tcW w:w="6620" w:type="dxa"/>
            <w:tcBorders>
              <w:top w:val="nil"/>
              <w:left w:val="single" w:sz="12" w:space="0" w:color="FFFFFF"/>
              <w:bottom w:val="single" w:sz="12" w:space="0" w:color="FFFFFF"/>
              <w:right w:val="single" w:sz="12" w:space="0" w:color="FFFFFF"/>
            </w:tcBorders>
            <w:shd w:val="clear" w:color="000000" w:fill="DBE5F1"/>
            <w:vAlign w:val="center"/>
            <w:hideMark/>
          </w:tcPr>
          <w:p w14:paraId="00244D25" w14:textId="77777777" w:rsidR="0015549E" w:rsidRPr="0015549E" w:rsidRDefault="0015549E" w:rsidP="0015549E">
            <w:pPr>
              <w:jc w:val="left"/>
              <w:rPr>
                <w:rFonts w:ascii="Calibri" w:eastAsia="Times New Roman" w:hAnsi="Calibri" w:cs="Times New Roman"/>
                <w:color w:val="000000"/>
                <w:sz w:val="18"/>
                <w:szCs w:val="18"/>
              </w:rPr>
            </w:pPr>
            <w:r w:rsidRPr="0015549E">
              <w:rPr>
                <w:rFonts w:ascii="Calibri" w:eastAsia="Times New Roman" w:hAnsi="Calibri" w:cs="Times New Roman"/>
                <w:color w:val="000000"/>
                <w:sz w:val="18"/>
                <w:szCs w:val="18"/>
              </w:rPr>
              <w:t>Date d'assemblée</w:t>
            </w:r>
          </w:p>
        </w:tc>
        <w:tc>
          <w:tcPr>
            <w:tcW w:w="2360" w:type="dxa"/>
            <w:tcBorders>
              <w:top w:val="nil"/>
              <w:left w:val="nil"/>
              <w:bottom w:val="single" w:sz="12" w:space="0" w:color="FFFFFF"/>
              <w:right w:val="single" w:sz="12" w:space="0" w:color="FFFFFF"/>
            </w:tcBorders>
            <w:shd w:val="clear" w:color="000000" w:fill="DBE5F1"/>
            <w:vAlign w:val="center"/>
            <w:hideMark/>
          </w:tcPr>
          <w:p w14:paraId="0BB0475B" w14:textId="77777777" w:rsidR="0015549E" w:rsidRPr="0015549E" w:rsidRDefault="0015549E" w:rsidP="0015549E">
            <w:pPr>
              <w:jc w:val="center"/>
              <w:rPr>
                <w:rFonts w:ascii="Calibri" w:eastAsia="Times New Roman" w:hAnsi="Calibri" w:cs="Times New Roman"/>
                <w:color w:val="000000"/>
                <w:sz w:val="18"/>
                <w:szCs w:val="18"/>
              </w:rPr>
            </w:pPr>
            <w:r w:rsidRPr="0015549E">
              <w:rPr>
                <w:rFonts w:ascii="Calibri" w:eastAsia="Times New Roman" w:hAnsi="Calibri" w:cs="Times New Roman"/>
                <w:color w:val="000000"/>
                <w:sz w:val="18"/>
                <w:szCs w:val="18"/>
              </w:rPr>
              <w:t>Non applicable</w:t>
            </w:r>
          </w:p>
        </w:tc>
      </w:tr>
      <w:tr w:rsidR="0015549E" w:rsidRPr="0015549E" w14:paraId="09056E5A" w14:textId="77777777" w:rsidTr="0015549E">
        <w:trPr>
          <w:trHeight w:val="340"/>
        </w:trPr>
        <w:tc>
          <w:tcPr>
            <w:tcW w:w="6620" w:type="dxa"/>
            <w:tcBorders>
              <w:top w:val="nil"/>
              <w:left w:val="single" w:sz="12" w:space="0" w:color="FFFFFF"/>
              <w:bottom w:val="single" w:sz="12" w:space="0" w:color="FFFFFF"/>
              <w:right w:val="single" w:sz="12" w:space="0" w:color="FFFFFF"/>
            </w:tcBorders>
            <w:shd w:val="clear" w:color="000000" w:fill="DBE5F1"/>
            <w:vAlign w:val="center"/>
            <w:hideMark/>
          </w:tcPr>
          <w:p w14:paraId="2877373E" w14:textId="77777777" w:rsidR="0015549E" w:rsidRPr="0015549E" w:rsidRDefault="0015549E" w:rsidP="0015549E">
            <w:pPr>
              <w:jc w:val="left"/>
              <w:rPr>
                <w:rFonts w:ascii="Calibri" w:eastAsia="Times New Roman" w:hAnsi="Calibri" w:cs="Times New Roman"/>
                <w:color w:val="000000"/>
                <w:sz w:val="18"/>
                <w:szCs w:val="18"/>
              </w:rPr>
            </w:pPr>
            <w:r w:rsidRPr="0015549E">
              <w:rPr>
                <w:rFonts w:ascii="Calibri" w:eastAsia="Times New Roman" w:hAnsi="Calibri" w:cs="Times New Roman"/>
                <w:color w:val="000000"/>
                <w:sz w:val="18"/>
                <w:szCs w:val="18"/>
              </w:rPr>
              <w:t>Date de Conseil d'Administration</w:t>
            </w:r>
          </w:p>
        </w:tc>
        <w:tc>
          <w:tcPr>
            <w:tcW w:w="2360" w:type="dxa"/>
            <w:tcBorders>
              <w:top w:val="nil"/>
              <w:left w:val="nil"/>
              <w:bottom w:val="single" w:sz="12" w:space="0" w:color="FFFFFF"/>
              <w:right w:val="single" w:sz="12" w:space="0" w:color="FFFFFF"/>
            </w:tcBorders>
            <w:shd w:val="clear" w:color="000000" w:fill="DBE5F1"/>
            <w:vAlign w:val="center"/>
            <w:hideMark/>
          </w:tcPr>
          <w:p w14:paraId="008F0026" w14:textId="77777777" w:rsidR="0015549E" w:rsidRPr="0015549E" w:rsidRDefault="0015549E" w:rsidP="0015549E">
            <w:pPr>
              <w:jc w:val="center"/>
              <w:rPr>
                <w:rFonts w:ascii="Calibri" w:eastAsia="Times New Roman" w:hAnsi="Calibri" w:cs="Times New Roman"/>
                <w:color w:val="000000"/>
                <w:sz w:val="18"/>
                <w:szCs w:val="18"/>
              </w:rPr>
            </w:pPr>
            <w:r w:rsidRPr="0015549E">
              <w:rPr>
                <w:rFonts w:ascii="Calibri" w:eastAsia="Times New Roman" w:hAnsi="Calibri" w:cs="Times New Roman"/>
                <w:color w:val="000000"/>
                <w:sz w:val="18"/>
                <w:szCs w:val="18"/>
              </w:rPr>
              <w:t>Non applicable</w:t>
            </w:r>
          </w:p>
        </w:tc>
      </w:tr>
      <w:tr w:rsidR="0015549E" w:rsidRPr="0015549E" w14:paraId="258B9AB1" w14:textId="77777777" w:rsidTr="0015549E">
        <w:trPr>
          <w:trHeight w:val="340"/>
        </w:trPr>
        <w:tc>
          <w:tcPr>
            <w:tcW w:w="6620" w:type="dxa"/>
            <w:tcBorders>
              <w:top w:val="nil"/>
              <w:left w:val="single" w:sz="12" w:space="0" w:color="FFFFFF"/>
              <w:bottom w:val="single" w:sz="12" w:space="0" w:color="FFFFFF"/>
              <w:right w:val="single" w:sz="12" w:space="0" w:color="FFFFFF"/>
            </w:tcBorders>
            <w:shd w:val="clear" w:color="000000" w:fill="DBE5F1"/>
            <w:vAlign w:val="center"/>
            <w:hideMark/>
          </w:tcPr>
          <w:p w14:paraId="30671D2F" w14:textId="77777777" w:rsidR="0015549E" w:rsidRPr="0015549E" w:rsidRDefault="0015549E" w:rsidP="0015549E">
            <w:pPr>
              <w:jc w:val="left"/>
              <w:rPr>
                <w:rFonts w:ascii="Calibri" w:eastAsia="Times New Roman" w:hAnsi="Calibri" w:cs="Times New Roman"/>
                <w:color w:val="000000"/>
                <w:sz w:val="18"/>
                <w:szCs w:val="18"/>
              </w:rPr>
            </w:pPr>
            <w:r w:rsidRPr="0015549E">
              <w:rPr>
                <w:rFonts w:ascii="Calibri" w:eastAsia="Times New Roman" w:hAnsi="Calibri" w:cs="Times New Roman"/>
                <w:color w:val="000000"/>
                <w:sz w:val="18"/>
                <w:szCs w:val="18"/>
              </w:rPr>
              <w:t>Nombre total d'actions pouvant être souscrites ou rachetées</w:t>
            </w:r>
          </w:p>
        </w:tc>
        <w:tc>
          <w:tcPr>
            <w:tcW w:w="2360" w:type="dxa"/>
            <w:tcBorders>
              <w:top w:val="nil"/>
              <w:left w:val="nil"/>
              <w:bottom w:val="single" w:sz="12" w:space="0" w:color="FFFFFF"/>
              <w:right w:val="single" w:sz="12" w:space="0" w:color="FFFFFF"/>
            </w:tcBorders>
            <w:shd w:val="clear" w:color="000000" w:fill="DBE5F1"/>
            <w:vAlign w:val="center"/>
            <w:hideMark/>
          </w:tcPr>
          <w:p w14:paraId="7ED752AC" w14:textId="77777777" w:rsidR="0015549E" w:rsidRPr="0015549E" w:rsidRDefault="0015549E" w:rsidP="0015549E">
            <w:pPr>
              <w:jc w:val="center"/>
              <w:rPr>
                <w:rFonts w:ascii="Calibri" w:eastAsia="Times New Roman" w:hAnsi="Calibri" w:cs="Times New Roman"/>
                <w:color w:val="000000"/>
                <w:sz w:val="18"/>
                <w:szCs w:val="18"/>
              </w:rPr>
            </w:pPr>
            <w:r w:rsidRPr="0015549E">
              <w:rPr>
                <w:rFonts w:ascii="Calibri" w:eastAsia="Times New Roman" w:hAnsi="Calibri" w:cs="Times New Roman"/>
                <w:color w:val="000000"/>
                <w:sz w:val="18"/>
                <w:szCs w:val="18"/>
              </w:rPr>
              <w:t>Non applicable</w:t>
            </w:r>
          </w:p>
        </w:tc>
      </w:tr>
      <w:tr w:rsidR="0015549E" w:rsidRPr="0015549E" w14:paraId="39B60118" w14:textId="77777777" w:rsidTr="0015549E">
        <w:trPr>
          <w:trHeight w:val="340"/>
        </w:trPr>
        <w:tc>
          <w:tcPr>
            <w:tcW w:w="6620" w:type="dxa"/>
            <w:tcBorders>
              <w:top w:val="nil"/>
              <w:left w:val="single" w:sz="12" w:space="0" w:color="FFFFFF"/>
              <w:bottom w:val="single" w:sz="12" w:space="0" w:color="FFFFFF"/>
              <w:right w:val="single" w:sz="12" w:space="0" w:color="FFFFFF"/>
            </w:tcBorders>
            <w:shd w:val="clear" w:color="000000" w:fill="DBE5F1"/>
            <w:vAlign w:val="center"/>
            <w:hideMark/>
          </w:tcPr>
          <w:p w14:paraId="77BA4074" w14:textId="49539AA4" w:rsidR="0015549E" w:rsidRPr="0015549E" w:rsidRDefault="0015549E" w:rsidP="0015549E">
            <w:pPr>
              <w:jc w:val="left"/>
              <w:rPr>
                <w:rFonts w:ascii="Calibri" w:eastAsia="Times New Roman" w:hAnsi="Calibri" w:cs="Times New Roman"/>
                <w:color w:val="000000"/>
                <w:sz w:val="18"/>
                <w:szCs w:val="18"/>
              </w:rPr>
            </w:pPr>
            <w:r w:rsidRPr="0015549E">
              <w:rPr>
                <w:rFonts w:ascii="Calibri" w:eastAsia="Times New Roman" w:hAnsi="Calibri" w:cs="Times New Roman"/>
                <w:color w:val="000000"/>
                <w:sz w:val="18"/>
                <w:szCs w:val="18"/>
              </w:rPr>
              <w:t xml:space="preserve">Les mandataires </w:t>
            </w:r>
            <w:r w:rsidR="00051CA0" w:rsidRPr="0015549E">
              <w:rPr>
                <w:rFonts w:ascii="Calibri" w:eastAsia="Times New Roman" w:hAnsi="Calibri" w:cs="Times New Roman"/>
                <w:color w:val="000000"/>
                <w:sz w:val="18"/>
                <w:szCs w:val="18"/>
              </w:rPr>
              <w:t>sociaux :</w:t>
            </w:r>
          </w:p>
        </w:tc>
        <w:tc>
          <w:tcPr>
            <w:tcW w:w="2360" w:type="dxa"/>
            <w:tcBorders>
              <w:top w:val="nil"/>
              <w:left w:val="nil"/>
              <w:bottom w:val="single" w:sz="12" w:space="0" w:color="FFFFFF"/>
              <w:right w:val="single" w:sz="12" w:space="0" w:color="FFFFFF"/>
            </w:tcBorders>
            <w:shd w:val="clear" w:color="000000" w:fill="DBE5F1"/>
            <w:vAlign w:val="center"/>
            <w:hideMark/>
          </w:tcPr>
          <w:p w14:paraId="3F479F45" w14:textId="77777777" w:rsidR="0015549E" w:rsidRPr="0015549E" w:rsidRDefault="0015549E" w:rsidP="0015549E">
            <w:pPr>
              <w:jc w:val="center"/>
              <w:rPr>
                <w:rFonts w:ascii="Calibri" w:eastAsia="Times New Roman" w:hAnsi="Calibri" w:cs="Times New Roman"/>
                <w:color w:val="000000"/>
                <w:sz w:val="18"/>
                <w:szCs w:val="18"/>
              </w:rPr>
            </w:pPr>
            <w:r w:rsidRPr="0015549E">
              <w:rPr>
                <w:rFonts w:ascii="Calibri" w:eastAsia="Times New Roman" w:hAnsi="Calibri" w:cs="Times New Roman"/>
                <w:color w:val="000000"/>
                <w:sz w:val="18"/>
                <w:szCs w:val="18"/>
              </w:rPr>
              <w:t> </w:t>
            </w:r>
          </w:p>
        </w:tc>
      </w:tr>
      <w:tr w:rsidR="0015549E" w:rsidRPr="0015549E" w14:paraId="5A907516" w14:textId="77777777" w:rsidTr="0015549E">
        <w:trPr>
          <w:trHeight w:val="340"/>
        </w:trPr>
        <w:tc>
          <w:tcPr>
            <w:tcW w:w="6620" w:type="dxa"/>
            <w:tcBorders>
              <w:top w:val="nil"/>
              <w:left w:val="single" w:sz="12" w:space="0" w:color="FFFFFF"/>
              <w:bottom w:val="single" w:sz="12" w:space="0" w:color="FFFFFF"/>
              <w:right w:val="single" w:sz="12" w:space="0" w:color="FFFFFF"/>
            </w:tcBorders>
            <w:shd w:val="clear" w:color="000000" w:fill="DBE5F1"/>
            <w:vAlign w:val="center"/>
            <w:hideMark/>
          </w:tcPr>
          <w:p w14:paraId="3296D80C" w14:textId="77777777" w:rsidR="0015549E" w:rsidRPr="0015549E" w:rsidRDefault="0015549E" w:rsidP="0015549E">
            <w:pPr>
              <w:jc w:val="left"/>
              <w:rPr>
                <w:rFonts w:ascii="Calibri" w:eastAsia="Times New Roman" w:hAnsi="Calibri" w:cs="Times New Roman"/>
                <w:i/>
                <w:iCs/>
                <w:color w:val="000000"/>
                <w:sz w:val="18"/>
                <w:szCs w:val="18"/>
              </w:rPr>
            </w:pPr>
            <w:r w:rsidRPr="0015549E">
              <w:rPr>
                <w:rFonts w:ascii="Calibri" w:eastAsia="Times New Roman" w:hAnsi="Calibri" w:cs="Times New Roman"/>
                <w:i/>
                <w:iCs/>
                <w:color w:val="000000"/>
                <w:sz w:val="18"/>
                <w:szCs w:val="18"/>
              </w:rPr>
              <w:t>Joseph Brigneaud</w:t>
            </w:r>
          </w:p>
        </w:tc>
        <w:tc>
          <w:tcPr>
            <w:tcW w:w="2360" w:type="dxa"/>
            <w:tcBorders>
              <w:top w:val="nil"/>
              <w:left w:val="nil"/>
              <w:bottom w:val="single" w:sz="12" w:space="0" w:color="FFFFFF"/>
              <w:right w:val="single" w:sz="12" w:space="0" w:color="FFFFFF"/>
            </w:tcBorders>
            <w:shd w:val="clear" w:color="000000" w:fill="DBE5F1"/>
            <w:vAlign w:val="center"/>
            <w:hideMark/>
          </w:tcPr>
          <w:p w14:paraId="5FEB2251" w14:textId="77777777" w:rsidR="0015549E" w:rsidRPr="0015549E" w:rsidRDefault="0015549E" w:rsidP="0015549E">
            <w:pPr>
              <w:jc w:val="center"/>
              <w:rPr>
                <w:rFonts w:ascii="Calibri" w:eastAsia="Times New Roman" w:hAnsi="Calibri" w:cs="Times New Roman"/>
                <w:color w:val="000000"/>
                <w:sz w:val="18"/>
                <w:szCs w:val="18"/>
              </w:rPr>
            </w:pPr>
            <w:r w:rsidRPr="0015549E">
              <w:rPr>
                <w:rFonts w:ascii="Calibri" w:eastAsia="Times New Roman" w:hAnsi="Calibri" w:cs="Times New Roman"/>
                <w:color w:val="000000"/>
                <w:sz w:val="18"/>
                <w:szCs w:val="18"/>
              </w:rPr>
              <w:t>Non applicable</w:t>
            </w:r>
          </w:p>
        </w:tc>
      </w:tr>
      <w:tr w:rsidR="0015549E" w:rsidRPr="0015549E" w14:paraId="1CDCC0B5" w14:textId="77777777" w:rsidTr="0015549E">
        <w:trPr>
          <w:trHeight w:val="340"/>
        </w:trPr>
        <w:tc>
          <w:tcPr>
            <w:tcW w:w="6620" w:type="dxa"/>
            <w:tcBorders>
              <w:top w:val="nil"/>
              <w:left w:val="single" w:sz="12" w:space="0" w:color="FFFFFF"/>
              <w:bottom w:val="single" w:sz="12" w:space="0" w:color="FFFFFF"/>
              <w:right w:val="single" w:sz="12" w:space="0" w:color="FFFFFF"/>
            </w:tcBorders>
            <w:shd w:val="clear" w:color="000000" w:fill="DBE5F1"/>
            <w:vAlign w:val="center"/>
            <w:hideMark/>
          </w:tcPr>
          <w:p w14:paraId="72E8A9E7" w14:textId="77777777" w:rsidR="0015549E" w:rsidRPr="0015549E" w:rsidRDefault="0015549E" w:rsidP="0015549E">
            <w:pPr>
              <w:jc w:val="left"/>
              <w:rPr>
                <w:rFonts w:ascii="Calibri" w:eastAsia="Times New Roman" w:hAnsi="Calibri" w:cs="Times New Roman"/>
                <w:i/>
                <w:iCs/>
                <w:color w:val="000000"/>
                <w:sz w:val="18"/>
                <w:szCs w:val="18"/>
              </w:rPr>
            </w:pPr>
            <w:r w:rsidRPr="0015549E">
              <w:rPr>
                <w:rFonts w:ascii="Calibri" w:eastAsia="Times New Roman" w:hAnsi="Calibri" w:cs="Times New Roman"/>
                <w:i/>
                <w:iCs/>
                <w:color w:val="000000"/>
                <w:sz w:val="18"/>
                <w:szCs w:val="18"/>
              </w:rPr>
              <w:t>Michel Onimus</w:t>
            </w:r>
          </w:p>
        </w:tc>
        <w:tc>
          <w:tcPr>
            <w:tcW w:w="2360" w:type="dxa"/>
            <w:tcBorders>
              <w:top w:val="nil"/>
              <w:left w:val="nil"/>
              <w:bottom w:val="single" w:sz="12" w:space="0" w:color="FFFFFF"/>
              <w:right w:val="single" w:sz="12" w:space="0" w:color="FFFFFF"/>
            </w:tcBorders>
            <w:shd w:val="clear" w:color="000000" w:fill="DBE5F1"/>
            <w:vAlign w:val="center"/>
            <w:hideMark/>
          </w:tcPr>
          <w:p w14:paraId="62CAE5BF" w14:textId="77777777" w:rsidR="0015549E" w:rsidRPr="0015549E" w:rsidRDefault="0015549E" w:rsidP="0015549E">
            <w:pPr>
              <w:jc w:val="center"/>
              <w:rPr>
                <w:rFonts w:ascii="Calibri" w:eastAsia="Times New Roman" w:hAnsi="Calibri" w:cs="Times New Roman"/>
                <w:color w:val="000000"/>
                <w:sz w:val="18"/>
                <w:szCs w:val="18"/>
              </w:rPr>
            </w:pPr>
            <w:r w:rsidRPr="0015549E">
              <w:rPr>
                <w:rFonts w:ascii="Calibri" w:eastAsia="Times New Roman" w:hAnsi="Calibri" w:cs="Times New Roman"/>
                <w:color w:val="000000"/>
                <w:sz w:val="18"/>
                <w:szCs w:val="18"/>
              </w:rPr>
              <w:t>Non applicable</w:t>
            </w:r>
          </w:p>
        </w:tc>
      </w:tr>
      <w:tr w:rsidR="0015549E" w:rsidRPr="0015549E" w14:paraId="2EB5DB90" w14:textId="77777777" w:rsidTr="0015549E">
        <w:trPr>
          <w:trHeight w:val="340"/>
        </w:trPr>
        <w:tc>
          <w:tcPr>
            <w:tcW w:w="6620" w:type="dxa"/>
            <w:tcBorders>
              <w:top w:val="nil"/>
              <w:left w:val="single" w:sz="12" w:space="0" w:color="FFFFFF"/>
              <w:bottom w:val="single" w:sz="12" w:space="0" w:color="FFFFFF"/>
              <w:right w:val="single" w:sz="12" w:space="0" w:color="FFFFFF"/>
            </w:tcBorders>
            <w:shd w:val="clear" w:color="000000" w:fill="DBE5F1"/>
            <w:vAlign w:val="center"/>
            <w:hideMark/>
          </w:tcPr>
          <w:p w14:paraId="5BD99DF1" w14:textId="77777777" w:rsidR="0015549E" w:rsidRPr="0015549E" w:rsidRDefault="0015549E" w:rsidP="0015549E">
            <w:pPr>
              <w:jc w:val="left"/>
              <w:rPr>
                <w:rFonts w:ascii="Calibri" w:eastAsia="Times New Roman" w:hAnsi="Calibri" w:cs="Times New Roman"/>
                <w:i/>
                <w:iCs/>
                <w:color w:val="000000"/>
                <w:sz w:val="18"/>
                <w:szCs w:val="18"/>
              </w:rPr>
            </w:pPr>
            <w:r w:rsidRPr="0015549E">
              <w:rPr>
                <w:rFonts w:ascii="Calibri" w:eastAsia="Times New Roman" w:hAnsi="Calibri" w:cs="Times New Roman"/>
                <w:i/>
                <w:iCs/>
                <w:color w:val="000000"/>
                <w:sz w:val="18"/>
                <w:szCs w:val="18"/>
              </w:rPr>
              <w:t>Bérangère Boggio</w:t>
            </w:r>
          </w:p>
        </w:tc>
        <w:tc>
          <w:tcPr>
            <w:tcW w:w="2360" w:type="dxa"/>
            <w:tcBorders>
              <w:top w:val="nil"/>
              <w:left w:val="nil"/>
              <w:bottom w:val="single" w:sz="12" w:space="0" w:color="FFFFFF"/>
              <w:right w:val="single" w:sz="12" w:space="0" w:color="FFFFFF"/>
            </w:tcBorders>
            <w:shd w:val="clear" w:color="000000" w:fill="DBE5F1"/>
            <w:vAlign w:val="center"/>
            <w:hideMark/>
          </w:tcPr>
          <w:p w14:paraId="468D1D9D" w14:textId="77777777" w:rsidR="0015549E" w:rsidRPr="0015549E" w:rsidRDefault="0015549E" w:rsidP="0015549E">
            <w:pPr>
              <w:jc w:val="center"/>
              <w:rPr>
                <w:rFonts w:ascii="Calibri" w:eastAsia="Times New Roman" w:hAnsi="Calibri" w:cs="Times New Roman"/>
                <w:color w:val="000000"/>
                <w:sz w:val="18"/>
                <w:szCs w:val="18"/>
              </w:rPr>
            </w:pPr>
            <w:r w:rsidRPr="0015549E">
              <w:rPr>
                <w:rFonts w:ascii="Calibri" w:eastAsia="Times New Roman" w:hAnsi="Calibri" w:cs="Times New Roman"/>
                <w:color w:val="000000"/>
                <w:sz w:val="18"/>
                <w:szCs w:val="18"/>
              </w:rPr>
              <w:t>Non applicable</w:t>
            </w:r>
          </w:p>
        </w:tc>
      </w:tr>
      <w:tr w:rsidR="0015549E" w:rsidRPr="0015549E" w14:paraId="2C21F640" w14:textId="77777777" w:rsidTr="0015549E">
        <w:trPr>
          <w:trHeight w:val="340"/>
        </w:trPr>
        <w:tc>
          <w:tcPr>
            <w:tcW w:w="6620" w:type="dxa"/>
            <w:tcBorders>
              <w:top w:val="nil"/>
              <w:left w:val="single" w:sz="12" w:space="0" w:color="FFFFFF"/>
              <w:bottom w:val="single" w:sz="12" w:space="0" w:color="FFFFFF"/>
              <w:right w:val="single" w:sz="12" w:space="0" w:color="FFFFFF"/>
            </w:tcBorders>
            <w:shd w:val="clear" w:color="000000" w:fill="DBE5F1"/>
            <w:vAlign w:val="center"/>
            <w:hideMark/>
          </w:tcPr>
          <w:p w14:paraId="11B500C0" w14:textId="62B5BCAD" w:rsidR="0015549E" w:rsidRPr="0015549E" w:rsidRDefault="00B22E53" w:rsidP="0015549E">
            <w:pPr>
              <w:jc w:val="left"/>
              <w:rPr>
                <w:rFonts w:ascii="Calibri" w:eastAsia="Times New Roman" w:hAnsi="Calibri" w:cs="Times New Roman"/>
                <w:i/>
                <w:iCs/>
                <w:color w:val="000000"/>
                <w:sz w:val="18"/>
                <w:szCs w:val="18"/>
              </w:rPr>
            </w:pPr>
            <w:r>
              <w:rPr>
                <w:rFonts w:ascii="Calibri" w:eastAsia="Times New Roman" w:hAnsi="Calibri" w:cs="Times New Roman"/>
                <w:i/>
                <w:iCs/>
                <w:color w:val="000000"/>
                <w:sz w:val="18"/>
                <w:szCs w:val="18"/>
              </w:rPr>
              <w:t>TINAVI</w:t>
            </w:r>
          </w:p>
        </w:tc>
        <w:tc>
          <w:tcPr>
            <w:tcW w:w="2360" w:type="dxa"/>
            <w:tcBorders>
              <w:top w:val="nil"/>
              <w:left w:val="nil"/>
              <w:bottom w:val="single" w:sz="12" w:space="0" w:color="FFFFFF"/>
              <w:right w:val="single" w:sz="12" w:space="0" w:color="FFFFFF"/>
            </w:tcBorders>
            <w:shd w:val="clear" w:color="000000" w:fill="DBE5F1"/>
            <w:vAlign w:val="center"/>
            <w:hideMark/>
          </w:tcPr>
          <w:p w14:paraId="67EA8CA1" w14:textId="77777777" w:rsidR="0015549E" w:rsidRPr="0015549E" w:rsidRDefault="0015549E" w:rsidP="0015549E">
            <w:pPr>
              <w:jc w:val="center"/>
              <w:rPr>
                <w:rFonts w:ascii="Calibri" w:eastAsia="Times New Roman" w:hAnsi="Calibri" w:cs="Times New Roman"/>
                <w:color w:val="000000"/>
                <w:sz w:val="18"/>
                <w:szCs w:val="18"/>
              </w:rPr>
            </w:pPr>
            <w:r w:rsidRPr="0015549E">
              <w:rPr>
                <w:rFonts w:ascii="Calibri" w:eastAsia="Times New Roman" w:hAnsi="Calibri" w:cs="Times New Roman"/>
                <w:color w:val="000000"/>
                <w:sz w:val="18"/>
                <w:szCs w:val="18"/>
              </w:rPr>
              <w:t>Non applicable</w:t>
            </w:r>
          </w:p>
        </w:tc>
      </w:tr>
      <w:tr w:rsidR="0015549E" w:rsidRPr="0015549E" w14:paraId="3681819F" w14:textId="77777777" w:rsidTr="0015549E">
        <w:trPr>
          <w:trHeight w:val="340"/>
        </w:trPr>
        <w:tc>
          <w:tcPr>
            <w:tcW w:w="6620" w:type="dxa"/>
            <w:tcBorders>
              <w:top w:val="nil"/>
              <w:left w:val="single" w:sz="12" w:space="0" w:color="FFFFFF"/>
              <w:bottom w:val="single" w:sz="12" w:space="0" w:color="FFFFFF"/>
              <w:right w:val="single" w:sz="12" w:space="0" w:color="FFFFFF"/>
            </w:tcBorders>
            <w:shd w:val="clear" w:color="000000" w:fill="DBE5F1"/>
            <w:vAlign w:val="center"/>
            <w:hideMark/>
          </w:tcPr>
          <w:p w14:paraId="2DF0AF19" w14:textId="77777777" w:rsidR="0015549E" w:rsidRPr="0015549E" w:rsidRDefault="0015549E" w:rsidP="0015549E">
            <w:pPr>
              <w:jc w:val="left"/>
              <w:rPr>
                <w:rFonts w:ascii="Calibri" w:eastAsia="Times New Roman" w:hAnsi="Calibri" w:cs="Times New Roman"/>
                <w:color w:val="000000"/>
                <w:sz w:val="18"/>
                <w:szCs w:val="18"/>
              </w:rPr>
            </w:pPr>
            <w:r w:rsidRPr="0015549E">
              <w:rPr>
                <w:rFonts w:ascii="Calibri" w:eastAsia="Times New Roman" w:hAnsi="Calibri" w:cs="Times New Roman"/>
                <w:color w:val="000000"/>
                <w:sz w:val="18"/>
                <w:szCs w:val="18"/>
              </w:rPr>
              <w:t>Point de départ d'exercice des options</w:t>
            </w:r>
          </w:p>
        </w:tc>
        <w:tc>
          <w:tcPr>
            <w:tcW w:w="2360" w:type="dxa"/>
            <w:tcBorders>
              <w:top w:val="nil"/>
              <w:left w:val="nil"/>
              <w:bottom w:val="single" w:sz="12" w:space="0" w:color="FFFFFF"/>
              <w:right w:val="single" w:sz="12" w:space="0" w:color="FFFFFF"/>
            </w:tcBorders>
            <w:shd w:val="clear" w:color="000000" w:fill="DBE5F1"/>
            <w:vAlign w:val="center"/>
            <w:hideMark/>
          </w:tcPr>
          <w:p w14:paraId="057A0E41" w14:textId="77777777" w:rsidR="0015549E" w:rsidRPr="0015549E" w:rsidRDefault="0015549E" w:rsidP="0015549E">
            <w:pPr>
              <w:jc w:val="center"/>
              <w:rPr>
                <w:rFonts w:ascii="Calibri" w:eastAsia="Times New Roman" w:hAnsi="Calibri" w:cs="Times New Roman"/>
                <w:color w:val="000000"/>
                <w:sz w:val="18"/>
                <w:szCs w:val="18"/>
              </w:rPr>
            </w:pPr>
            <w:r w:rsidRPr="0015549E">
              <w:rPr>
                <w:rFonts w:ascii="Calibri" w:eastAsia="Times New Roman" w:hAnsi="Calibri" w:cs="Times New Roman"/>
                <w:color w:val="000000"/>
                <w:sz w:val="18"/>
                <w:szCs w:val="18"/>
              </w:rPr>
              <w:t>Non applicable</w:t>
            </w:r>
          </w:p>
        </w:tc>
      </w:tr>
      <w:tr w:rsidR="0015549E" w:rsidRPr="0015549E" w14:paraId="1370F840" w14:textId="77777777" w:rsidTr="0015549E">
        <w:trPr>
          <w:trHeight w:val="340"/>
        </w:trPr>
        <w:tc>
          <w:tcPr>
            <w:tcW w:w="6620" w:type="dxa"/>
            <w:tcBorders>
              <w:top w:val="nil"/>
              <w:left w:val="single" w:sz="12" w:space="0" w:color="FFFFFF"/>
              <w:bottom w:val="single" w:sz="12" w:space="0" w:color="FFFFFF"/>
              <w:right w:val="single" w:sz="12" w:space="0" w:color="FFFFFF"/>
            </w:tcBorders>
            <w:shd w:val="clear" w:color="000000" w:fill="DBE5F1"/>
            <w:vAlign w:val="center"/>
            <w:hideMark/>
          </w:tcPr>
          <w:p w14:paraId="21567878" w14:textId="77777777" w:rsidR="0015549E" w:rsidRPr="0015549E" w:rsidRDefault="0015549E" w:rsidP="0015549E">
            <w:pPr>
              <w:jc w:val="left"/>
              <w:rPr>
                <w:rFonts w:ascii="Calibri" w:eastAsia="Times New Roman" w:hAnsi="Calibri" w:cs="Times New Roman"/>
                <w:color w:val="000000"/>
                <w:sz w:val="18"/>
                <w:szCs w:val="18"/>
              </w:rPr>
            </w:pPr>
            <w:r w:rsidRPr="0015549E">
              <w:rPr>
                <w:rFonts w:ascii="Calibri" w:eastAsia="Times New Roman" w:hAnsi="Calibri" w:cs="Times New Roman"/>
                <w:color w:val="000000"/>
                <w:sz w:val="18"/>
                <w:szCs w:val="18"/>
              </w:rPr>
              <w:t>Date d'expiration</w:t>
            </w:r>
          </w:p>
        </w:tc>
        <w:tc>
          <w:tcPr>
            <w:tcW w:w="2360" w:type="dxa"/>
            <w:tcBorders>
              <w:top w:val="nil"/>
              <w:left w:val="nil"/>
              <w:bottom w:val="single" w:sz="12" w:space="0" w:color="FFFFFF"/>
              <w:right w:val="single" w:sz="12" w:space="0" w:color="FFFFFF"/>
            </w:tcBorders>
            <w:shd w:val="clear" w:color="000000" w:fill="DBE5F1"/>
            <w:vAlign w:val="center"/>
            <w:hideMark/>
          </w:tcPr>
          <w:p w14:paraId="0D5866EB" w14:textId="77777777" w:rsidR="0015549E" w:rsidRPr="0015549E" w:rsidRDefault="0015549E" w:rsidP="0015549E">
            <w:pPr>
              <w:jc w:val="center"/>
              <w:rPr>
                <w:rFonts w:ascii="Calibri" w:eastAsia="Times New Roman" w:hAnsi="Calibri" w:cs="Times New Roman"/>
                <w:color w:val="000000"/>
                <w:sz w:val="18"/>
                <w:szCs w:val="18"/>
              </w:rPr>
            </w:pPr>
            <w:r w:rsidRPr="0015549E">
              <w:rPr>
                <w:rFonts w:ascii="Calibri" w:eastAsia="Times New Roman" w:hAnsi="Calibri" w:cs="Times New Roman"/>
                <w:color w:val="000000"/>
                <w:sz w:val="18"/>
                <w:szCs w:val="18"/>
              </w:rPr>
              <w:t>Non applicable</w:t>
            </w:r>
          </w:p>
        </w:tc>
      </w:tr>
      <w:tr w:rsidR="0015549E" w:rsidRPr="0015549E" w14:paraId="26441E4B" w14:textId="77777777" w:rsidTr="0015549E">
        <w:trPr>
          <w:trHeight w:val="340"/>
        </w:trPr>
        <w:tc>
          <w:tcPr>
            <w:tcW w:w="6620" w:type="dxa"/>
            <w:tcBorders>
              <w:top w:val="nil"/>
              <w:left w:val="single" w:sz="12" w:space="0" w:color="FFFFFF"/>
              <w:bottom w:val="single" w:sz="12" w:space="0" w:color="FFFFFF"/>
              <w:right w:val="single" w:sz="12" w:space="0" w:color="FFFFFF"/>
            </w:tcBorders>
            <w:shd w:val="clear" w:color="000000" w:fill="DBE5F1"/>
            <w:vAlign w:val="center"/>
            <w:hideMark/>
          </w:tcPr>
          <w:p w14:paraId="6FF06F89" w14:textId="77777777" w:rsidR="0015549E" w:rsidRPr="0015549E" w:rsidRDefault="0015549E" w:rsidP="0015549E">
            <w:pPr>
              <w:jc w:val="left"/>
              <w:rPr>
                <w:rFonts w:ascii="Calibri" w:eastAsia="Times New Roman" w:hAnsi="Calibri" w:cs="Times New Roman"/>
                <w:color w:val="000000"/>
                <w:sz w:val="18"/>
                <w:szCs w:val="18"/>
              </w:rPr>
            </w:pPr>
            <w:r w:rsidRPr="0015549E">
              <w:rPr>
                <w:rFonts w:ascii="Calibri" w:eastAsia="Times New Roman" w:hAnsi="Calibri" w:cs="Times New Roman"/>
                <w:color w:val="000000"/>
                <w:sz w:val="18"/>
                <w:szCs w:val="18"/>
              </w:rPr>
              <w:t>Prix de souscription ou d'achat</w:t>
            </w:r>
          </w:p>
        </w:tc>
        <w:tc>
          <w:tcPr>
            <w:tcW w:w="2360" w:type="dxa"/>
            <w:tcBorders>
              <w:top w:val="nil"/>
              <w:left w:val="nil"/>
              <w:bottom w:val="single" w:sz="12" w:space="0" w:color="FFFFFF"/>
              <w:right w:val="single" w:sz="12" w:space="0" w:color="FFFFFF"/>
            </w:tcBorders>
            <w:shd w:val="clear" w:color="000000" w:fill="DBE5F1"/>
            <w:vAlign w:val="center"/>
            <w:hideMark/>
          </w:tcPr>
          <w:p w14:paraId="75F3D520" w14:textId="77777777" w:rsidR="0015549E" w:rsidRPr="0015549E" w:rsidRDefault="0015549E" w:rsidP="0015549E">
            <w:pPr>
              <w:jc w:val="center"/>
              <w:rPr>
                <w:rFonts w:ascii="Calibri" w:eastAsia="Times New Roman" w:hAnsi="Calibri" w:cs="Times New Roman"/>
                <w:color w:val="000000"/>
                <w:sz w:val="18"/>
                <w:szCs w:val="18"/>
              </w:rPr>
            </w:pPr>
            <w:r w:rsidRPr="0015549E">
              <w:rPr>
                <w:rFonts w:ascii="Calibri" w:eastAsia="Times New Roman" w:hAnsi="Calibri" w:cs="Times New Roman"/>
                <w:color w:val="000000"/>
                <w:sz w:val="18"/>
                <w:szCs w:val="18"/>
              </w:rPr>
              <w:t>Non applicable</w:t>
            </w:r>
          </w:p>
        </w:tc>
      </w:tr>
      <w:tr w:rsidR="0015549E" w:rsidRPr="0015549E" w14:paraId="29B55E4C" w14:textId="77777777" w:rsidTr="0015549E">
        <w:trPr>
          <w:trHeight w:val="340"/>
        </w:trPr>
        <w:tc>
          <w:tcPr>
            <w:tcW w:w="6620" w:type="dxa"/>
            <w:tcBorders>
              <w:top w:val="nil"/>
              <w:left w:val="single" w:sz="12" w:space="0" w:color="FFFFFF"/>
              <w:bottom w:val="single" w:sz="12" w:space="0" w:color="FFFFFF"/>
              <w:right w:val="single" w:sz="12" w:space="0" w:color="FFFFFF"/>
            </w:tcBorders>
            <w:shd w:val="clear" w:color="000000" w:fill="DBE5F1"/>
            <w:vAlign w:val="center"/>
            <w:hideMark/>
          </w:tcPr>
          <w:p w14:paraId="1E4AEBDB" w14:textId="77777777" w:rsidR="0015549E" w:rsidRPr="0015549E" w:rsidRDefault="0015549E" w:rsidP="0015549E">
            <w:pPr>
              <w:jc w:val="left"/>
              <w:rPr>
                <w:rFonts w:ascii="Calibri" w:eastAsia="Times New Roman" w:hAnsi="Calibri" w:cs="Times New Roman"/>
                <w:color w:val="000000"/>
                <w:sz w:val="18"/>
                <w:szCs w:val="18"/>
              </w:rPr>
            </w:pPr>
            <w:r w:rsidRPr="0015549E">
              <w:rPr>
                <w:rFonts w:ascii="Calibri" w:eastAsia="Times New Roman" w:hAnsi="Calibri" w:cs="Times New Roman"/>
                <w:color w:val="000000"/>
                <w:sz w:val="18"/>
                <w:szCs w:val="18"/>
              </w:rPr>
              <w:t>Modalités d'exercice lorsque le plan comporte plusieurs tranches</w:t>
            </w:r>
          </w:p>
        </w:tc>
        <w:tc>
          <w:tcPr>
            <w:tcW w:w="2360" w:type="dxa"/>
            <w:tcBorders>
              <w:top w:val="nil"/>
              <w:left w:val="nil"/>
              <w:bottom w:val="single" w:sz="12" w:space="0" w:color="FFFFFF"/>
              <w:right w:val="single" w:sz="12" w:space="0" w:color="FFFFFF"/>
            </w:tcBorders>
            <w:shd w:val="clear" w:color="000000" w:fill="DBE5F1"/>
            <w:vAlign w:val="center"/>
            <w:hideMark/>
          </w:tcPr>
          <w:p w14:paraId="3B46E469" w14:textId="77777777" w:rsidR="0015549E" w:rsidRPr="0015549E" w:rsidRDefault="0015549E" w:rsidP="0015549E">
            <w:pPr>
              <w:jc w:val="center"/>
              <w:rPr>
                <w:rFonts w:ascii="Calibri" w:eastAsia="Times New Roman" w:hAnsi="Calibri" w:cs="Times New Roman"/>
                <w:color w:val="000000"/>
                <w:sz w:val="18"/>
                <w:szCs w:val="18"/>
              </w:rPr>
            </w:pPr>
            <w:r w:rsidRPr="0015549E">
              <w:rPr>
                <w:rFonts w:ascii="Calibri" w:eastAsia="Times New Roman" w:hAnsi="Calibri" w:cs="Times New Roman"/>
                <w:color w:val="000000"/>
                <w:sz w:val="18"/>
                <w:szCs w:val="18"/>
              </w:rPr>
              <w:t>Non applicable</w:t>
            </w:r>
          </w:p>
        </w:tc>
      </w:tr>
      <w:tr w:rsidR="0015549E" w:rsidRPr="0015549E" w14:paraId="09B84DE5" w14:textId="77777777" w:rsidTr="0015549E">
        <w:trPr>
          <w:trHeight w:val="340"/>
        </w:trPr>
        <w:tc>
          <w:tcPr>
            <w:tcW w:w="6620" w:type="dxa"/>
            <w:tcBorders>
              <w:top w:val="nil"/>
              <w:left w:val="single" w:sz="12" w:space="0" w:color="FFFFFF"/>
              <w:bottom w:val="single" w:sz="12" w:space="0" w:color="FFFFFF"/>
              <w:right w:val="single" w:sz="12" w:space="0" w:color="FFFFFF"/>
            </w:tcBorders>
            <w:shd w:val="clear" w:color="000000" w:fill="DBE5F1"/>
            <w:vAlign w:val="center"/>
            <w:hideMark/>
          </w:tcPr>
          <w:p w14:paraId="2DEF4E65" w14:textId="1269C541" w:rsidR="0015549E" w:rsidRPr="0015549E" w:rsidRDefault="0015549E" w:rsidP="0015549E">
            <w:pPr>
              <w:jc w:val="left"/>
              <w:rPr>
                <w:rFonts w:ascii="Calibri" w:eastAsia="Times New Roman" w:hAnsi="Calibri" w:cs="Times New Roman"/>
                <w:color w:val="000000"/>
                <w:sz w:val="18"/>
                <w:szCs w:val="18"/>
              </w:rPr>
            </w:pPr>
            <w:r w:rsidRPr="0015549E">
              <w:rPr>
                <w:rFonts w:ascii="Calibri" w:eastAsia="Times New Roman" w:hAnsi="Calibri" w:cs="Times New Roman"/>
                <w:color w:val="000000"/>
                <w:sz w:val="18"/>
                <w:szCs w:val="18"/>
              </w:rPr>
              <w:t xml:space="preserve">Nombre d'actions souscrites à la date du </w:t>
            </w:r>
            <w:r w:rsidR="00920DEB">
              <w:t>Document d’enregistrement universel</w:t>
            </w:r>
          </w:p>
        </w:tc>
        <w:tc>
          <w:tcPr>
            <w:tcW w:w="2360" w:type="dxa"/>
            <w:tcBorders>
              <w:top w:val="nil"/>
              <w:left w:val="nil"/>
              <w:bottom w:val="single" w:sz="12" w:space="0" w:color="FFFFFF"/>
              <w:right w:val="single" w:sz="12" w:space="0" w:color="FFFFFF"/>
            </w:tcBorders>
            <w:shd w:val="clear" w:color="000000" w:fill="DBE5F1"/>
            <w:vAlign w:val="center"/>
            <w:hideMark/>
          </w:tcPr>
          <w:p w14:paraId="509F48CA" w14:textId="77777777" w:rsidR="0015549E" w:rsidRPr="0015549E" w:rsidRDefault="0015549E" w:rsidP="0015549E">
            <w:pPr>
              <w:jc w:val="center"/>
              <w:rPr>
                <w:rFonts w:ascii="Calibri" w:eastAsia="Times New Roman" w:hAnsi="Calibri" w:cs="Times New Roman"/>
                <w:color w:val="000000"/>
                <w:sz w:val="18"/>
                <w:szCs w:val="18"/>
              </w:rPr>
            </w:pPr>
            <w:r w:rsidRPr="0015549E">
              <w:rPr>
                <w:rFonts w:ascii="Calibri" w:eastAsia="Times New Roman" w:hAnsi="Calibri" w:cs="Times New Roman"/>
                <w:color w:val="000000"/>
                <w:sz w:val="18"/>
                <w:szCs w:val="18"/>
              </w:rPr>
              <w:t>Non applicable</w:t>
            </w:r>
          </w:p>
        </w:tc>
      </w:tr>
      <w:tr w:rsidR="0015549E" w:rsidRPr="0015549E" w14:paraId="03EE09EA" w14:textId="77777777" w:rsidTr="0015549E">
        <w:trPr>
          <w:trHeight w:val="340"/>
        </w:trPr>
        <w:tc>
          <w:tcPr>
            <w:tcW w:w="6620" w:type="dxa"/>
            <w:tcBorders>
              <w:top w:val="nil"/>
              <w:left w:val="single" w:sz="12" w:space="0" w:color="FFFFFF"/>
              <w:bottom w:val="single" w:sz="12" w:space="0" w:color="FFFFFF"/>
              <w:right w:val="single" w:sz="12" w:space="0" w:color="FFFFFF"/>
            </w:tcBorders>
            <w:shd w:val="clear" w:color="000000" w:fill="DBE5F1"/>
            <w:vAlign w:val="center"/>
            <w:hideMark/>
          </w:tcPr>
          <w:p w14:paraId="7E90FBDE" w14:textId="77777777" w:rsidR="0015549E" w:rsidRPr="0015549E" w:rsidRDefault="0015549E" w:rsidP="0015549E">
            <w:pPr>
              <w:jc w:val="left"/>
              <w:rPr>
                <w:rFonts w:ascii="Calibri" w:eastAsia="Times New Roman" w:hAnsi="Calibri" w:cs="Times New Roman"/>
                <w:color w:val="000000"/>
                <w:sz w:val="18"/>
                <w:szCs w:val="18"/>
              </w:rPr>
            </w:pPr>
            <w:r w:rsidRPr="0015549E">
              <w:rPr>
                <w:rFonts w:ascii="Calibri" w:eastAsia="Times New Roman" w:hAnsi="Calibri" w:cs="Times New Roman"/>
                <w:color w:val="000000"/>
                <w:sz w:val="18"/>
                <w:szCs w:val="18"/>
              </w:rPr>
              <w:t>Nombre cumulé d'options de souscription ou d'achat d'actions annulées ou caduques</w:t>
            </w:r>
          </w:p>
        </w:tc>
        <w:tc>
          <w:tcPr>
            <w:tcW w:w="2360" w:type="dxa"/>
            <w:tcBorders>
              <w:top w:val="nil"/>
              <w:left w:val="nil"/>
              <w:bottom w:val="single" w:sz="12" w:space="0" w:color="FFFFFF"/>
              <w:right w:val="single" w:sz="12" w:space="0" w:color="FFFFFF"/>
            </w:tcBorders>
            <w:shd w:val="clear" w:color="000000" w:fill="DBE5F1"/>
            <w:vAlign w:val="center"/>
            <w:hideMark/>
          </w:tcPr>
          <w:p w14:paraId="1B1B5DE6" w14:textId="77777777" w:rsidR="0015549E" w:rsidRPr="0015549E" w:rsidRDefault="0015549E" w:rsidP="0015549E">
            <w:pPr>
              <w:jc w:val="center"/>
              <w:rPr>
                <w:rFonts w:ascii="Calibri" w:eastAsia="Times New Roman" w:hAnsi="Calibri" w:cs="Times New Roman"/>
                <w:color w:val="000000"/>
                <w:sz w:val="18"/>
                <w:szCs w:val="18"/>
              </w:rPr>
            </w:pPr>
            <w:r w:rsidRPr="0015549E">
              <w:rPr>
                <w:rFonts w:ascii="Calibri" w:eastAsia="Times New Roman" w:hAnsi="Calibri" w:cs="Times New Roman"/>
                <w:color w:val="000000"/>
                <w:sz w:val="18"/>
                <w:szCs w:val="18"/>
              </w:rPr>
              <w:t>Non applicable</w:t>
            </w:r>
          </w:p>
        </w:tc>
      </w:tr>
      <w:tr w:rsidR="0015549E" w:rsidRPr="0015549E" w14:paraId="161CBAF8" w14:textId="77777777" w:rsidTr="0015549E">
        <w:trPr>
          <w:trHeight w:val="340"/>
        </w:trPr>
        <w:tc>
          <w:tcPr>
            <w:tcW w:w="6620" w:type="dxa"/>
            <w:tcBorders>
              <w:top w:val="nil"/>
              <w:left w:val="single" w:sz="12" w:space="0" w:color="FFFFFF"/>
              <w:bottom w:val="single" w:sz="12" w:space="0" w:color="FFFFFF"/>
              <w:right w:val="single" w:sz="12" w:space="0" w:color="FFFFFF"/>
            </w:tcBorders>
            <w:shd w:val="clear" w:color="000000" w:fill="DBE5F1"/>
            <w:vAlign w:val="center"/>
            <w:hideMark/>
          </w:tcPr>
          <w:p w14:paraId="5DFF02D0" w14:textId="77777777" w:rsidR="0015549E" w:rsidRPr="0015549E" w:rsidRDefault="0015549E" w:rsidP="0015549E">
            <w:pPr>
              <w:jc w:val="left"/>
              <w:rPr>
                <w:rFonts w:ascii="Calibri" w:eastAsia="Times New Roman" w:hAnsi="Calibri" w:cs="Times New Roman"/>
                <w:color w:val="000000"/>
                <w:sz w:val="18"/>
                <w:szCs w:val="18"/>
              </w:rPr>
            </w:pPr>
            <w:r w:rsidRPr="0015549E">
              <w:rPr>
                <w:rFonts w:ascii="Calibri" w:eastAsia="Times New Roman" w:hAnsi="Calibri" w:cs="Times New Roman"/>
                <w:color w:val="000000"/>
                <w:sz w:val="18"/>
                <w:szCs w:val="18"/>
              </w:rPr>
              <w:t>Options de souscription ou d'achat d'actions restantes en fin d'exercice</w:t>
            </w:r>
          </w:p>
        </w:tc>
        <w:tc>
          <w:tcPr>
            <w:tcW w:w="2360" w:type="dxa"/>
            <w:tcBorders>
              <w:top w:val="nil"/>
              <w:left w:val="nil"/>
              <w:bottom w:val="single" w:sz="12" w:space="0" w:color="FFFFFF"/>
              <w:right w:val="single" w:sz="12" w:space="0" w:color="FFFFFF"/>
            </w:tcBorders>
            <w:shd w:val="clear" w:color="000000" w:fill="DBE5F1"/>
            <w:vAlign w:val="center"/>
            <w:hideMark/>
          </w:tcPr>
          <w:p w14:paraId="1B1BD73B" w14:textId="77777777" w:rsidR="0015549E" w:rsidRPr="0015549E" w:rsidRDefault="0015549E" w:rsidP="0015549E">
            <w:pPr>
              <w:jc w:val="center"/>
              <w:rPr>
                <w:rFonts w:ascii="Calibri" w:eastAsia="Times New Roman" w:hAnsi="Calibri" w:cs="Times New Roman"/>
                <w:color w:val="000000"/>
                <w:sz w:val="18"/>
                <w:szCs w:val="18"/>
              </w:rPr>
            </w:pPr>
            <w:r w:rsidRPr="0015549E">
              <w:rPr>
                <w:rFonts w:ascii="Calibri" w:eastAsia="Times New Roman" w:hAnsi="Calibri" w:cs="Times New Roman"/>
                <w:color w:val="000000"/>
                <w:sz w:val="18"/>
                <w:szCs w:val="18"/>
              </w:rPr>
              <w:t>Non applicable</w:t>
            </w:r>
          </w:p>
        </w:tc>
      </w:tr>
      <w:tr w:rsidR="0015549E" w:rsidRPr="0015549E" w14:paraId="70298A20" w14:textId="77777777" w:rsidTr="0015549E">
        <w:trPr>
          <w:trHeight w:val="340"/>
        </w:trPr>
        <w:tc>
          <w:tcPr>
            <w:tcW w:w="6620" w:type="dxa"/>
            <w:tcBorders>
              <w:top w:val="nil"/>
              <w:left w:val="single" w:sz="12" w:space="0" w:color="FFFFFF"/>
              <w:bottom w:val="single" w:sz="12" w:space="0" w:color="FFFFFF"/>
              <w:right w:val="single" w:sz="12" w:space="0" w:color="FFFFFF"/>
            </w:tcBorders>
            <w:shd w:val="clear" w:color="000000" w:fill="B8CCE4"/>
            <w:vAlign w:val="center"/>
            <w:hideMark/>
          </w:tcPr>
          <w:p w14:paraId="673D68F9" w14:textId="77777777" w:rsidR="0015549E" w:rsidRPr="0015549E" w:rsidRDefault="0015549E" w:rsidP="0015549E">
            <w:pPr>
              <w:jc w:val="left"/>
              <w:rPr>
                <w:rFonts w:ascii="Calibri" w:eastAsia="Times New Roman" w:hAnsi="Calibri" w:cs="Times New Roman"/>
                <w:b/>
                <w:bCs/>
                <w:color w:val="000000"/>
                <w:sz w:val="18"/>
                <w:szCs w:val="18"/>
              </w:rPr>
            </w:pPr>
            <w:r w:rsidRPr="0015549E">
              <w:rPr>
                <w:rFonts w:ascii="Calibri" w:eastAsia="Times New Roman" w:hAnsi="Calibri" w:cs="Times New Roman"/>
                <w:b/>
                <w:bCs/>
                <w:color w:val="000000"/>
                <w:sz w:val="18"/>
                <w:szCs w:val="18"/>
              </w:rPr>
              <w:t xml:space="preserve">Total </w:t>
            </w:r>
          </w:p>
        </w:tc>
        <w:tc>
          <w:tcPr>
            <w:tcW w:w="2360" w:type="dxa"/>
            <w:tcBorders>
              <w:top w:val="nil"/>
              <w:left w:val="nil"/>
              <w:bottom w:val="single" w:sz="12" w:space="0" w:color="FFFFFF"/>
              <w:right w:val="single" w:sz="12" w:space="0" w:color="FFFFFF"/>
            </w:tcBorders>
            <w:shd w:val="clear" w:color="000000" w:fill="B8CCE4"/>
            <w:vAlign w:val="center"/>
            <w:hideMark/>
          </w:tcPr>
          <w:p w14:paraId="39F11118" w14:textId="77777777" w:rsidR="0015549E" w:rsidRPr="0015549E" w:rsidRDefault="0015549E" w:rsidP="0015549E">
            <w:pPr>
              <w:jc w:val="center"/>
              <w:rPr>
                <w:rFonts w:ascii="Calibri" w:eastAsia="Times New Roman" w:hAnsi="Calibri" w:cs="Times New Roman"/>
                <w:b/>
                <w:bCs/>
                <w:color w:val="000000"/>
                <w:sz w:val="18"/>
                <w:szCs w:val="18"/>
              </w:rPr>
            </w:pPr>
            <w:r w:rsidRPr="0015549E">
              <w:rPr>
                <w:rFonts w:ascii="Calibri" w:eastAsia="Times New Roman" w:hAnsi="Calibri" w:cs="Times New Roman"/>
                <w:b/>
                <w:bCs/>
                <w:color w:val="000000"/>
                <w:sz w:val="18"/>
                <w:szCs w:val="18"/>
              </w:rPr>
              <w:t>Non applicable</w:t>
            </w:r>
          </w:p>
        </w:tc>
      </w:tr>
    </w:tbl>
    <w:p w14:paraId="5D872585" w14:textId="77777777" w:rsidR="0015549E" w:rsidRDefault="0015549E" w:rsidP="00F5246F">
      <w:pPr>
        <w:rPr>
          <w:b/>
        </w:rPr>
      </w:pPr>
    </w:p>
    <w:p w14:paraId="2B9F7DFC" w14:textId="1F41AB69" w:rsidR="00852E9C" w:rsidRDefault="00852E9C" w:rsidP="00852E9C">
      <w:pPr>
        <w:rPr>
          <w:b/>
        </w:rPr>
      </w:pPr>
      <w:r>
        <w:rPr>
          <w:b/>
        </w:rPr>
        <w:t>Tableau n°9 :</w:t>
      </w:r>
    </w:p>
    <w:p w14:paraId="2CC88448" w14:textId="77777777" w:rsidR="00F5246F" w:rsidRDefault="00F5246F" w:rsidP="001C336B">
      <w:pPr>
        <w:rPr>
          <w:b/>
        </w:rPr>
      </w:pPr>
    </w:p>
    <w:tbl>
      <w:tblPr>
        <w:tblW w:w="9400" w:type="dxa"/>
        <w:tblInd w:w="55" w:type="dxa"/>
        <w:tblCellMar>
          <w:left w:w="70" w:type="dxa"/>
          <w:right w:w="70" w:type="dxa"/>
        </w:tblCellMar>
        <w:tblLook w:val="04A0" w:firstRow="1" w:lastRow="0" w:firstColumn="1" w:lastColumn="0" w:noHBand="0" w:noVBand="1"/>
      </w:tblPr>
      <w:tblGrid>
        <w:gridCol w:w="3340"/>
        <w:gridCol w:w="2020"/>
        <w:gridCol w:w="2020"/>
        <w:gridCol w:w="2020"/>
      </w:tblGrid>
      <w:tr w:rsidR="00D00733" w:rsidRPr="00D00733" w14:paraId="60B4AA3F" w14:textId="77777777" w:rsidTr="00D00733">
        <w:trPr>
          <w:trHeight w:val="560"/>
        </w:trPr>
        <w:tc>
          <w:tcPr>
            <w:tcW w:w="9400" w:type="dxa"/>
            <w:gridSpan w:val="4"/>
            <w:tcBorders>
              <w:top w:val="nil"/>
              <w:left w:val="single" w:sz="12" w:space="0" w:color="FFFFFF"/>
              <w:bottom w:val="nil"/>
              <w:right w:val="nil"/>
            </w:tcBorders>
            <w:shd w:val="clear" w:color="000000" w:fill="365F91"/>
            <w:vAlign w:val="center"/>
            <w:hideMark/>
          </w:tcPr>
          <w:p w14:paraId="674F1A66" w14:textId="77777777" w:rsidR="00D00733" w:rsidRPr="00D00733" w:rsidRDefault="00D00733" w:rsidP="00D00733">
            <w:pPr>
              <w:jc w:val="center"/>
              <w:rPr>
                <w:rFonts w:ascii="Calibri" w:eastAsia="Times New Roman" w:hAnsi="Calibri" w:cs="Times New Roman"/>
                <w:b/>
                <w:bCs/>
                <w:color w:val="FFFFFF"/>
                <w:sz w:val="18"/>
                <w:szCs w:val="18"/>
              </w:rPr>
            </w:pPr>
            <w:r w:rsidRPr="00D00733">
              <w:rPr>
                <w:rFonts w:ascii="Calibri" w:eastAsia="Times New Roman" w:hAnsi="Calibri" w:cs="Times New Roman"/>
                <w:b/>
                <w:bCs/>
                <w:color w:val="FFFFFF"/>
                <w:sz w:val="18"/>
                <w:szCs w:val="18"/>
              </w:rPr>
              <w:t>Options de souscription ou d'achat d'actions consenties aux 10 premiers salariés non mandataires sociaux attributaires et options levées par ces derniers</w:t>
            </w:r>
          </w:p>
        </w:tc>
      </w:tr>
      <w:tr w:rsidR="00D00733" w:rsidRPr="00D00733" w14:paraId="74607557" w14:textId="77777777" w:rsidTr="00D00733">
        <w:trPr>
          <w:trHeight w:val="740"/>
        </w:trPr>
        <w:tc>
          <w:tcPr>
            <w:tcW w:w="3340" w:type="dxa"/>
            <w:tcBorders>
              <w:top w:val="single" w:sz="12" w:space="0" w:color="FFFFFF"/>
              <w:left w:val="single" w:sz="12" w:space="0" w:color="FFFFFF"/>
              <w:bottom w:val="nil"/>
              <w:right w:val="single" w:sz="12" w:space="0" w:color="FFFFFF"/>
            </w:tcBorders>
            <w:shd w:val="clear" w:color="000000" w:fill="365F91"/>
            <w:vAlign w:val="center"/>
            <w:hideMark/>
          </w:tcPr>
          <w:p w14:paraId="0DF42202" w14:textId="77777777" w:rsidR="00D00733" w:rsidRPr="00D00733" w:rsidRDefault="00D00733" w:rsidP="00D00733">
            <w:pPr>
              <w:jc w:val="center"/>
              <w:rPr>
                <w:rFonts w:ascii="Calibri" w:eastAsia="Times New Roman" w:hAnsi="Calibri" w:cs="Times New Roman"/>
                <w:b/>
                <w:bCs/>
                <w:color w:val="FFFFFF"/>
                <w:sz w:val="18"/>
                <w:szCs w:val="18"/>
              </w:rPr>
            </w:pPr>
            <w:r w:rsidRPr="00D00733">
              <w:rPr>
                <w:rFonts w:ascii="Calibri" w:eastAsia="Times New Roman" w:hAnsi="Calibri" w:cs="Times New Roman"/>
                <w:b/>
                <w:bCs/>
                <w:color w:val="FFFFFF"/>
                <w:sz w:val="18"/>
                <w:szCs w:val="18"/>
              </w:rPr>
              <w:t> </w:t>
            </w:r>
          </w:p>
        </w:tc>
        <w:tc>
          <w:tcPr>
            <w:tcW w:w="2020" w:type="dxa"/>
            <w:tcBorders>
              <w:top w:val="single" w:sz="12" w:space="0" w:color="FFFFFF"/>
              <w:left w:val="nil"/>
              <w:bottom w:val="nil"/>
              <w:right w:val="nil"/>
            </w:tcBorders>
            <w:shd w:val="clear" w:color="000000" w:fill="365F91"/>
            <w:vAlign w:val="center"/>
            <w:hideMark/>
          </w:tcPr>
          <w:p w14:paraId="69C96883" w14:textId="6CE9ECEE" w:rsidR="00D00733" w:rsidRPr="00D00733" w:rsidRDefault="00D00733" w:rsidP="00D00733">
            <w:pPr>
              <w:jc w:val="center"/>
              <w:rPr>
                <w:rFonts w:ascii="Calibri" w:eastAsia="Times New Roman" w:hAnsi="Calibri" w:cs="Times New Roman"/>
                <w:b/>
                <w:bCs/>
                <w:color w:val="FFFFFF"/>
                <w:sz w:val="18"/>
                <w:szCs w:val="18"/>
              </w:rPr>
            </w:pPr>
            <w:r w:rsidRPr="00D00733">
              <w:rPr>
                <w:rFonts w:ascii="Calibri" w:eastAsia="Times New Roman" w:hAnsi="Calibri" w:cs="Times New Roman"/>
                <w:b/>
                <w:bCs/>
                <w:color w:val="FFFFFF"/>
                <w:sz w:val="18"/>
                <w:szCs w:val="18"/>
              </w:rPr>
              <w:t>Nombre total d'options att</w:t>
            </w:r>
            <w:r>
              <w:rPr>
                <w:rFonts w:ascii="Calibri" w:eastAsia="Times New Roman" w:hAnsi="Calibri" w:cs="Times New Roman"/>
                <w:b/>
                <w:bCs/>
                <w:color w:val="FFFFFF"/>
                <w:sz w:val="18"/>
                <w:szCs w:val="18"/>
              </w:rPr>
              <w:t>r</w:t>
            </w:r>
            <w:r w:rsidRPr="00D00733">
              <w:rPr>
                <w:rFonts w:ascii="Calibri" w:eastAsia="Times New Roman" w:hAnsi="Calibri" w:cs="Times New Roman"/>
                <w:b/>
                <w:bCs/>
                <w:color w:val="FFFFFF"/>
                <w:sz w:val="18"/>
                <w:szCs w:val="18"/>
              </w:rPr>
              <w:t>ibuées / sou</w:t>
            </w:r>
            <w:r>
              <w:rPr>
                <w:rFonts w:ascii="Calibri" w:eastAsia="Times New Roman" w:hAnsi="Calibri" w:cs="Times New Roman"/>
                <w:b/>
                <w:bCs/>
                <w:color w:val="FFFFFF"/>
                <w:sz w:val="18"/>
                <w:szCs w:val="18"/>
              </w:rPr>
              <w:t>s</w:t>
            </w:r>
            <w:r w:rsidRPr="00D00733">
              <w:rPr>
                <w:rFonts w:ascii="Calibri" w:eastAsia="Times New Roman" w:hAnsi="Calibri" w:cs="Times New Roman"/>
                <w:b/>
                <w:bCs/>
                <w:color w:val="FFFFFF"/>
                <w:sz w:val="18"/>
                <w:szCs w:val="18"/>
              </w:rPr>
              <w:t>crites ou achetées</w:t>
            </w:r>
          </w:p>
        </w:tc>
        <w:tc>
          <w:tcPr>
            <w:tcW w:w="2020" w:type="dxa"/>
            <w:tcBorders>
              <w:top w:val="single" w:sz="12" w:space="0" w:color="FFFFFF"/>
              <w:left w:val="single" w:sz="12" w:space="0" w:color="FFFFFF"/>
              <w:bottom w:val="nil"/>
              <w:right w:val="nil"/>
            </w:tcBorders>
            <w:shd w:val="clear" w:color="000000" w:fill="365F91"/>
            <w:vAlign w:val="center"/>
            <w:hideMark/>
          </w:tcPr>
          <w:p w14:paraId="6EBB55DC" w14:textId="77777777" w:rsidR="00D00733" w:rsidRPr="00D00733" w:rsidRDefault="00D00733" w:rsidP="00D00733">
            <w:pPr>
              <w:jc w:val="center"/>
              <w:rPr>
                <w:rFonts w:ascii="Calibri" w:eastAsia="Times New Roman" w:hAnsi="Calibri" w:cs="Times New Roman"/>
                <w:b/>
                <w:bCs/>
                <w:color w:val="FFFFFF"/>
                <w:sz w:val="18"/>
                <w:szCs w:val="18"/>
              </w:rPr>
            </w:pPr>
            <w:r w:rsidRPr="00D00733">
              <w:rPr>
                <w:rFonts w:ascii="Calibri" w:eastAsia="Times New Roman" w:hAnsi="Calibri" w:cs="Times New Roman"/>
                <w:b/>
                <w:bCs/>
                <w:color w:val="FFFFFF"/>
                <w:sz w:val="18"/>
                <w:szCs w:val="18"/>
              </w:rPr>
              <w:t>Prix moyen pondéré</w:t>
            </w:r>
          </w:p>
        </w:tc>
        <w:tc>
          <w:tcPr>
            <w:tcW w:w="2020" w:type="dxa"/>
            <w:tcBorders>
              <w:top w:val="single" w:sz="12" w:space="0" w:color="FFFFFF"/>
              <w:left w:val="single" w:sz="12" w:space="0" w:color="FFFFFF"/>
              <w:bottom w:val="nil"/>
              <w:right w:val="nil"/>
            </w:tcBorders>
            <w:shd w:val="clear" w:color="000000" w:fill="365F91"/>
            <w:vAlign w:val="center"/>
            <w:hideMark/>
          </w:tcPr>
          <w:p w14:paraId="23D9C4D2" w14:textId="77777777" w:rsidR="00D00733" w:rsidRPr="00D00733" w:rsidRDefault="00D00733" w:rsidP="00D00733">
            <w:pPr>
              <w:jc w:val="center"/>
              <w:rPr>
                <w:rFonts w:ascii="Calibri" w:eastAsia="Times New Roman" w:hAnsi="Calibri" w:cs="Times New Roman"/>
                <w:b/>
                <w:bCs/>
                <w:color w:val="FFFFFF"/>
                <w:sz w:val="18"/>
                <w:szCs w:val="18"/>
              </w:rPr>
            </w:pPr>
            <w:r w:rsidRPr="00D00733">
              <w:rPr>
                <w:rFonts w:ascii="Calibri" w:eastAsia="Times New Roman" w:hAnsi="Calibri" w:cs="Times New Roman"/>
                <w:b/>
                <w:bCs/>
                <w:color w:val="FFFFFF"/>
                <w:sz w:val="18"/>
                <w:szCs w:val="18"/>
              </w:rPr>
              <w:t>Plan</w:t>
            </w:r>
          </w:p>
        </w:tc>
      </w:tr>
      <w:tr w:rsidR="00D00733" w:rsidRPr="00D00733" w14:paraId="35C472EB" w14:textId="77777777" w:rsidTr="00D00733">
        <w:trPr>
          <w:trHeight w:val="1700"/>
        </w:trPr>
        <w:tc>
          <w:tcPr>
            <w:tcW w:w="3340" w:type="dxa"/>
            <w:tcBorders>
              <w:top w:val="nil"/>
              <w:left w:val="single" w:sz="12" w:space="0" w:color="FFFFFF"/>
              <w:bottom w:val="single" w:sz="12" w:space="0" w:color="FFFFFF"/>
              <w:right w:val="single" w:sz="12" w:space="0" w:color="FFFFFF"/>
            </w:tcBorders>
            <w:shd w:val="clear" w:color="000000" w:fill="DBE5F1"/>
            <w:vAlign w:val="center"/>
            <w:hideMark/>
          </w:tcPr>
          <w:p w14:paraId="33828EA1" w14:textId="35F1AC49" w:rsidR="00D00733" w:rsidRPr="00D00733" w:rsidRDefault="00D00733" w:rsidP="00D00733">
            <w:pPr>
              <w:jc w:val="left"/>
              <w:rPr>
                <w:rFonts w:ascii="Calibri" w:eastAsia="Times New Roman" w:hAnsi="Calibri" w:cs="Times New Roman"/>
                <w:color w:val="000000"/>
                <w:sz w:val="18"/>
                <w:szCs w:val="18"/>
              </w:rPr>
            </w:pPr>
            <w:r w:rsidRPr="00D00733">
              <w:rPr>
                <w:rFonts w:ascii="Calibri" w:eastAsia="Times New Roman" w:hAnsi="Calibri" w:cs="Times New Roman"/>
                <w:color w:val="000000"/>
                <w:sz w:val="18"/>
                <w:szCs w:val="18"/>
              </w:rPr>
              <w:t xml:space="preserve">Options consenties, durant l’exercice, par </w:t>
            </w:r>
            <w:r w:rsidR="0086207B" w:rsidRPr="00D00733">
              <w:rPr>
                <w:rFonts w:ascii="Calibri" w:eastAsia="Times New Roman" w:hAnsi="Calibri" w:cs="Times New Roman"/>
                <w:color w:val="000000"/>
                <w:sz w:val="18"/>
                <w:szCs w:val="18"/>
              </w:rPr>
              <w:t>l</w:t>
            </w:r>
            <w:r w:rsidR="0086207B">
              <w:rPr>
                <w:rFonts w:ascii="Calibri" w:eastAsia="Times New Roman" w:hAnsi="Calibri" w:cs="Times New Roman"/>
                <w:color w:val="000000"/>
                <w:sz w:val="18"/>
                <w:szCs w:val="18"/>
              </w:rPr>
              <w:t>a Société</w:t>
            </w:r>
            <w:r w:rsidR="0086207B" w:rsidRPr="00D00733">
              <w:rPr>
                <w:rFonts w:ascii="Calibri" w:eastAsia="Times New Roman" w:hAnsi="Calibri" w:cs="Times New Roman"/>
                <w:color w:val="000000"/>
                <w:sz w:val="18"/>
                <w:szCs w:val="18"/>
              </w:rPr>
              <w:t xml:space="preserve"> </w:t>
            </w:r>
            <w:r w:rsidRPr="00D00733">
              <w:rPr>
                <w:rFonts w:ascii="Calibri" w:eastAsia="Times New Roman" w:hAnsi="Calibri" w:cs="Times New Roman"/>
                <w:color w:val="000000"/>
                <w:sz w:val="18"/>
                <w:szCs w:val="18"/>
              </w:rPr>
              <w:t xml:space="preserve">et toute société comprise dans le périmètre d’attribution des options, aux dix salariés de </w:t>
            </w:r>
            <w:r w:rsidR="0086207B">
              <w:rPr>
                <w:rFonts w:ascii="Calibri" w:eastAsia="Times New Roman" w:hAnsi="Calibri" w:cs="Times New Roman"/>
                <w:color w:val="000000"/>
                <w:sz w:val="18"/>
                <w:szCs w:val="18"/>
              </w:rPr>
              <w:t>de la Société</w:t>
            </w:r>
            <w:r w:rsidR="0086207B" w:rsidRPr="00D00733">
              <w:rPr>
                <w:rFonts w:ascii="Calibri" w:eastAsia="Times New Roman" w:hAnsi="Calibri" w:cs="Times New Roman"/>
                <w:color w:val="000000"/>
                <w:sz w:val="18"/>
                <w:szCs w:val="18"/>
              </w:rPr>
              <w:t xml:space="preserve"> </w:t>
            </w:r>
            <w:r w:rsidRPr="00D00733">
              <w:rPr>
                <w:rFonts w:ascii="Calibri" w:eastAsia="Times New Roman" w:hAnsi="Calibri" w:cs="Times New Roman"/>
                <w:color w:val="000000"/>
                <w:sz w:val="18"/>
                <w:szCs w:val="18"/>
              </w:rPr>
              <w:t>et de toute société comprise dans ce périmètre, dont le nombre d’options ainsi consenties est le plus élevé (information globale)</w:t>
            </w:r>
          </w:p>
        </w:tc>
        <w:tc>
          <w:tcPr>
            <w:tcW w:w="2020" w:type="dxa"/>
            <w:tcBorders>
              <w:top w:val="nil"/>
              <w:left w:val="nil"/>
              <w:bottom w:val="single" w:sz="12" w:space="0" w:color="FFFFFF"/>
              <w:right w:val="single" w:sz="12" w:space="0" w:color="FFFFFF"/>
            </w:tcBorders>
            <w:shd w:val="clear" w:color="000000" w:fill="DBE5F1"/>
            <w:vAlign w:val="center"/>
            <w:hideMark/>
          </w:tcPr>
          <w:p w14:paraId="32A6926D" w14:textId="77777777" w:rsidR="00D00733" w:rsidRPr="00D00733" w:rsidRDefault="00D00733" w:rsidP="00D00733">
            <w:pPr>
              <w:jc w:val="center"/>
              <w:rPr>
                <w:rFonts w:ascii="Calibri" w:eastAsia="Times New Roman" w:hAnsi="Calibri" w:cs="Times New Roman"/>
                <w:color w:val="000000"/>
                <w:sz w:val="18"/>
                <w:szCs w:val="18"/>
              </w:rPr>
            </w:pPr>
            <w:r w:rsidRPr="00D00733">
              <w:rPr>
                <w:rFonts w:ascii="Calibri" w:eastAsia="Times New Roman" w:hAnsi="Calibri" w:cs="Times New Roman"/>
                <w:color w:val="000000"/>
                <w:sz w:val="18"/>
                <w:szCs w:val="18"/>
              </w:rPr>
              <w:t>Non applicable</w:t>
            </w:r>
          </w:p>
        </w:tc>
        <w:tc>
          <w:tcPr>
            <w:tcW w:w="2020" w:type="dxa"/>
            <w:tcBorders>
              <w:top w:val="nil"/>
              <w:left w:val="nil"/>
              <w:bottom w:val="single" w:sz="12" w:space="0" w:color="FFFFFF"/>
              <w:right w:val="single" w:sz="12" w:space="0" w:color="FFFFFF"/>
            </w:tcBorders>
            <w:shd w:val="clear" w:color="000000" w:fill="DBE5F1"/>
            <w:vAlign w:val="center"/>
            <w:hideMark/>
          </w:tcPr>
          <w:p w14:paraId="3B4C3491" w14:textId="77777777" w:rsidR="00D00733" w:rsidRPr="00D00733" w:rsidRDefault="00D00733" w:rsidP="00D00733">
            <w:pPr>
              <w:jc w:val="center"/>
              <w:rPr>
                <w:rFonts w:ascii="Calibri" w:eastAsia="Times New Roman" w:hAnsi="Calibri" w:cs="Times New Roman"/>
                <w:color w:val="000000"/>
                <w:sz w:val="18"/>
                <w:szCs w:val="18"/>
              </w:rPr>
            </w:pPr>
            <w:r w:rsidRPr="00D00733">
              <w:rPr>
                <w:rFonts w:ascii="Calibri" w:eastAsia="Times New Roman" w:hAnsi="Calibri" w:cs="Times New Roman"/>
                <w:color w:val="000000"/>
                <w:sz w:val="18"/>
                <w:szCs w:val="18"/>
              </w:rPr>
              <w:t>Non applicable</w:t>
            </w:r>
          </w:p>
        </w:tc>
        <w:tc>
          <w:tcPr>
            <w:tcW w:w="2020" w:type="dxa"/>
            <w:tcBorders>
              <w:top w:val="nil"/>
              <w:left w:val="nil"/>
              <w:bottom w:val="single" w:sz="12" w:space="0" w:color="FFFFFF"/>
              <w:right w:val="single" w:sz="12" w:space="0" w:color="FFFFFF"/>
            </w:tcBorders>
            <w:shd w:val="clear" w:color="000000" w:fill="DBE5F1"/>
            <w:vAlign w:val="center"/>
            <w:hideMark/>
          </w:tcPr>
          <w:p w14:paraId="758977C3" w14:textId="77777777" w:rsidR="00D00733" w:rsidRPr="00D00733" w:rsidRDefault="00D00733" w:rsidP="00D00733">
            <w:pPr>
              <w:jc w:val="center"/>
              <w:rPr>
                <w:rFonts w:ascii="Calibri" w:eastAsia="Times New Roman" w:hAnsi="Calibri" w:cs="Times New Roman"/>
                <w:color w:val="000000"/>
                <w:sz w:val="18"/>
                <w:szCs w:val="18"/>
              </w:rPr>
            </w:pPr>
            <w:r w:rsidRPr="00D00733">
              <w:rPr>
                <w:rFonts w:ascii="Calibri" w:eastAsia="Times New Roman" w:hAnsi="Calibri" w:cs="Times New Roman"/>
                <w:color w:val="000000"/>
                <w:sz w:val="18"/>
                <w:szCs w:val="18"/>
              </w:rPr>
              <w:t>Non applicable</w:t>
            </w:r>
          </w:p>
        </w:tc>
      </w:tr>
      <w:tr w:rsidR="00D00733" w:rsidRPr="00D00733" w14:paraId="55F26B76" w14:textId="77777777" w:rsidTr="00D00733">
        <w:trPr>
          <w:trHeight w:val="1720"/>
        </w:trPr>
        <w:tc>
          <w:tcPr>
            <w:tcW w:w="3340" w:type="dxa"/>
            <w:tcBorders>
              <w:top w:val="nil"/>
              <w:left w:val="single" w:sz="12" w:space="0" w:color="FFFFFF"/>
              <w:bottom w:val="single" w:sz="12" w:space="0" w:color="FFFFFF"/>
              <w:right w:val="single" w:sz="12" w:space="0" w:color="FFFFFF"/>
            </w:tcBorders>
            <w:shd w:val="clear" w:color="000000" w:fill="DBE5F1"/>
            <w:vAlign w:val="center"/>
            <w:hideMark/>
          </w:tcPr>
          <w:p w14:paraId="4C797D9B" w14:textId="16CFF994" w:rsidR="00D00733" w:rsidRPr="00D00733" w:rsidRDefault="00D00733" w:rsidP="00D00733">
            <w:pPr>
              <w:jc w:val="left"/>
              <w:rPr>
                <w:rFonts w:ascii="Calibri" w:eastAsia="Times New Roman" w:hAnsi="Calibri" w:cs="Times New Roman"/>
                <w:color w:val="000000"/>
                <w:sz w:val="18"/>
                <w:szCs w:val="18"/>
              </w:rPr>
            </w:pPr>
            <w:r w:rsidRPr="00D00733">
              <w:rPr>
                <w:rFonts w:ascii="Calibri" w:eastAsia="Times New Roman" w:hAnsi="Calibri" w:cs="Times New Roman"/>
                <w:color w:val="000000"/>
                <w:sz w:val="18"/>
                <w:szCs w:val="18"/>
              </w:rPr>
              <w:t xml:space="preserve">Options détenues sur </w:t>
            </w:r>
            <w:r w:rsidR="0086207B">
              <w:rPr>
                <w:rFonts w:ascii="Calibri" w:eastAsia="Times New Roman" w:hAnsi="Calibri" w:cs="Times New Roman"/>
                <w:color w:val="000000"/>
                <w:sz w:val="18"/>
                <w:szCs w:val="18"/>
              </w:rPr>
              <w:t>la Société</w:t>
            </w:r>
            <w:r w:rsidR="0086207B" w:rsidRPr="00D00733">
              <w:rPr>
                <w:rFonts w:ascii="Calibri" w:eastAsia="Times New Roman" w:hAnsi="Calibri" w:cs="Times New Roman"/>
                <w:color w:val="000000"/>
                <w:sz w:val="18"/>
                <w:szCs w:val="18"/>
              </w:rPr>
              <w:t xml:space="preserve"> </w:t>
            </w:r>
            <w:r w:rsidRPr="00D00733">
              <w:rPr>
                <w:rFonts w:ascii="Calibri" w:eastAsia="Times New Roman" w:hAnsi="Calibri" w:cs="Times New Roman"/>
                <w:color w:val="000000"/>
                <w:sz w:val="18"/>
                <w:szCs w:val="18"/>
              </w:rPr>
              <w:t>et les sociétés visées précédemment, levées, durant l’exercice, par les dix salariés de l</w:t>
            </w:r>
            <w:r w:rsidR="0086207B">
              <w:rPr>
                <w:rFonts w:ascii="Calibri" w:eastAsia="Times New Roman" w:hAnsi="Calibri" w:cs="Times New Roman"/>
                <w:color w:val="000000"/>
                <w:sz w:val="18"/>
                <w:szCs w:val="18"/>
              </w:rPr>
              <w:t>a Société</w:t>
            </w:r>
            <w:r w:rsidRPr="00D00733">
              <w:rPr>
                <w:rFonts w:ascii="Calibri" w:eastAsia="Times New Roman" w:hAnsi="Calibri" w:cs="Times New Roman"/>
                <w:color w:val="000000"/>
                <w:sz w:val="18"/>
                <w:szCs w:val="18"/>
              </w:rPr>
              <w:t xml:space="preserve"> et de ces sociétés, dont le nombre d’options ainsi achetées ou souscrites est le plus élevé (information globale)</w:t>
            </w:r>
          </w:p>
        </w:tc>
        <w:tc>
          <w:tcPr>
            <w:tcW w:w="2020" w:type="dxa"/>
            <w:tcBorders>
              <w:top w:val="nil"/>
              <w:left w:val="nil"/>
              <w:bottom w:val="single" w:sz="12" w:space="0" w:color="FFFFFF"/>
              <w:right w:val="single" w:sz="12" w:space="0" w:color="FFFFFF"/>
            </w:tcBorders>
            <w:shd w:val="clear" w:color="000000" w:fill="DBE5F1"/>
            <w:vAlign w:val="center"/>
            <w:hideMark/>
          </w:tcPr>
          <w:p w14:paraId="6BD49426" w14:textId="77777777" w:rsidR="00D00733" w:rsidRPr="00D00733" w:rsidRDefault="00D00733" w:rsidP="00D00733">
            <w:pPr>
              <w:jc w:val="center"/>
              <w:rPr>
                <w:rFonts w:ascii="Calibri" w:eastAsia="Times New Roman" w:hAnsi="Calibri" w:cs="Times New Roman"/>
                <w:color w:val="000000"/>
                <w:sz w:val="18"/>
                <w:szCs w:val="18"/>
              </w:rPr>
            </w:pPr>
            <w:r w:rsidRPr="00D00733">
              <w:rPr>
                <w:rFonts w:ascii="Calibri" w:eastAsia="Times New Roman" w:hAnsi="Calibri" w:cs="Times New Roman"/>
                <w:color w:val="000000"/>
                <w:sz w:val="18"/>
                <w:szCs w:val="18"/>
              </w:rPr>
              <w:t>Non applicable</w:t>
            </w:r>
          </w:p>
        </w:tc>
        <w:tc>
          <w:tcPr>
            <w:tcW w:w="2020" w:type="dxa"/>
            <w:tcBorders>
              <w:top w:val="nil"/>
              <w:left w:val="nil"/>
              <w:bottom w:val="single" w:sz="12" w:space="0" w:color="FFFFFF"/>
              <w:right w:val="single" w:sz="12" w:space="0" w:color="FFFFFF"/>
            </w:tcBorders>
            <w:shd w:val="clear" w:color="000000" w:fill="DBE5F1"/>
            <w:vAlign w:val="center"/>
            <w:hideMark/>
          </w:tcPr>
          <w:p w14:paraId="554464C6" w14:textId="77777777" w:rsidR="00D00733" w:rsidRPr="00D00733" w:rsidRDefault="00D00733" w:rsidP="00D00733">
            <w:pPr>
              <w:jc w:val="center"/>
              <w:rPr>
                <w:rFonts w:ascii="Calibri" w:eastAsia="Times New Roman" w:hAnsi="Calibri" w:cs="Times New Roman"/>
                <w:color w:val="000000"/>
                <w:sz w:val="18"/>
                <w:szCs w:val="18"/>
              </w:rPr>
            </w:pPr>
            <w:r w:rsidRPr="00D00733">
              <w:rPr>
                <w:rFonts w:ascii="Calibri" w:eastAsia="Times New Roman" w:hAnsi="Calibri" w:cs="Times New Roman"/>
                <w:color w:val="000000"/>
                <w:sz w:val="18"/>
                <w:szCs w:val="18"/>
              </w:rPr>
              <w:t>Non applicable</w:t>
            </w:r>
          </w:p>
        </w:tc>
        <w:tc>
          <w:tcPr>
            <w:tcW w:w="2020" w:type="dxa"/>
            <w:tcBorders>
              <w:top w:val="nil"/>
              <w:left w:val="nil"/>
              <w:bottom w:val="single" w:sz="12" w:space="0" w:color="FFFFFF"/>
              <w:right w:val="single" w:sz="12" w:space="0" w:color="FFFFFF"/>
            </w:tcBorders>
            <w:shd w:val="clear" w:color="000000" w:fill="DBE5F1"/>
            <w:vAlign w:val="center"/>
            <w:hideMark/>
          </w:tcPr>
          <w:p w14:paraId="3BDADA38" w14:textId="77777777" w:rsidR="00D00733" w:rsidRPr="00D00733" w:rsidRDefault="00D00733" w:rsidP="00D00733">
            <w:pPr>
              <w:jc w:val="center"/>
              <w:rPr>
                <w:rFonts w:ascii="Calibri" w:eastAsia="Times New Roman" w:hAnsi="Calibri" w:cs="Times New Roman"/>
                <w:color w:val="000000"/>
                <w:sz w:val="18"/>
                <w:szCs w:val="18"/>
              </w:rPr>
            </w:pPr>
            <w:r w:rsidRPr="00D00733">
              <w:rPr>
                <w:rFonts w:ascii="Calibri" w:eastAsia="Times New Roman" w:hAnsi="Calibri" w:cs="Times New Roman"/>
                <w:color w:val="000000"/>
                <w:sz w:val="18"/>
                <w:szCs w:val="18"/>
              </w:rPr>
              <w:t>Non applicable</w:t>
            </w:r>
          </w:p>
        </w:tc>
      </w:tr>
    </w:tbl>
    <w:p w14:paraId="20B0FB86" w14:textId="77777777" w:rsidR="00852E9C" w:rsidRDefault="00852E9C" w:rsidP="001C336B">
      <w:pPr>
        <w:rPr>
          <w:b/>
        </w:rPr>
      </w:pPr>
    </w:p>
    <w:p w14:paraId="07C8702E" w14:textId="77777777" w:rsidR="00B1796E" w:rsidRDefault="00B1796E" w:rsidP="00852E9C">
      <w:pPr>
        <w:rPr>
          <w:b/>
        </w:rPr>
      </w:pPr>
    </w:p>
    <w:p w14:paraId="711427AA" w14:textId="77777777" w:rsidR="00B22E53" w:rsidRDefault="00B22E53" w:rsidP="00852E9C">
      <w:pPr>
        <w:rPr>
          <w:b/>
        </w:rPr>
      </w:pPr>
    </w:p>
    <w:p w14:paraId="2D429766" w14:textId="77777777" w:rsidR="00B22E53" w:rsidRDefault="00B22E53" w:rsidP="00852E9C">
      <w:pPr>
        <w:rPr>
          <w:b/>
        </w:rPr>
      </w:pPr>
    </w:p>
    <w:p w14:paraId="6F84AD75" w14:textId="0F325E19" w:rsidR="00852E9C" w:rsidRDefault="00852E9C" w:rsidP="00852E9C">
      <w:pPr>
        <w:rPr>
          <w:b/>
        </w:rPr>
      </w:pPr>
      <w:r>
        <w:rPr>
          <w:b/>
        </w:rPr>
        <w:lastRenderedPageBreak/>
        <w:t>Tableau n°10 :</w:t>
      </w:r>
    </w:p>
    <w:p w14:paraId="40AE0864" w14:textId="77777777" w:rsidR="00852E9C" w:rsidRDefault="00852E9C" w:rsidP="001C336B">
      <w:pPr>
        <w:rPr>
          <w:b/>
        </w:rPr>
      </w:pPr>
    </w:p>
    <w:tbl>
      <w:tblPr>
        <w:tblW w:w="8980" w:type="dxa"/>
        <w:tblInd w:w="55" w:type="dxa"/>
        <w:tblCellMar>
          <w:left w:w="70" w:type="dxa"/>
          <w:right w:w="70" w:type="dxa"/>
        </w:tblCellMar>
        <w:tblLook w:val="04A0" w:firstRow="1" w:lastRow="0" w:firstColumn="1" w:lastColumn="0" w:noHBand="0" w:noVBand="1"/>
      </w:tblPr>
      <w:tblGrid>
        <w:gridCol w:w="6620"/>
        <w:gridCol w:w="2360"/>
      </w:tblGrid>
      <w:tr w:rsidR="00D00733" w:rsidRPr="00D00733" w14:paraId="539C4D43" w14:textId="77777777" w:rsidTr="00D00733">
        <w:trPr>
          <w:trHeight w:val="320"/>
        </w:trPr>
        <w:tc>
          <w:tcPr>
            <w:tcW w:w="8980" w:type="dxa"/>
            <w:gridSpan w:val="2"/>
            <w:tcBorders>
              <w:top w:val="nil"/>
              <w:left w:val="single" w:sz="12" w:space="0" w:color="FFFFFF"/>
              <w:bottom w:val="single" w:sz="12" w:space="0" w:color="FFFFFF"/>
              <w:right w:val="nil"/>
            </w:tcBorders>
            <w:shd w:val="clear" w:color="000000" w:fill="365F91"/>
            <w:vAlign w:val="center"/>
            <w:hideMark/>
          </w:tcPr>
          <w:p w14:paraId="4A525539" w14:textId="77777777" w:rsidR="00D00733" w:rsidRPr="00D00733" w:rsidRDefault="00D00733" w:rsidP="00D00733">
            <w:pPr>
              <w:jc w:val="center"/>
              <w:rPr>
                <w:rFonts w:ascii="Calibri" w:eastAsia="Times New Roman" w:hAnsi="Calibri" w:cs="Times New Roman"/>
                <w:b/>
                <w:bCs/>
                <w:color w:val="FFFFFF"/>
                <w:sz w:val="18"/>
                <w:szCs w:val="18"/>
              </w:rPr>
            </w:pPr>
            <w:r w:rsidRPr="00D00733">
              <w:rPr>
                <w:rFonts w:ascii="Calibri" w:eastAsia="Times New Roman" w:hAnsi="Calibri" w:cs="Times New Roman"/>
                <w:b/>
                <w:bCs/>
                <w:color w:val="FFFFFF"/>
                <w:sz w:val="18"/>
                <w:szCs w:val="18"/>
              </w:rPr>
              <w:t>Historique des attributions gratuites d'actions</w:t>
            </w:r>
          </w:p>
        </w:tc>
      </w:tr>
      <w:tr w:rsidR="00D00733" w:rsidRPr="00D00733" w14:paraId="58A81E88" w14:textId="77777777" w:rsidTr="00D00733">
        <w:trPr>
          <w:trHeight w:val="340"/>
        </w:trPr>
        <w:tc>
          <w:tcPr>
            <w:tcW w:w="8980" w:type="dxa"/>
            <w:gridSpan w:val="2"/>
            <w:tcBorders>
              <w:top w:val="single" w:sz="12" w:space="0" w:color="FFFFFF"/>
              <w:left w:val="single" w:sz="12" w:space="0" w:color="FFFFFF"/>
              <w:bottom w:val="single" w:sz="12" w:space="0" w:color="FFFFFF"/>
              <w:right w:val="nil"/>
            </w:tcBorders>
            <w:shd w:val="clear" w:color="000000" w:fill="365F91"/>
            <w:vAlign w:val="center"/>
            <w:hideMark/>
          </w:tcPr>
          <w:p w14:paraId="2E4CF036" w14:textId="77777777" w:rsidR="00D00733" w:rsidRPr="00D00733" w:rsidRDefault="00D00733" w:rsidP="00D00733">
            <w:pPr>
              <w:jc w:val="center"/>
              <w:rPr>
                <w:rFonts w:ascii="Calibri" w:eastAsia="Times New Roman" w:hAnsi="Calibri" w:cs="Times New Roman"/>
                <w:b/>
                <w:bCs/>
                <w:color w:val="FFFFFF"/>
                <w:sz w:val="18"/>
                <w:szCs w:val="18"/>
              </w:rPr>
            </w:pPr>
            <w:r w:rsidRPr="00D00733">
              <w:rPr>
                <w:rFonts w:ascii="Calibri" w:eastAsia="Times New Roman" w:hAnsi="Calibri" w:cs="Times New Roman"/>
                <w:b/>
                <w:bCs/>
                <w:color w:val="FFFFFF"/>
                <w:sz w:val="18"/>
                <w:szCs w:val="18"/>
              </w:rPr>
              <w:t>Information sur les actions attribuées gratuitement</w:t>
            </w:r>
          </w:p>
        </w:tc>
      </w:tr>
      <w:tr w:rsidR="00D00733" w:rsidRPr="00D00733" w14:paraId="7A6812F9" w14:textId="77777777" w:rsidTr="00D00733">
        <w:trPr>
          <w:trHeight w:val="320"/>
        </w:trPr>
        <w:tc>
          <w:tcPr>
            <w:tcW w:w="6620" w:type="dxa"/>
            <w:tcBorders>
              <w:top w:val="nil"/>
              <w:left w:val="single" w:sz="12" w:space="0" w:color="FFFFFF"/>
              <w:bottom w:val="nil"/>
              <w:right w:val="single" w:sz="12" w:space="0" w:color="FFFFFF"/>
            </w:tcBorders>
            <w:shd w:val="clear" w:color="000000" w:fill="365F91"/>
            <w:vAlign w:val="center"/>
            <w:hideMark/>
          </w:tcPr>
          <w:p w14:paraId="44A83C38" w14:textId="77777777" w:rsidR="00D00733" w:rsidRPr="00D00733" w:rsidRDefault="00D00733" w:rsidP="00D00733">
            <w:pPr>
              <w:jc w:val="center"/>
              <w:rPr>
                <w:rFonts w:ascii="Calibri" w:eastAsia="Times New Roman" w:hAnsi="Calibri" w:cs="Times New Roman"/>
                <w:b/>
                <w:bCs/>
                <w:color w:val="FFFFFF"/>
                <w:sz w:val="18"/>
                <w:szCs w:val="18"/>
              </w:rPr>
            </w:pPr>
            <w:r w:rsidRPr="00D00733">
              <w:rPr>
                <w:rFonts w:ascii="Calibri" w:eastAsia="Times New Roman" w:hAnsi="Calibri" w:cs="Times New Roman"/>
                <w:b/>
                <w:bCs/>
                <w:color w:val="FFFFFF"/>
                <w:sz w:val="18"/>
                <w:szCs w:val="18"/>
              </w:rPr>
              <w:t> </w:t>
            </w:r>
          </w:p>
        </w:tc>
        <w:tc>
          <w:tcPr>
            <w:tcW w:w="2360" w:type="dxa"/>
            <w:tcBorders>
              <w:top w:val="nil"/>
              <w:left w:val="nil"/>
              <w:bottom w:val="nil"/>
              <w:right w:val="nil"/>
            </w:tcBorders>
            <w:shd w:val="clear" w:color="000000" w:fill="365F91"/>
            <w:vAlign w:val="center"/>
            <w:hideMark/>
          </w:tcPr>
          <w:p w14:paraId="051B1101" w14:textId="77777777" w:rsidR="00D00733" w:rsidRPr="00D00733" w:rsidRDefault="00D00733" w:rsidP="00D00733">
            <w:pPr>
              <w:jc w:val="center"/>
              <w:rPr>
                <w:rFonts w:ascii="Calibri" w:eastAsia="Times New Roman" w:hAnsi="Calibri" w:cs="Times New Roman"/>
                <w:b/>
                <w:bCs/>
                <w:color w:val="FFFFFF"/>
                <w:sz w:val="18"/>
                <w:szCs w:val="18"/>
              </w:rPr>
            </w:pPr>
            <w:r w:rsidRPr="00D00733">
              <w:rPr>
                <w:rFonts w:ascii="Calibri" w:eastAsia="Times New Roman" w:hAnsi="Calibri" w:cs="Times New Roman"/>
                <w:b/>
                <w:bCs/>
                <w:color w:val="FFFFFF"/>
                <w:sz w:val="18"/>
                <w:szCs w:val="18"/>
              </w:rPr>
              <w:t>Plan</w:t>
            </w:r>
          </w:p>
        </w:tc>
      </w:tr>
      <w:tr w:rsidR="00D00733" w:rsidRPr="00D00733" w14:paraId="4D0D16A6" w14:textId="77777777" w:rsidTr="00D00733">
        <w:trPr>
          <w:trHeight w:val="320"/>
        </w:trPr>
        <w:tc>
          <w:tcPr>
            <w:tcW w:w="6620" w:type="dxa"/>
            <w:tcBorders>
              <w:top w:val="nil"/>
              <w:left w:val="single" w:sz="12" w:space="0" w:color="FFFFFF"/>
              <w:bottom w:val="single" w:sz="12" w:space="0" w:color="FFFFFF"/>
              <w:right w:val="single" w:sz="12" w:space="0" w:color="FFFFFF"/>
            </w:tcBorders>
            <w:shd w:val="clear" w:color="000000" w:fill="DBE5F1"/>
            <w:vAlign w:val="center"/>
            <w:hideMark/>
          </w:tcPr>
          <w:p w14:paraId="05ACE2D5" w14:textId="77777777" w:rsidR="00D00733" w:rsidRPr="00D00733" w:rsidRDefault="00D00733" w:rsidP="00D00733">
            <w:pPr>
              <w:jc w:val="left"/>
              <w:rPr>
                <w:rFonts w:ascii="Calibri" w:eastAsia="Times New Roman" w:hAnsi="Calibri" w:cs="Times New Roman"/>
                <w:color w:val="000000"/>
                <w:sz w:val="18"/>
                <w:szCs w:val="18"/>
              </w:rPr>
            </w:pPr>
            <w:r w:rsidRPr="00D00733">
              <w:rPr>
                <w:rFonts w:ascii="Calibri" w:eastAsia="Times New Roman" w:hAnsi="Calibri" w:cs="Times New Roman"/>
                <w:color w:val="000000"/>
                <w:sz w:val="18"/>
                <w:szCs w:val="18"/>
              </w:rPr>
              <w:t>Date d'assemblée</w:t>
            </w:r>
          </w:p>
        </w:tc>
        <w:tc>
          <w:tcPr>
            <w:tcW w:w="2360" w:type="dxa"/>
            <w:tcBorders>
              <w:top w:val="nil"/>
              <w:left w:val="nil"/>
              <w:bottom w:val="single" w:sz="12" w:space="0" w:color="FFFFFF"/>
              <w:right w:val="single" w:sz="12" w:space="0" w:color="FFFFFF"/>
            </w:tcBorders>
            <w:shd w:val="clear" w:color="000000" w:fill="DBE5F1"/>
            <w:vAlign w:val="center"/>
            <w:hideMark/>
          </w:tcPr>
          <w:p w14:paraId="5486A8F8" w14:textId="77777777" w:rsidR="00D00733" w:rsidRPr="00D00733" w:rsidRDefault="00D00733" w:rsidP="00D00733">
            <w:pPr>
              <w:jc w:val="center"/>
              <w:rPr>
                <w:rFonts w:ascii="Calibri" w:eastAsia="Times New Roman" w:hAnsi="Calibri" w:cs="Times New Roman"/>
                <w:color w:val="000000"/>
                <w:sz w:val="18"/>
                <w:szCs w:val="18"/>
              </w:rPr>
            </w:pPr>
            <w:r w:rsidRPr="00D00733">
              <w:rPr>
                <w:rFonts w:ascii="Calibri" w:eastAsia="Times New Roman" w:hAnsi="Calibri" w:cs="Times New Roman"/>
                <w:color w:val="000000"/>
                <w:sz w:val="18"/>
                <w:szCs w:val="18"/>
              </w:rPr>
              <w:t>Non applicable</w:t>
            </w:r>
          </w:p>
        </w:tc>
      </w:tr>
      <w:tr w:rsidR="00D00733" w:rsidRPr="00D00733" w14:paraId="6A5EFC43" w14:textId="77777777" w:rsidTr="00D00733">
        <w:trPr>
          <w:trHeight w:val="340"/>
        </w:trPr>
        <w:tc>
          <w:tcPr>
            <w:tcW w:w="6620" w:type="dxa"/>
            <w:tcBorders>
              <w:top w:val="nil"/>
              <w:left w:val="single" w:sz="12" w:space="0" w:color="FFFFFF"/>
              <w:bottom w:val="single" w:sz="12" w:space="0" w:color="FFFFFF"/>
              <w:right w:val="single" w:sz="12" w:space="0" w:color="FFFFFF"/>
            </w:tcBorders>
            <w:shd w:val="clear" w:color="000000" w:fill="DBE5F1"/>
            <w:vAlign w:val="center"/>
            <w:hideMark/>
          </w:tcPr>
          <w:p w14:paraId="0A2AAF02" w14:textId="77777777" w:rsidR="00D00733" w:rsidRPr="00D00733" w:rsidRDefault="00D00733" w:rsidP="00D00733">
            <w:pPr>
              <w:jc w:val="left"/>
              <w:rPr>
                <w:rFonts w:ascii="Calibri" w:eastAsia="Times New Roman" w:hAnsi="Calibri" w:cs="Times New Roman"/>
                <w:color w:val="000000"/>
                <w:sz w:val="18"/>
                <w:szCs w:val="18"/>
              </w:rPr>
            </w:pPr>
            <w:r w:rsidRPr="00D00733">
              <w:rPr>
                <w:rFonts w:ascii="Calibri" w:eastAsia="Times New Roman" w:hAnsi="Calibri" w:cs="Times New Roman"/>
                <w:color w:val="000000"/>
                <w:sz w:val="18"/>
                <w:szCs w:val="18"/>
              </w:rPr>
              <w:t>Date de Conseil d'Administration</w:t>
            </w:r>
          </w:p>
        </w:tc>
        <w:tc>
          <w:tcPr>
            <w:tcW w:w="2360" w:type="dxa"/>
            <w:tcBorders>
              <w:top w:val="nil"/>
              <w:left w:val="nil"/>
              <w:bottom w:val="single" w:sz="12" w:space="0" w:color="FFFFFF"/>
              <w:right w:val="single" w:sz="12" w:space="0" w:color="FFFFFF"/>
            </w:tcBorders>
            <w:shd w:val="clear" w:color="000000" w:fill="DBE5F1"/>
            <w:vAlign w:val="center"/>
            <w:hideMark/>
          </w:tcPr>
          <w:p w14:paraId="228884E5" w14:textId="77777777" w:rsidR="00D00733" w:rsidRPr="00D00733" w:rsidRDefault="00D00733" w:rsidP="00D00733">
            <w:pPr>
              <w:jc w:val="center"/>
              <w:rPr>
                <w:rFonts w:ascii="Calibri" w:eastAsia="Times New Roman" w:hAnsi="Calibri" w:cs="Times New Roman"/>
                <w:color w:val="000000"/>
                <w:sz w:val="18"/>
                <w:szCs w:val="18"/>
              </w:rPr>
            </w:pPr>
            <w:r w:rsidRPr="00D00733">
              <w:rPr>
                <w:rFonts w:ascii="Calibri" w:eastAsia="Times New Roman" w:hAnsi="Calibri" w:cs="Times New Roman"/>
                <w:color w:val="000000"/>
                <w:sz w:val="18"/>
                <w:szCs w:val="18"/>
              </w:rPr>
              <w:t>Non applicable</w:t>
            </w:r>
          </w:p>
        </w:tc>
      </w:tr>
      <w:tr w:rsidR="00D00733" w:rsidRPr="00D00733" w14:paraId="338DB8AD" w14:textId="77777777" w:rsidTr="00D00733">
        <w:trPr>
          <w:trHeight w:val="340"/>
        </w:trPr>
        <w:tc>
          <w:tcPr>
            <w:tcW w:w="6620" w:type="dxa"/>
            <w:tcBorders>
              <w:top w:val="nil"/>
              <w:left w:val="single" w:sz="12" w:space="0" w:color="FFFFFF"/>
              <w:bottom w:val="single" w:sz="12" w:space="0" w:color="FFFFFF"/>
              <w:right w:val="single" w:sz="12" w:space="0" w:color="FFFFFF"/>
            </w:tcBorders>
            <w:shd w:val="clear" w:color="000000" w:fill="DBE5F1"/>
            <w:vAlign w:val="center"/>
            <w:hideMark/>
          </w:tcPr>
          <w:p w14:paraId="59008396" w14:textId="5F5F0913" w:rsidR="00D00733" w:rsidRPr="00D00733" w:rsidRDefault="00D00733" w:rsidP="00D00733">
            <w:pPr>
              <w:jc w:val="left"/>
              <w:rPr>
                <w:rFonts w:ascii="Calibri" w:eastAsia="Times New Roman" w:hAnsi="Calibri" w:cs="Times New Roman"/>
                <w:color w:val="000000"/>
                <w:sz w:val="18"/>
                <w:szCs w:val="18"/>
              </w:rPr>
            </w:pPr>
            <w:r w:rsidRPr="00D00733">
              <w:rPr>
                <w:rFonts w:ascii="Calibri" w:eastAsia="Times New Roman" w:hAnsi="Calibri" w:cs="Times New Roman"/>
                <w:color w:val="000000"/>
                <w:sz w:val="18"/>
                <w:szCs w:val="18"/>
              </w:rPr>
              <w:t>Nombre total d'actions attribuées gratuitement à</w:t>
            </w:r>
            <w:r w:rsidR="00964F0E">
              <w:rPr>
                <w:rFonts w:ascii="Calibri" w:eastAsia="Times New Roman" w:hAnsi="Calibri" w:cs="Times New Roman"/>
                <w:color w:val="000000"/>
                <w:sz w:val="18"/>
                <w:szCs w:val="18"/>
              </w:rPr>
              <w:t xml:space="preserve"> </w:t>
            </w:r>
            <w:r w:rsidRPr="00D00733">
              <w:rPr>
                <w:rFonts w:ascii="Calibri" w:eastAsia="Times New Roman" w:hAnsi="Calibri" w:cs="Times New Roman"/>
                <w:color w:val="000000"/>
                <w:sz w:val="18"/>
                <w:szCs w:val="18"/>
              </w:rPr>
              <w:t>:</w:t>
            </w:r>
          </w:p>
        </w:tc>
        <w:tc>
          <w:tcPr>
            <w:tcW w:w="2360" w:type="dxa"/>
            <w:tcBorders>
              <w:top w:val="nil"/>
              <w:left w:val="nil"/>
              <w:bottom w:val="single" w:sz="12" w:space="0" w:color="FFFFFF"/>
              <w:right w:val="single" w:sz="12" w:space="0" w:color="FFFFFF"/>
            </w:tcBorders>
            <w:shd w:val="clear" w:color="000000" w:fill="DBE5F1"/>
            <w:vAlign w:val="center"/>
            <w:hideMark/>
          </w:tcPr>
          <w:p w14:paraId="03C4E4E4" w14:textId="77777777" w:rsidR="00D00733" w:rsidRPr="00D00733" w:rsidRDefault="00D00733" w:rsidP="00D00733">
            <w:pPr>
              <w:jc w:val="center"/>
              <w:rPr>
                <w:rFonts w:ascii="Calibri" w:eastAsia="Times New Roman" w:hAnsi="Calibri" w:cs="Times New Roman"/>
                <w:color w:val="000000"/>
                <w:sz w:val="18"/>
                <w:szCs w:val="18"/>
              </w:rPr>
            </w:pPr>
            <w:r w:rsidRPr="00D00733">
              <w:rPr>
                <w:rFonts w:ascii="Calibri" w:eastAsia="Times New Roman" w:hAnsi="Calibri" w:cs="Times New Roman"/>
                <w:color w:val="000000"/>
                <w:sz w:val="18"/>
                <w:szCs w:val="18"/>
              </w:rPr>
              <w:t>Non applicable</w:t>
            </w:r>
          </w:p>
        </w:tc>
      </w:tr>
      <w:tr w:rsidR="00D00733" w:rsidRPr="00D00733" w14:paraId="41DF485C" w14:textId="77777777" w:rsidTr="00D00733">
        <w:trPr>
          <w:trHeight w:val="340"/>
        </w:trPr>
        <w:tc>
          <w:tcPr>
            <w:tcW w:w="6620" w:type="dxa"/>
            <w:tcBorders>
              <w:top w:val="nil"/>
              <w:left w:val="single" w:sz="12" w:space="0" w:color="FFFFFF"/>
              <w:bottom w:val="single" w:sz="12" w:space="0" w:color="FFFFFF"/>
              <w:right w:val="single" w:sz="12" w:space="0" w:color="FFFFFF"/>
            </w:tcBorders>
            <w:shd w:val="clear" w:color="000000" w:fill="DBE5F1"/>
            <w:vAlign w:val="center"/>
            <w:hideMark/>
          </w:tcPr>
          <w:p w14:paraId="5EF28103" w14:textId="5BEC0E38" w:rsidR="00D00733" w:rsidRPr="00D00733" w:rsidRDefault="00D00733" w:rsidP="00D00733">
            <w:pPr>
              <w:jc w:val="left"/>
              <w:rPr>
                <w:rFonts w:ascii="Calibri" w:eastAsia="Times New Roman" w:hAnsi="Calibri" w:cs="Times New Roman"/>
                <w:color w:val="000000"/>
                <w:sz w:val="18"/>
                <w:szCs w:val="18"/>
              </w:rPr>
            </w:pPr>
            <w:r w:rsidRPr="00D00733">
              <w:rPr>
                <w:rFonts w:ascii="Calibri" w:eastAsia="Times New Roman" w:hAnsi="Calibri" w:cs="Times New Roman"/>
                <w:color w:val="000000"/>
                <w:sz w:val="18"/>
                <w:szCs w:val="18"/>
              </w:rPr>
              <w:t>Les mandataires sociaux</w:t>
            </w:r>
            <w:r w:rsidR="00964F0E">
              <w:rPr>
                <w:rFonts w:ascii="Calibri" w:eastAsia="Times New Roman" w:hAnsi="Calibri" w:cs="Times New Roman"/>
                <w:color w:val="000000"/>
                <w:sz w:val="18"/>
                <w:szCs w:val="18"/>
              </w:rPr>
              <w:t xml:space="preserve"> </w:t>
            </w:r>
            <w:r w:rsidRPr="00D00733">
              <w:rPr>
                <w:rFonts w:ascii="Calibri" w:eastAsia="Times New Roman" w:hAnsi="Calibri" w:cs="Times New Roman"/>
                <w:color w:val="000000"/>
                <w:sz w:val="18"/>
                <w:szCs w:val="18"/>
              </w:rPr>
              <w:t>:</w:t>
            </w:r>
          </w:p>
        </w:tc>
        <w:tc>
          <w:tcPr>
            <w:tcW w:w="2360" w:type="dxa"/>
            <w:tcBorders>
              <w:top w:val="nil"/>
              <w:left w:val="nil"/>
              <w:bottom w:val="single" w:sz="12" w:space="0" w:color="FFFFFF"/>
              <w:right w:val="single" w:sz="12" w:space="0" w:color="FFFFFF"/>
            </w:tcBorders>
            <w:shd w:val="clear" w:color="000000" w:fill="DBE5F1"/>
            <w:vAlign w:val="center"/>
            <w:hideMark/>
          </w:tcPr>
          <w:p w14:paraId="184C4AD3" w14:textId="77777777" w:rsidR="00D00733" w:rsidRPr="00D00733" w:rsidRDefault="00D00733" w:rsidP="00D00733">
            <w:pPr>
              <w:jc w:val="center"/>
              <w:rPr>
                <w:rFonts w:ascii="Calibri" w:eastAsia="Times New Roman" w:hAnsi="Calibri" w:cs="Times New Roman"/>
                <w:color w:val="000000"/>
                <w:sz w:val="18"/>
                <w:szCs w:val="18"/>
              </w:rPr>
            </w:pPr>
            <w:r w:rsidRPr="00D00733">
              <w:rPr>
                <w:rFonts w:ascii="Calibri" w:eastAsia="Times New Roman" w:hAnsi="Calibri" w:cs="Times New Roman"/>
                <w:color w:val="000000"/>
                <w:sz w:val="18"/>
                <w:szCs w:val="18"/>
              </w:rPr>
              <w:t> </w:t>
            </w:r>
          </w:p>
        </w:tc>
      </w:tr>
      <w:tr w:rsidR="00D00733" w:rsidRPr="00D00733" w14:paraId="2604790B" w14:textId="77777777" w:rsidTr="00D00733">
        <w:trPr>
          <w:trHeight w:val="340"/>
        </w:trPr>
        <w:tc>
          <w:tcPr>
            <w:tcW w:w="6620" w:type="dxa"/>
            <w:tcBorders>
              <w:top w:val="nil"/>
              <w:left w:val="single" w:sz="12" w:space="0" w:color="FFFFFF"/>
              <w:bottom w:val="single" w:sz="12" w:space="0" w:color="FFFFFF"/>
              <w:right w:val="single" w:sz="12" w:space="0" w:color="FFFFFF"/>
            </w:tcBorders>
            <w:shd w:val="clear" w:color="000000" w:fill="DBE5F1"/>
            <w:vAlign w:val="center"/>
            <w:hideMark/>
          </w:tcPr>
          <w:p w14:paraId="5FCA4A44" w14:textId="77777777" w:rsidR="00D00733" w:rsidRPr="00D00733" w:rsidRDefault="00D00733" w:rsidP="00D00733">
            <w:pPr>
              <w:jc w:val="left"/>
              <w:rPr>
                <w:rFonts w:ascii="Calibri" w:eastAsia="Times New Roman" w:hAnsi="Calibri" w:cs="Times New Roman"/>
                <w:i/>
                <w:iCs/>
                <w:color w:val="000000"/>
                <w:sz w:val="18"/>
                <w:szCs w:val="18"/>
              </w:rPr>
            </w:pPr>
            <w:r w:rsidRPr="00D00733">
              <w:rPr>
                <w:rFonts w:ascii="Calibri" w:eastAsia="Times New Roman" w:hAnsi="Calibri" w:cs="Times New Roman"/>
                <w:i/>
                <w:iCs/>
                <w:color w:val="000000"/>
                <w:sz w:val="18"/>
                <w:szCs w:val="18"/>
              </w:rPr>
              <w:t>Joseph Brigneaud</w:t>
            </w:r>
          </w:p>
        </w:tc>
        <w:tc>
          <w:tcPr>
            <w:tcW w:w="2360" w:type="dxa"/>
            <w:tcBorders>
              <w:top w:val="nil"/>
              <w:left w:val="nil"/>
              <w:bottom w:val="single" w:sz="12" w:space="0" w:color="FFFFFF"/>
              <w:right w:val="single" w:sz="12" w:space="0" w:color="FFFFFF"/>
            </w:tcBorders>
            <w:shd w:val="clear" w:color="000000" w:fill="DBE5F1"/>
            <w:vAlign w:val="center"/>
            <w:hideMark/>
          </w:tcPr>
          <w:p w14:paraId="6E90045E" w14:textId="77777777" w:rsidR="00D00733" w:rsidRPr="00D00733" w:rsidRDefault="00D00733" w:rsidP="00D00733">
            <w:pPr>
              <w:jc w:val="center"/>
              <w:rPr>
                <w:rFonts w:ascii="Calibri" w:eastAsia="Times New Roman" w:hAnsi="Calibri" w:cs="Times New Roman"/>
                <w:color w:val="000000"/>
                <w:sz w:val="18"/>
                <w:szCs w:val="18"/>
              </w:rPr>
            </w:pPr>
            <w:r w:rsidRPr="00D00733">
              <w:rPr>
                <w:rFonts w:ascii="Calibri" w:eastAsia="Times New Roman" w:hAnsi="Calibri" w:cs="Times New Roman"/>
                <w:color w:val="000000"/>
                <w:sz w:val="18"/>
                <w:szCs w:val="18"/>
              </w:rPr>
              <w:t>Non applicable</w:t>
            </w:r>
          </w:p>
        </w:tc>
      </w:tr>
      <w:tr w:rsidR="00D00733" w:rsidRPr="00D00733" w14:paraId="1F28BFCE" w14:textId="77777777" w:rsidTr="00D00733">
        <w:trPr>
          <w:trHeight w:val="340"/>
        </w:trPr>
        <w:tc>
          <w:tcPr>
            <w:tcW w:w="6620" w:type="dxa"/>
            <w:tcBorders>
              <w:top w:val="nil"/>
              <w:left w:val="single" w:sz="12" w:space="0" w:color="FFFFFF"/>
              <w:bottom w:val="single" w:sz="12" w:space="0" w:color="FFFFFF"/>
              <w:right w:val="single" w:sz="12" w:space="0" w:color="FFFFFF"/>
            </w:tcBorders>
            <w:shd w:val="clear" w:color="000000" w:fill="DBE5F1"/>
            <w:vAlign w:val="center"/>
            <w:hideMark/>
          </w:tcPr>
          <w:p w14:paraId="6AD121F0" w14:textId="77777777" w:rsidR="00D00733" w:rsidRPr="00D00733" w:rsidRDefault="00D00733" w:rsidP="00D00733">
            <w:pPr>
              <w:jc w:val="left"/>
              <w:rPr>
                <w:rFonts w:ascii="Calibri" w:eastAsia="Times New Roman" w:hAnsi="Calibri" w:cs="Times New Roman"/>
                <w:i/>
                <w:iCs/>
                <w:color w:val="000000"/>
                <w:sz w:val="18"/>
                <w:szCs w:val="18"/>
              </w:rPr>
            </w:pPr>
            <w:r w:rsidRPr="00D00733">
              <w:rPr>
                <w:rFonts w:ascii="Calibri" w:eastAsia="Times New Roman" w:hAnsi="Calibri" w:cs="Times New Roman"/>
                <w:i/>
                <w:iCs/>
                <w:color w:val="000000"/>
                <w:sz w:val="18"/>
                <w:szCs w:val="18"/>
              </w:rPr>
              <w:t>Bérangère Boggio</w:t>
            </w:r>
          </w:p>
        </w:tc>
        <w:tc>
          <w:tcPr>
            <w:tcW w:w="2360" w:type="dxa"/>
            <w:tcBorders>
              <w:top w:val="nil"/>
              <w:left w:val="nil"/>
              <w:bottom w:val="single" w:sz="12" w:space="0" w:color="FFFFFF"/>
              <w:right w:val="single" w:sz="12" w:space="0" w:color="FFFFFF"/>
            </w:tcBorders>
            <w:shd w:val="clear" w:color="000000" w:fill="DBE5F1"/>
            <w:vAlign w:val="center"/>
            <w:hideMark/>
          </w:tcPr>
          <w:p w14:paraId="740FD9F0" w14:textId="77777777" w:rsidR="00D00733" w:rsidRPr="00D00733" w:rsidRDefault="00D00733" w:rsidP="00D00733">
            <w:pPr>
              <w:jc w:val="center"/>
              <w:rPr>
                <w:rFonts w:ascii="Calibri" w:eastAsia="Times New Roman" w:hAnsi="Calibri" w:cs="Times New Roman"/>
                <w:color w:val="000000"/>
                <w:sz w:val="18"/>
                <w:szCs w:val="18"/>
              </w:rPr>
            </w:pPr>
            <w:r w:rsidRPr="00D00733">
              <w:rPr>
                <w:rFonts w:ascii="Calibri" w:eastAsia="Times New Roman" w:hAnsi="Calibri" w:cs="Times New Roman"/>
                <w:color w:val="000000"/>
                <w:sz w:val="18"/>
                <w:szCs w:val="18"/>
              </w:rPr>
              <w:t>Non applicable</w:t>
            </w:r>
          </w:p>
        </w:tc>
      </w:tr>
      <w:tr w:rsidR="00D00733" w:rsidRPr="00D00733" w14:paraId="3C452188" w14:textId="77777777" w:rsidTr="00D00733">
        <w:trPr>
          <w:trHeight w:val="340"/>
        </w:trPr>
        <w:tc>
          <w:tcPr>
            <w:tcW w:w="6620" w:type="dxa"/>
            <w:tcBorders>
              <w:top w:val="nil"/>
              <w:left w:val="single" w:sz="12" w:space="0" w:color="FFFFFF"/>
              <w:bottom w:val="single" w:sz="12" w:space="0" w:color="FFFFFF"/>
              <w:right w:val="single" w:sz="12" w:space="0" w:color="FFFFFF"/>
            </w:tcBorders>
            <w:shd w:val="clear" w:color="000000" w:fill="DBE5F1"/>
            <w:vAlign w:val="center"/>
            <w:hideMark/>
          </w:tcPr>
          <w:p w14:paraId="7952FFCC" w14:textId="7CB8918D" w:rsidR="00D00733" w:rsidRPr="00D00733" w:rsidRDefault="00B22E53" w:rsidP="00D00733">
            <w:pPr>
              <w:jc w:val="left"/>
              <w:rPr>
                <w:rFonts w:ascii="Calibri" w:eastAsia="Times New Roman" w:hAnsi="Calibri" w:cs="Times New Roman"/>
                <w:i/>
                <w:iCs/>
                <w:color w:val="000000"/>
                <w:sz w:val="18"/>
                <w:szCs w:val="18"/>
              </w:rPr>
            </w:pPr>
            <w:r>
              <w:rPr>
                <w:rFonts w:ascii="Calibri" w:eastAsia="Times New Roman" w:hAnsi="Calibri" w:cs="Times New Roman"/>
                <w:i/>
                <w:iCs/>
                <w:color w:val="000000"/>
                <w:sz w:val="18"/>
                <w:szCs w:val="18"/>
              </w:rPr>
              <w:t>TINAVI</w:t>
            </w:r>
          </w:p>
        </w:tc>
        <w:tc>
          <w:tcPr>
            <w:tcW w:w="2360" w:type="dxa"/>
            <w:tcBorders>
              <w:top w:val="nil"/>
              <w:left w:val="nil"/>
              <w:bottom w:val="single" w:sz="12" w:space="0" w:color="FFFFFF"/>
              <w:right w:val="single" w:sz="12" w:space="0" w:color="FFFFFF"/>
            </w:tcBorders>
            <w:shd w:val="clear" w:color="000000" w:fill="DBE5F1"/>
            <w:vAlign w:val="center"/>
            <w:hideMark/>
          </w:tcPr>
          <w:p w14:paraId="002C3DA2" w14:textId="77777777" w:rsidR="00D00733" w:rsidRPr="00D00733" w:rsidRDefault="00D00733" w:rsidP="00D00733">
            <w:pPr>
              <w:jc w:val="center"/>
              <w:rPr>
                <w:rFonts w:ascii="Calibri" w:eastAsia="Times New Roman" w:hAnsi="Calibri" w:cs="Times New Roman"/>
                <w:color w:val="000000"/>
                <w:sz w:val="18"/>
                <w:szCs w:val="18"/>
              </w:rPr>
            </w:pPr>
            <w:r w:rsidRPr="00D00733">
              <w:rPr>
                <w:rFonts w:ascii="Calibri" w:eastAsia="Times New Roman" w:hAnsi="Calibri" w:cs="Times New Roman"/>
                <w:color w:val="000000"/>
                <w:sz w:val="18"/>
                <w:szCs w:val="18"/>
              </w:rPr>
              <w:t>Non applicable</w:t>
            </w:r>
          </w:p>
        </w:tc>
      </w:tr>
      <w:tr w:rsidR="00D00733" w:rsidRPr="00D00733" w14:paraId="485CEE8B" w14:textId="77777777" w:rsidTr="00D00733">
        <w:trPr>
          <w:trHeight w:val="340"/>
        </w:trPr>
        <w:tc>
          <w:tcPr>
            <w:tcW w:w="6620" w:type="dxa"/>
            <w:tcBorders>
              <w:top w:val="nil"/>
              <w:left w:val="single" w:sz="12" w:space="0" w:color="FFFFFF"/>
              <w:bottom w:val="single" w:sz="12" w:space="0" w:color="FFFFFF"/>
              <w:right w:val="single" w:sz="12" w:space="0" w:color="FFFFFF"/>
            </w:tcBorders>
            <w:shd w:val="clear" w:color="000000" w:fill="DBE5F1"/>
            <w:vAlign w:val="center"/>
            <w:hideMark/>
          </w:tcPr>
          <w:p w14:paraId="4324224B" w14:textId="77777777" w:rsidR="00D00733" w:rsidRPr="00D00733" w:rsidRDefault="00D00733" w:rsidP="00D00733">
            <w:pPr>
              <w:jc w:val="left"/>
              <w:rPr>
                <w:rFonts w:ascii="Calibri" w:eastAsia="Times New Roman" w:hAnsi="Calibri" w:cs="Times New Roman"/>
                <w:color w:val="000000"/>
                <w:sz w:val="18"/>
                <w:szCs w:val="18"/>
              </w:rPr>
            </w:pPr>
            <w:r w:rsidRPr="00D00733">
              <w:rPr>
                <w:rFonts w:ascii="Calibri" w:eastAsia="Times New Roman" w:hAnsi="Calibri" w:cs="Times New Roman"/>
                <w:color w:val="000000"/>
                <w:sz w:val="18"/>
                <w:szCs w:val="18"/>
              </w:rPr>
              <w:t>Date d'acquisition des actions</w:t>
            </w:r>
          </w:p>
        </w:tc>
        <w:tc>
          <w:tcPr>
            <w:tcW w:w="2360" w:type="dxa"/>
            <w:tcBorders>
              <w:top w:val="nil"/>
              <w:left w:val="nil"/>
              <w:bottom w:val="single" w:sz="12" w:space="0" w:color="FFFFFF"/>
              <w:right w:val="single" w:sz="12" w:space="0" w:color="FFFFFF"/>
            </w:tcBorders>
            <w:shd w:val="clear" w:color="000000" w:fill="DBE5F1"/>
            <w:vAlign w:val="center"/>
            <w:hideMark/>
          </w:tcPr>
          <w:p w14:paraId="5C446ED6" w14:textId="77777777" w:rsidR="00D00733" w:rsidRPr="00D00733" w:rsidRDefault="00D00733" w:rsidP="00D00733">
            <w:pPr>
              <w:jc w:val="center"/>
              <w:rPr>
                <w:rFonts w:ascii="Calibri" w:eastAsia="Times New Roman" w:hAnsi="Calibri" w:cs="Times New Roman"/>
                <w:color w:val="000000"/>
                <w:sz w:val="18"/>
                <w:szCs w:val="18"/>
              </w:rPr>
            </w:pPr>
            <w:r w:rsidRPr="00D00733">
              <w:rPr>
                <w:rFonts w:ascii="Calibri" w:eastAsia="Times New Roman" w:hAnsi="Calibri" w:cs="Times New Roman"/>
                <w:color w:val="000000"/>
                <w:sz w:val="18"/>
                <w:szCs w:val="18"/>
              </w:rPr>
              <w:t>Non applicable</w:t>
            </w:r>
          </w:p>
        </w:tc>
      </w:tr>
      <w:tr w:rsidR="00D00733" w:rsidRPr="00D00733" w14:paraId="749B3E96" w14:textId="77777777" w:rsidTr="00D00733">
        <w:trPr>
          <w:trHeight w:val="340"/>
        </w:trPr>
        <w:tc>
          <w:tcPr>
            <w:tcW w:w="6620" w:type="dxa"/>
            <w:tcBorders>
              <w:top w:val="nil"/>
              <w:left w:val="single" w:sz="12" w:space="0" w:color="FFFFFF"/>
              <w:bottom w:val="single" w:sz="12" w:space="0" w:color="FFFFFF"/>
              <w:right w:val="single" w:sz="12" w:space="0" w:color="FFFFFF"/>
            </w:tcBorders>
            <w:shd w:val="clear" w:color="000000" w:fill="DBE5F1"/>
            <w:vAlign w:val="center"/>
            <w:hideMark/>
          </w:tcPr>
          <w:p w14:paraId="30382C6E" w14:textId="77777777" w:rsidR="00D00733" w:rsidRPr="00D00733" w:rsidRDefault="00D00733" w:rsidP="00D00733">
            <w:pPr>
              <w:jc w:val="left"/>
              <w:rPr>
                <w:rFonts w:ascii="Calibri" w:eastAsia="Times New Roman" w:hAnsi="Calibri" w:cs="Times New Roman"/>
                <w:color w:val="000000"/>
                <w:sz w:val="18"/>
                <w:szCs w:val="18"/>
              </w:rPr>
            </w:pPr>
            <w:r w:rsidRPr="00D00733">
              <w:rPr>
                <w:rFonts w:ascii="Calibri" w:eastAsia="Times New Roman" w:hAnsi="Calibri" w:cs="Times New Roman"/>
                <w:color w:val="000000"/>
                <w:sz w:val="18"/>
                <w:szCs w:val="18"/>
              </w:rPr>
              <w:t>Date de fin de période de conservation</w:t>
            </w:r>
          </w:p>
        </w:tc>
        <w:tc>
          <w:tcPr>
            <w:tcW w:w="2360" w:type="dxa"/>
            <w:tcBorders>
              <w:top w:val="nil"/>
              <w:left w:val="nil"/>
              <w:bottom w:val="single" w:sz="12" w:space="0" w:color="FFFFFF"/>
              <w:right w:val="single" w:sz="12" w:space="0" w:color="FFFFFF"/>
            </w:tcBorders>
            <w:shd w:val="clear" w:color="000000" w:fill="DBE5F1"/>
            <w:vAlign w:val="center"/>
            <w:hideMark/>
          </w:tcPr>
          <w:p w14:paraId="760D3AF2" w14:textId="77777777" w:rsidR="00D00733" w:rsidRPr="00D00733" w:rsidRDefault="00D00733" w:rsidP="00D00733">
            <w:pPr>
              <w:jc w:val="center"/>
              <w:rPr>
                <w:rFonts w:ascii="Calibri" w:eastAsia="Times New Roman" w:hAnsi="Calibri" w:cs="Times New Roman"/>
                <w:color w:val="000000"/>
                <w:sz w:val="18"/>
                <w:szCs w:val="18"/>
              </w:rPr>
            </w:pPr>
            <w:r w:rsidRPr="00D00733">
              <w:rPr>
                <w:rFonts w:ascii="Calibri" w:eastAsia="Times New Roman" w:hAnsi="Calibri" w:cs="Times New Roman"/>
                <w:color w:val="000000"/>
                <w:sz w:val="18"/>
                <w:szCs w:val="18"/>
              </w:rPr>
              <w:t>Non applicable</w:t>
            </w:r>
          </w:p>
        </w:tc>
      </w:tr>
      <w:tr w:rsidR="00D00733" w:rsidRPr="00D00733" w14:paraId="3DE64448" w14:textId="77777777" w:rsidTr="00D00733">
        <w:trPr>
          <w:trHeight w:val="340"/>
        </w:trPr>
        <w:tc>
          <w:tcPr>
            <w:tcW w:w="6620" w:type="dxa"/>
            <w:tcBorders>
              <w:top w:val="nil"/>
              <w:left w:val="single" w:sz="12" w:space="0" w:color="FFFFFF"/>
              <w:bottom w:val="single" w:sz="12" w:space="0" w:color="FFFFFF"/>
              <w:right w:val="single" w:sz="12" w:space="0" w:color="FFFFFF"/>
            </w:tcBorders>
            <w:shd w:val="clear" w:color="000000" w:fill="DBE5F1"/>
            <w:vAlign w:val="center"/>
            <w:hideMark/>
          </w:tcPr>
          <w:p w14:paraId="02BCF742" w14:textId="4F82469E" w:rsidR="00D00733" w:rsidRPr="00D00733" w:rsidRDefault="00D00733" w:rsidP="00D00733">
            <w:pPr>
              <w:jc w:val="left"/>
              <w:rPr>
                <w:rFonts w:ascii="Calibri" w:eastAsia="Times New Roman" w:hAnsi="Calibri" w:cs="Times New Roman"/>
                <w:color w:val="000000"/>
                <w:sz w:val="18"/>
                <w:szCs w:val="18"/>
              </w:rPr>
            </w:pPr>
            <w:r w:rsidRPr="00D00733">
              <w:rPr>
                <w:rFonts w:ascii="Calibri" w:eastAsia="Times New Roman" w:hAnsi="Calibri" w:cs="Times New Roman"/>
                <w:color w:val="000000"/>
                <w:sz w:val="18"/>
                <w:szCs w:val="18"/>
              </w:rPr>
              <w:t xml:space="preserve">Nombre d'actions souscrites à la date du </w:t>
            </w:r>
            <w:r w:rsidR="00920DEB">
              <w:t>Document d’enregistrement universel</w:t>
            </w:r>
          </w:p>
        </w:tc>
        <w:tc>
          <w:tcPr>
            <w:tcW w:w="2360" w:type="dxa"/>
            <w:tcBorders>
              <w:top w:val="nil"/>
              <w:left w:val="nil"/>
              <w:bottom w:val="single" w:sz="12" w:space="0" w:color="FFFFFF"/>
              <w:right w:val="single" w:sz="12" w:space="0" w:color="FFFFFF"/>
            </w:tcBorders>
            <w:shd w:val="clear" w:color="000000" w:fill="DBE5F1"/>
            <w:vAlign w:val="center"/>
            <w:hideMark/>
          </w:tcPr>
          <w:p w14:paraId="26664EB5" w14:textId="77777777" w:rsidR="00D00733" w:rsidRPr="00D00733" w:rsidRDefault="00D00733" w:rsidP="00D00733">
            <w:pPr>
              <w:jc w:val="center"/>
              <w:rPr>
                <w:rFonts w:ascii="Calibri" w:eastAsia="Times New Roman" w:hAnsi="Calibri" w:cs="Times New Roman"/>
                <w:color w:val="000000"/>
                <w:sz w:val="18"/>
                <w:szCs w:val="18"/>
              </w:rPr>
            </w:pPr>
            <w:r w:rsidRPr="00D00733">
              <w:rPr>
                <w:rFonts w:ascii="Calibri" w:eastAsia="Times New Roman" w:hAnsi="Calibri" w:cs="Times New Roman"/>
                <w:color w:val="000000"/>
                <w:sz w:val="18"/>
                <w:szCs w:val="18"/>
              </w:rPr>
              <w:t>Non applicable</w:t>
            </w:r>
          </w:p>
        </w:tc>
      </w:tr>
      <w:tr w:rsidR="00D00733" w:rsidRPr="00D00733" w14:paraId="00913764" w14:textId="77777777" w:rsidTr="00D00733">
        <w:trPr>
          <w:trHeight w:val="340"/>
        </w:trPr>
        <w:tc>
          <w:tcPr>
            <w:tcW w:w="6620" w:type="dxa"/>
            <w:tcBorders>
              <w:top w:val="nil"/>
              <w:left w:val="single" w:sz="12" w:space="0" w:color="FFFFFF"/>
              <w:bottom w:val="single" w:sz="12" w:space="0" w:color="FFFFFF"/>
              <w:right w:val="single" w:sz="12" w:space="0" w:color="FFFFFF"/>
            </w:tcBorders>
            <w:shd w:val="clear" w:color="000000" w:fill="DBE5F1"/>
            <w:vAlign w:val="center"/>
            <w:hideMark/>
          </w:tcPr>
          <w:p w14:paraId="45D6566C" w14:textId="77777777" w:rsidR="00D00733" w:rsidRPr="00D00733" w:rsidRDefault="00D00733" w:rsidP="00D00733">
            <w:pPr>
              <w:jc w:val="left"/>
              <w:rPr>
                <w:rFonts w:ascii="Calibri" w:eastAsia="Times New Roman" w:hAnsi="Calibri" w:cs="Times New Roman"/>
                <w:color w:val="000000"/>
                <w:sz w:val="18"/>
                <w:szCs w:val="18"/>
              </w:rPr>
            </w:pPr>
            <w:r w:rsidRPr="00D00733">
              <w:rPr>
                <w:rFonts w:ascii="Calibri" w:eastAsia="Times New Roman" w:hAnsi="Calibri" w:cs="Times New Roman"/>
                <w:color w:val="000000"/>
                <w:sz w:val="18"/>
                <w:szCs w:val="18"/>
              </w:rPr>
              <w:t>Nombre cumulé d'actions annulées ou caduques</w:t>
            </w:r>
          </w:p>
        </w:tc>
        <w:tc>
          <w:tcPr>
            <w:tcW w:w="2360" w:type="dxa"/>
            <w:tcBorders>
              <w:top w:val="nil"/>
              <w:left w:val="nil"/>
              <w:bottom w:val="single" w:sz="12" w:space="0" w:color="FFFFFF"/>
              <w:right w:val="single" w:sz="12" w:space="0" w:color="FFFFFF"/>
            </w:tcBorders>
            <w:shd w:val="clear" w:color="000000" w:fill="DBE5F1"/>
            <w:vAlign w:val="center"/>
            <w:hideMark/>
          </w:tcPr>
          <w:p w14:paraId="4ABE4606" w14:textId="77777777" w:rsidR="00D00733" w:rsidRPr="00D00733" w:rsidRDefault="00D00733" w:rsidP="00D00733">
            <w:pPr>
              <w:jc w:val="center"/>
              <w:rPr>
                <w:rFonts w:ascii="Calibri" w:eastAsia="Times New Roman" w:hAnsi="Calibri" w:cs="Times New Roman"/>
                <w:color w:val="000000"/>
                <w:sz w:val="18"/>
                <w:szCs w:val="18"/>
              </w:rPr>
            </w:pPr>
            <w:r w:rsidRPr="00D00733">
              <w:rPr>
                <w:rFonts w:ascii="Calibri" w:eastAsia="Times New Roman" w:hAnsi="Calibri" w:cs="Times New Roman"/>
                <w:color w:val="000000"/>
                <w:sz w:val="18"/>
                <w:szCs w:val="18"/>
              </w:rPr>
              <w:t>Non applicable</w:t>
            </w:r>
          </w:p>
        </w:tc>
      </w:tr>
      <w:tr w:rsidR="00D00733" w:rsidRPr="00D00733" w14:paraId="0B593E83" w14:textId="77777777" w:rsidTr="00D00733">
        <w:trPr>
          <w:trHeight w:val="340"/>
        </w:trPr>
        <w:tc>
          <w:tcPr>
            <w:tcW w:w="6620" w:type="dxa"/>
            <w:tcBorders>
              <w:top w:val="nil"/>
              <w:left w:val="single" w:sz="12" w:space="0" w:color="FFFFFF"/>
              <w:bottom w:val="single" w:sz="12" w:space="0" w:color="FFFFFF"/>
              <w:right w:val="single" w:sz="12" w:space="0" w:color="FFFFFF"/>
            </w:tcBorders>
            <w:shd w:val="clear" w:color="000000" w:fill="DBE5F1"/>
            <w:vAlign w:val="center"/>
            <w:hideMark/>
          </w:tcPr>
          <w:p w14:paraId="5E069752" w14:textId="77777777" w:rsidR="00D00733" w:rsidRPr="00D00733" w:rsidRDefault="00D00733" w:rsidP="00D00733">
            <w:pPr>
              <w:jc w:val="left"/>
              <w:rPr>
                <w:rFonts w:ascii="Calibri" w:eastAsia="Times New Roman" w:hAnsi="Calibri" w:cs="Times New Roman"/>
                <w:color w:val="000000"/>
                <w:sz w:val="18"/>
                <w:szCs w:val="18"/>
              </w:rPr>
            </w:pPr>
            <w:r w:rsidRPr="00D00733">
              <w:rPr>
                <w:rFonts w:ascii="Calibri" w:eastAsia="Times New Roman" w:hAnsi="Calibri" w:cs="Times New Roman"/>
                <w:color w:val="000000"/>
                <w:sz w:val="18"/>
                <w:szCs w:val="18"/>
              </w:rPr>
              <w:t>Actions attribuées gratuitement restantes en fin d'exercice</w:t>
            </w:r>
          </w:p>
        </w:tc>
        <w:tc>
          <w:tcPr>
            <w:tcW w:w="2360" w:type="dxa"/>
            <w:tcBorders>
              <w:top w:val="nil"/>
              <w:left w:val="nil"/>
              <w:bottom w:val="single" w:sz="12" w:space="0" w:color="FFFFFF"/>
              <w:right w:val="single" w:sz="12" w:space="0" w:color="FFFFFF"/>
            </w:tcBorders>
            <w:shd w:val="clear" w:color="000000" w:fill="DBE5F1"/>
            <w:vAlign w:val="center"/>
            <w:hideMark/>
          </w:tcPr>
          <w:p w14:paraId="3DE81422" w14:textId="77777777" w:rsidR="00D00733" w:rsidRPr="00D00733" w:rsidRDefault="00D00733" w:rsidP="00D00733">
            <w:pPr>
              <w:jc w:val="center"/>
              <w:rPr>
                <w:rFonts w:ascii="Calibri" w:eastAsia="Times New Roman" w:hAnsi="Calibri" w:cs="Times New Roman"/>
                <w:color w:val="000000"/>
                <w:sz w:val="18"/>
                <w:szCs w:val="18"/>
              </w:rPr>
            </w:pPr>
            <w:r w:rsidRPr="00D00733">
              <w:rPr>
                <w:rFonts w:ascii="Calibri" w:eastAsia="Times New Roman" w:hAnsi="Calibri" w:cs="Times New Roman"/>
                <w:color w:val="000000"/>
                <w:sz w:val="18"/>
                <w:szCs w:val="18"/>
              </w:rPr>
              <w:t>Non applicable</w:t>
            </w:r>
          </w:p>
        </w:tc>
      </w:tr>
      <w:tr w:rsidR="00D00733" w:rsidRPr="00D00733" w14:paraId="25BB5911" w14:textId="77777777" w:rsidTr="00D00733">
        <w:trPr>
          <w:trHeight w:val="340"/>
        </w:trPr>
        <w:tc>
          <w:tcPr>
            <w:tcW w:w="6620" w:type="dxa"/>
            <w:tcBorders>
              <w:top w:val="nil"/>
              <w:left w:val="single" w:sz="12" w:space="0" w:color="FFFFFF"/>
              <w:bottom w:val="single" w:sz="12" w:space="0" w:color="FFFFFF"/>
              <w:right w:val="single" w:sz="12" w:space="0" w:color="FFFFFF"/>
            </w:tcBorders>
            <w:shd w:val="clear" w:color="000000" w:fill="B8CCE4"/>
            <w:vAlign w:val="center"/>
            <w:hideMark/>
          </w:tcPr>
          <w:p w14:paraId="79BFD91D" w14:textId="77777777" w:rsidR="00D00733" w:rsidRPr="00D00733" w:rsidRDefault="00D00733" w:rsidP="00D00733">
            <w:pPr>
              <w:jc w:val="left"/>
              <w:rPr>
                <w:rFonts w:ascii="Calibri" w:eastAsia="Times New Roman" w:hAnsi="Calibri" w:cs="Times New Roman"/>
                <w:b/>
                <w:bCs/>
                <w:color w:val="000000"/>
                <w:sz w:val="18"/>
                <w:szCs w:val="18"/>
              </w:rPr>
            </w:pPr>
            <w:r w:rsidRPr="00D00733">
              <w:rPr>
                <w:rFonts w:ascii="Calibri" w:eastAsia="Times New Roman" w:hAnsi="Calibri" w:cs="Times New Roman"/>
                <w:b/>
                <w:bCs/>
                <w:color w:val="000000"/>
                <w:sz w:val="18"/>
                <w:szCs w:val="18"/>
              </w:rPr>
              <w:t xml:space="preserve">Total </w:t>
            </w:r>
          </w:p>
        </w:tc>
        <w:tc>
          <w:tcPr>
            <w:tcW w:w="2360" w:type="dxa"/>
            <w:tcBorders>
              <w:top w:val="nil"/>
              <w:left w:val="nil"/>
              <w:bottom w:val="single" w:sz="12" w:space="0" w:color="FFFFFF"/>
              <w:right w:val="single" w:sz="12" w:space="0" w:color="FFFFFF"/>
            </w:tcBorders>
            <w:shd w:val="clear" w:color="000000" w:fill="B8CCE4"/>
            <w:vAlign w:val="center"/>
            <w:hideMark/>
          </w:tcPr>
          <w:p w14:paraId="4FF93036" w14:textId="77777777" w:rsidR="00D00733" w:rsidRPr="00D00733" w:rsidRDefault="00D00733" w:rsidP="00D00733">
            <w:pPr>
              <w:jc w:val="center"/>
              <w:rPr>
                <w:rFonts w:ascii="Calibri" w:eastAsia="Times New Roman" w:hAnsi="Calibri" w:cs="Times New Roman"/>
                <w:b/>
                <w:bCs/>
                <w:color w:val="000000"/>
                <w:sz w:val="18"/>
                <w:szCs w:val="18"/>
              </w:rPr>
            </w:pPr>
            <w:r w:rsidRPr="00D00733">
              <w:rPr>
                <w:rFonts w:ascii="Calibri" w:eastAsia="Times New Roman" w:hAnsi="Calibri" w:cs="Times New Roman"/>
                <w:b/>
                <w:bCs/>
                <w:color w:val="000000"/>
                <w:sz w:val="18"/>
                <w:szCs w:val="18"/>
              </w:rPr>
              <w:t>Non applicable</w:t>
            </w:r>
          </w:p>
        </w:tc>
      </w:tr>
    </w:tbl>
    <w:p w14:paraId="7B30B08A" w14:textId="77777777" w:rsidR="00D00733" w:rsidRDefault="00D00733" w:rsidP="001C336B">
      <w:pPr>
        <w:rPr>
          <w:b/>
        </w:rPr>
      </w:pPr>
    </w:p>
    <w:p w14:paraId="73C3E7BB" w14:textId="6C8F5C2F" w:rsidR="00D00733" w:rsidRDefault="00D00733" w:rsidP="00D00733">
      <w:pPr>
        <w:rPr>
          <w:b/>
        </w:rPr>
      </w:pPr>
      <w:r>
        <w:rPr>
          <w:b/>
        </w:rPr>
        <w:t>Tableau n°11 :</w:t>
      </w:r>
    </w:p>
    <w:p w14:paraId="4E7B85AC" w14:textId="77777777" w:rsidR="00D00733" w:rsidRDefault="00D00733" w:rsidP="001C336B">
      <w:pPr>
        <w:rPr>
          <w:b/>
        </w:rPr>
      </w:pPr>
    </w:p>
    <w:p w14:paraId="553A0DD7" w14:textId="2F8F28F9" w:rsidR="00D57EDD" w:rsidRDefault="00602F7A" w:rsidP="001C336B">
      <w:pPr>
        <w:rPr>
          <w:b/>
        </w:rPr>
      </w:pPr>
      <w:r w:rsidRPr="00602F7A">
        <w:rPr>
          <w:b/>
          <w:noProof/>
        </w:rPr>
        <w:drawing>
          <wp:inline distT="0" distB="0" distL="0" distR="0" wp14:anchorId="22239A3F" wp14:editId="4AE128CB">
            <wp:extent cx="5715000" cy="1795145"/>
            <wp:effectExtent l="0" t="0" r="0" b="8255"/>
            <wp:docPr id="2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715000" cy="1795145"/>
                    </a:xfrm>
                    <a:prstGeom prst="rect">
                      <a:avLst/>
                    </a:prstGeom>
                    <a:noFill/>
                    <a:ln>
                      <a:noFill/>
                    </a:ln>
                  </pic:spPr>
                </pic:pic>
              </a:graphicData>
            </a:graphic>
          </wp:inline>
        </w:drawing>
      </w:r>
    </w:p>
    <w:p w14:paraId="1C07654D" w14:textId="77777777" w:rsidR="00602F7A" w:rsidRDefault="00602F7A" w:rsidP="00E40959"/>
    <w:p w14:paraId="286EC773" w14:textId="461E85FF" w:rsidR="006F091C" w:rsidRPr="00602F7A" w:rsidRDefault="00554E8B" w:rsidP="00E40959">
      <w:r w:rsidRPr="00513BB3">
        <w:t>Aucun contrat de travail n’a été signé entre Spineway et l’un de ses administrateurs</w:t>
      </w:r>
      <w:r w:rsidR="00513BB3" w:rsidRPr="00513BB3">
        <w:t>.</w:t>
      </w:r>
      <w:r w:rsidR="00602F7A" w:rsidRPr="00602F7A">
        <w:t xml:space="preserve"> </w:t>
      </w:r>
    </w:p>
    <w:p w14:paraId="198D5523" w14:textId="77777777" w:rsidR="00942A4F" w:rsidRDefault="00942A4F" w:rsidP="00E40959">
      <w:pPr>
        <w:rPr>
          <w:b/>
          <w:szCs w:val="20"/>
        </w:rPr>
      </w:pPr>
    </w:p>
    <w:p w14:paraId="25452797" w14:textId="4C93E426" w:rsidR="001C336B" w:rsidRPr="00C04A17" w:rsidRDefault="001C336B" w:rsidP="00C04A17">
      <w:pPr>
        <w:rPr>
          <w:szCs w:val="20"/>
        </w:rPr>
      </w:pPr>
    </w:p>
    <w:p w14:paraId="328EE9EE" w14:textId="13157018" w:rsidR="00CF0C5B" w:rsidRDefault="00EE50DB" w:rsidP="00EE50DB">
      <w:pPr>
        <w:pStyle w:val="Titre2"/>
      </w:pPr>
      <w:bookmarkStart w:id="238" w:name="_Toc475033238"/>
      <w:r>
        <w:t>1</w:t>
      </w:r>
      <w:r w:rsidR="00A247E0">
        <w:t>3</w:t>
      </w:r>
      <w:r>
        <w:t xml:space="preserve">.2 </w:t>
      </w:r>
      <w:r w:rsidR="00CF0C5B">
        <w:t>Sommes provisionnées par la Société aux fins de versement de pensions, retraites et autres avantages au profit des administrateurs et dirigeants</w:t>
      </w:r>
      <w:bookmarkEnd w:id="238"/>
      <w:r w:rsidR="00CF0C5B">
        <w:t xml:space="preserve"> </w:t>
      </w:r>
      <w:r w:rsidR="00CF0C5B">
        <w:tab/>
      </w:r>
    </w:p>
    <w:p w14:paraId="2FB12DA6" w14:textId="77777777" w:rsidR="00700C1A" w:rsidRDefault="00700C1A" w:rsidP="00700C1A"/>
    <w:p w14:paraId="39593D6C" w14:textId="43A659FD" w:rsidR="00DA1AB4" w:rsidRPr="00DA1AB4" w:rsidRDefault="00DA1AB4" w:rsidP="00DA1AB4">
      <w:r w:rsidRPr="00DA1AB4">
        <w:t>Le Conseil d’</w:t>
      </w:r>
      <w:r w:rsidR="00E7708F">
        <w:t>a</w:t>
      </w:r>
      <w:r w:rsidRPr="00DA1AB4">
        <w:t>dministration du 15 avril 2020 a décidé de la mise en place d’une indemnité en cas de cessation du mandat de Président Directeur Général d’un montant équivalent à deux ans de rémunération brute.</w:t>
      </w:r>
    </w:p>
    <w:p w14:paraId="35DA16D3" w14:textId="617B8D02" w:rsidR="00DA1AB4" w:rsidRPr="006C5110" w:rsidRDefault="004E14DB" w:rsidP="00DA1AB4">
      <w:pPr>
        <w:pStyle w:val="Commentaire"/>
      </w:pPr>
      <w:r>
        <w:t xml:space="preserve">Aucun des mandataires sociaux ne bénéficie d’un régime de retraite supplémentaire ni d’une indemnité de départ </w:t>
      </w:r>
      <w:r w:rsidR="00DA1AB4">
        <w:t>(à l’exception du Président Directeur Général),</w:t>
      </w:r>
      <w:r w:rsidR="00E7708F">
        <w:t xml:space="preserve"> </w:t>
      </w:r>
      <w:r>
        <w:t>ou de prime de non-concurrence.</w:t>
      </w:r>
    </w:p>
    <w:p w14:paraId="5067F897" w14:textId="27B52E5C" w:rsidR="00626E55" w:rsidRDefault="00C04A17" w:rsidP="00C04A17">
      <w:r w:rsidRPr="006C5110">
        <w:t>La Société a fait mention dans les engagements hors bilan des annexes de ses comptes de ses engagements en matière de retraite.</w:t>
      </w:r>
    </w:p>
    <w:p w14:paraId="6CC042A1" w14:textId="77777777" w:rsidR="00C04A17" w:rsidRDefault="00C04A17" w:rsidP="00C04A17"/>
    <w:p w14:paraId="12A85DDE" w14:textId="3A9BFE09" w:rsidR="00CF0C5B" w:rsidRDefault="00EE50DB" w:rsidP="00EE50DB">
      <w:pPr>
        <w:pStyle w:val="Titre2"/>
      </w:pPr>
      <w:bookmarkStart w:id="239" w:name="_Toc475033239"/>
      <w:r>
        <w:lastRenderedPageBreak/>
        <w:t>1</w:t>
      </w:r>
      <w:r w:rsidR="00A247E0">
        <w:t>3</w:t>
      </w:r>
      <w:r>
        <w:t>.3 Titres</w:t>
      </w:r>
      <w:r w:rsidR="00CF0C5B">
        <w:t xml:space="preserve"> donnant accès au capital attribués aux membres du Conseil d’administration et dirigeants</w:t>
      </w:r>
      <w:bookmarkEnd w:id="239"/>
      <w:r w:rsidR="00CF0C5B">
        <w:t xml:space="preserve"> </w:t>
      </w:r>
      <w:r w:rsidR="00CF0C5B">
        <w:tab/>
      </w:r>
    </w:p>
    <w:p w14:paraId="6025CCF6" w14:textId="77777777" w:rsidR="00952F7B" w:rsidRDefault="00952F7B" w:rsidP="00952F7B"/>
    <w:p w14:paraId="156CAB5A" w14:textId="5EA44016" w:rsidR="00D54878" w:rsidRDefault="00602F7A" w:rsidP="00D54878">
      <w:r>
        <w:t>A</w:t>
      </w:r>
      <w:r w:rsidR="00D54878" w:rsidRPr="00C64B88">
        <w:t>ucun des membres du Conseil d’administration, ni aucun des dirigeants de la Société n’est titulaire de titres donnant accès au capital de la Société.</w:t>
      </w:r>
      <w:r w:rsidR="00D54878">
        <w:t xml:space="preserve"> </w:t>
      </w:r>
    </w:p>
    <w:p w14:paraId="50B4A200" w14:textId="77777777" w:rsidR="00343F64" w:rsidRDefault="00343F64" w:rsidP="00343F64"/>
    <w:p w14:paraId="7AA96C82" w14:textId="7D266933" w:rsidR="00343F64" w:rsidRDefault="00343F64" w:rsidP="00343F64">
      <w:r w:rsidRPr="245A6EAB">
        <w:t>S</w:t>
      </w:r>
      <w:r w:rsidRPr="00A64C93">
        <w:t>ur la base d’une proposition du Conseil d’Administration du 25 janvier 2021, l</w:t>
      </w:r>
      <w:r>
        <w:t>’</w:t>
      </w:r>
      <w:r w:rsidR="004E2D5C">
        <w:t>a</w:t>
      </w:r>
      <w:r w:rsidRPr="00A64C93">
        <w:t xml:space="preserve">ssemblée </w:t>
      </w:r>
      <w:r w:rsidR="004E2D5C">
        <w:t>g</w:t>
      </w:r>
      <w:r w:rsidRPr="00A64C93">
        <w:t>énérale des a</w:t>
      </w:r>
      <w:r>
        <w:t xml:space="preserve">ctionnaires qui se tiendra le </w:t>
      </w:r>
      <w:r w:rsidRPr="00A64C93">
        <w:t xml:space="preserve">8 mars 2021 </w:t>
      </w:r>
      <w:r>
        <w:t>sera</w:t>
      </w:r>
      <w:r w:rsidRPr="00A64C93">
        <w:t xml:space="preserve"> appelée à se </w:t>
      </w:r>
      <w:r>
        <w:t>prononcer</w:t>
      </w:r>
      <w:r w:rsidRPr="00A64C93">
        <w:t xml:space="preserve"> sur la mise en œuvre d’un plan d’A</w:t>
      </w:r>
      <w:r w:rsidR="006F7652">
        <w:t xml:space="preserve">GA </w:t>
      </w:r>
      <w:r w:rsidRPr="00A64C93">
        <w:t xml:space="preserve">en faveur de l’équipe dirigeante y compris son Président Directeur Général </w:t>
      </w:r>
      <w:r w:rsidR="00E513E0">
        <w:t xml:space="preserve">M. </w:t>
      </w:r>
      <w:r w:rsidRPr="00A64C93">
        <w:t>Stéphane Le Roux. Cette proposition vise à sécuriser la gouvernance</w:t>
      </w:r>
      <w:r w:rsidRPr="245A6EAB">
        <w:t xml:space="preserve"> et fidéliser le </w:t>
      </w:r>
      <w:r w:rsidR="00E513E0">
        <w:t>c</w:t>
      </w:r>
      <w:r w:rsidR="00E513E0" w:rsidRPr="245A6EAB">
        <w:t xml:space="preserve">omité </w:t>
      </w:r>
      <w:r w:rsidRPr="245A6EAB">
        <w:t xml:space="preserve">de </w:t>
      </w:r>
      <w:r w:rsidR="00E513E0">
        <w:t>d</w:t>
      </w:r>
      <w:r w:rsidR="00E513E0" w:rsidRPr="245A6EAB">
        <w:t>irection</w:t>
      </w:r>
      <w:r w:rsidRPr="245A6EAB">
        <w:t>.</w:t>
      </w:r>
    </w:p>
    <w:p w14:paraId="1764948B" w14:textId="77777777" w:rsidR="00343F64" w:rsidRPr="00626E55" w:rsidRDefault="00343F64" w:rsidP="00D54878"/>
    <w:p w14:paraId="465EBCAF" w14:textId="77777777" w:rsidR="00A26900" w:rsidRDefault="00A26900">
      <w:pPr>
        <w:jc w:val="left"/>
        <w:rPr>
          <w:rFonts w:eastAsiaTheme="majorEastAsia" w:cstheme="majorBidi"/>
          <w:b/>
          <w:bCs/>
          <w:color w:val="345A8A" w:themeColor="accent1" w:themeShade="B5"/>
          <w:sz w:val="32"/>
          <w:szCs w:val="32"/>
        </w:rPr>
      </w:pPr>
      <w:r>
        <w:br w:type="page"/>
      </w:r>
    </w:p>
    <w:p w14:paraId="29A66E9E" w14:textId="7BAD37ED" w:rsidR="00CF0C5B" w:rsidRPr="002B74FE" w:rsidRDefault="004E2D5C" w:rsidP="00EE50DB">
      <w:pPr>
        <w:pStyle w:val="Titre1"/>
      </w:pPr>
      <w:bookmarkStart w:id="240" w:name="_Toc475033240"/>
      <w:r>
        <w:lastRenderedPageBreak/>
        <w:t xml:space="preserve">14. </w:t>
      </w:r>
      <w:r w:rsidRPr="002B74FE">
        <w:t>FONCTIONNEMENT DES ORGANES D’</w:t>
      </w:r>
      <w:r>
        <w:t>ADMINISTRATION ET DE DIRECTION</w:t>
      </w:r>
      <w:bookmarkEnd w:id="240"/>
      <w:r>
        <w:t xml:space="preserve"> </w:t>
      </w:r>
    </w:p>
    <w:p w14:paraId="70EE7225" w14:textId="08B0B5E3" w:rsidR="00CF0C5B" w:rsidRDefault="00CF0C5B" w:rsidP="00EE50DB">
      <w:pPr>
        <w:pStyle w:val="Titre2"/>
      </w:pPr>
      <w:bookmarkStart w:id="241" w:name="_Toc475033241"/>
      <w:r>
        <w:t>1</w:t>
      </w:r>
      <w:r w:rsidR="00A247E0">
        <w:t>4</w:t>
      </w:r>
      <w:r>
        <w:t>.1 Direction de la Société</w:t>
      </w:r>
      <w:bookmarkEnd w:id="241"/>
      <w:r>
        <w:t xml:space="preserve"> </w:t>
      </w:r>
      <w:r>
        <w:tab/>
      </w:r>
    </w:p>
    <w:p w14:paraId="675F3EDC" w14:textId="77777777" w:rsidR="00A00708" w:rsidRDefault="00A00708" w:rsidP="00952F7B"/>
    <w:p w14:paraId="4CB9B2EB" w14:textId="7896B220" w:rsidR="00DA1AB4" w:rsidRDefault="00DA1AB4" w:rsidP="00DA1AB4">
      <w:r>
        <w:t>Par décision en date du 22 novembre 2012, le Conseil d’</w:t>
      </w:r>
      <w:r w:rsidR="006545DA">
        <w:t>a</w:t>
      </w:r>
      <w:r>
        <w:t>dministration a choisi de ne pas dissocier les fonctions de Président du Conseil d’</w:t>
      </w:r>
      <w:r w:rsidR="006545DA">
        <w:t>a</w:t>
      </w:r>
      <w:r>
        <w:t xml:space="preserve">dministration et de </w:t>
      </w:r>
      <w:r w:rsidR="00E513E0">
        <w:t>Directeur Général</w:t>
      </w:r>
      <w:r>
        <w:t xml:space="preserve">. Ainsi, la Société est dirigée, administrée et représentée à l’égard </w:t>
      </w:r>
      <w:r w:rsidRPr="008716E2">
        <w:t>des tiers par M. Stéphane Le Roux</w:t>
      </w:r>
      <w:r>
        <w:rPr>
          <w:color w:val="FF0000"/>
        </w:rPr>
        <w:t xml:space="preserve"> </w:t>
      </w:r>
      <w:r>
        <w:t>en tant que Président Directeur Général.</w:t>
      </w:r>
    </w:p>
    <w:p w14:paraId="0B11D045" w14:textId="77777777" w:rsidR="00DA1AB4" w:rsidRPr="00DA1AB4" w:rsidRDefault="00DA1AB4" w:rsidP="00DA1AB4">
      <w:pPr>
        <w:rPr>
          <w:szCs w:val="20"/>
        </w:rPr>
      </w:pPr>
      <w:r w:rsidRPr="00DA1AB4">
        <w:t> </w:t>
      </w:r>
    </w:p>
    <w:p w14:paraId="456F93F3" w14:textId="44A5F2AC" w:rsidR="00DA1AB4" w:rsidRPr="00DA1AB4" w:rsidRDefault="00DA1AB4" w:rsidP="00DA1AB4">
      <w:r w:rsidRPr="00DA1AB4">
        <w:t>Le mandat exercé par M. Stéphane Le Roux est présenté au paragraphe « </w:t>
      </w:r>
      <w:r w:rsidRPr="00DA1AB4">
        <w:fldChar w:fldCharType="begin"/>
      </w:r>
      <w:r w:rsidRPr="00DA1AB4">
        <w:instrText xml:space="preserve"> REF _Ref337844515 \h </w:instrText>
      </w:r>
      <w:r w:rsidRPr="00DA1AB4">
        <w:fldChar w:fldCharType="separate"/>
      </w:r>
      <w:r w:rsidR="003A0AD1">
        <w:t>12.1</w:t>
      </w:r>
      <w:r w:rsidR="003A0AD1" w:rsidRPr="00095E6D">
        <w:t xml:space="preserve"> Dirigeants </w:t>
      </w:r>
      <w:r w:rsidR="003A0AD1">
        <w:t>et administrateurs</w:t>
      </w:r>
      <w:r w:rsidRPr="00DA1AB4">
        <w:fldChar w:fldCharType="end"/>
      </w:r>
      <w:r w:rsidRPr="00DA1AB4">
        <w:t xml:space="preserve"> » du Document d’enregistrement universel. M. Stéphane Le Roux a été nommé administrateur par </w:t>
      </w:r>
      <w:r w:rsidR="00E513E0">
        <w:t>l’a</w:t>
      </w:r>
      <w:r w:rsidRPr="00DA1AB4">
        <w:t xml:space="preserve">ssemblée </w:t>
      </w:r>
      <w:r w:rsidR="00A7395A">
        <w:t>g</w:t>
      </w:r>
      <w:r w:rsidRPr="00DA1AB4">
        <w:t xml:space="preserve">énérale des actionnaires du 22 novembre 2012, puis Président </w:t>
      </w:r>
      <w:r w:rsidR="00E513E0">
        <w:t>Directeur Général</w:t>
      </w:r>
      <w:r w:rsidR="00E513E0" w:rsidDel="00E513E0">
        <w:t xml:space="preserve"> </w:t>
      </w:r>
      <w:r w:rsidRPr="00DA1AB4">
        <w:t>par décision du Conseil d’</w:t>
      </w:r>
      <w:r w:rsidR="00A7395A">
        <w:t>a</w:t>
      </w:r>
      <w:r w:rsidRPr="00DA1AB4">
        <w:t>dministration du 22 novembre 2012. Il a été renouvelé dans ses fonctions d’administrateur pour une durée de six années par l’</w:t>
      </w:r>
      <w:r w:rsidR="00A7395A">
        <w:t>a</w:t>
      </w:r>
      <w:r w:rsidRPr="00DA1AB4">
        <w:t xml:space="preserve">ssemblée </w:t>
      </w:r>
      <w:r w:rsidR="00A7395A">
        <w:t>g</w:t>
      </w:r>
      <w:r w:rsidRPr="00DA1AB4">
        <w:t>énérale des actionnaires du 25 juin 2018, soit jusqu’à l’</w:t>
      </w:r>
      <w:r w:rsidR="00A7395A">
        <w:t>a</w:t>
      </w:r>
      <w:r w:rsidRPr="00DA1AB4">
        <w:t xml:space="preserve">ssemblée </w:t>
      </w:r>
      <w:r w:rsidR="00A7395A">
        <w:t>g</w:t>
      </w:r>
      <w:r w:rsidRPr="00DA1AB4">
        <w:t xml:space="preserve">énérale </w:t>
      </w:r>
      <w:r w:rsidR="00A7395A">
        <w:t>o</w:t>
      </w:r>
      <w:r w:rsidRPr="00DA1AB4">
        <w:t xml:space="preserve">rdinaire </w:t>
      </w:r>
      <w:r w:rsidR="00A7395A">
        <w:t>a</w:t>
      </w:r>
      <w:r w:rsidRPr="00DA1AB4">
        <w:t>nnuelle à tenir dans l’année 2024 pour statuer sur les comptes de l’exercice clos le 31 décembre 2023), puis dans ses fonctions de Président Directeur Général pour une durée similaire de six années par décision du Conseil d’</w:t>
      </w:r>
      <w:r w:rsidR="00A7395A">
        <w:t>a</w:t>
      </w:r>
      <w:r w:rsidRPr="00DA1AB4">
        <w:t xml:space="preserve">dministration du 25 juin 2018. </w:t>
      </w:r>
    </w:p>
    <w:p w14:paraId="1A4B1036" w14:textId="77777777" w:rsidR="00DA1AB4" w:rsidRDefault="00DA1AB4" w:rsidP="00952F7B"/>
    <w:p w14:paraId="4BFB7402" w14:textId="3FBACFD1" w:rsidR="00A00708" w:rsidRDefault="00CF0C5B" w:rsidP="00EE50DB">
      <w:pPr>
        <w:pStyle w:val="Titre2"/>
      </w:pPr>
      <w:bookmarkStart w:id="242" w:name="_Ref337968809"/>
      <w:bookmarkStart w:id="243" w:name="_Toc475033242"/>
      <w:r>
        <w:t>1</w:t>
      </w:r>
      <w:r w:rsidR="00A247E0">
        <w:t>4</w:t>
      </w:r>
      <w:r>
        <w:t>.2 Informations sur les contrats liant les dirigeants et la Société</w:t>
      </w:r>
      <w:bookmarkEnd w:id="242"/>
      <w:bookmarkEnd w:id="243"/>
      <w:r>
        <w:t xml:space="preserve"> </w:t>
      </w:r>
    </w:p>
    <w:p w14:paraId="089E54C2" w14:textId="77777777" w:rsidR="00A00708" w:rsidRDefault="00A00708" w:rsidP="00A00708"/>
    <w:p w14:paraId="3D265CC3" w14:textId="6FEC0049" w:rsidR="008337FE" w:rsidRDefault="008337FE" w:rsidP="00196847">
      <w:r>
        <w:t>L</w:t>
      </w:r>
      <w:r w:rsidR="00280CAF">
        <w:t>a convention suivante</w:t>
      </w:r>
      <w:r>
        <w:t xml:space="preserve"> </w:t>
      </w:r>
      <w:r w:rsidR="00571A3E">
        <w:t>concerne</w:t>
      </w:r>
      <w:r>
        <w:t xml:space="preserve"> </w:t>
      </w:r>
      <w:r w:rsidR="009B3926" w:rsidRPr="009B3926">
        <w:t>M</w:t>
      </w:r>
      <w:r w:rsidR="0046174D">
        <w:t>.</w:t>
      </w:r>
      <w:r w:rsidR="009B3926" w:rsidRPr="009B3926">
        <w:t xml:space="preserve"> Stéphane Le Roux</w:t>
      </w:r>
      <w:r w:rsidR="009B3926">
        <w:t>, Président Directeur Général de</w:t>
      </w:r>
      <w:r>
        <w:t xml:space="preserve"> </w:t>
      </w:r>
      <w:r w:rsidR="00A26900">
        <w:t>Spineway</w:t>
      </w:r>
      <w:r>
        <w:t xml:space="preserve">, et </w:t>
      </w:r>
      <w:r w:rsidR="00280CAF">
        <w:t>a</w:t>
      </w:r>
      <w:r>
        <w:t xml:space="preserve"> fait l’objet d’un rapport spécial des Commissaires aux comptes (cf. paragraphe : « </w:t>
      </w:r>
      <w:r w:rsidR="00741317">
        <w:fldChar w:fldCharType="begin"/>
      </w:r>
      <w:r>
        <w:instrText xml:space="preserve"> REF _Ref337720237 \h </w:instrText>
      </w:r>
      <w:r w:rsidR="00741317">
        <w:fldChar w:fldCharType="separate"/>
      </w:r>
      <w:r w:rsidR="003A0AD1">
        <w:t>17.1 Rapport spécial établi pour l’exercice clos le 31 décembre 20</w:t>
      </w:r>
      <w:r w:rsidR="00741317">
        <w:fldChar w:fldCharType="end"/>
      </w:r>
      <w:r w:rsidR="00B56A34">
        <w:t>20</w:t>
      </w:r>
      <w:r>
        <w:t> »</w:t>
      </w:r>
      <w:r w:rsidR="001D0FCA">
        <w:t>)</w:t>
      </w:r>
      <w:r w:rsidR="0046174D">
        <w:t xml:space="preserve"> </w:t>
      </w:r>
      <w:r>
        <w:t>:</w:t>
      </w:r>
    </w:p>
    <w:p w14:paraId="38FE23F0" w14:textId="2D5B8FA5" w:rsidR="00313A5D" w:rsidRDefault="00313A5D" w:rsidP="00C622C2">
      <w:pPr>
        <w:pStyle w:val="Paragraphedeliste"/>
        <w:numPr>
          <w:ilvl w:val="0"/>
          <w:numId w:val="33"/>
        </w:numPr>
      </w:pPr>
      <w:r w:rsidRPr="009B3926">
        <w:t xml:space="preserve">Convention de sous-location de locaux (siège social de Spineway) </w:t>
      </w:r>
      <w:r w:rsidR="009B3926">
        <w:t xml:space="preserve">conclue </w:t>
      </w:r>
      <w:r w:rsidRPr="009B3926">
        <w:t>avec la SCI ALLPA au sein de laquelle M</w:t>
      </w:r>
      <w:r w:rsidR="00280CAF">
        <w:t xml:space="preserve">. </w:t>
      </w:r>
      <w:r w:rsidRPr="009B3926">
        <w:t xml:space="preserve">Stéphane Le Roux </w:t>
      </w:r>
      <w:r w:rsidR="00280CAF">
        <w:t>est co-gérant</w:t>
      </w:r>
      <w:r w:rsidRPr="009B3926">
        <w:t xml:space="preserve">. Signée le 27 décembre 2012, </w:t>
      </w:r>
      <w:r w:rsidR="009B3926" w:rsidRPr="009B3926">
        <w:t>la</w:t>
      </w:r>
      <w:r w:rsidRPr="009B3926">
        <w:t xml:space="preserve"> convention </w:t>
      </w:r>
      <w:r w:rsidR="009B3926" w:rsidRPr="009B3926">
        <w:t xml:space="preserve">initiale </w:t>
      </w:r>
      <w:r w:rsidRPr="009B3926">
        <w:t>a connu 3 avenants</w:t>
      </w:r>
      <w:r w:rsidR="009B3926" w:rsidRPr="009B3926">
        <w:t xml:space="preserve"> </w:t>
      </w:r>
      <w:r w:rsidR="00FC7685">
        <w:t>(</w:t>
      </w:r>
      <w:r w:rsidR="009B3926" w:rsidRPr="009B3926">
        <w:t>étant précisé que le dernier date du 30 mars 2015</w:t>
      </w:r>
      <w:r w:rsidR="00FC7685">
        <w:t>)</w:t>
      </w:r>
      <w:r w:rsidR="00E13B23">
        <w:t xml:space="preserve">, et a été autorisée par </w:t>
      </w:r>
      <w:r w:rsidR="00E513E0">
        <w:t xml:space="preserve">les </w:t>
      </w:r>
      <w:r w:rsidR="00E13B23">
        <w:t>Conseils d’</w:t>
      </w:r>
      <w:r w:rsidR="0046174D">
        <w:t>a</w:t>
      </w:r>
      <w:r w:rsidR="00E13B23">
        <w:t>dministration du 20 septembre 2013, 19 juin 2014 et 30 mars 2017</w:t>
      </w:r>
      <w:r w:rsidR="009B3926" w:rsidRPr="009B3926">
        <w:t>.</w:t>
      </w:r>
    </w:p>
    <w:p w14:paraId="5F830678" w14:textId="1ABE7270" w:rsidR="00DA1AB4" w:rsidRPr="00DA1AB4" w:rsidRDefault="00DA1AB4" w:rsidP="00C622C2">
      <w:pPr>
        <w:pStyle w:val="Paragraphedeliste"/>
        <w:numPr>
          <w:ilvl w:val="0"/>
          <w:numId w:val="33"/>
        </w:numPr>
      </w:pPr>
      <w:r w:rsidRPr="00DA1AB4">
        <w:t>Convention de prêt long terme entre Spineway et Spineway USA Inc., filiale à 100% de la Société, d’un montant initial au principal de 2.259.327,26</w:t>
      </w:r>
      <w:r w:rsidR="004D3481">
        <w:t xml:space="preserve"> </w:t>
      </w:r>
      <w:r w:rsidRPr="00DA1AB4">
        <w:t>€. Cette convention a été autorisée par le Conseil d’</w:t>
      </w:r>
      <w:r w:rsidR="004D3481">
        <w:t>a</w:t>
      </w:r>
      <w:r w:rsidRPr="00DA1AB4">
        <w:t>dministration du 13 décembre 2018.</w:t>
      </w:r>
    </w:p>
    <w:p w14:paraId="4A950B68" w14:textId="77777777" w:rsidR="00E20B57" w:rsidRDefault="00E20B57" w:rsidP="007915CE">
      <w:pPr>
        <w:autoSpaceDE w:val="0"/>
        <w:autoSpaceDN w:val="0"/>
      </w:pPr>
    </w:p>
    <w:p w14:paraId="7F2CC27F" w14:textId="77777777" w:rsidR="007915CE" w:rsidRPr="0013412B" w:rsidRDefault="007915CE" w:rsidP="007915CE">
      <w:pPr>
        <w:autoSpaceDE w:val="0"/>
        <w:autoSpaceDN w:val="0"/>
      </w:pPr>
      <w:r w:rsidRPr="0013412B">
        <w:t>Il n’existe à ce</w:t>
      </w:r>
      <w:r>
        <w:t xml:space="preserve"> jour aucun contrat de services</w:t>
      </w:r>
      <w:r w:rsidRPr="0013412B">
        <w:t xml:space="preserve"> liant les membres des organes d’administration ou de direction à la Société ou à l’une quelconque de ses filiales et prévoyant l’octroi d’avantages au terme d’un tel contrat.</w:t>
      </w:r>
    </w:p>
    <w:p w14:paraId="105BB24E" w14:textId="7C34CCE0" w:rsidR="00F92961" w:rsidRPr="009B3926" w:rsidRDefault="00F92961" w:rsidP="0013412B"/>
    <w:p w14:paraId="41E7E480" w14:textId="6B7C74E0" w:rsidR="009B3926" w:rsidRPr="009B3926" w:rsidRDefault="00CF0C5B" w:rsidP="009B3926">
      <w:pPr>
        <w:pStyle w:val="Titre2"/>
      </w:pPr>
      <w:bookmarkStart w:id="244" w:name="_Ref369514579"/>
      <w:bookmarkStart w:id="245" w:name="_Toc475033243"/>
      <w:r>
        <w:t>1</w:t>
      </w:r>
      <w:r w:rsidR="00A247E0">
        <w:t>4</w:t>
      </w:r>
      <w:r>
        <w:t xml:space="preserve">.3 Comités spécialisés – </w:t>
      </w:r>
      <w:r w:rsidR="00165BDA">
        <w:t>Règlement intérieur</w:t>
      </w:r>
      <w:bookmarkEnd w:id="244"/>
      <w:bookmarkEnd w:id="245"/>
      <w:r>
        <w:tab/>
      </w:r>
    </w:p>
    <w:p w14:paraId="566E7622" w14:textId="77777777" w:rsidR="00D163D1" w:rsidRDefault="00D163D1" w:rsidP="00D163D1"/>
    <w:p w14:paraId="0E1D12CA" w14:textId="173904A9" w:rsidR="00DA1AB4" w:rsidRPr="004509E4" w:rsidRDefault="00DA1AB4" w:rsidP="00DA1AB4">
      <w:pPr>
        <w:rPr>
          <w:rFonts w:cstheme="majorHAnsi"/>
        </w:rPr>
      </w:pPr>
      <w:r w:rsidRPr="004509E4">
        <w:rPr>
          <w:rFonts w:cstheme="majorHAnsi"/>
        </w:rPr>
        <w:t xml:space="preserve">Le 22 novembre 2012, le Conseil d’administration a adopté un </w:t>
      </w:r>
      <w:r w:rsidRPr="006B3490">
        <w:rPr>
          <w:rFonts w:cstheme="majorHAnsi"/>
          <w:szCs w:val="20"/>
        </w:rPr>
        <w:t xml:space="preserve">règlement intérieur, en conformité avec la </w:t>
      </w:r>
      <w:r w:rsidRPr="004509E4">
        <w:rPr>
          <w:rFonts w:cstheme="majorHAnsi"/>
        </w:rPr>
        <w:t xml:space="preserve">recommandation </w:t>
      </w:r>
      <w:r w:rsidR="00D10E8D">
        <w:rPr>
          <w:rFonts w:cstheme="majorHAnsi"/>
        </w:rPr>
        <w:t>n°</w:t>
      </w:r>
      <w:r w:rsidRPr="004509E4">
        <w:rPr>
          <w:rFonts w:cstheme="majorHAnsi"/>
        </w:rPr>
        <w:t>7 du code</w:t>
      </w:r>
      <w:r w:rsidR="00D10E8D">
        <w:rPr>
          <w:rFonts w:cstheme="majorHAnsi"/>
        </w:rPr>
        <w:t xml:space="preserve"> de gouvernement d’entreprise</w:t>
      </w:r>
      <w:r w:rsidRPr="004509E4">
        <w:rPr>
          <w:rFonts w:cstheme="majorHAnsi"/>
        </w:rPr>
        <w:t xml:space="preserve"> Middlenext. Il précise le rôle du Conseil, sa composition et les critères permettant d’apprécier l’indépendance de ses membres, les règles de son fonctionnement, ainsi que les conditions de préparation de ses réunions.</w:t>
      </w:r>
    </w:p>
    <w:p w14:paraId="1CEE3D32" w14:textId="7047CD47" w:rsidR="007F7C8F" w:rsidRDefault="007F7C8F" w:rsidP="007F7C8F">
      <w:pPr>
        <w:widowControl w:val="0"/>
        <w:autoSpaceDE w:val="0"/>
        <w:autoSpaceDN w:val="0"/>
        <w:adjustRightInd w:val="0"/>
      </w:pPr>
      <w:r w:rsidRPr="007F7C8F">
        <w:t xml:space="preserve">Le règlement intérieur rappelle en outre les droits et devoirs des administrateurs dans l’exercice de leur mandat. En conformité avec la recommandation </w:t>
      </w:r>
      <w:r w:rsidR="00D10E8D">
        <w:t>n°</w:t>
      </w:r>
      <w:r w:rsidRPr="007F7C8F">
        <w:t>1 du code</w:t>
      </w:r>
      <w:r w:rsidR="00D10E8D">
        <w:t xml:space="preserve"> de gouvernement d’entreprise</w:t>
      </w:r>
      <w:r w:rsidRPr="007F7C8F">
        <w:t xml:space="preserve"> Middlenext (déontologie des membres du Conseil), le règlement intérieur reprend dans son article 4 les devoirs et obligations des membres du Conseil d’</w:t>
      </w:r>
      <w:r w:rsidR="00D10E8D">
        <w:t>a</w:t>
      </w:r>
      <w:r w:rsidRPr="007F7C8F">
        <w:t>dministration : connaissance et respect des textes règlementaires, respect de l’intérêt social, efficacité du Conseil d’</w:t>
      </w:r>
      <w:r w:rsidR="00571A3E">
        <w:t>a</w:t>
      </w:r>
      <w:r w:rsidRPr="007F7C8F">
        <w:t xml:space="preserve">dministration, liberté de jugement, obligation de diligence, obligation de confidentialité. Le même article précise également, en conformité avec la recommandation </w:t>
      </w:r>
      <w:r w:rsidR="00EF7E83">
        <w:t>n°</w:t>
      </w:r>
      <w:r w:rsidRPr="007F7C8F">
        <w:t>2 du code</w:t>
      </w:r>
      <w:r w:rsidR="00EF7E83">
        <w:t xml:space="preserve"> de gouvernement d’entreprise</w:t>
      </w:r>
      <w:r w:rsidRPr="007F7C8F">
        <w:t xml:space="preserve"> Middlenext que tout administrateur ou tout candidat à la nomination à un poste de membre du conseil d’administration doit informer complètement et immédiatement le Conseil d’</w:t>
      </w:r>
      <w:r w:rsidR="00571A3E">
        <w:t>a</w:t>
      </w:r>
      <w:r w:rsidRPr="007F7C8F">
        <w:t>dministration de tout conflit d’intérêts réel ou potentiel qu’il pourrait avoir dans le cadre de ses fonctions d’administrateur, afin notamment de déterminer s’il doit s’abstenir des débats et/ou de voter les délibérations concernées.</w:t>
      </w:r>
      <w:r w:rsidR="00DB3638">
        <w:t xml:space="preserve"> </w:t>
      </w:r>
    </w:p>
    <w:p w14:paraId="11F267F2" w14:textId="0D9B059F" w:rsidR="00B66E99" w:rsidRDefault="00DB3638" w:rsidP="007F7C8F">
      <w:pPr>
        <w:widowControl w:val="0"/>
        <w:autoSpaceDE w:val="0"/>
        <w:autoSpaceDN w:val="0"/>
        <w:adjustRightInd w:val="0"/>
      </w:pPr>
      <w:r>
        <w:t>Ce règlement intérieur est dispon</w:t>
      </w:r>
      <w:r w:rsidR="007F7C8F">
        <w:t xml:space="preserve">ible sur le site internet de la </w:t>
      </w:r>
      <w:r>
        <w:t>Société.</w:t>
      </w:r>
    </w:p>
    <w:p w14:paraId="1B8A7234" w14:textId="77777777" w:rsidR="00B66E99" w:rsidRPr="007F7C8F" w:rsidRDefault="00B66E99" w:rsidP="007F7C8F">
      <w:pPr>
        <w:widowControl w:val="0"/>
        <w:autoSpaceDE w:val="0"/>
        <w:autoSpaceDN w:val="0"/>
        <w:adjustRightInd w:val="0"/>
      </w:pPr>
    </w:p>
    <w:p w14:paraId="33F3EA49" w14:textId="37BF5F42" w:rsidR="00EC79E5" w:rsidRPr="00C6377C" w:rsidRDefault="00EC79E5" w:rsidP="005B42F0">
      <w:pPr>
        <w:widowControl w:val="0"/>
        <w:autoSpaceDE w:val="0"/>
        <w:autoSpaceDN w:val="0"/>
        <w:adjustRightInd w:val="0"/>
      </w:pPr>
      <w:bookmarkStart w:id="246" w:name="_Ref368147602"/>
      <w:r w:rsidRPr="00C6377C">
        <w:lastRenderedPageBreak/>
        <w:t>Compte tenu de sa taille</w:t>
      </w:r>
      <w:r>
        <w:t xml:space="preserve"> et de celle de son Conseil</w:t>
      </w:r>
      <w:r w:rsidRPr="00C6377C">
        <w:t xml:space="preserve">, la Société </w:t>
      </w:r>
      <w:r>
        <w:t>n’a pas mis e</w:t>
      </w:r>
      <w:r w:rsidR="00DA1AB4">
        <w:t xml:space="preserve">n place de comités spécialisés </w:t>
      </w:r>
      <w:r w:rsidRPr="00C6377C">
        <w:t>(audit, rémunérations, nominations, stratégiques</w:t>
      </w:r>
      <w:r>
        <w:t xml:space="preserve">, </w:t>
      </w:r>
      <w:r w:rsidRPr="00C6377C">
        <w:t>etc.)</w:t>
      </w:r>
      <w:r>
        <w:t xml:space="preserve"> et n’envisage pas d’en créer. </w:t>
      </w:r>
    </w:p>
    <w:p w14:paraId="6A64FDB2" w14:textId="77777777" w:rsidR="00DB3638" w:rsidRPr="00DB3638" w:rsidRDefault="00DB3638" w:rsidP="00DB3638"/>
    <w:p w14:paraId="79C6DA3F" w14:textId="36704634" w:rsidR="00CF0C5B" w:rsidRDefault="00CF0C5B" w:rsidP="00EE50DB">
      <w:pPr>
        <w:pStyle w:val="Titre2"/>
      </w:pPr>
      <w:bookmarkStart w:id="247" w:name="_Ref373567577"/>
      <w:bookmarkStart w:id="248" w:name="_Toc475033244"/>
      <w:r>
        <w:t>1</w:t>
      </w:r>
      <w:r w:rsidR="00A247E0">
        <w:t>4</w:t>
      </w:r>
      <w:r>
        <w:t>.4 Déclaration relative au gouvernement d’entreprise</w:t>
      </w:r>
      <w:bookmarkEnd w:id="246"/>
      <w:bookmarkEnd w:id="247"/>
      <w:bookmarkEnd w:id="248"/>
      <w:r>
        <w:t xml:space="preserve"> </w:t>
      </w:r>
      <w:r>
        <w:tab/>
      </w:r>
    </w:p>
    <w:p w14:paraId="5CAFA99B" w14:textId="77777777" w:rsidR="00952F7B" w:rsidRDefault="00952F7B" w:rsidP="00952F7B"/>
    <w:p w14:paraId="4077E320" w14:textId="0F335CBD" w:rsidR="00F705B3" w:rsidRPr="00F705B3" w:rsidRDefault="00F705B3" w:rsidP="00F705B3">
      <w:pPr>
        <w:rPr>
          <w:szCs w:val="20"/>
        </w:rPr>
      </w:pPr>
      <w:r w:rsidRPr="00F705B3">
        <w:t>Depuis l’introduction en bourse de la Société, le Conseil d’administration a décidé d’utiliser comme référentiel en matière de gouvernance d’entreprise le code de gouvernement d’entreprise établi par Middlenext et l’ensemble des recommandations y figurant.</w:t>
      </w:r>
    </w:p>
    <w:p w14:paraId="525115DF" w14:textId="29D53E44" w:rsidR="00F705B3" w:rsidRDefault="00F705B3" w:rsidP="00F705B3">
      <w:pPr>
        <w:rPr>
          <w:szCs w:val="20"/>
        </w:rPr>
      </w:pPr>
      <w:r w:rsidRPr="00F705B3">
        <w:rPr>
          <w:szCs w:val="20"/>
        </w:rPr>
        <w:t xml:space="preserve">Dans sa séance du 13 octobre 2017, le Conseil d’administration, sur la base de la dernière version du Code de gouvernement d’entreprise Middlenext publiée en septembre 2016, a décidé d’appliquer les recommandations qu’il contient de la façon suivante : </w:t>
      </w:r>
    </w:p>
    <w:p w14:paraId="2B6A3D65" w14:textId="77777777" w:rsidR="00B66E99" w:rsidRPr="00F705B3" w:rsidRDefault="00B66E99" w:rsidP="00F705B3"/>
    <w:tbl>
      <w:tblPr>
        <w:tblW w:w="9649" w:type="dxa"/>
        <w:tblInd w:w="60" w:type="dxa"/>
        <w:tblCellMar>
          <w:left w:w="70" w:type="dxa"/>
          <w:right w:w="70" w:type="dxa"/>
        </w:tblCellMar>
        <w:tblLook w:val="04A0" w:firstRow="1" w:lastRow="0" w:firstColumn="1" w:lastColumn="0" w:noHBand="0" w:noVBand="1"/>
      </w:tblPr>
      <w:tblGrid>
        <w:gridCol w:w="4560"/>
        <w:gridCol w:w="1300"/>
        <w:gridCol w:w="1238"/>
        <w:gridCol w:w="62"/>
        <w:gridCol w:w="1072"/>
        <w:gridCol w:w="228"/>
        <w:gridCol w:w="1189"/>
      </w:tblGrid>
      <w:tr w:rsidR="00A86815" w:rsidRPr="00A86815" w14:paraId="20662B7F" w14:textId="77777777" w:rsidTr="00D16E63">
        <w:trPr>
          <w:trHeight w:val="560"/>
        </w:trPr>
        <w:tc>
          <w:tcPr>
            <w:tcW w:w="4560" w:type="dxa"/>
            <w:tcBorders>
              <w:top w:val="single" w:sz="8" w:space="0" w:color="auto"/>
              <w:left w:val="single" w:sz="8" w:space="0" w:color="auto"/>
              <w:bottom w:val="nil"/>
              <w:right w:val="single" w:sz="8" w:space="0" w:color="auto"/>
            </w:tcBorders>
            <w:shd w:val="clear" w:color="000000" w:fill="19327F"/>
            <w:vAlign w:val="center"/>
            <w:hideMark/>
          </w:tcPr>
          <w:p w14:paraId="5B2CD342" w14:textId="77777777" w:rsidR="00A86815" w:rsidRPr="00A86815" w:rsidRDefault="00A86815" w:rsidP="00A86815">
            <w:pPr>
              <w:jc w:val="center"/>
              <w:rPr>
                <w:rFonts w:ascii="Calibri" w:eastAsia="Times New Roman" w:hAnsi="Calibri" w:cs="Times New Roman"/>
                <w:b/>
                <w:bCs/>
                <w:color w:val="FFFFFF"/>
                <w:szCs w:val="20"/>
              </w:rPr>
            </w:pPr>
            <w:r w:rsidRPr="00A86815">
              <w:rPr>
                <w:rFonts w:ascii="Calibri" w:eastAsia="Times New Roman" w:hAnsi="Calibri" w:cs="Times New Roman"/>
                <w:b/>
                <w:bCs/>
                <w:color w:val="FFFFFF"/>
                <w:szCs w:val="20"/>
              </w:rPr>
              <w:t>Recommandations du Code MiddleNext</w:t>
            </w:r>
          </w:p>
        </w:tc>
        <w:tc>
          <w:tcPr>
            <w:tcW w:w="1300" w:type="dxa"/>
            <w:vMerge w:val="restart"/>
            <w:tcBorders>
              <w:top w:val="single" w:sz="8" w:space="0" w:color="auto"/>
              <w:left w:val="single" w:sz="8" w:space="0" w:color="auto"/>
              <w:bottom w:val="single" w:sz="8" w:space="0" w:color="000000"/>
              <w:right w:val="single" w:sz="8" w:space="0" w:color="auto"/>
            </w:tcBorders>
            <w:shd w:val="clear" w:color="000000" w:fill="19327F"/>
            <w:vAlign w:val="center"/>
            <w:hideMark/>
          </w:tcPr>
          <w:p w14:paraId="61B176F2" w14:textId="77777777" w:rsidR="00A86815" w:rsidRPr="00A86815" w:rsidRDefault="00A86815" w:rsidP="00A86815">
            <w:pPr>
              <w:jc w:val="center"/>
              <w:rPr>
                <w:rFonts w:ascii="Calibri" w:eastAsia="Times New Roman" w:hAnsi="Calibri" w:cs="Times New Roman"/>
                <w:b/>
                <w:bCs/>
                <w:color w:val="FFFFFF"/>
                <w:szCs w:val="20"/>
              </w:rPr>
            </w:pPr>
            <w:r w:rsidRPr="00A86815">
              <w:rPr>
                <w:rFonts w:ascii="Calibri" w:eastAsia="Times New Roman" w:hAnsi="Calibri" w:cs="Times New Roman"/>
                <w:b/>
                <w:bCs/>
                <w:color w:val="FFFFFF"/>
                <w:szCs w:val="20"/>
              </w:rPr>
              <w:t>Adoptée</w:t>
            </w:r>
          </w:p>
        </w:tc>
        <w:tc>
          <w:tcPr>
            <w:tcW w:w="1300" w:type="dxa"/>
            <w:gridSpan w:val="2"/>
            <w:vMerge w:val="restart"/>
            <w:tcBorders>
              <w:top w:val="single" w:sz="8" w:space="0" w:color="auto"/>
              <w:left w:val="single" w:sz="8" w:space="0" w:color="auto"/>
              <w:bottom w:val="single" w:sz="8" w:space="0" w:color="000000"/>
              <w:right w:val="single" w:sz="8" w:space="0" w:color="auto"/>
            </w:tcBorders>
            <w:shd w:val="clear" w:color="000000" w:fill="19327F"/>
            <w:vAlign w:val="center"/>
            <w:hideMark/>
          </w:tcPr>
          <w:p w14:paraId="702D184C" w14:textId="211070A0" w:rsidR="00A86815" w:rsidRPr="00A86815" w:rsidRDefault="00A86815" w:rsidP="00A86815">
            <w:pPr>
              <w:jc w:val="center"/>
              <w:rPr>
                <w:rFonts w:ascii="Calibri" w:eastAsia="Times New Roman" w:hAnsi="Calibri" w:cs="Times New Roman"/>
                <w:b/>
                <w:bCs/>
                <w:color w:val="FFFFFF"/>
                <w:szCs w:val="20"/>
              </w:rPr>
            </w:pPr>
            <w:r w:rsidRPr="00A86815">
              <w:rPr>
                <w:rFonts w:ascii="Calibri" w:eastAsia="Times New Roman" w:hAnsi="Calibri" w:cs="Times New Roman"/>
                <w:b/>
                <w:bCs/>
                <w:color w:val="FFFFFF"/>
                <w:szCs w:val="20"/>
              </w:rPr>
              <w:t>Sera adoptée</w:t>
            </w:r>
          </w:p>
        </w:tc>
        <w:tc>
          <w:tcPr>
            <w:tcW w:w="1300" w:type="dxa"/>
            <w:gridSpan w:val="2"/>
            <w:vMerge w:val="restart"/>
            <w:tcBorders>
              <w:top w:val="single" w:sz="8" w:space="0" w:color="auto"/>
              <w:left w:val="single" w:sz="8" w:space="0" w:color="auto"/>
              <w:bottom w:val="single" w:sz="8" w:space="0" w:color="000000"/>
              <w:right w:val="single" w:sz="8" w:space="0" w:color="auto"/>
            </w:tcBorders>
            <w:shd w:val="clear" w:color="000000" w:fill="19327F"/>
            <w:vAlign w:val="center"/>
            <w:hideMark/>
          </w:tcPr>
          <w:p w14:paraId="0D0A1B84" w14:textId="77777777" w:rsidR="00A86815" w:rsidRPr="00A86815" w:rsidRDefault="00A86815" w:rsidP="00A86815">
            <w:pPr>
              <w:jc w:val="center"/>
              <w:rPr>
                <w:rFonts w:ascii="Calibri" w:eastAsia="Times New Roman" w:hAnsi="Calibri" w:cs="Times New Roman"/>
                <w:b/>
                <w:bCs/>
                <w:color w:val="FFFFFF"/>
                <w:szCs w:val="20"/>
              </w:rPr>
            </w:pPr>
            <w:r w:rsidRPr="00A86815">
              <w:rPr>
                <w:rFonts w:ascii="Calibri" w:eastAsia="Times New Roman" w:hAnsi="Calibri" w:cs="Times New Roman"/>
                <w:b/>
                <w:bCs/>
                <w:color w:val="FFFFFF"/>
                <w:szCs w:val="20"/>
              </w:rPr>
              <w:t>En cours de réflexion</w:t>
            </w:r>
          </w:p>
        </w:tc>
        <w:tc>
          <w:tcPr>
            <w:tcW w:w="1189" w:type="dxa"/>
            <w:vMerge w:val="restart"/>
            <w:tcBorders>
              <w:top w:val="single" w:sz="8" w:space="0" w:color="auto"/>
              <w:left w:val="single" w:sz="8" w:space="0" w:color="auto"/>
              <w:bottom w:val="single" w:sz="8" w:space="0" w:color="000000"/>
              <w:right w:val="single" w:sz="8" w:space="0" w:color="auto"/>
            </w:tcBorders>
            <w:shd w:val="clear" w:color="000000" w:fill="19327F"/>
            <w:vAlign w:val="center"/>
            <w:hideMark/>
          </w:tcPr>
          <w:p w14:paraId="57CE4CD3" w14:textId="77777777" w:rsidR="00A86815" w:rsidRPr="00A86815" w:rsidRDefault="00A86815" w:rsidP="00A86815">
            <w:pPr>
              <w:jc w:val="center"/>
              <w:rPr>
                <w:rFonts w:ascii="Calibri" w:eastAsia="Times New Roman" w:hAnsi="Calibri" w:cs="Times New Roman"/>
                <w:b/>
                <w:bCs/>
                <w:color w:val="FFFFFF"/>
                <w:szCs w:val="20"/>
              </w:rPr>
            </w:pPr>
            <w:r w:rsidRPr="00A86815">
              <w:rPr>
                <w:rFonts w:ascii="Calibri" w:eastAsia="Times New Roman" w:hAnsi="Calibri" w:cs="Times New Roman"/>
                <w:b/>
                <w:bCs/>
                <w:color w:val="FFFFFF"/>
                <w:szCs w:val="20"/>
              </w:rPr>
              <w:t>Ne sera pas adoptée</w:t>
            </w:r>
          </w:p>
        </w:tc>
      </w:tr>
      <w:tr w:rsidR="00A86815" w:rsidRPr="00A86815" w14:paraId="6DCF97B5" w14:textId="77777777" w:rsidTr="00D16E63">
        <w:trPr>
          <w:trHeight w:val="320"/>
        </w:trPr>
        <w:tc>
          <w:tcPr>
            <w:tcW w:w="4560" w:type="dxa"/>
            <w:tcBorders>
              <w:top w:val="nil"/>
              <w:left w:val="single" w:sz="8" w:space="0" w:color="auto"/>
              <w:bottom w:val="single" w:sz="8" w:space="0" w:color="auto"/>
              <w:right w:val="single" w:sz="8" w:space="0" w:color="auto"/>
            </w:tcBorders>
            <w:shd w:val="clear" w:color="000000" w:fill="19327F"/>
            <w:vAlign w:val="center"/>
            <w:hideMark/>
          </w:tcPr>
          <w:p w14:paraId="0A9F6FBF" w14:textId="77777777" w:rsidR="00A86815" w:rsidRPr="00A86815" w:rsidRDefault="00A86815" w:rsidP="00A86815">
            <w:pPr>
              <w:jc w:val="center"/>
              <w:rPr>
                <w:rFonts w:ascii="Calibri" w:eastAsia="Times New Roman" w:hAnsi="Calibri" w:cs="Times New Roman"/>
                <w:b/>
                <w:bCs/>
                <w:color w:val="FFFFFF"/>
                <w:szCs w:val="20"/>
              </w:rPr>
            </w:pPr>
            <w:r w:rsidRPr="00A86815">
              <w:rPr>
                <w:rFonts w:ascii="Calibri" w:eastAsia="Times New Roman" w:hAnsi="Calibri" w:cs="Times New Roman"/>
                <w:b/>
                <w:bCs/>
                <w:color w:val="FFFFFF"/>
                <w:szCs w:val="20"/>
              </w:rPr>
              <w:t>(version révisée de septembre 2016)</w:t>
            </w:r>
          </w:p>
        </w:tc>
        <w:tc>
          <w:tcPr>
            <w:tcW w:w="1300" w:type="dxa"/>
            <w:vMerge/>
            <w:tcBorders>
              <w:top w:val="single" w:sz="8" w:space="0" w:color="auto"/>
              <w:left w:val="single" w:sz="8" w:space="0" w:color="auto"/>
              <w:bottom w:val="single" w:sz="8" w:space="0" w:color="000000"/>
              <w:right w:val="single" w:sz="8" w:space="0" w:color="auto"/>
            </w:tcBorders>
            <w:vAlign w:val="center"/>
            <w:hideMark/>
          </w:tcPr>
          <w:p w14:paraId="218EA63D" w14:textId="77777777" w:rsidR="00A86815" w:rsidRPr="00A86815" w:rsidRDefault="00A86815" w:rsidP="00A86815">
            <w:pPr>
              <w:jc w:val="left"/>
              <w:rPr>
                <w:rFonts w:ascii="Calibri" w:eastAsia="Times New Roman" w:hAnsi="Calibri" w:cs="Times New Roman"/>
                <w:b/>
                <w:bCs/>
                <w:color w:val="FFFFFF"/>
                <w:szCs w:val="20"/>
              </w:rPr>
            </w:pPr>
          </w:p>
        </w:tc>
        <w:tc>
          <w:tcPr>
            <w:tcW w:w="1300" w:type="dxa"/>
            <w:gridSpan w:val="2"/>
            <w:vMerge/>
            <w:tcBorders>
              <w:top w:val="single" w:sz="8" w:space="0" w:color="auto"/>
              <w:left w:val="single" w:sz="8" w:space="0" w:color="auto"/>
              <w:bottom w:val="single" w:sz="8" w:space="0" w:color="000000"/>
              <w:right w:val="single" w:sz="8" w:space="0" w:color="auto"/>
            </w:tcBorders>
            <w:vAlign w:val="center"/>
            <w:hideMark/>
          </w:tcPr>
          <w:p w14:paraId="788C404F" w14:textId="77777777" w:rsidR="00A86815" w:rsidRPr="00A86815" w:rsidRDefault="00A86815" w:rsidP="00A86815">
            <w:pPr>
              <w:jc w:val="left"/>
              <w:rPr>
                <w:rFonts w:ascii="Calibri" w:eastAsia="Times New Roman" w:hAnsi="Calibri" w:cs="Times New Roman"/>
                <w:b/>
                <w:bCs/>
                <w:color w:val="FFFFFF"/>
                <w:szCs w:val="20"/>
              </w:rPr>
            </w:pPr>
          </w:p>
        </w:tc>
        <w:tc>
          <w:tcPr>
            <w:tcW w:w="1300" w:type="dxa"/>
            <w:gridSpan w:val="2"/>
            <w:vMerge/>
            <w:tcBorders>
              <w:top w:val="single" w:sz="8" w:space="0" w:color="auto"/>
              <w:left w:val="single" w:sz="8" w:space="0" w:color="auto"/>
              <w:bottom w:val="single" w:sz="8" w:space="0" w:color="000000"/>
              <w:right w:val="single" w:sz="8" w:space="0" w:color="auto"/>
            </w:tcBorders>
            <w:vAlign w:val="center"/>
            <w:hideMark/>
          </w:tcPr>
          <w:p w14:paraId="378C01D9" w14:textId="77777777" w:rsidR="00A86815" w:rsidRPr="00A86815" w:rsidRDefault="00A86815" w:rsidP="00A86815">
            <w:pPr>
              <w:jc w:val="left"/>
              <w:rPr>
                <w:rFonts w:ascii="Calibri" w:eastAsia="Times New Roman" w:hAnsi="Calibri" w:cs="Times New Roman"/>
                <w:b/>
                <w:bCs/>
                <w:color w:val="FFFFFF"/>
                <w:szCs w:val="20"/>
              </w:rPr>
            </w:pPr>
          </w:p>
        </w:tc>
        <w:tc>
          <w:tcPr>
            <w:tcW w:w="1189" w:type="dxa"/>
            <w:vMerge/>
            <w:tcBorders>
              <w:top w:val="single" w:sz="8" w:space="0" w:color="auto"/>
              <w:left w:val="single" w:sz="8" w:space="0" w:color="auto"/>
              <w:bottom w:val="single" w:sz="8" w:space="0" w:color="000000"/>
              <w:right w:val="single" w:sz="8" w:space="0" w:color="auto"/>
            </w:tcBorders>
            <w:vAlign w:val="center"/>
            <w:hideMark/>
          </w:tcPr>
          <w:p w14:paraId="112FB215" w14:textId="77777777" w:rsidR="00A86815" w:rsidRPr="00A86815" w:rsidRDefault="00A86815" w:rsidP="00A86815">
            <w:pPr>
              <w:jc w:val="left"/>
              <w:rPr>
                <w:rFonts w:ascii="Calibri" w:eastAsia="Times New Roman" w:hAnsi="Calibri" w:cs="Times New Roman"/>
                <w:b/>
                <w:bCs/>
                <w:color w:val="FFFFFF"/>
                <w:szCs w:val="20"/>
              </w:rPr>
            </w:pPr>
          </w:p>
        </w:tc>
      </w:tr>
      <w:tr w:rsidR="00A86815" w:rsidRPr="00A86815" w14:paraId="0F562C15" w14:textId="77777777" w:rsidTr="00D16E63">
        <w:trPr>
          <w:trHeight w:val="300"/>
        </w:trPr>
        <w:tc>
          <w:tcPr>
            <w:tcW w:w="9649" w:type="dxa"/>
            <w:gridSpan w:val="7"/>
            <w:tcBorders>
              <w:top w:val="single" w:sz="8" w:space="0" w:color="auto"/>
              <w:left w:val="single" w:sz="8" w:space="0" w:color="auto"/>
              <w:bottom w:val="nil"/>
              <w:right w:val="single" w:sz="8" w:space="0" w:color="000000"/>
            </w:tcBorders>
            <w:shd w:val="clear" w:color="000000" w:fill="99CCFF"/>
            <w:vAlign w:val="center"/>
            <w:hideMark/>
          </w:tcPr>
          <w:p w14:paraId="4FFBF0EA" w14:textId="77777777" w:rsidR="00A86815" w:rsidRPr="00A86815" w:rsidRDefault="00A86815" w:rsidP="00A86815">
            <w:pPr>
              <w:jc w:val="center"/>
              <w:rPr>
                <w:rFonts w:ascii="Calibri" w:eastAsia="Times New Roman" w:hAnsi="Calibri" w:cs="Times New Roman"/>
                <w:b/>
                <w:bCs/>
                <w:color w:val="000000"/>
                <w:szCs w:val="20"/>
              </w:rPr>
            </w:pPr>
            <w:r w:rsidRPr="00A86815">
              <w:rPr>
                <w:rFonts w:ascii="Calibri" w:eastAsia="Times New Roman" w:hAnsi="Calibri" w:cs="Times New Roman"/>
                <w:b/>
                <w:bCs/>
                <w:color w:val="000000"/>
                <w:szCs w:val="20"/>
              </w:rPr>
              <w:t> </w:t>
            </w:r>
          </w:p>
        </w:tc>
      </w:tr>
      <w:tr w:rsidR="00A86815" w:rsidRPr="00A86815" w14:paraId="4A6BF91B" w14:textId="77777777" w:rsidTr="00D16E63">
        <w:trPr>
          <w:trHeight w:val="300"/>
        </w:trPr>
        <w:tc>
          <w:tcPr>
            <w:tcW w:w="9649" w:type="dxa"/>
            <w:gridSpan w:val="7"/>
            <w:tcBorders>
              <w:top w:val="nil"/>
              <w:left w:val="single" w:sz="8" w:space="0" w:color="auto"/>
              <w:bottom w:val="nil"/>
              <w:right w:val="single" w:sz="8" w:space="0" w:color="000000"/>
            </w:tcBorders>
            <w:shd w:val="clear" w:color="000000" w:fill="99CCFF"/>
            <w:vAlign w:val="center"/>
            <w:hideMark/>
          </w:tcPr>
          <w:p w14:paraId="77E5EAC1" w14:textId="77777777" w:rsidR="00A86815" w:rsidRPr="00A86815" w:rsidRDefault="00A86815" w:rsidP="00A86815">
            <w:pPr>
              <w:jc w:val="center"/>
              <w:rPr>
                <w:rFonts w:ascii="Calibri" w:eastAsia="Times New Roman" w:hAnsi="Calibri" w:cs="Times New Roman"/>
                <w:b/>
                <w:bCs/>
                <w:color w:val="000000"/>
                <w:szCs w:val="20"/>
              </w:rPr>
            </w:pPr>
            <w:r w:rsidRPr="00A86815">
              <w:rPr>
                <w:rFonts w:ascii="Calibri" w:eastAsia="Times New Roman" w:hAnsi="Calibri" w:cs="Times New Roman"/>
                <w:b/>
                <w:bCs/>
                <w:color w:val="000000"/>
                <w:szCs w:val="20"/>
              </w:rPr>
              <w:t>I. Le pouvoir de surveillance</w:t>
            </w:r>
          </w:p>
        </w:tc>
      </w:tr>
      <w:tr w:rsidR="00A86815" w:rsidRPr="00A86815" w14:paraId="5E91E799" w14:textId="77777777" w:rsidTr="00D16E63">
        <w:trPr>
          <w:trHeight w:val="73"/>
        </w:trPr>
        <w:tc>
          <w:tcPr>
            <w:tcW w:w="9649" w:type="dxa"/>
            <w:gridSpan w:val="7"/>
            <w:tcBorders>
              <w:top w:val="nil"/>
              <w:left w:val="single" w:sz="8" w:space="0" w:color="auto"/>
              <w:bottom w:val="single" w:sz="8" w:space="0" w:color="auto"/>
              <w:right w:val="single" w:sz="8" w:space="0" w:color="000000"/>
            </w:tcBorders>
            <w:shd w:val="clear" w:color="000000" w:fill="99CCFF"/>
            <w:vAlign w:val="center"/>
            <w:hideMark/>
          </w:tcPr>
          <w:p w14:paraId="2B40588D" w14:textId="77777777" w:rsidR="00A86815" w:rsidRPr="00A86815" w:rsidRDefault="00A86815" w:rsidP="00A86815">
            <w:pPr>
              <w:jc w:val="center"/>
              <w:rPr>
                <w:rFonts w:ascii="Calibri" w:eastAsia="Times New Roman" w:hAnsi="Calibri" w:cs="Times New Roman"/>
                <w:b/>
                <w:bCs/>
                <w:color w:val="000000"/>
                <w:szCs w:val="20"/>
              </w:rPr>
            </w:pPr>
            <w:r w:rsidRPr="00A86815">
              <w:rPr>
                <w:rFonts w:ascii="Calibri" w:eastAsia="Times New Roman" w:hAnsi="Calibri" w:cs="Times New Roman"/>
                <w:b/>
                <w:bCs/>
                <w:color w:val="000000"/>
                <w:szCs w:val="20"/>
              </w:rPr>
              <w:t> </w:t>
            </w:r>
          </w:p>
        </w:tc>
      </w:tr>
      <w:tr w:rsidR="00A86815" w:rsidRPr="00A86815" w14:paraId="7579ED2D" w14:textId="77777777" w:rsidTr="00D16E63">
        <w:trPr>
          <w:trHeight w:val="320"/>
        </w:trPr>
        <w:tc>
          <w:tcPr>
            <w:tcW w:w="4560" w:type="dxa"/>
            <w:tcBorders>
              <w:top w:val="nil"/>
              <w:left w:val="single" w:sz="8" w:space="0" w:color="auto"/>
              <w:bottom w:val="single" w:sz="8" w:space="0" w:color="auto"/>
              <w:right w:val="single" w:sz="8" w:space="0" w:color="auto"/>
            </w:tcBorders>
            <w:shd w:val="clear" w:color="000000" w:fill="FFFFFF"/>
            <w:vAlign w:val="center"/>
            <w:hideMark/>
          </w:tcPr>
          <w:p w14:paraId="1E6EB246" w14:textId="77777777" w:rsidR="00A86815" w:rsidRPr="00A86815" w:rsidRDefault="00A86815" w:rsidP="00A86815">
            <w:pPr>
              <w:jc w:val="left"/>
              <w:rPr>
                <w:rFonts w:ascii="Calibri" w:eastAsia="Times New Roman" w:hAnsi="Calibri" w:cs="Times New Roman"/>
                <w:color w:val="000000"/>
                <w:szCs w:val="20"/>
              </w:rPr>
            </w:pPr>
            <w:r w:rsidRPr="00A86815">
              <w:rPr>
                <w:rFonts w:ascii="Calibri" w:eastAsia="Times New Roman" w:hAnsi="Calibri" w:cs="Times New Roman"/>
                <w:color w:val="000000"/>
                <w:szCs w:val="20"/>
              </w:rPr>
              <w:t>R1 : Déontologie des membres du Conseil</w:t>
            </w:r>
          </w:p>
        </w:tc>
        <w:tc>
          <w:tcPr>
            <w:tcW w:w="1300" w:type="dxa"/>
            <w:tcBorders>
              <w:top w:val="nil"/>
              <w:left w:val="nil"/>
              <w:bottom w:val="single" w:sz="8" w:space="0" w:color="auto"/>
              <w:right w:val="single" w:sz="8" w:space="0" w:color="auto"/>
            </w:tcBorders>
            <w:shd w:val="clear" w:color="000000" w:fill="FFFFFF"/>
            <w:vAlign w:val="center"/>
            <w:hideMark/>
          </w:tcPr>
          <w:p w14:paraId="17B9EB2B" w14:textId="77777777" w:rsidR="00A86815" w:rsidRPr="00A86815" w:rsidRDefault="00A86815" w:rsidP="00A86815">
            <w:pPr>
              <w:jc w:val="center"/>
              <w:rPr>
                <w:rFonts w:ascii="Calibri" w:eastAsia="Times New Roman" w:hAnsi="Calibri" w:cs="Times New Roman"/>
                <w:color w:val="000000"/>
                <w:szCs w:val="20"/>
              </w:rPr>
            </w:pPr>
            <w:r w:rsidRPr="00A86815">
              <w:rPr>
                <w:rFonts w:ascii="Calibri" w:eastAsia="Times New Roman" w:hAnsi="Calibri" w:cs="Times New Roman"/>
                <w:color w:val="000000"/>
                <w:szCs w:val="20"/>
              </w:rPr>
              <w:t>X</w:t>
            </w:r>
          </w:p>
        </w:tc>
        <w:tc>
          <w:tcPr>
            <w:tcW w:w="1238" w:type="dxa"/>
            <w:tcBorders>
              <w:top w:val="nil"/>
              <w:left w:val="nil"/>
              <w:bottom w:val="single" w:sz="8" w:space="0" w:color="auto"/>
              <w:right w:val="single" w:sz="8" w:space="0" w:color="auto"/>
            </w:tcBorders>
            <w:shd w:val="clear" w:color="000000" w:fill="FFFFFF"/>
            <w:vAlign w:val="center"/>
            <w:hideMark/>
          </w:tcPr>
          <w:p w14:paraId="527F8BE3" w14:textId="77777777" w:rsidR="00A86815" w:rsidRPr="00A86815" w:rsidRDefault="00A86815" w:rsidP="00A86815">
            <w:pPr>
              <w:jc w:val="center"/>
              <w:rPr>
                <w:rFonts w:ascii="Calibri" w:eastAsia="Times New Roman" w:hAnsi="Calibri" w:cs="Times New Roman"/>
                <w:color w:val="000000"/>
                <w:szCs w:val="20"/>
              </w:rPr>
            </w:pPr>
            <w:r w:rsidRPr="00A86815">
              <w:rPr>
                <w:rFonts w:ascii="Calibri" w:eastAsia="Times New Roman" w:hAnsi="Calibri" w:cs="Times New Roman"/>
                <w:color w:val="000000"/>
                <w:szCs w:val="20"/>
              </w:rPr>
              <w:t> </w:t>
            </w:r>
          </w:p>
        </w:tc>
        <w:tc>
          <w:tcPr>
            <w:tcW w:w="1134" w:type="dxa"/>
            <w:gridSpan w:val="2"/>
            <w:tcBorders>
              <w:top w:val="nil"/>
              <w:left w:val="nil"/>
              <w:bottom w:val="single" w:sz="8" w:space="0" w:color="auto"/>
              <w:right w:val="single" w:sz="8" w:space="0" w:color="auto"/>
            </w:tcBorders>
            <w:shd w:val="clear" w:color="000000" w:fill="FFFFFF"/>
            <w:vAlign w:val="center"/>
            <w:hideMark/>
          </w:tcPr>
          <w:p w14:paraId="0226774F" w14:textId="77777777" w:rsidR="00A86815" w:rsidRPr="00A86815" w:rsidRDefault="00A86815" w:rsidP="00A86815">
            <w:pPr>
              <w:rPr>
                <w:rFonts w:ascii="Calibri" w:eastAsia="Times New Roman" w:hAnsi="Calibri" w:cs="Times New Roman"/>
                <w:color w:val="000000"/>
                <w:szCs w:val="20"/>
              </w:rPr>
            </w:pPr>
            <w:r w:rsidRPr="00A86815">
              <w:rPr>
                <w:rFonts w:ascii="Calibri" w:eastAsia="Times New Roman" w:hAnsi="Calibri" w:cs="Times New Roman"/>
                <w:color w:val="000000"/>
                <w:szCs w:val="20"/>
              </w:rPr>
              <w:t> </w:t>
            </w:r>
          </w:p>
        </w:tc>
        <w:tc>
          <w:tcPr>
            <w:tcW w:w="1417" w:type="dxa"/>
            <w:gridSpan w:val="2"/>
            <w:tcBorders>
              <w:top w:val="nil"/>
              <w:left w:val="nil"/>
              <w:bottom w:val="single" w:sz="8" w:space="0" w:color="auto"/>
              <w:right w:val="single" w:sz="8" w:space="0" w:color="auto"/>
            </w:tcBorders>
            <w:shd w:val="clear" w:color="000000" w:fill="FFFFFF"/>
            <w:vAlign w:val="center"/>
            <w:hideMark/>
          </w:tcPr>
          <w:p w14:paraId="18BBBE22" w14:textId="77777777" w:rsidR="00A86815" w:rsidRPr="00A86815" w:rsidRDefault="00A86815" w:rsidP="00A86815">
            <w:pPr>
              <w:rPr>
                <w:rFonts w:ascii="Calibri" w:eastAsia="Times New Roman" w:hAnsi="Calibri" w:cs="Times New Roman"/>
                <w:color w:val="000000"/>
                <w:szCs w:val="20"/>
              </w:rPr>
            </w:pPr>
            <w:r w:rsidRPr="00A86815">
              <w:rPr>
                <w:rFonts w:ascii="Calibri" w:eastAsia="Times New Roman" w:hAnsi="Calibri" w:cs="Times New Roman"/>
                <w:color w:val="000000"/>
                <w:szCs w:val="20"/>
              </w:rPr>
              <w:t> </w:t>
            </w:r>
          </w:p>
        </w:tc>
      </w:tr>
      <w:tr w:rsidR="00A86815" w:rsidRPr="00A86815" w14:paraId="4B5F7D1F" w14:textId="77777777" w:rsidTr="00D16E63">
        <w:trPr>
          <w:trHeight w:val="320"/>
        </w:trPr>
        <w:tc>
          <w:tcPr>
            <w:tcW w:w="4560" w:type="dxa"/>
            <w:tcBorders>
              <w:top w:val="nil"/>
              <w:left w:val="single" w:sz="8" w:space="0" w:color="auto"/>
              <w:bottom w:val="single" w:sz="8" w:space="0" w:color="auto"/>
              <w:right w:val="single" w:sz="8" w:space="0" w:color="auto"/>
            </w:tcBorders>
            <w:shd w:val="clear" w:color="000000" w:fill="FFFFFF"/>
            <w:vAlign w:val="center"/>
            <w:hideMark/>
          </w:tcPr>
          <w:p w14:paraId="618CCB7C" w14:textId="77777777" w:rsidR="00A86815" w:rsidRPr="00A86815" w:rsidRDefault="00A86815" w:rsidP="00A86815">
            <w:pPr>
              <w:jc w:val="left"/>
              <w:rPr>
                <w:rFonts w:ascii="Calibri" w:eastAsia="Times New Roman" w:hAnsi="Calibri" w:cs="Times New Roman"/>
                <w:color w:val="000000"/>
                <w:szCs w:val="20"/>
              </w:rPr>
            </w:pPr>
            <w:r w:rsidRPr="00A86815">
              <w:rPr>
                <w:rFonts w:ascii="Calibri" w:eastAsia="Times New Roman" w:hAnsi="Calibri" w:cs="Times New Roman"/>
                <w:color w:val="000000"/>
                <w:szCs w:val="20"/>
              </w:rPr>
              <w:t>R2 : Conflits d’intérêts</w:t>
            </w:r>
          </w:p>
        </w:tc>
        <w:tc>
          <w:tcPr>
            <w:tcW w:w="1300" w:type="dxa"/>
            <w:tcBorders>
              <w:top w:val="nil"/>
              <w:left w:val="nil"/>
              <w:bottom w:val="single" w:sz="8" w:space="0" w:color="auto"/>
              <w:right w:val="single" w:sz="8" w:space="0" w:color="auto"/>
            </w:tcBorders>
            <w:shd w:val="clear" w:color="000000" w:fill="FFFFFF"/>
            <w:vAlign w:val="center"/>
            <w:hideMark/>
          </w:tcPr>
          <w:p w14:paraId="716742DD" w14:textId="77777777" w:rsidR="00A86815" w:rsidRPr="00A86815" w:rsidRDefault="00A86815" w:rsidP="00A86815">
            <w:pPr>
              <w:jc w:val="center"/>
              <w:rPr>
                <w:rFonts w:ascii="Calibri" w:eastAsia="Times New Roman" w:hAnsi="Calibri" w:cs="Times New Roman"/>
                <w:color w:val="000000"/>
                <w:szCs w:val="20"/>
              </w:rPr>
            </w:pPr>
            <w:r w:rsidRPr="00A86815">
              <w:rPr>
                <w:rFonts w:ascii="Calibri" w:eastAsia="Times New Roman" w:hAnsi="Calibri" w:cs="Times New Roman"/>
                <w:color w:val="000000"/>
                <w:szCs w:val="20"/>
              </w:rPr>
              <w:t>X</w:t>
            </w:r>
          </w:p>
        </w:tc>
        <w:tc>
          <w:tcPr>
            <w:tcW w:w="1238" w:type="dxa"/>
            <w:tcBorders>
              <w:top w:val="nil"/>
              <w:left w:val="nil"/>
              <w:bottom w:val="single" w:sz="8" w:space="0" w:color="auto"/>
              <w:right w:val="single" w:sz="8" w:space="0" w:color="auto"/>
            </w:tcBorders>
            <w:shd w:val="clear" w:color="000000" w:fill="FFFFFF"/>
            <w:vAlign w:val="center"/>
            <w:hideMark/>
          </w:tcPr>
          <w:p w14:paraId="217D0AED" w14:textId="77777777" w:rsidR="00A86815" w:rsidRPr="00A86815" w:rsidRDefault="00A86815" w:rsidP="00A86815">
            <w:pPr>
              <w:rPr>
                <w:rFonts w:ascii="Calibri" w:eastAsia="Times New Roman" w:hAnsi="Calibri" w:cs="Times New Roman"/>
                <w:color w:val="000000"/>
                <w:szCs w:val="20"/>
              </w:rPr>
            </w:pPr>
            <w:r w:rsidRPr="00A86815">
              <w:rPr>
                <w:rFonts w:ascii="Calibri" w:eastAsia="Times New Roman" w:hAnsi="Calibri" w:cs="Times New Roman"/>
                <w:color w:val="000000"/>
                <w:szCs w:val="20"/>
              </w:rPr>
              <w:t> </w:t>
            </w:r>
          </w:p>
        </w:tc>
        <w:tc>
          <w:tcPr>
            <w:tcW w:w="1134" w:type="dxa"/>
            <w:gridSpan w:val="2"/>
            <w:tcBorders>
              <w:top w:val="nil"/>
              <w:left w:val="nil"/>
              <w:bottom w:val="single" w:sz="8" w:space="0" w:color="auto"/>
              <w:right w:val="single" w:sz="8" w:space="0" w:color="auto"/>
            </w:tcBorders>
            <w:shd w:val="clear" w:color="000000" w:fill="FFFFFF"/>
            <w:vAlign w:val="center"/>
            <w:hideMark/>
          </w:tcPr>
          <w:p w14:paraId="5518FCA4" w14:textId="77777777" w:rsidR="00A86815" w:rsidRPr="00A86815" w:rsidRDefault="00A86815" w:rsidP="00A86815">
            <w:pPr>
              <w:rPr>
                <w:rFonts w:ascii="Calibri" w:eastAsia="Times New Roman" w:hAnsi="Calibri" w:cs="Times New Roman"/>
                <w:color w:val="000000"/>
                <w:szCs w:val="20"/>
              </w:rPr>
            </w:pPr>
            <w:r w:rsidRPr="00A86815">
              <w:rPr>
                <w:rFonts w:ascii="Calibri" w:eastAsia="Times New Roman" w:hAnsi="Calibri" w:cs="Times New Roman"/>
                <w:color w:val="000000"/>
                <w:szCs w:val="20"/>
              </w:rPr>
              <w:t> </w:t>
            </w:r>
          </w:p>
        </w:tc>
        <w:tc>
          <w:tcPr>
            <w:tcW w:w="1417" w:type="dxa"/>
            <w:gridSpan w:val="2"/>
            <w:tcBorders>
              <w:top w:val="nil"/>
              <w:left w:val="nil"/>
              <w:bottom w:val="single" w:sz="8" w:space="0" w:color="auto"/>
              <w:right w:val="single" w:sz="8" w:space="0" w:color="auto"/>
            </w:tcBorders>
            <w:shd w:val="clear" w:color="000000" w:fill="FFFFFF"/>
            <w:vAlign w:val="center"/>
            <w:hideMark/>
          </w:tcPr>
          <w:p w14:paraId="3AA0F18D" w14:textId="77777777" w:rsidR="00A86815" w:rsidRPr="00A86815" w:rsidRDefault="00A86815" w:rsidP="00A86815">
            <w:pPr>
              <w:rPr>
                <w:rFonts w:ascii="Calibri" w:eastAsia="Times New Roman" w:hAnsi="Calibri" w:cs="Times New Roman"/>
                <w:color w:val="000000"/>
                <w:szCs w:val="20"/>
              </w:rPr>
            </w:pPr>
            <w:r w:rsidRPr="00A86815">
              <w:rPr>
                <w:rFonts w:ascii="Calibri" w:eastAsia="Times New Roman" w:hAnsi="Calibri" w:cs="Times New Roman"/>
                <w:color w:val="000000"/>
                <w:szCs w:val="20"/>
              </w:rPr>
              <w:t> </w:t>
            </w:r>
          </w:p>
        </w:tc>
      </w:tr>
      <w:tr w:rsidR="00A86815" w:rsidRPr="00A86815" w14:paraId="41BE6EE9" w14:textId="77777777" w:rsidTr="00D16E63">
        <w:trPr>
          <w:trHeight w:val="620"/>
        </w:trPr>
        <w:tc>
          <w:tcPr>
            <w:tcW w:w="4560" w:type="dxa"/>
            <w:tcBorders>
              <w:top w:val="nil"/>
              <w:left w:val="single" w:sz="8" w:space="0" w:color="auto"/>
              <w:bottom w:val="single" w:sz="8" w:space="0" w:color="auto"/>
              <w:right w:val="single" w:sz="8" w:space="0" w:color="auto"/>
            </w:tcBorders>
            <w:shd w:val="clear" w:color="000000" w:fill="FFFFFF"/>
            <w:vAlign w:val="center"/>
            <w:hideMark/>
          </w:tcPr>
          <w:p w14:paraId="294FF25E" w14:textId="771DBB4D" w:rsidR="00A86815" w:rsidRPr="00A86815" w:rsidRDefault="00A86815" w:rsidP="00DA1AB4">
            <w:pPr>
              <w:jc w:val="left"/>
              <w:rPr>
                <w:rFonts w:ascii="Calibri" w:eastAsia="Times New Roman" w:hAnsi="Calibri" w:cs="Times New Roman"/>
                <w:color w:val="000000"/>
                <w:szCs w:val="20"/>
              </w:rPr>
            </w:pPr>
            <w:r w:rsidRPr="00A86815">
              <w:rPr>
                <w:rFonts w:ascii="Calibri" w:eastAsia="Times New Roman" w:hAnsi="Calibri" w:cs="Times New Roman"/>
                <w:color w:val="000000"/>
                <w:szCs w:val="20"/>
              </w:rPr>
              <w:t xml:space="preserve">R3 : Composition du Conseil : présence de membres indépendants </w:t>
            </w:r>
          </w:p>
        </w:tc>
        <w:tc>
          <w:tcPr>
            <w:tcW w:w="1300" w:type="dxa"/>
            <w:tcBorders>
              <w:top w:val="nil"/>
              <w:left w:val="nil"/>
              <w:bottom w:val="single" w:sz="8" w:space="0" w:color="auto"/>
              <w:right w:val="single" w:sz="8" w:space="0" w:color="auto"/>
            </w:tcBorders>
            <w:shd w:val="clear" w:color="000000" w:fill="FFFFFF"/>
            <w:vAlign w:val="center"/>
            <w:hideMark/>
          </w:tcPr>
          <w:p w14:paraId="7B11CD65" w14:textId="77777777" w:rsidR="00A86815" w:rsidRPr="00A86815" w:rsidRDefault="00A86815" w:rsidP="00A86815">
            <w:pPr>
              <w:jc w:val="center"/>
              <w:rPr>
                <w:rFonts w:ascii="Calibri" w:eastAsia="Times New Roman" w:hAnsi="Calibri" w:cs="Times New Roman"/>
                <w:color w:val="000000"/>
                <w:szCs w:val="20"/>
              </w:rPr>
            </w:pPr>
            <w:r w:rsidRPr="00A86815">
              <w:rPr>
                <w:rFonts w:ascii="Calibri" w:eastAsia="Times New Roman" w:hAnsi="Calibri" w:cs="Times New Roman"/>
                <w:color w:val="000000"/>
                <w:szCs w:val="20"/>
              </w:rPr>
              <w:t>X</w:t>
            </w:r>
          </w:p>
        </w:tc>
        <w:tc>
          <w:tcPr>
            <w:tcW w:w="1238" w:type="dxa"/>
            <w:tcBorders>
              <w:top w:val="nil"/>
              <w:left w:val="nil"/>
              <w:bottom w:val="single" w:sz="8" w:space="0" w:color="auto"/>
              <w:right w:val="single" w:sz="8" w:space="0" w:color="auto"/>
            </w:tcBorders>
            <w:shd w:val="clear" w:color="000000" w:fill="FFFFFF"/>
            <w:vAlign w:val="center"/>
            <w:hideMark/>
          </w:tcPr>
          <w:p w14:paraId="7501A64E" w14:textId="77777777" w:rsidR="00A86815" w:rsidRPr="00A86815" w:rsidRDefault="00A86815" w:rsidP="00A86815">
            <w:pPr>
              <w:jc w:val="center"/>
              <w:rPr>
                <w:rFonts w:ascii="Calibri" w:eastAsia="Times New Roman" w:hAnsi="Calibri" w:cs="Times New Roman"/>
                <w:color w:val="000000"/>
                <w:szCs w:val="20"/>
              </w:rPr>
            </w:pPr>
            <w:r w:rsidRPr="00A86815">
              <w:rPr>
                <w:rFonts w:ascii="Calibri" w:eastAsia="Times New Roman" w:hAnsi="Calibri" w:cs="Times New Roman"/>
                <w:color w:val="000000"/>
                <w:szCs w:val="20"/>
              </w:rPr>
              <w:t> </w:t>
            </w:r>
          </w:p>
        </w:tc>
        <w:tc>
          <w:tcPr>
            <w:tcW w:w="1134" w:type="dxa"/>
            <w:gridSpan w:val="2"/>
            <w:tcBorders>
              <w:top w:val="nil"/>
              <w:left w:val="nil"/>
              <w:bottom w:val="single" w:sz="8" w:space="0" w:color="auto"/>
              <w:right w:val="single" w:sz="8" w:space="0" w:color="auto"/>
            </w:tcBorders>
            <w:shd w:val="clear" w:color="000000" w:fill="FFFFFF"/>
            <w:vAlign w:val="center"/>
            <w:hideMark/>
          </w:tcPr>
          <w:p w14:paraId="5B560009" w14:textId="77777777" w:rsidR="00A86815" w:rsidRPr="00A86815" w:rsidRDefault="00A86815" w:rsidP="00A86815">
            <w:pPr>
              <w:rPr>
                <w:rFonts w:ascii="Calibri" w:eastAsia="Times New Roman" w:hAnsi="Calibri" w:cs="Times New Roman"/>
                <w:color w:val="000000"/>
                <w:szCs w:val="20"/>
              </w:rPr>
            </w:pPr>
            <w:r w:rsidRPr="00A86815">
              <w:rPr>
                <w:rFonts w:ascii="Calibri" w:eastAsia="Times New Roman" w:hAnsi="Calibri" w:cs="Times New Roman"/>
                <w:color w:val="000000"/>
                <w:szCs w:val="20"/>
              </w:rPr>
              <w:t> </w:t>
            </w:r>
          </w:p>
        </w:tc>
        <w:tc>
          <w:tcPr>
            <w:tcW w:w="1417" w:type="dxa"/>
            <w:gridSpan w:val="2"/>
            <w:tcBorders>
              <w:top w:val="nil"/>
              <w:left w:val="nil"/>
              <w:bottom w:val="single" w:sz="8" w:space="0" w:color="auto"/>
              <w:right w:val="single" w:sz="8" w:space="0" w:color="auto"/>
            </w:tcBorders>
            <w:shd w:val="clear" w:color="000000" w:fill="FFFFFF"/>
            <w:vAlign w:val="center"/>
            <w:hideMark/>
          </w:tcPr>
          <w:p w14:paraId="0D4C434C" w14:textId="77777777" w:rsidR="00A86815" w:rsidRPr="00A86815" w:rsidRDefault="00A86815" w:rsidP="00A86815">
            <w:pPr>
              <w:rPr>
                <w:rFonts w:ascii="Calibri" w:eastAsia="Times New Roman" w:hAnsi="Calibri" w:cs="Times New Roman"/>
                <w:color w:val="000000"/>
                <w:szCs w:val="20"/>
              </w:rPr>
            </w:pPr>
            <w:r w:rsidRPr="00A86815">
              <w:rPr>
                <w:rFonts w:ascii="Calibri" w:eastAsia="Times New Roman" w:hAnsi="Calibri" w:cs="Times New Roman"/>
                <w:color w:val="000000"/>
                <w:szCs w:val="20"/>
              </w:rPr>
              <w:t> </w:t>
            </w:r>
          </w:p>
        </w:tc>
      </w:tr>
      <w:tr w:rsidR="00A86815" w:rsidRPr="00A86815" w14:paraId="542FEA18" w14:textId="77777777" w:rsidTr="00D16E63">
        <w:trPr>
          <w:trHeight w:val="320"/>
        </w:trPr>
        <w:tc>
          <w:tcPr>
            <w:tcW w:w="4560" w:type="dxa"/>
            <w:tcBorders>
              <w:top w:val="nil"/>
              <w:left w:val="single" w:sz="8" w:space="0" w:color="auto"/>
              <w:bottom w:val="single" w:sz="8" w:space="0" w:color="auto"/>
              <w:right w:val="single" w:sz="8" w:space="0" w:color="auto"/>
            </w:tcBorders>
            <w:shd w:val="clear" w:color="000000" w:fill="FFFFFF"/>
            <w:vAlign w:val="center"/>
            <w:hideMark/>
          </w:tcPr>
          <w:p w14:paraId="41B1B23E" w14:textId="77777777" w:rsidR="00A86815" w:rsidRPr="00A86815" w:rsidRDefault="00A86815" w:rsidP="00A86815">
            <w:pPr>
              <w:jc w:val="left"/>
              <w:rPr>
                <w:rFonts w:ascii="Calibri" w:eastAsia="Times New Roman" w:hAnsi="Calibri" w:cs="Times New Roman"/>
                <w:color w:val="000000"/>
                <w:szCs w:val="20"/>
              </w:rPr>
            </w:pPr>
            <w:r w:rsidRPr="00A86815">
              <w:rPr>
                <w:rFonts w:ascii="Calibri" w:eastAsia="Times New Roman" w:hAnsi="Calibri" w:cs="Times New Roman"/>
                <w:color w:val="000000"/>
                <w:szCs w:val="20"/>
              </w:rPr>
              <w:t>R4 : Information des membres du Conseil</w:t>
            </w:r>
          </w:p>
        </w:tc>
        <w:tc>
          <w:tcPr>
            <w:tcW w:w="1300" w:type="dxa"/>
            <w:tcBorders>
              <w:top w:val="nil"/>
              <w:left w:val="nil"/>
              <w:bottom w:val="single" w:sz="8" w:space="0" w:color="auto"/>
              <w:right w:val="single" w:sz="8" w:space="0" w:color="auto"/>
            </w:tcBorders>
            <w:shd w:val="clear" w:color="000000" w:fill="FFFFFF"/>
            <w:vAlign w:val="center"/>
            <w:hideMark/>
          </w:tcPr>
          <w:p w14:paraId="590FC6F1" w14:textId="77777777" w:rsidR="00A86815" w:rsidRPr="00A86815" w:rsidRDefault="00A86815" w:rsidP="00A86815">
            <w:pPr>
              <w:jc w:val="center"/>
              <w:rPr>
                <w:rFonts w:ascii="Calibri" w:eastAsia="Times New Roman" w:hAnsi="Calibri" w:cs="Times New Roman"/>
                <w:color w:val="000000"/>
                <w:szCs w:val="20"/>
              </w:rPr>
            </w:pPr>
            <w:r w:rsidRPr="00A86815">
              <w:rPr>
                <w:rFonts w:ascii="Calibri" w:eastAsia="Times New Roman" w:hAnsi="Calibri" w:cs="Times New Roman"/>
                <w:color w:val="000000"/>
                <w:szCs w:val="20"/>
              </w:rPr>
              <w:t>X</w:t>
            </w:r>
          </w:p>
        </w:tc>
        <w:tc>
          <w:tcPr>
            <w:tcW w:w="1238" w:type="dxa"/>
            <w:tcBorders>
              <w:top w:val="nil"/>
              <w:left w:val="nil"/>
              <w:bottom w:val="single" w:sz="8" w:space="0" w:color="auto"/>
              <w:right w:val="single" w:sz="8" w:space="0" w:color="auto"/>
            </w:tcBorders>
            <w:shd w:val="clear" w:color="000000" w:fill="FFFFFF"/>
            <w:vAlign w:val="center"/>
            <w:hideMark/>
          </w:tcPr>
          <w:p w14:paraId="4D500443" w14:textId="77777777" w:rsidR="00A86815" w:rsidRPr="00A86815" w:rsidRDefault="00A86815" w:rsidP="00A86815">
            <w:pPr>
              <w:jc w:val="center"/>
              <w:rPr>
                <w:rFonts w:ascii="Calibri" w:eastAsia="Times New Roman" w:hAnsi="Calibri" w:cs="Times New Roman"/>
                <w:color w:val="000000"/>
                <w:szCs w:val="20"/>
              </w:rPr>
            </w:pPr>
            <w:r w:rsidRPr="00A86815">
              <w:rPr>
                <w:rFonts w:ascii="Calibri" w:eastAsia="Times New Roman" w:hAnsi="Calibri" w:cs="Times New Roman"/>
                <w:color w:val="000000"/>
                <w:szCs w:val="20"/>
              </w:rPr>
              <w:t> </w:t>
            </w:r>
          </w:p>
        </w:tc>
        <w:tc>
          <w:tcPr>
            <w:tcW w:w="1134" w:type="dxa"/>
            <w:gridSpan w:val="2"/>
            <w:tcBorders>
              <w:top w:val="nil"/>
              <w:left w:val="nil"/>
              <w:bottom w:val="single" w:sz="8" w:space="0" w:color="auto"/>
              <w:right w:val="single" w:sz="8" w:space="0" w:color="auto"/>
            </w:tcBorders>
            <w:shd w:val="clear" w:color="000000" w:fill="FFFFFF"/>
            <w:vAlign w:val="center"/>
            <w:hideMark/>
          </w:tcPr>
          <w:p w14:paraId="11C049B9" w14:textId="77777777" w:rsidR="00A86815" w:rsidRPr="00A86815" w:rsidRDefault="00A86815" w:rsidP="00A86815">
            <w:pPr>
              <w:jc w:val="center"/>
              <w:rPr>
                <w:rFonts w:ascii="Calibri" w:eastAsia="Times New Roman" w:hAnsi="Calibri" w:cs="Times New Roman"/>
                <w:color w:val="000000"/>
                <w:szCs w:val="20"/>
              </w:rPr>
            </w:pPr>
            <w:r w:rsidRPr="00A86815">
              <w:rPr>
                <w:rFonts w:ascii="Calibri" w:eastAsia="Times New Roman" w:hAnsi="Calibri" w:cs="Times New Roman"/>
                <w:color w:val="000000"/>
                <w:szCs w:val="20"/>
              </w:rPr>
              <w:t> </w:t>
            </w:r>
          </w:p>
        </w:tc>
        <w:tc>
          <w:tcPr>
            <w:tcW w:w="1417" w:type="dxa"/>
            <w:gridSpan w:val="2"/>
            <w:tcBorders>
              <w:top w:val="nil"/>
              <w:left w:val="nil"/>
              <w:bottom w:val="single" w:sz="8" w:space="0" w:color="auto"/>
              <w:right w:val="single" w:sz="8" w:space="0" w:color="auto"/>
            </w:tcBorders>
            <w:shd w:val="clear" w:color="000000" w:fill="FFFFFF"/>
            <w:vAlign w:val="center"/>
            <w:hideMark/>
          </w:tcPr>
          <w:p w14:paraId="18D8E758" w14:textId="77777777" w:rsidR="00A86815" w:rsidRPr="00A86815" w:rsidRDefault="00A86815" w:rsidP="00A86815">
            <w:pPr>
              <w:rPr>
                <w:rFonts w:ascii="Calibri" w:eastAsia="Times New Roman" w:hAnsi="Calibri" w:cs="Times New Roman"/>
                <w:color w:val="000000"/>
                <w:szCs w:val="20"/>
              </w:rPr>
            </w:pPr>
            <w:r w:rsidRPr="00A86815">
              <w:rPr>
                <w:rFonts w:ascii="Calibri" w:eastAsia="Times New Roman" w:hAnsi="Calibri" w:cs="Times New Roman"/>
                <w:color w:val="000000"/>
                <w:szCs w:val="20"/>
              </w:rPr>
              <w:t> </w:t>
            </w:r>
          </w:p>
        </w:tc>
      </w:tr>
      <w:tr w:rsidR="00A86815" w:rsidRPr="00A86815" w14:paraId="2CA43444" w14:textId="77777777" w:rsidTr="00D16E63">
        <w:trPr>
          <w:trHeight w:val="580"/>
        </w:trPr>
        <w:tc>
          <w:tcPr>
            <w:tcW w:w="4560" w:type="dxa"/>
            <w:tcBorders>
              <w:top w:val="nil"/>
              <w:left w:val="single" w:sz="8" w:space="0" w:color="auto"/>
              <w:bottom w:val="single" w:sz="8" w:space="0" w:color="auto"/>
              <w:right w:val="single" w:sz="8" w:space="0" w:color="auto"/>
            </w:tcBorders>
            <w:shd w:val="clear" w:color="000000" w:fill="FFFFFF"/>
            <w:vAlign w:val="center"/>
            <w:hideMark/>
          </w:tcPr>
          <w:p w14:paraId="4D346D5D" w14:textId="77777777" w:rsidR="00A86815" w:rsidRPr="00A86815" w:rsidRDefault="00A86815" w:rsidP="00A86815">
            <w:pPr>
              <w:jc w:val="left"/>
              <w:rPr>
                <w:rFonts w:ascii="Calibri" w:eastAsia="Times New Roman" w:hAnsi="Calibri" w:cs="Times New Roman"/>
                <w:color w:val="000000"/>
                <w:szCs w:val="20"/>
              </w:rPr>
            </w:pPr>
            <w:r w:rsidRPr="00A86815">
              <w:rPr>
                <w:rFonts w:ascii="Calibri" w:eastAsia="Times New Roman" w:hAnsi="Calibri" w:cs="Times New Roman"/>
                <w:color w:val="000000"/>
                <w:szCs w:val="20"/>
              </w:rPr>
              <w:t>R5 : Organisation des réunions du Conseil et des Comités</w:t>
            </w:r>
          </w:p>
        </w:tc>
        <w:tc>
          <w:tcPr>
            <w:tcW w:w="1300" w:type="dxa"/>
            <w:tcBorders>
              <w:top w:val="nil"/>
              <w:left w:val="nil"/>
              <w:bottom w:val="single" w:sz="8" w:space="0" w:color="auto"/>
              <w:right w:val="single" w:sz="8" w:space="0" w:color="auto"/>
            </w:tcBorders>
            <w:shd w:val="clear" w:color="000000" w:fill="FFFFFF"/>
            <w:vAlign w:val="center"/>
            <w:hideMark/>
          </w:tcPr>
          <w:p w14:paraId="6F547009" w14:textId="77777777" w:rsidR="00A86815" w:rsidRPr="00A86815" w:rsidRDefault="00A86815" w:rsidP="00A86815">
            <w:pPr>
              <w:jc w:val="center"/>
              <w:rPr>
                <w:rFonts w:ascii="Calibri" w:eastAsia="Times New Roman" w:hAnsi="Calibri" w:cs="Times New Roman"/>
                <w:color w:val="000000"/>
                <w:szCs w:val="20"/>
              </w:rPr>
            </w:pPr>
            <w:r w:rsidRPr="00A86815">
              <w:rPr>
                <w:rFonts w:ascii="Calibri" w:eastAsia="Times New Roman" w:hAnsi="Calibri" w:cs="Times New Roman"/>
                <w:color w:val="000000"/>
                <w:szCs w:val="20"/>
              </w:rPr>
              <w:t>X</w:t>
            </w:r>
          </w:p>
        </w:tc>
        <w:tc>
          <w:tcPr>
            <w:tcW w:w="1238" w:type="dxa"/>
            <w:tcBorders>
              <w:top w:val="nil"/>
              <w:left w:val="nil"/>
              <w:bottom w:val="single" w:sz="8" w:space="0" w:color="auto"/>
              <w:right w:val="single" w:sz="8" w:space="0" w:color="auto"/>
            </w:tcBorders>
            <w:shd w:val="clear" w:color="000000" w:fill="FFFFFF"/>
            <w:vAlign w:val="center"/>
            <w:hideMark/>
          </w:tcPr>
          <w:p w14:paraId="155AEEA7" w14:textId="77777777" w:rsidR="00A86815" w:rsidRPr="00A86815" w:rsidRDefault="00A86815" w:rsidP="00A86815">
            <w:pPr>
              <w:jc w:val="center"/>
              <w:rPr>
                <w:rFonts w:ascii="Calibri" w:eastAsia="Times New Roman" w:hAnsi="Calibri" w:cs="Times New Roman"/>
                <w:color w:val="000000"/>
                <w:szCs w:val="20"/>
              </w:rPr>
            </w:pPr>
            <w:r w:rsidRPr="00A86815">
              <w:rPr>
                <w:rFonts w:ascii="Calibri" w:eastAsia="Times New Roman" w:hAnsi="Calibri" w:cs="Times New Roman"/>
                <w:color w:val="000000"/>
                <w:szCs w:val="20"/>
              </w:rPr>
              <w:t> </w:t>
            </w:r>
          </w:p>
        </w:tc>
        <w:tc>
          <w:tcPr>
            <w:tcW w:w="1134" w:type="dxa"/>
            <w:gridSpan w:val="2"/>
            <w:tcBorders>
              <w:top w:val="nil"/>
              <w:left w:val="nil"/>
              <w:bottom w:val="single" w:sz="8" w:space="0" w:color="auto"/>
              <w:right w:val="single" w:sz="8" w:space="0" w:color="auto"/>
            </w:tcBorders>
            <w:shd w:val="clear" w:color="000000" w:fill="FFFFFF"/>
            <w:vAlign w:val="center"/>
            <w:hideMark/>
          </w:tcPr>
          <w:p w14:paraId="5C822700" w14:textId="77777777" w:rsidR="00A86815" w:rsidRPr="00A86815" w:rsidRDefault="00A86815" w:rsidP="00A86815">
            <w:pPr>
              <w:jc w:val="center"/>
              <w:rPr>
                <w:rFonts w:ascii="Calibri" w:eastAsia="Times New Roman" w:hAnsi="Calibri" w:cs="Times New Roman"/>
                <w:color w:val="000000"/>
                <w:szCs w:val="20"/>
              </w:rPr>
            </w:pPr>
            <w:r w:rsidRPr="00A86815">
              <w:rPr>
                <w:rFonts w:ascii="Calibri" w:eastAsia="Times New Roman" w:hAnsi="Calibri" w:cs="Times New Roman"/>
                <w:color w:val="000000"/>
                <w:szCs w:val="20"/>
              </w:rPr>
              <w:t> </w:t>
            </w:r>
          </w:p>
        </w:tc>
        <w:tc>
          <w:tcPr>
            <w:tcW w:w="1417" w:type="dxa"/>
            <w:gridSpan w:val="2"/>
            <w:tcBorders>
              <w:top w:val="nil"/>
              <w:left w:val="nil"/>
              <w:bottom w:val="single" w:sz="8" w:space="0" w:color="auto"/>
              <w:right w:val="single" w:sz="8" w:space="0" w:color="auto"/>
            </w:tcBorders>
            <w:shd w:val="clear" w:color="000000" w:fill="FFFFFF"/>
            <w:vAlign w:val="center"/>
            <w:hideMark/>
          </w:tcPr>
          <w:p w14:paraId="081F1CE5" w14:textId="77777777" w:rsidR="00A86815" w:rsidRPr="00A86815" w:rsidRDefault="00A86815" w:rsidP="00A86815">
            <w:pPr>
              <w:rPr>
                <w:rFonts w:ascii="Calibri" w:eastAsia="Times New Roman" w:hAnsi="Calibri" w:cs="Times New Roman"/>
                <w:color w:val="000000"/>
                <w:szCs w:val="20"/>
              </w:rPr>
            </w:pPr>
            <w:r w:rsidRPr="00A86815">
              <w:rPr>
                <w:rFonts w:ascii="Calibri" w:eastAsia="Times New Roman" w:hAnsi="Calibri" w:cs="Times New Roman"/>
                <w:color w:val="000000"/>
                <w:szCs w:val="20"/>
              </w:rPr>
              <w:t> </w:t>
            </w:r>
          </w:p>
        </w:tc>
      </w:tr>
      <w:tr w:rsidR="00A86815" w:rsidRPr="00A86815" w14:paraId="1021C05D" w14:textId="77777777" w:rsidTr="00D16E63">
        <w:trPr>
          <w:trHeight w:val="340"/>
        </w:trPr>
        <w:tc>
          <w:tcPr>
            <w:tcW w:w="4560" w:type="dxa"/>
            <w:tcBorders>
              <w:top w:val="nil"/>
              <w:left w:val="single" w:sz="8" w:space="0" w:color="auto"/>
              <w:bottom w:val="single" w:sz="8" w:space="0" w:color="auto"/>
              <w:right w:val="single" w:sz="8" w:space="0" w:color="auto"/>
            </w:tcBorders>
            <w:shd w:val="clear" w:color="000000" w:fill="FFFFFF"/>
            <w:vAlign w:val="center"/>
            <w:hideMark/>
          </w:tcPr>
          <w:p w14:paraId="3275DB96" w14:textId="77777777" w:rsidR="00A86815" w:rsidRPr="00A86815" w:rsidRDefault="00A86815" w:rsidP="00A86815">
            <w:pPr>
              <w:jc w:val="left"/>
              <w:rPr>
                <w:rFonts w:ascii="Calibri" w:eastAsia="Times New Roman" w:hAnsi="Calibri" w:cs="Times New Roman"/>
                <w:color w:val="000000"/>
                <w:szCs w:val="20"/>
              </w:rPr>
            </w:pPr>
            <w:r w:rsidRPr="00A86815">
              <w:rPr>
                <w:rFonts w:ascii="Calibri" w:eastAsia="Times New Roman" w:hAnsi="Calibri" w:cs="Times New Roman"/>
                <w:color w:val="000000"/>
                <w:szCs w:val="20"/>
              </w:rPr>
              <w:t>R6 : Mise en place de Comités</w:t>
            </w:r>
          </w:p>
        </w:tc>
        <w:tc>
          <w:tcPr>
            <w:tcW w:w="1300" w:type="dxa"/>
            <w:tcBorders>
              <w:top w:val="nil"/>
              <w:left w:val="nil"/>
              <w:bottom w:val="single" w:sz="8" w:space="0" w:color="auto"/>
              <w:right w:val="single" w:sz="8" w:space="0" w:color="auto"/>
            </w:tcBorders>
            <w:shd w:val="clear" w:color="000000" w:fill="FFFFFF"/>
            <w:vAlign w:val="center"/>
            <w:hideMark/>
          </w:tcPr>
          <w:p w14:paraId="6E75DCE3" w14:textId="77777777" w:rsidR="00A86815" w:rsidRPr="00A86815" w:rsidRDefault="00A86815" w:rsidP="00A86815">
            <w:pPr>
              <w:rPr>
                <w:rFonts w:ascii="Calibri" w:eastAsia="Times New Roman" w:hAnsi="Calibri" w:cs="Times New Roman"/>
                <w:color w:val="000000"/>
                <w:szCs w:val="20"/>
              </w:rPr>
            </w:pPr>
            <w:r w:rsidRPr="00A86815">
              <w:rPr>
                <w:rFonts w:ascii="Calibri" w:eastAsia="Times New Roman" w:hAnsi="Calibri" w:cs="Times New Roman"/>
                <w:color w:val="000000"/>
                <w:szCs w:val="20"/>
              </w:rPr>
              <w:t> </w:t>
            </w:r>
          </w:p>
        </w:tc>
        <w:tc>
          <w:tcPr>
            <w:tcW w:w="1238" w:type="dxa"/>
            <w:tcBorders>
              <w:top w:val="nil"/>
              <w:left w:val="nil"/>
              <w:bottom w:val="single" w:sz="8" w:space="0" w:color="auto"/>
              <w:right w:val="single" w:sz="8" w:space="0" w:color="auto"/>
            </w:tcBorders>
            <w:shd w:val="clear" w:color="000000" w:fill="FFFFFF"/>
            <w:vAlign w:val="center"/>
            <w:hideMark/>
          </w:tcPr>
          <w:p w14:paraId="3AA7D0AC" w14:textId="77777777" w:rsidR="00A86815" w:rsidRPr="00A86815" w:rsidRDefault="00A86815" w:rsidP="00A86815">
            <w:pPr>
              <w:jc w:val="center"/>
              <w:rPr>
                <w:rFonts w:ascii="Calibri" w:eastAsia="Times New Roman" w:hAnsi="Calibri" w:cs="Times New Roman"/>
                <w:color w:val="000000"/>
                <w:szCs w:val="20"/>
              </w:rPr>
            </w:pPr>
            <w:r w:rsidRPr="00A86815">
              <w:rPr>
                <w:rFonts w:ascii="Calibri" w:eastAsia="Times New Roman" w:hAnsi="Calibri" w:cs="Times New Roman"/>
                <w:color w:val="000000"/>
                <w:szCs w:val="20"/>
              </w:rPr>
              <w:t> </w:t>
            </w:r>
          </w:p>
        </w:tc>
        <w:tc>
          <w:tcPr>
            <w:tcW w:w="1134" w:type="dxa"/>
            <w:gridSpan w:val="2"/>
            <w:tcBorders>
              <w:top w:val="nil"/>
              <w:left w:val="nil"/>
              <w:bottom w:val="single" w:sz="8" w:space="0" w:color="auto"/>
              <w:right w:val="single" w:sz="8" w:space="0" w:color="auto"/>
            </w:tcBorders>
            <w:shd w:val="clear" w:color="000000" w:fill="FFFFFF"/>
            <w:vAlign w:val="center"/>
            <w:hideMark/>
          </w:tcPr>
          <w:p w14:paraId="52FD3904" w14:textId="77777777" w:rsidR="00A86815" w:rsidRPr="00A86815" w:rsidRDefault="00A86815" w:rsidP="00A86815">
            <w:pPr>
              <w:jc w:val="center"/>
              <w:rPr>
                <w:rFonts w:ascii="Calibri" w:eastAsia="Times New Roman" w:hAnsi="Calibri" w:cs="Times New Roman"/>
                <w:color w:val="000000"/>
                <w:szCs w:val="20"/>
              </w:rPr>
            </w:pPr>
            <w:r w:rsidRPr="00A86815">
              <w:rPr>
                <w:rFonts w:ascii="Calibri" w:eastAsia="Times New Roman" w:hAnsi="Calibri" w:cs="Times New Roman"/>
                <w:color w:val="000000"/>
                <w:szCs w:val="20"/>
              </w:rPr>
              <w:t> </w:t>
            </w:r>
          </w:p>
        </w:tc>
        <w:tc>
          <w:tcPr>
            <w:tcW w:w="1417" w:type="dxa"/>
            <w:gridSpan w:val="2"/>
            <w:tcBorders>
              <w:top w:val="nil"/>
              <w:left w:val="nil"/>
              <w:bottom w:val="single" w:sz="8" w:space="0" w:color="auto"/>
              <w:right w:val="single" w:sz="8" w:space="0" w:color="auto"/>
            </w:tcBorders>
            <w:shd w:val="clear" w:color="000000" w:fill="FFFFFF"/>
            <w:vAlign w:val="center"/>
            <w:hideMark/>
          </w:tcPr>
          <w:p w14:paraId="578122D2" w14:textId="14E95038" w:rsidR="00A86815" w:rsidRPr="00A86815" w:rsidRDefault="00A86815" w:rsidP="00DA1AB4">
            <w:pPr>
              <w:jc w:val="center"/>
              <w:rPr>
                <w:rFonts w:ascii="Calibri" w:eastAsia="Times New Roman" w:hAnsi="Calibri" w:cs="Times New Roman"/>
                <w:color w:val="000000"/>
                <w:szCs w:val="20"/>
              </w:rPr>
            </w:pPr>
            <w:r w:rsidRPr="00A86815">
              <w:rPr>
                <w:rFonts w:ascii="Calibri" w:eastAsia="Times New Roman" w:hAnsi="Calibri" w:cs="Times New Roman"/>
                <w:color w:val="000000"/>
                <w:szCs w:val="20"/>
              </w:rPr>
              <w:t xml:space="preserve">X </w:t>
            </w:r>
            <w:r w:rsidRPr="00A86815">
              <w:rPr>
                <w:rFonts w:ascii="Calibri" w:eastAsia="Times New Roman" w:hAnsi="Calibri" w:cs="Times New Roman"/>
                <w:b/>
                <w:bCs/>
                <w:color w:val="000000"/>
                <w:szCs w:val="20"/>
                <w:vertAlign w:val="superscript"/>
              </w:rPr>
              <w:t>(</w:t>
            </w:r>
            <w:r w:rsidR="00DA1AB4">
              <w:rPr>
                <w:rFonts w:ascii="Calibri" w:eastAsia="Times New Roman" w:hAnsi="Calibri" w:cs="Times New Roman"/>
                <w:b/>
                <w:bCs/>
                <w:color w:val="000000"/>
                <w:szCs w:val="20"/>
                <w:vertAlign w:val="superscript"/>
              </w:rPr>
              <w:t>1</w:t>
            </w:r>
            <w:r w:rsidRPr="00A86815">
              <w:rPr>
                <w:rFonts w:ascii="Calibri" w:eastAsia="Times New Roman" w:hAnsi="Calibri" w:cs="Times New Roman"/>
                <w:b/>
                <w:bCs/>
                <w:color w:val="000000"/>
                <w:szCs w:val="20"/>
                <w:vertAlign w:val="superscript"/>
              </w:rPr>
              <w:t>)</w:t>
            </w:r>
          </w:p>
        </w:tc>
      </w:tr>
      <w:tr w:rsidR="00A86815" w:rsidRPr="00A86815" w14:paraId="274BA161" w14:textId="77777777" w:rsidTr="00D16E63">
        <w:trPr>
          <w:trHeight w:val="396"/>
        </w:trPr>
        <w:tc>
          <w:tcPr>
            <w:tcW w:w="4560" w:type="dxa"/>
            <w:tcBorders>
              <w:top w:val="nil"/>
              <w:left w:val="single" w:sz="8" w:space="0" w:color="auto"/>
              <w:bottom w:val="single" w:sz="8" w:space="0" w:color="auto"/>
              <w:right w:val="single" w:sz="8" w:space="0" w:color="auto"/>
            </w:tcBorders>
            <w:shd w:val="clear" w:color="000000" w:fill="FFFFFF"/>
            <w:vAlign w:val="center"/>
            <w:hideMark/>
          </w:tcPr>
          <w:p w14:paraId="79DD5CBD" w14:textId="77777777" w:rsidR="00A86815" w:rsidRPr="00A86815" w:rsidRDefault="00A86815" w:rsidP="00A86815">
            <w:pPr>
              <w:jc w:val="left"/>
              <w:rPr>
                <w:rFonts w:ascii="Calibri" w:eastAsia="Times New Roman" w:hAnsi="Calibri" w:cs="Times New Roman"/>
                <w:color w:val="000000"/>
                <w:szCs w:val="20"/>
              </w:rPr>
            </w:pPr>
            <w:r w:rsidRPr="00A86815">
              <w:rPr>
                <w:rFonts w:ascii="Calibri" w:eastAsia="Times New Roman" w:hAnsi="Calibri" w:cs="Times New Roman"/>
                <w:color w:val="000000"/>
                <w:szCs w:val="20"/>
              </w:rPr>
              <w:t>R7 : Mise en place d’un règlement intérieur du Conseil</w:t>
            </w:r>
          </w:p>
        </w:tc>
        <w:tc>
          <w:tcPr>
            <w:tcW w:w="1300" w:type="dxa"/>
            <w:tcBorders>
              <w:top w:val="nil"/>
              <w:left w:val="nil"/>
              <w:bottom w:val="single" w:sz="8" w:space="0" w:color="auto"/>
              <w:right w:val="single" w:sz="8" w:space="0" w:color="auto"/>
            </w:tcBorders>
            <w:shd w:val="clear" w:color="000000" w:fill="FFFFFF"/>
            <w:vAlign w:val="center"/>
            <w:hideMark/>
          </w:tcPr>
          <w:p w14:paraId="3C3BBE43" w14:textId="77777777" w:rsidR="00A86815" w:rsidRPr="00A86815" w:rsidRDefault="00A86815" w:rsidP="00A86815">
            <w:pPr>
              <w:jc w:val="center"/>
              <w:rPr>
                <w:rFonts w:ascii="Calibri" w:eastAsia="Times New Roman" w:hAnsi="Calibri" w:cs="Times New Roman"/>
                <w:color w:val="000000"/>
                <w:szCs w:val="20"/>
              </w:rPr>
            </w:pPr>
            <w:r w:rsidRPr="00A86815">
              <w:rPr>
                <w:rFonts w:ascii="Calibri" w:eastAsia="Times New Roman" w:hAnsi="Calibri" w:cs="Times New Roman"/>
                <w:color w:val="000000"/>
                <w:szCs w:val="20"/>
              </w:rPr>
              <w:t>X</w:t>
            </w:r>
          </w:p>
        </w:tc>
        <w:tc>
          <w:tcPr>
            <w:tcW w:w="1238" w:type="dxa"/>
            <w:tcBorders>
              <w:top w:val="nil"/>
              <w:left w:val="nil"/>
              <w:bottom w:val="single" w:sz="8" w:space="0" w:color="auto"/>
              <w:right w:val="single" w:sz="8" w:space="0" w:color="auto"/>
            </w:tcBorders>
            <w:shd w:val="clear" w:color="000000" w:fill="FFFFFF"/>
            <w:vAlign w:val="center"/>
            <w:hideMark/>
          </w:tcPr>
          <w:p w14:paraId="5AFEF711" w14:textId="77777777" w:rsidR="00A86815" w:rsidRPr="00A86815" w:rsidRDefault="00A86815" w:rsidP="00A86815">
            <w:pPr>
              <w:jc w:val="center"/>
              <w:rPr>
                <w:rFonts w:ascii="Calibri" w:eastAsia="Times New Roman" w:hAnsi="Calibri" w:cs="Times New Roman"/>
                <w:color w:val="000000"/>
                <w:szCs w:val="20"/>
              </w:rPr>
            </w:pPr>
            <w:r w:rsidRPr="00A86815">
              <w:rPr>
                <w:rFonts w:ascii="Calibri" w:eastAsia="Times New Roman" w:hAnsi="Calibri" w:cs="Times New Roman"/>
                <w:color w:val="000000"/>
                <w:szCs w:val="20"/>
              </w:rPr>
              <w:t> </w:t>
            </w:r>
          </w:p>
        </w:tc>
        <w:tc>
          <w:tcPr>
            <w:tcW w:w="1134" w:type="dxa"/>
            <w:gridSpan w:val="2"/>
            <w:tcBorders>
              <w:top w:val="nil"/>
              <w:left w:val="nil"/>
              <w:bottom w:val="single" w:sz="8" w:space="0" w:color="auto"/>
              <w:right w:val="single" w:sz="8" w:space="0" w:color="auto"/>
            </w:tcBorders>
            <w:shd w:val="clear" w:color="000000" w:fill="FFFFFF"/>
            <w:vAlign w:val="center"/>
            <w:hideMark/>
          </w:tcPr>
          <w:p w14:paraId="02592225" w14:textId="77777777" w:rsidR="00A86815" w:rsidRPr="00A86815" w:rsidRDefault="00A86815" w:rsidP="00A86815">
            <w:pPr>
              <w:rPr>
                <w:rFonts w:ascii="Calibri" w:eastAsia="Times New Roman" w:hAnsi="Calibri" w:cs="Times New Roman"/>
                <w:color w:val="000000"/>
                <w:szCs w:val="20"/>
              </w:rPr>
            </w:pPr>
            <w:r w:rsidRPr="00A86815">
              <w:rPr>
                <w:rFonts w:ascii="Calibri" w:eastAsia="Times New Roman" w:hAnsi="Calibri" w:cs="Times New Roman"/>
                <w:color w:val="000000"/>
                <w:szCs w:val="20"/>
              </w:rPr>
              <w:t> </w:t>
            </w:r>
          </w:p>
        </w:tc>
        <w:tc>
          <w:tcPr>
            <w:tcW w:w="1417" w:type="dxa"/>
            <w:gridSpan w:val="2"/>
            <w:tcBorders>
              <w:top w:val="nil"/>
              <w:left w:val="nil"/>
              <w:bottom w:val="single" w:sz="8" w:space="0" w:color="auto"/>
              <w:right w:val="single" w:sz="8" w:space="0" w:color="auto"/>
            </w:tcBorders>
            <w:shd w:val="clear" w:color="000000" w:fill="FFFFFF"/>
            <w:vAlign w:val="center"/>
            <w:hideMark/>
          </w:tcPr>
          <w:p w14:paraId="307F8630" w14:textId="77777777" w:rsidR="00A86815" w:rsidRPr="00A86815" w:rsidRDefault="00A86815" w:rsidP="00A86815">
            <w:pPr>
              <w:rPr>
                <w:rFonts w:ascii="Calibri" w:eastAsia="Times New Roman" w:hAnsi="Calibri" w:cs="Times New Roman"/>
                <w:color w:val="000000"/>
                <w:szCs w:val="20"/>
              </w:rPr>
            </w:pPr>
            <w:r w:rsidRPr="00A86815">
              <w:rPr>
                <w:rFonts w:ascii="Calibri" w:eastAsia="Times New Roman" w:hAnsi="Calibri" w:cs="Times New Roman"/>
                <w:color w:val="000000"/>
                <w:szCs w:val="20"/>
              </w:rPr>
              <w:t> </w:t>
            </w:r>
          </w:p>
        </w:tc>
      </w:tr>
      <w:tr w:rsidR="00A86815" w:rsidRPr="00A86815" w14:paraId="526E7B0E" w14:textId="77777777" w:rsidTr="00D16E63">
        <w:trPr>
          <w:trHeight w:val="320"/>
        </w:trPr>
        <w:tc>
          <w:tcPr>
            <w:tcW w:w="4560" w:type="dxa"/>
            <w:tcBorders>
              <w:top w:val="nil"/>
              <w:left w:val="single" w:sz="8" w:space="0" w:color="auto"/>
              <w:bottom w:val="single" w:sz="8" w:space="0" w:color="auto"/>
              <w:right w:val="single" w:sz="8" w:space="0" w:color="auto"/>
            </w:tcBorders>
            <w:shd w:val="clear" w:color="000000" w:fill="FFFFFF"/>
            <w:vAlign w:val="center"/>
            <w:hideMark/>
          </w:tcPr>
          <w:p w14:paraId="1B7ACABA" w14:textId="77777777" w:rsidR="00A86815" w:rsidRPr="00A86815" w:rsidRDefault="00A86815" w:rsidP="00A86815">
            <w:pPr>
              <w:jc w:val="left"/>
              <w:rPr>
                <w:rFonts w:ascii="Calibri" w:eastAsia="Times New Roman" w:hAnsi="Calibri" w:cs="Times New Roman"/>
                <w:color w:val="000000"/>
                <w:szCs w:val="20"/>
              </w:rPr>
            </w:pPr>
            <w:r w:rsidRPr="00A86815">
              <w:rPr>
                <w:rFonts w:ascii="Calibri" w:eastAsia="Times New Roman" w:hAnsi="Calibri" w:cs="Times New Roman"/>
                <w:color w:val="000000"/>
                <w:szCs w:val="20"/>
              </w:rPr>
              <w:t>R8 : Choix de chaque administrateur</w:t>
            </w:r>
          </w:p>
        </w:tc>
        <w:tc>
          <w:tcPr>
            <w:tcW w:w="1300" w:type="dxa"/>
            <w:tcBorders>
              <w:top w:val="nil"/>
              <w:left w:val="nil"/>
              <w:bottom w:val="single" w:sz="8" w:space="0" w:color="auto"/>
              <w:right w:val="single" w:sz="8" w:space="0" w:color="auto"/>
            </w:tcBorders>
            <w:shd w:val="clear" w:color="000000" w:fill="FFFFFF"/>
            <w:vAlign w:val="center"/>
            <w:hideMark/>
          </w:tcPr>
          <w:p w14:paraId="50BFF5CB" w14:textId="77777777" w:rsidR="00A86815" w:rsidRPr="00A86815" w:rsidRDefault="00A86815" w:rsidP="00A86815">
            <w:pPr>
              <w:jc w:val="center"/>
              <w:rPr>
                <w:rFonts w:ascii="Calibri" w:eastAsia="Times New Roman" w:hAnsi="Calibri" w:cs="Times New Roman"/>
                <w:color w:val="000000"/>
                <w:szCs w:val="20"/>
              </w:rPr>
            </w:pPr>
            <w:r w:rsidRPr="00A86815">
              <w:rPr>
                <w:rFonts w:ascii="Calibri" w:eastAsia="Times New Roman" w:hAnsi="Calibri" w:cs="Times New Roman"/>
                <w:color w:val="000000"/>
                <w:szCs w:val="20"/>
              </w:rPr>
              <w:t>X</w:t>
            </w:r>
          </w:p>
        </w:tc>
        <w:tc>
          <w:tcPr>
            <w:tcW w:w="1238" w:type="dxa"/>
            <w:tcBorders>
              <w:top w:val="nil"/>
              <w:left w:val="nil"/>
              <w:bottom w:val="single" w:sz="8" w:space="0" w:color="auto"/>
              <w:right w:val="single" w:sz="8" w:space="0" w:color="auto"/>
            </w:tcBorders>
            <w:shd w:val="clear" w:color="000000" w:fill="FFFFFF"/>
            <w:vAlign w:val="center"/>
            <w:hideMark/>
          </w:tcPr>
          <w:p w14:paraId="6F455DBC" w14:textId="77777777" w:rsidR="00A86815" w:rsidRPr="00A86815" w:rsidRDefault="00A86815" w:rsidP="00A86815">
            <w:pPr>
              <w:jc w:val="center"/>
              <w:rPr>
                <w:rFonts w:ascii="Calibri" w:eastAsia="Times New Roman" w:hAnsi="Calibri" w:cs="Times New Roman"/>
                <w:color w:val="000000"/>
                <w:szCs w:val="20"/>
              </w:rPr>
            </w:pPr>
            <w:r w:rsidRPr="00A86815">
              <w:rPr>
                <w:rFonts w:ascii="Calibri" w:eastAsia="Times New Roman" w:hAnsi="Calibri" w:cs="Times New Roman"/>
                <w:color w:val="000000"/>
                <w:szCs w:val="20"/>
              </w:rPr>
              <w:t> </w:t>
            </w:r>
          </w:p>
        </w:tc>
        <w:tc>
          <w:tcPr>
            <w:tcW w:w="1134" w:type="dxa"/>
            <w:gridSpan w:val="2"/>
            <w:tcBorders>
              <w:top w:val="nil"/>
              <w:left w:val="nil"/>
              <w:bottom w:val="single" w:sz="8" w:space="0" w:color="auto"/>
              <w:right w:val="single" w:sz="8" w:space="0" w:color="auto"/>
            </w:tcBorders>
            <w:shd w:val="clear" w:color="000000" w:fill="FFFFFF"/>
            <w:vAlign w:val="center"/>
            <w:hideMark/>
          </w:tcPr>
          <w:p w14:paraId="5329F234" w14:textId="77777777" w:rsidR="00A86815" w:rsidRPr="00A86815" w:rsidRDefault="00A86815" w:rsidP="00A86815">
            <w:pPr>
              <w:rPr>
                <w:rFonts w:ascii="Calibri" w:eastAsia="Times New Roman" w:hAnsi="Calibri" w:cs="Times New Roman"/>
                <w:color w:val="000000"/>
                <w:szCs w:val="20"/>
              </w:rPr>
            </w:pPr>
            <w:r w:rsidRPr="00A86815">
              <w:rPr>
                <w:rFonts w:ascii="Calibri" w:eastAsia="Times New Roman" w:hAnsi="Calibri" w:cs="Times New Roman"/>
                <w:color w:val="000000"/>
                <w:szCs w:val="20"/>
              </w:rPr>
              <w:t> </w:t>
            </w:r>
          </w:p>
        </w:tc>
        <w:tc>
          <w:tcPr>
            <w:tcW w:w="1417" w:type="dxa"/>
            <w:gridSpan w:val="2"/>
            <w:tcBorders>
              <w:top w:val="nil"/>
              <w:left w:val="nil"/>
              <w:bottom w:val="single" w:sz="8" w:space="0" w:color="auto"/>
              <w:right w:val="single" w:sz="8" w:space="0" w:color="auto"/>
            </w:tcBorders>
            <w:shd w:val="clear" w:color="000000" w:fill="FFFFFF"/>
            <w:vAlign w:val="center"/>
            <w:hideMark/>
          </w:tcPr>
          <w:p w14:paraId="0B3D86F1" w14:textId="77777777" w:rsidR="00A86815" w:rsidRPr="00A86815" w:rsidRDefault="00A86815" w:rsidP="00A86815">
            <w:pPr>
              <w:rPr>
                <w:rFonts w:ascii="Calibri" w:eastAsia="Times New Roman" w:hAnsi="Calibri" w:cs="Times New Roman"/>
                <w:color w:val="000000"/>
                <w:szCs w:val="20"/>
              </w:rPr>
            </w:pPr>
            <w:r w:rsidRPr="00A86815">
              <w:rPr>
                <w:rFonts w:ascii="Calibri" w:eastAsia="Times New Roman" w:hAnsi="Calibri" w:cs="Times New Roman"/>
                <w:color w:val="000000"/>
                <w:szCs w:val="20"/>
              </w:rPr>
              <w:t> </w:t>
            </w:r>
          </w:p>
        </w:tc>
      </w:tr>
      <w:tr w:rsidR="00A86815" w:rsidRPr="00A86815" w14:paraId="172A57BF" w14:textId="77777777" w:rsidTr="00D16E63">
        <w:trPr>
          <w:trHeight w:val="340"/>
        </w:trPr>
        <w:tc>
          <w:tcPr>
            <w:tcW w:w="4560" w:type="dxa"/>
            <w:tcBorders>
              <w:top w:val="nil"/>
              <w:left w:val="single" w:sz="8" w:space="0" w:color="auto"/>
              <w:bottom w:val="single" w:sz="8" w:space="0" w:color="auto"/>
              <w:right w:val="single" w:sz="8" w:space="0" w:color="auto"/>
            </w:tcBorders>
            <w:shd w:val="clear" w:color="000000" w:fill="FFFFFF"/>
            <w:vAlign w:val="center"/>
            <w:hideMark/>
          </w:tcPr>
          <w:p w14:paraId="7373A811" w14:textId="77777777" w:rsidR="00A86815" w:rsidRPr="00A86815" w:rsidRDefault="00A86815" w:rsidP="00A86815">
            <w:pPr>
              <w:jc w:val="left"/>
              <w:rPr>
                <w:rFonts w:ascii="Calibri" w:eastAsia="Times New Roman" w:hAnsi="Calibri" w:cs="Times New Roman"/>
                <w:color w:val="000000"/>
                <w:szCs w:val="20"/>
              </w:rPr>
            </w:pPr>
            <w:r w:rsidRPr="00A86815">
              <w:rPr>
                <w:rFonts w:ascii="Calibri" w:eastAsia="Times New Roman" w:hAnsi="Calibri" w:cs="Times New Roman"/>
                <w:color w:val="000000"/>
                <w:szCs w:val="20"/>
              </w:rPr>
              <w:t>R9 : Durée des mandats des membres du Conseil</w:t>
            </w:r>
          </w:p>
        </w:tc>
        <w:tc>
          <w:tcPr>
            <w:tcW w:w="1300" w:type="dxa"/>
            <w:tcBorders>
              <w:top w:val="nil"/>
              <w:left w:val="nil"/>
              <w:bottom w:val="single" w:sz="8" w:space="0" w:color="auto"/>
              <w:right w:val="single" w:sz="8" w:space="0" w:color="auto"/>
            </w:tcBorders>
            <w:shd w:val="clear" w:color="000000" w:fill="FFFFFF"/>
            <w:vAlign w:val="center"/>
            <w:hideMark/>
          </w:tcPr>
          <w:p w14:paraId="3703882A" w14:textId="77777777" w:rsidR="00A86815" w:rsidRPr="00A86815" w:rsidRDefault="00A86815" w:rsidP="00A86815">
            <w:pPr>
              <w:jc w:val="center"/>
              <w:rPr>
                <w:rFonts w:ascii="Calibri" w:eastAsia="Times New Roman" w:hAnsi="Calibri" w:cs="Times New Roman"/>
                <w:color w:val="000000"/>
                <w:szCs w:val="20"/>
              </w:rPr>
            </w:pPr>
            <w:r w:rsidRPr="00A86815">
              <w:rPr>
                <w:rFonts w:ascii="Calibri" w:eastAsia="Times New Roman" w:hAnsi="Calibri" w:cs="Times New Roman"/>
                <w:color w:val="000000"/>
                <w:szCs w:val="20"/>
              </w:rPr>
              <w:t> </w:t>
            </w:r>
          </w:p>
        </w:tc>
        <w:tc>
          <w:tcPr>
            <w:tcW w:w="1238" w:type="dxa"/>
            <w:tcBorders>
              <w:top w:val="nil"/>
              <w:left w:val="nil"/>
              <w:bottom w:val="single" w:sz="8" w:space="0" w:color="auto"/>
              <w:right w:val="single" w:sz="8" w:space="0" w:color="auto"/>
            </w:tcBorders>
            <w:shd w:val="clear" w:color="000000" w:fill="FFFFFF"/>
            <w:vAlign w:val="center"/>
            <w:hideMark/>
          </w:tcPr>
          <w:p w14:paraId="1D8B93FE" w14:textId="77777777" w:rsidR="00A86815" w:rsidRPr="00A86815" w:rsidRDefault="00A86815" w:rsidP="00A86815">
            <w:pPr>
              <w:jc w:val="center"/>
              <w:rPr>
                <w:rFonts w:ascii="Calibri" w:eastAsia="Times New Roman" w:hAnsi="Calibri" w:cs="Times New Roman"/>
                <w:color w:val="000000"/>
                <w:szCs w:val="20"/>
              </w:rPr>
            </w:pPr>
            <w:r w:rsidRPr="00A86815">
              <w:rPr>
                <w:rFonts w:ascii="Calibri" w:eastAsia="Times New Roman" w:hAnsi="Calibri" w:cs="Times New Roman"/>
                <w:color w:val="000000"/>
                <w:szCs w:val="20"/>
              </w:rPr>
              <w:t> </w:t>
            </w:r>
          </w:p>
        </w:tc>
        <w:tc>
          <w:tcPr>
            <w:tcW w:w="1134" w:type="dxa"/>
            <w:gridSpan w:val="2"/>
            <w:tcBorders>
              <w:top w:val="nil"/>
              <w:left w:val="nil"/>
              <w:bottom w:val="single" w:sz="8" w:space="0" w:color="auto"/>
              <w:right w:val="single" w:sz="8" w:space="0" w:color="auto"/>
            </w:tcBorders>
            <w:shd w:val="clear" w:color="000000" w:fill="FFFFFF"/>
            <w:vAlign w:val="center"/>
            <w:hideMark/>
          </w:tcPr>
          <w:p w14:paraId="0EB93DDC" w14:textId="77777777" w:rsidR="00A86815" w:rsidRPr="00A86815" w:rsidRDefault="00A86815" w:rsidP="00A86815">
            <w:pPr>
              <w:rPr>
                <w:rFonts w:ascii="Calibri" w:eastAsia="Times New Roman" w:hAnsi="Calibri" w:cs="Times New Roman"/>
                <w:color w:val="000000"/>
                <w:szCs w:val="20"/>
              </w:rPr>
            </w:pPr>
            <w:r w:rsidRPr="00A86815">
              <w:rPr>
                <w:rFonts w:ascii="Calibri" w:eastAsia="Times New Roman" w:hAnsi="Calibri" w:cs="Times New Roman"/>
                <w:color w:val="000000"/>
                <w:szCs w:val="20"/>
              </w:rPr>
              <w:t> </w:t>
            </w:r>
          </w:p>
        </w:tc>
        <w:tc>
          <w:tcPr>
            <w:tcW w:w="1417" w:type="dxa"/>
            <w:gridSpan w:val="2"/>
            <w:tcBorders>
              <w:top w:val="nil"/>
              <w:left w:val="nil"/>
              <w:bottom w:val="single" w:sz="8" w:space="0" w:color="auto"/>
              <w:right w:val="single" w:sz="8" w:space="0" w:color="auto"/>
            </w:tcBorders>
            <w:shd w:val="clear" w:color="000000" w:fill="FFFFFF"/>
            <w:vAlign w:val="center"/>
            <w:hideMark/>
          </w:tcPr>
          <w:p w14:paraId="7386D871" w14:textId="70D839EE" w:rsidR="00A86815" w:rsidRPr="00A86815" w:rsidRDefault="00A86815" w:rsidP="00DA1AB4">
            <w:pPr>
              <w:jc w:val="center"/>
              <w:rPr>
                <w:rFonts w:ascii="Calibri" w:eastAsia="Times New Roman" w:hAnsi="Calibri" w:cs="Times New Roman"/>
                <w:color w:val="000000"/>
                <w:szCs w:val="20"/>
              </w:rPr>
            </w:pPr>
            <w:r w:rsidRPr="00A86815">
              <w:rPr>
                <w:rFonts w:ascii="Calibri" w:eastAsia="Times New Roman" w:hAnsi="Calibri" w:cs="Times New Roman"/>
                <w:color w:val="000000"/>
                <w:szCs w:val="20"/>
              </w:rPr>
              <w:t xml:space="preserve">X </w:t>
            </w:r>
            <w:r w:rsidRPr="00A86815">
              <w:rPr>
                <w:rFonts w:ascii="Calibri" w:eastAsia="Times New Roman" w:hAnsi="Calibri" w:cs="Times New Roman"/>
                <w:b/>
                <w:bCs/>
                <w:color w:val="000000"/>
                <w:szCs w:val="20"/>
                <w:vertAlign w:val="superscript"/>
              </w:rPr>
              <w:t>(</w:t>
            </w:r>
            <w:r w:rsidR="00DA1AB4">
              <w:rPr>
                <w:rFonts w:ascii="Calibri" w:eastAsia="Times New Roman" w:hAnsi="Calibri" w:cs="Times New Roman"/>
                <w:b/>
                <w:bCs/>
                <w:color w:val="000000"/>
                <w:szCs w:val="20"/>
                <w:vertAlign w:val="superscript"/>
              </w:rPr>
              <w:t>2</w:t>
            </w:r>
            <w:r w:rsidRPr="00A86815">
              <w:rPr>
                <w:rFonts w:ascii="Calibri" w:eastAsia="Times New Roman" w:hAnsi="Calibri" w:cs="Times New Roman"/>
                <w:b/>
                <w:bCs/>
                <w:color w:val="000000"/>
                <w:szCs w:val="20"/>
                <w:vertAlign w:val="superscript"/>
              </w:rPr>
              <w:t>)</w:t>
            </w:r>
          </w:p>
        </w:tc>
      </w:tr>
      <w:tr w:rsidR="00A86815" w:rsidRPr="00A86815" w14:paraId="3C1FF783" w14:textId="77777777" w:rsidTr="00D16E63">
        <w:trPr>
          <w:trHeight w:val="340"/>
        </w:trPr>
        <w:tc>
          <w:tcPr>
            <w:tcW w:w="4560" w:type="dxa"/>
            <w:tcBorders>
              <w:top w:val="nil"/>
              <w:left w:val="single" w:sz="8" w:space="0" w:color="auto"/>
              <w:bottom w:val="single" w:sz="8" w:space="0" w:color="auto"/>
              <w:right w:val="single" w:sz="8" w:space="0" w:color="auto"/>
            </w:tcBorders>
            <w:shd w:val="clear" w:color="000000" w:fill="FFFFFF"/>
            <w:vAlign w:val="center"/>
            <w:hideMark/>
          </w:tcPr>
          <w:p w14:paraId="4E74F50E" w14:textId="75DEC4A7" w:rsidR="00A86815" w:rsidRPr="00A86815" w:rsidRDefault="00A86815" w:rsidP="00DA1AB4">
            <w:pPr>
              <w:rPr>
                <w:rFonts w:ascii="Calibri" w:eastAsia="Times New Roman" w:hAnsi="Calibri" w:cs="Times New Roman"/>
                <w:color w:val="000000"/>
                <w:szCs w:val="20"/>
              </w:rPr>
            </w:pPr>
            <w:r w:rsidRPr="00A86815">
              <w:rPr>
                <w:rFonts w:ascii="Calibri" w:eastAsia="Times New Roman" w:hAnsi="Calibri" w:cs="Times New Roman"/>
                <w:color w:val="000000"/>
                <w:szCs w:val="20"/>
              </w:rPr>
              <w:t xml:space="preserve">R10 : Rémunération de l’administrateur </w:t>
            </w:r>
            <w:r w:rsidRPr="00A86815">
              <w:rPr>
                <w:rFonts w:ascii="Calibri" w:eastAsia="Times New Roman" w:hAnsi="Calibri" w:cs="Times New Roman"/>
                <w:color w:val="000000"/>
                <w:szCs w:val="20"/>
                <w:vertAlign w:val="superscript"/>
              </w:rPr>
              <w:t>(</w:t>
            </w:r>
            <w:r w:rsidR="00DA1AB4">
              <w:rPr>
                <w:rFonts w:ascii="Calibri" w:eastAsia="Times New Roman" w:hAnsi="Calibri" w:cs="Times New Roman"/>
                <w:color w:val="000000"/>
                <w:szCs w:val="20"/>
                <w:vertAlign w:val="superscript"/>
              </w:rPr>
              <w:t>4</w:t>
            </w:r>
            <w:r w:rsidRPr="00A86815">
              <w:rPr>
                <w:rFonts w:ascii="Calibri" w:eastAsia="Times New Roman" w:hAnsi="Calibri" w:cs="Times New Roman"/>
                <w:color w:val="000000"/>
                <w:szCs w:val="20"/>
                <w:vertAlign w:val="superscript"/>
              </w:rPr>
              <w:t>)</w:t>
            </w:r>
          </w:p>
        </w:tc>
        <w:tc>
          <w:tcPr>
            <w:tcW w:w="1300" w:type="dxa"/>
            <w:tcBorders>
              <w:top w:val="nil"/>
              <w:left w:val="nil"/>
              <w:bottom w:val="single" w:sz="8" w:space="0" w:color="auto"/>
              <w:right w:val="single" w:sz="8" w:space="0" w:color="auto"/>
            </w:tcBorders>
            <w:shd w:val="clear" w:color="000000" w:fill="FFFFFF"/>
            <w:vAlign w:val="center"/>
            <w:hideMark/>
          </w:tcPr>
          <w:p w14:paraId="77E9FC8A" w14:textId="19064882" w:rsidR="00A86815" w:rsidRPr="00A86815" w:rsidRDefault="00A86815" w:rsidP="00A86815">
            <w:pPr>
              <w:jc w:val="center"/>
              <w:rPr>
                <w:rFonts w:ascii="Calibri" w:eastAsia="Times New Roman" w:hAnsi="Calibri" w:cs="Times New Roman"/>
                <w:color w:val="000000"/>
                <w:szCs w:val="20"/>
              </w:rPr>
            </w:pPr>
            <w:r w:rsidRPr="00A86815">
              <w:rPr>
                <w:rFonts w:ascii="Calibri" w:eastAsia="Times New Roman" w:hAnsi="Calibri" w:cs="Times New Roman"/>
                <w:color w:val="000000"/>
                <w:szCs w:val="20"/>
              </w:rPr>
              <w:t> </w:t>
            </w:r>
            <w:r w:rsidR="0071767B" w:rsidRPr="00A86815">
              <w:rPr>
                <w:rFonts w:ascii="Calibri" w:eastAsia="Times New Roman" w:hAnsi="Calibri" w:cs="Times New Roman"/>
                <w:color w:val="000000"/>
                <w:szCs w:val="20"/>
              </w:rPr>
              <w:t>X</w:t>
            </w:r>
          </w:p>
        </w:tc>
        <w:tc>
          <w:tcPr>
            <w:tcW w:w="1238" w:type="dxa"/>
            <w:tcBorders>
              <w:top w:val="nil"/>
              <w:left w:val="nil"/>
              <w:bottom w:val="single" w:sz="8" w:space="0" w:color="auto"/>
              <w:right w:val="single" w:sz="8" w:space="0" w:color="auto"/>
            </w:tcBorders>
            <w:shd w:val="clear" w:color="000000" w:fill="FFFFFF"/>
            <w:vAlign w:val="center"/>
            <w:hideMark/>
          </w:tcPr>
          <w:p w14:paraId="668A2DE5" w14:textId="77777777" w:rsidR="00A86815" w:rsidRPr="00A86815" w:rsidRDefault="00A86815" w:rsidP="00A86815">
            <w:pPr>
              <w:rPr>
                <w:rFonts w:ascii="Calibri" w:eastAsia="Times New Roman" w:hAnsi="Calibri" w:cs="Times New Roman"/>
                <w:color w:val="000000"/>
                <w:szCs w:val="20"/>
              </w:rPr>
            </w:pPr>
            <w:r w:rsidRPr="00A86815">
              <w:rPr>
                <w:rFonts w:ascii="Calibri" w:eastAsia="Times New Roman" w:hAnsi="Calibri" w:cs="Times New Roman"/>
                <w:color w:val="000000"/>
                <w:szCs w:val="20"/>
              </w:rPr>
              <w:t> </w:t>
            </w:r>
          </w:p>
        </w:tc>
        <w:tc>
          <w:tcPr>
            <w:tcW w:w="1134" w:type="dxa"/>
            <w:gridSpan w:val="2"/>
            <w:tcBorders>
              <w:top w:val="nil"/>
              <w:left w:val="nil"/>
              <w:bottom w:val="single" w:sz="8" w:space="0" w:color="auto"/>
              <w:right w:val="single" w:sz="8" w:space="0" w:color="auto"/>
            </w:tcBorders>
            <w:shd w:val="clear" w:color="000000" w:fill="FFFFFF"/>
            <w:vAlign w:val="center"/>
            <w:hideMark/>
          </w:tcPr>
          <w:p w14:paraId="5E0F9C75" w14:textId="77777777" w:rsidR="00A86815" w:rsidRPr="00A86815" w:rsidRDefault="00A86815" w:rsidP="00A86815">
            <w:pPr>
              <w:jc w:val="center"/>
              <w:rPr>
                <w:rFonts w:ascii="Calibri" w:eastAsia="Times New Roman" w:hAnsi="Calibri" w:cs="Times New Roman"/>
                <w:color w:val="000000"/>
                <w:szCs w:val="20"/>
              </w:rPr>
            </w:pPr>
            <w:r w:rsidRPr="00A86815">
              <w:rPr>
                <w:rFonts w:ascii="Calibri" w:eastAsia="Times New Roman" w:hAnsi="Calibri" w:cs="Times New Roman"/>
                <w:color w:val="000000"/>
                <w:szCs w:val="20"/>
              </w:rPr>
              <w:t> </w:t>
            </w:r>
          </w:p>
        </w:tc>
        <w:tc>
          <w:tcPr>
            <w:tcW w:w="1417" w:type="dxa"/>
            <w:gridSpan w:val="2"/>
            <w:tcBorders>
              <w:top w:val="nil"/>
              <w:left w:val="nil"/>
              <w:bottom w:val="single" w:sz="8" w:space="0" w:color="auto"/>
              <w:right w:val="single" w:sz="8" w:space="0" w:color="auto"/>
            </w:tcBorders>
            <w:shd w:val="clear" w:color="000000" w:fill="FFFFFF"/>
            <w:vAlign w:val="center"/>
            <w:hideMark/>
          </w:tcPr>
          <w:p w14:paraId="17F20E6C" w14:textId="5A8AC722" w:rsidR="00A86815" w:rsidRPr="00A86815" w:rsidRDefault="00A86815" w:rsidP="00A86815">
            <w:pPr>
              <w:jc w:val="center"/>
              <w:rPr>
                <w:rFonts w:ascii="Calibri" w:eastAsia="Times New Roman" w:hAnsi="Calibri" w:cs="Times New Roman"/>
                <w:color w:val="000000"/>
                <w:szCs w:val="20"/>
              </w:rPr>
            </w:pPr>
          </w:p>
        </w:tc>
      </w:tr>
      <w:tr w:rsidR="00A86815" w:rsidRPr="00A86815" w14:paraId="12482F8D" w14:textId="77777777" w:rsidTr="00D16E63">
        <w:trPr>
          <w:trHeight w:val="620"/>
        </w:trPr>
        <w:tc>
          <w:tcPr>
            <w:tcW w:w="4560" w:type="dxa"/>
            <w:tcBorders>
              <w:top w:val="nil"/>
              <w:left w:val="single" w:sz="8" w:space="0" w:color="auto"/>
              <w:bottom w:val="single" w:sz="8" w:space="0" w:color="auto"/>
              <w:right w:val="single" w:sz="8" w:space="0" w:color="auto"/>
            </w:tcBorders>
            <w:shd w:val="clear" w:color="000000" w:fill="FFFFFF"/>
            <w:vAlign w:val="center"/>
            <w:hideMark/>
          </w:tcPr>
          <w:p w14:paraId="316731DC" w14:textId="6081042C" w:rsidR="00A86815" w:rsidRPr="00A86815" w:rsidRDefault="00A86815" w:rsidP="00A86815">
            <w:pPr>
              <w:rPr>
                <w:rFonts w:ascii="Calibri" w:eastAsia="Times New Roman" w:hAnsi="Calibri" w:cs="Times New Roman"/>
                <w:color w:val="000000"/>
                <w:szCs w:val="20"/>
              </w:rPr>
            </w:pPr>
            <w:r w:rsidRPr="00A86815">
              <w:rPr>
                <w:rFonts w:ascii="Calibri" w:eastAsia="Times New Roman" w:hAnsi="Calibri" w:cs="Times New Roman"/>
                <w:color w:val="000000"/>
                <w:szCs w:val="20"/>
              </w:rPr>
              <w:t>R11 : Mise en place d’une évaluation des travaux du Conseil</w:t>
            </w:r>
          </w:p>
        </w:tc>
        <w:tc>
          <w:tcPr>
            <w:tcW w:w="1300" w:type="dxa"/>
            <w:tcBorders>
              <w:top w:val="nil"/>
              <w:left w:val="nil"/>
              <w:bottom w:val="single" w:sz="8" w:space="0" w:color="auto"/>
              <w:right w:val="single" w:sz="8" w:space="0" w:color="auto"/>
            </w:tcBorders>
            <w:shd w:val="clear" w:color="000000" w:fill="FFFFFF"/>
            <w:vAlign w:val="center"/>
            <w:hideMark/>
          </w:tcPr>
          <w:p w14:paraId="5EF09385" w14:textId="77777777" w:rsidR="00A86815" w:rsidRPr="00A86815" w:rsidRDefault="00A86815" w:rsidP="00A86815">
            <w:pPr>
              <w:jc w:val="center"/>
              <w:rPr>
                <w:rFonts w:ascii="Calibri" w:eastAsia="Times New Roman" w:hAnsi="Calibri" w:cs="Times New Roman"/>
                <w:color w:val="000000"/>
                <w:szCs w:val="20"/>
              </w:rPr>
            </w:pPr>
            <w:r w:rsidRPr="00A86815">
              <w:rPr>
                <w:rFonts w:ascii="Calibri" w:eastAsia="Times New Roman" w:hAnsi="Calibri" w:cs="Times New Roman"/>
                <w:color w:val="000000"/>
                <w:szCs w:val="20"/>
              </w:rPr>
              <w:t>X</w:t>
            </w:r>
          </w:p>
        </w:tc>
        <w:tc>
          <w:tcPr>
            <w:tcW w:w="1238" w:type="dxa"/>
            <w:tcBorders>
              <w:top w:val="nil"/>
              <w:left w:val="nil"/>
              <w:bottom w:val="single" w:sz="8" w:space="0" w:color="auto"/>
              <w:right w:val="single" w:sz="8" w:space="0" w:color="auto"/>
            </w:tcBorders>
            <w:shd w:val="clear" w:color="000000" w:fill="FFFFFF"/>
            <w:vAlign w:val="center"/>
            <w:hideMark/>
          </w:tcPr>
          <w:p w14:paraId="4E5843E9" w14:textId="77777777" w:rsidR="00A86815" w:rsidRPr="00A86815" w:rsidRDefault="00A86815" w:rsidP="00A86815">
            <w:pPr>
              <w:rPr>
                <w:rFonts w:ascii="Calibri" w:eastAsia="Times New Roman" w:hAnsi="Calibri" w:cs="Times New Roman"/>
                <w:color w:val="000000"/>
                <w:szCs w:val="20"/>
              </w:rPr>
            </w:pPr>
            <w:r w:rsidRPr="00A86815">
              <w:rPr>
                <w:rFonts w:ascii="Calibri" w:eastAsia="Times New Roman" w:hAnsi="Calibri" w:cs="Times New Roman"/>
                <w:color w:val="000000"/>
                <w:szCs w:val="20"/>
              </w:rPr>
              <w:t> </w:t>
            </w:r>
          </w:p>
        </w:tc>
        <w:tc>
          <w:tcPr>
            <w:tcW w:w="1134" w:type="dxa"/>
            <w:gridSpan w:val="2"/>
            <w:tcBorders>
              <w:top w:val="nil"/>
              <w:left w:val="nil"/>
              <w:bottom w:val="single" w:sz="8" w:space="0" w:color="auto"/>
              <w:right w:val="single" w:sz="8" w:space="0" w:color="auto"/>
            </w:tcBorders>
            <w:shd w:val="clear" w:color="000000" w:fill="FFFFFF"/>
            <w:vAlign w:val="center"/>
            <w:hideMark/>
          </w:tcPr>
          <w:p w14:paraId="2B321F62" w14:textId="77777777" w:rsidR="00A86815" w:rsidRPr="00A86815" w:rsidRDefault="00A86815" w:rsidP="00A86815">
            <w:pPr>
              <w:jc w:val="center"/>
              <w:rPr>
                <w:rFonts w:ascii="Calibri" w:eastAsia="Times New Roman" w:hAnsi="Calibri" w:cs="Times New Roman"/>
                <w:color w:val="000000"/>
                <w:szCs w:val="20"/>
              </w:rPr>
            </w:pPr>
            <w:r w:rsidRPr="00A86815">
              <w:rPr>
                <w:rFonts w:ascii="Calibri" w:eastAsia="Times New Roman" w:hAnsi="Calibri" w:cs="Times New Roman"/>
                <w:color w:val="000000"/>
                <w:szCs w:val="20"/>
              </w:rPr>
              <w:t> </w:t>
            </w:r>
          </w:p>
        </w:tc>
        <w:tc>
          <w:tcPr>
            <w:tcW w:w="1417" w:type="dxa"/>
            <w:gridSpan w:val="2"/>
            <w:tcBorders>
              <w:top w:val="nil"/>
              <w:left w:val="nil"/>
              <w:bottom w:val="single" w:sz="8" w:space="0" w:color="auto"/>
              <w:right w:val="single" w:sz="8" w:space="0" w:color="auto"/>
            </w:tcBorders>
            <w:shd w:val="clear" w:color="000000" w:fill="FFFFFF"/>
            <w:vAlign w:val="center"/>
            <w:hideMark/>
          </w:tcPr>
          <w:p w14:paraId="3CEAAEFF" w14:textId="77777777" w:rsidR="00A86815" w:rsidRPr="00A86815" w:rsidRDefault="00A86815" w:rsidP="00A86815">
            <w:pPr>
              <w:rPr>
                <w:rFonts w:ascii="Calibri" w:eastAsia="Times New Roman" w:hAnsi="Calibri" w:cs="Times New Roman"/>
                <w:color w:val="000000"/>
                <w:szCs w:val="20"/>
              </w:rPr>
            </w:pPr>
            <w:r w:rsidRPr="00A86815">
              <w:rPr>
                <w:rFonts w:ascii="Calibri" w:eastAsia="Times New Roman" w:hAnsi="Calibri" w:cs="Times New Roman"/>
                <w:color w:val="000000"/>
                <w:szCs w:val="20"/>
              </w:rPr>
              <w:t> </w:t>
            </w:r>
          </w:p>
        </w:tc>
      </w:tr>
      <w:tr w:rsidR="00A86815" w:rsidRPr="00A86815" w14:paraId="6805AB19" w14:textId="77777777" w:rsidTr="00D16E63">
        <w:trPr>
          <w:trHeight w:val="320"/>
        </w:trPr>
        <w:tc>
          <w:tcPr>
            <w:tcW w:w="4560" w:type="dxa"/>
            <w:tcBorders>
              <w:top w:val="nil"/>
              <w:left w:val="single" w:sz="8" w:space="0" w:color="auto"/>
              <w:bottom w:val="single" w:sz="8" w:space="0" w:color="auto"/>
              <w:right w:val="single" w:sz="8" w:space="0" w:color="auto"/>
            </w:tcBorders>
            <w:shd w:val="clear" w:color="000000" w:fill="FFFFFF"/>
            <w:vAlign w:val="center"/>
            <w:hideMark/>
          </w:tcPr>
          <w:p w14:paraId="7654EF90" w14:textId="77777777" w:rsidR="00A86815" w:rsidRPr="00A86815" w:rsidRDefault="00A86815" w:rsidP="00A86815">
            <w:pPr>
              <w:rPr>
                <w:rFonts w:ascii="Calibri" w:eastAsia="Times New Roman" w:hAnsi="Calibri" w:cs="Times New Roman"/>
                <w:color w:val="000000"/>
                <w:szCs w:val="20"/>
              </w:rPr>
            </w:pPr>
            <w:r w:rsidRPr="00A86815">
              <w:rPr>
                <w:rFonts w:ascii="Calibri" w:eastAsia="Times New Roman" w:hAnsi="Calibri" w:cs="Times New Roman"/>
                <w:color w:val="000000"/>
                <w:szCs w:val="20"/>
              </w:rPr>
              <w:t>R12 : Relation avec les actionnaires</w:t>
            </w:r>
          </w:p>
        </w:tc>
        <w:tc>
          <w:tcPr>
            <w:tcW w:w="1300" w:type="dxa"/>
            <w:tcBorders>
              <w:top w:val="nil"/>
              <w:left w:val="nil"/>
              <w:bottom w:val="single" w:sz="8" w:space="0" w:color="auto"/>
              <w:right w:val="single" w:sz="8" w:space="0" w:color="auto"/>
            </w:tcBorders>
            <w:shd w:val="clear" w:color="000000" w:fill="FFFFFF"/>
            <w:vAlign w:val="center"/>
            <w:hideMark/>
          </w:tcPr>
          <w:p w14:paraId="3377621F" w14:textId="77777777" w:rsidR="00A86815" w:rsidRPr="00A86815" w:rsidRDefault="00A86815" w:rsidP="00A86815">
            <w:pPr>
              <w:jc w:val="center"/>
              <w:rPr>
                <w:rFonts w:ascii="Calibri" w:eastAsia="Times New Roman" w:hAnsi="Calibri" w:cs="Times New Roman"/>
                <w:color w:val="000000"/>
                <w:szCs w:val="20"/>
              </w:rPr>
            </w:pPr>
            <w:r w:rsidRPr="00A86815">
              <w:rPr>
                <w:rFonts w:ascii="Calibri" w:eastAsia="Times New Roman" w:hAnsi="Calibri" w:cs="Times New Roman"/>
                <w:color w:val="000000"/>
                <w:szCs w:val="20"/>
              </w:rPr>
              <w:t>X</w:t>
            </w:r>
          </w:p>
        </w:tc>
        <w:tc>
          <w:tcPr>
            <w:tcW w:w="1238" w:type="dxa"/>
            <w:tcBorders>
              <w:top w:val="nil"/>
              <w:left w:val="nil"/>
              <w:bottom w:val="single" w:sz="8" w:space="0" w:color="auto"/>
              <w:right w:val="single" w:sz="8" w:space="0" w:color="auto"/>
            </w:tcBorders>
            <w:shd w:val="clear" w:color="000000" w:fill="FFFFFF"/>
            <w:vAlign w:val="center"/>
            <w:hideMark/>
          </w:tcPr>
          <w:p w14:paraId="05FC0E04" w14:textId="77777777" w:rsidR="00A86815" w:rsidRPr="00A86815" w:rsidRDefault="00A86815" w:rsidP="00A86815">
            <w:pPr>
              <w:rPr>
                <w:rFonts w:ascii="Calibri" w:eastAsia="Times New Roman" w:hAnsi="Calibri" w:cs="Times New Roman"/>
                <w:color w:val="000000"/>
                <w:szCs w:val="20"/>
              </w:rPr>
            </w:pPr>
            <w:r w:rsidRPr="00A86815">
              <w:rPr>
                <w:rFonts w:ascii="Calibri" w:eastAsia="Times New Roman" w:hAnsi="Calibri" w:cs="Times New Roman"/>
                <w:color w:val="000000"/>
                <w:szCs w:val="20"/>
              </w:rPr>
              <w:t> </w:t>
            </w:r>
          </w:p>
        </w:tc>
        <w:tc>
          <w:tcPr>
            <w:tcW w:w="1134" w:type="dxa"/>
            <w:gridSpan w:val="2"/>
            <w:tcBorders>
              <w:top w:val="nil"/>
              <w:left w:val="nil"/>
              <w:bottom w:val="single" w:sz="8" w:space="0" w:color="auto"/>
              <w:right w:val="single" w:sz="8" w:space="0" w:color="auto"/>
            </w:tcBorders>
            <w:shd w:val="clear" w:color="000000" w:fill="FFFFFF"/>
            <w:vAlign w:val="center"/>
            <w:hideMark/>
          </w:tcPr>
          <w:p w14:paraId="31B25F42" w14:textId="77777777" w:rsidR="00A86815" w:rsidRPr="00A86815" w:rsidRDefault="00A86815" w:rsidP="00A86815">
            <w:pPr>
              <w:rPr>
                <w:rFonts w:ascii="Calibri" w:eastAsia="Times New Roman" w:hAnsi="Calibri" w:cs="Times New Roman"/>
                <w:color w:val="000000"/>
                <w:szCs w:val="20"/>
              </w:rPr>
            </w:pPr>
            <w:r w:rsidRPr="00A86815">
              <w:rPr>
                <w:rFonts w:ascii="Calibri" w:eastAsia="Times New Roman" w:hAnsi="Calibri" w:cs="Times New Roman"/>
                <w:color w:val="000000"/>
                <w:szCs w:val="20"/>
              </w:rPr>
              <w:t> </w:t>
            </w:r>
          </w:p>
        </w:tc>
        <w:tc>
          <w:tcPr>
            <w:tcW w:w="1417" w:type="dxa"/>
            <w:gridSpan w:val="2"/>
            <w:tcBorders>
              <w:top w:val="nil"/>
              <w:left w:val="nil"/>
              <w:bottom w:val="single" w:sz="8" w:space="0" w:color="auto"/>
              <w:right w:val="single" w:sz="8" w:space="0" w:color="auto"/>
            </w:tcBorders>
            <w:shd w:val="clear" w:color="000000" w:fill="FFFFFF"/>
            <w:vAlign w:val="center"/>
            <w:hideMark/>
          </w:tcPr>
          <w:p w14:paraId="22FD3C79" w14:textId="77777777" w:rsidR="00A86815" w:rsidRPr="00A86815" w:rsidRDefault="00A86815" w:rsidP="00A86815">
            <w:pPr>
              <w:rPr>
                <w:rFonts w:ascii="Calibri" w:eastAsia="Times New Roman" w:hAnsi="Calibri" w:cs="Times New Roman"/>
                <w:color w:val="000000"/>
                <w:szCs w:val="20"/>
              </w:rPr>
            </w:pPr>
            <w:r w:rsidRPr="00A86815">
              <w:rPr>
                <w:rFonts w:ascii="Calibri" w:eastAsia="Times New Roman" w:hAnsi="Calibri" w:cs="Times New Roman"/>
                <w:color w:val="000000"/>
                <w:szCs w:val="20"/>
              </w:rPr>
              <w:t> </w:t>
            </w:r>
          </w:p>
        </w:tc>
      </w:tr>
      <w:tr w:rsidR="00A86815" w:rsidRPr="00A86815" w14:paraId="58BB9BEC" w14:textId="77777777" w:rsidTr="00D16E63">
        <w:trPr>
          <w:trHeight w:val="300"/>
        </w:trPr>
        <w:tc>
          <w:tcPr>
            <w:tcW w:w="9649" w:type="dxa"/>
            <w:gridSpan w:val="7"/>
            <w:tcBorders>
              <w:top w:val="single" w:sz="8" w:space="0" w:color="auto"/>
              <w:left w:val="single" w:sz="8" w:space="0" w:color="auto"/>
              <w:bottom w:val="nil"/>
              <w:right w:val="single" w:sz="8" w:space="0" w:color="000000"/>
            </w:tcBorders>
            <w:shd w:val="clear" w:color="000000" w:fill="99CCFF"/>
            <w:vAlign w:val="center"/>
            <w:hideMark/>
          </w:tcPr>
          <w:p w14:paraId="3C81C050" w14:textId="77777777" w:rsidR="00A86815" w:rsidRPr="00A86815" w:rsidRDefault="00A86815" w:rsidP="00A86815">
            <w:pPr>
              <w:rPr>
                <w:rFonts w:ascii="Calibri" w:eastAsia="Times New Roman" w:hAnsi="Calibri" w:cs="Times New Roman"/>
                <w:b/>
                <w:bCs/>
                <w:color w:val="000000"/>
                <w:szCs w:val="20"/>
              </w:rPr>
            </w:pPr>
            <w:r w:rsidRPr="00A86815">
              <w:rPr>
                <w:rFonts w:ascii="Calibri" w:eastAsia="Times New Roman" w:hAnsi="Calibri" w:cs="Times New Roman"/>
                <w:b/>
                <w:bCs/>
                <w:color w:val="000000"/>
                <w:szCs w:val="20"/>
              </w:rPr>
              <w:t> </w:t>
            </w:r>
          </w:p>
        </w:tc>
      </w:tr>
      <w:tr w:rsidR="00A86815" w:rsidRPr="00A86815" w14:paraId="754D49EB" w14:textId="77777777" w:rsidTr="00D16E63">
        <w:trPr>
          <w:trHeight w:val="300"/>
        </w:trPr>
        <w:tc>
          <w:tcPr>
            <w:tcW w:w="9649" w:type="dxa"/>
            <w:gridSpan w:val="7"/>
            <w:tcBorders>
              <w:top w:val="nil"/>
              <w:left w:val="single" w:sz="8" w:space="0" w:color="auto"/>
              <w:bottom w:val="nil"/>
              <w:right w:val="single" w:sz="8" w:space="0" w:color="000000"/>
            </w:tcBorders>
            <w:shd w:val="clear" w:color="000000" w:fill="99CCFF"/>
            <w:vAlign w:val="center"/>
            <w:hideMark/>
          </w:tcPr>
          <w:p w14:paraId="305984ED" w14:textId="77777777" w:rsidR="00A86815" w:rsidRPr="00A86815" w:rsidRDefault="00A86815" w:rsidP="00A86815">
            <w:pPr>
              <w:jc w:val="center"/>
              <w:rPr>
                <w:rFonts w:ascii="Calibri" w:eastAsia="Times New Roman" w:hAnsi="Calibri" w:cs="Times New Roman"/>
                <w:b/>
                <w:bCs/>
                <w:color w:val="000000"/>
                <w:szCs w:val="20"/>
              </w:rPr>
            </w:pPr>
            <w:r w:rsidRPr="00A86815">
              <w:rPr>
                <w:rFonts w:ascii="Calibri" w:eastAsia="Times New Roman" w:hAnsi="Calibri" w:cs="Times New Roman"/>
                <w:b/>
                <w:bCs/>
                <w:color w:val="000000"/>
                <w:szCs w:val="20"/>
              </w:rPr>
              <w:t>II. Le pouvoir exécutif</w:t>
            </w:r>
          </w:p>
        </w:tc>
      </w:tr>
      <w:tr w:rsidR="00A86815" w:rsidRPr="00A86815" w14:paraId="3FA9D016" w14:textId="77777777" w:rsidTr="00D16E63">
        <w:trPr>
          <w:trHeight w:val="73"/>
        </w:trPr>
        <w:tc>
          <w:tcPr>
            <w:tcW w:w="9649" w:type="dxa"/>
            <w:gridSpan w:val="7"/>
            <w:tcBorders>
              <w:top w:val="nil"/>
              <w:left w:val="single" w:sz="8" w:space="0" w:color="auto"/>
              <w:bottom w:val="single" w:sz="8" w:space="0" w:color="auto"/>
              <w:right w:val="single" w:sz="8" w:space="0" w:color="000000"/>
            </w:tcBorders>
            <w:shd w:val="clear" w:color="000000" w:fill="99CCFF"/>
            <w:vAlign w:val="center"/>
            <w:hideMark/>
          </w:tcPr>
          <w:p w14:paraId="3119A3B3" w14:textId="77777777" w:rsidR="00A86815" w:rsidRPr="00A86815" w:rsidRDefault="00A86815" w:rsidP="00A86815">
            <w:pPr>
              <w:jc w:val="center"/>
              <w:rPr>
                <w:rFonts w:ascii="Calibri" w:eastAsia="Times New Roman" w:hAnsi="Calibri" w:cs="Times New Roman"/>
                <w:b/>
                <w:bCs/>
                <w:color w:val="000000"/>
                <w:szCs w:val="20"/>
              </w:rPr>
            </w:pPr>
            <w:r w:rsidRPr="00A86815">
              <w:rPr>
                <w:rFonts w:ascii="Calibri" w:eastAsia="Times New Roman" w:hAnsi="Calibri" w:cs="Times New Roman"/>
                <w:b/>
                <w:bCs/>
                <w:color w:val="000000"/>
                <w:szCs w:val="20"/>
              </w:rPr>
              <w:t> </w:t>
            </w:r>
          </w:p>
        </w:tc>
      </w:tr>
      <w:tr w:rsidR="00A86815" w:rsidRPr="00A86815" w14:paraId="4CCAD05A" w14:textId="77777777" w:rsidTr="00D16E63">
        <w:trPr>
          <w:trHeight w:val="580"/>
        </w:trPr>
        <w:tc>
          <w:tcPr>
            <w:tcW w:w="4560" w:type="dxa"/>
            <w:tcBorders>
              <w:top w:val="nil"/>
              <w:left w:val="single" w:sz="8" w:space="0" w:color="auto"/>
              <w:bottom w:val="single" w:sz="8" w:space="0" w:color="auto"/>
              <w:right w:val="single" w:sz="8" w:space="0" w:color="auto"/>
            </w:tcBorders>
            <w:shd w:val="clear" w:color="000000" w:fill="FFFFFF"/>
            <w:vAlign w:val="center"/>
            <w:hideMark/>
          </w:tcPr>
          <w:p w14:paraId="70A0AF76" w14:textId="77777777" w:rsidR="00A86815" w:rsidRPr="00A86815" w:rsidRDefault="00A86815" w:rsidP="00A86815">
            <w:pPr>
              <w:jc w:val="left"/>
              <w:rPr>
                <w:rFonts w:ascii="Calibri" w:eastAsia="Times New Roman" w:hAnsi="Calibri" w:cs="Times New Roman"/>
                <w:color w:val="000000"/>
                <w:szCs w:val="20"/>
              </w:rPr>
            </w:pPr>
            <w:r w:rsidRPr="00A86815">
              <w:rPr>
                <w:rFonts w:ascii="Calibri" w:eastAsia="Times New Roman" w:hAnsi="Calibri" w:cs="Times New Roman"/>
                <w:color w:val="000000"/>
                <w:szCs w:val="20"/>
              </w:rPr>
              <w:t>R13 : Définition et transparence de la rémunération des dirigeants mandataires sociaux</w:t>
            </w:r>
          </w:p>
        </w:tc>
        <w:tc>
          <w:tcPr>
            <w:tcW w:w="1300" w:type="dxa"/>
            <w:tcBorders>
              <w:top w:val="nil"/>
              <w:left w:val="nil"/>
              <w:bottom w:val="single" w:sz="8" w:space="0" w:color="auto"/>
              <w:right w:val="single" w:sz="8" w:space="0" w:color="auto"/>
            </w:tcBorders>
            <w:shd w:val="clear" w:color="000000" w:fill="FFFFFF"/>
            <w:vAlign w:val="center"/>
            <w:hideMark/>
          </w:tcPr>
          <w:p w14:paraId="5F78290B" w14:textId="77777777" w:rsidR="00A86815" w:rsidRPr="00A86815" w:rsidRDefault="00A86815" w:rsidP="00A86815">
            <w:pPr>
              <w:jc w:val="center"/>
              <w:rPr>
                <w:rFonts w:ascii="Calibri" w:eastAsia="Times New Roman" w:hAnsi="Calibri" w:cs="Times New Roman"/>
                <w:color w:val="000000"/>
                <w:szCs w:val="20"/>
              </w:rPr>
            </w:pPr>
            <w:r w:rsidRPr="00A86815">
              <w:rPr>
                <w:rFonts w:ascii="Calibri" w:eastAsia="Times New Roman" w:hAnsi="Calibri" w:cs="Times New Roman"/>
                <w:color w:val="000000"/>
                <w:szCs w:val="20"/>
              </w:rPr>
              <w:t>X</w:t>
            </w:r>
          </w:p>
        </w:tc>
        <w:tc>
          <w:tcPr>
            <w:tcW w:w="1300" w:type="dxa"/>
            <w:gridSpan w:val="2"/>
            <w:tcBorders>
              <w:top w:val="nil"/>
              <w:left w:val="nil"/>
              <w:bottom w:val="single" w:sz="8" w:space="0" w:color="auto"/>
              <w:right w:val="single" w:sz="8" w:space="0" w:color="auto"/>
            </w:tcBorders>
            <w:shd w:val="clear" w:color="000000" w:fill="FFFFFF"/>
            <w:vAlign w:val="center"/>
            <w:hideMark/>
          </w:tcPr>
          <w:p w14:paraId="1FCB697C" w14:textId="77777777" w:rsidR="00A86815" w:rsidRPr="00A86815" w:rsidRDefault="00A86815" w:rsidP="00A86815">
            <w:pPr>
              <w:jc w:val="center"/>
              <w:rPr>
                <w:rFonts w:ascii="Calibri" w:eastAsia="Times New Roman" w:hAnsi="Calibri" w:cs="Times New Roman"/>
                <w:color w:val="000000"/>
                <w:szCs w:val="20"/>
              </w:rPr>
            </w:pPr>
            <w:r w:rsidRPr="00A86815">
              <w:rPr>
                <w:rFonts w:ascii="Calibri" w:eastAsia="Times New Roman" w:hAnsi="Calibri" w:cs="Times New Roman"/>
                <w:color w:val="000000"/>
                <w:szCs w:val="20"/>
              </w:rPr>
              <w:t> </w:t>
            </w:r>
          </w:p>
        </w:tc>
        <w:tc>
          <w:tcPr>
            <w:tcW w:w="1300" w:type="dxa"/>
            <w:gridSpan w:val="2"/>
            <w:tcBorders>
              <w:top w:val="nil"/>
              <w:left w:val="nil"/>
              <w:bottom w:val="single" w:sz="8" w:space="0" w:color="auto"/>
              <w:right w:val="single" w:sz="8" w:space="0" w:color="auto"/>
            </w:tcBorders>
            <w:shd w:val="clear" w:color="000000" w:fill="FFFFFF"/>
            <w:vAlign w:val="center"/>
            <w:hideMark/>
          </w:tcPr>
          <w:p w14:paraId="599A6F65" w14:textId="77777777" w:rsidR="00A86815" w:rsidRPr="00A86815" w:rsidRDefault="00A86815" w:rsidP="00A86815">
            <w:pPr>
              <w:jc w:val="center"/>
              <w:rPr>
                <w:rFonts w:ascii="Calibri" w:eastAsia="Times New Roman" w:hAnsi="Calibri" w:cs="Times New Roman"/>
                <w:color w:val="000000"/>
                <w:szCs w:val="20"/>
              </w:rPr>
            </w:pPr>
            <w:r w:rsidRPr="00A86815">
              <w:rPr>
                <w:rFonts w:ascii="Calibri" w:eastAsia="Times New Roman" w:hAnsi="Calibri" w:cs="Times New Roman"/>
                <w:color w:val="000000"/>
                <w:szCs w:val="20"/>
              </w:rPr>
              <w:t> </w:t>
            </w:r>
          </w:p>
        </w:tc>
        <w:tc>
          <w:tcPr>
            <w:tcW w:w="1189" w:type="dxa"/>
            <w:tcBorders>
              <w:top w:val="nil"/>
              <w:left w:val="nil"/>
              <w:bottom w:val="single" w:sz="8" w:space="0" w:color="auto"/>
              <w:right w:val="single" w:sz="8" w:space="0" w:color="auto"/>
            </w:tcBorders>
            <w:shd w:val="clear" w:color="000000" w:fill="FFFFFF"/>
            <w:vAlign w:val="center"/>
            <w:hideMark/>
          </w:tcPr>
          <w:p w14:paraId="14B05C1F" w14:textId="77777777" w:rsidR="00A86815" w:rsidRPr="00A86815" w:rsidRDefault="00A86815" w:rsidP="00A86815">
            <w:pPr>
              <w:jc w:val="center"/>
              <w:rPr>
                <w:rFonts w:ascii="Calibri" w:eastAsia="Times New Roman" w:hAnsi="Calibri" w:cs="Times New Roman"/>
                <w:color w:val="000000"/>
                <w:szCs w:val="20"/>
              </w:rPr>
            </w:pPr>
            <w:r w:rsidRPr="00A86815">
              <w:rPr>
                <w:rFonts w:ascii="Calibri" w:eastAsia="Times New Roman" w:hAnsi="Calibri" w:cs="Times New Roman"/>
                <w:color w:val="000000"/>
                <w:szCs w:val="20"/>
              </w:rPr>
              <w:t> </w:t>
            </w:r>
          </w:p>
        </w:tc>
      </w:tr>
      <w:tr w:rsidR="00A86815" w:rsidRPr="00A86815" w14:paraId="433B26A5" w14:textId="77777777" w:rsidTr="00D16E63">
        <w:trPr>
          <w:trHeight w:val="340"/>
        </w:trPr>
        <w:tc>
          <w:tcPr>
            <w:tcW w:w="4560" w:type="dxa"/>
            <w:tcBorders>
              <w:top w:val="nil"/>
              <w:left w:val="single" w:sz="8" w:space="0" w:color="auto"/>
              <w:bottom w:val="single" w:sz="8" w:space="0" w:color="auto"/>
              <w:right w:val="single" w:sz="8" w:space="0" w:color="auto"/>
            </w:tcBorders>
            <w:shd w:val="clear" w:color="auto" w:fill="auto"/>
            <w:vAlign w:val="center"/>
            <w:hideMark/>
          </w:tcPr>
          <w:p w14:paraId="1BA7E44A" w14:textId="08DC0C59" w:rsidR="00A86815" w:rsidRPr="00A86815" w:rsidRDefault="00A86815" w:rsidP="0071767B">
            <w:pPr>
              <w:jc w:val="left"/>
              <w:rPr>
                <w:rFonts w:ascii="Calibri" w:eastAsia="Times New Roman" w:hAnsi="Calibri" w:cs="Times New Roman"/>
                <w:color w:val="000000"/>
                <w:szCs w:val="20"/>
              </w:rPr>
            </w:pPr>
            <w:r w:rsidRPr="00A86815">
              <w:rPr>
                <w:rFonts w:ascii="Calibri" w:eastAsia="Times New Roman" w:hAnsi="Calibri" w:cs="Times New Roman"/>
                <w:color w:val="000000"/>
                <w:szCs w:val="20"/>
              </w:rPr>
              <w:t xml:space="preserve">R14 : Préparation de la succession des dirigeants </w:t>
            </w:r>
          </w:p>
        </w:tc>
        <w:tc>
          <w:tcPr>
            <w:tcW w:w="1300" w:type="dxa"/>
            <w:tcBorders>
              <w:top w:val="nil"/>
              <w:left w:val="nil"/>
              <w:bottom w:val="single" w:sz="8" w:space="0" w:color="auto"/>
              <w:right w:val="single" w:sz="8" w:space="0" w:color="auto"/>
            </w:tcBorders>
            <w:shd w:val="clear" w:color="auto" w:fill="auto"/>
            <w:vAlign w:val="center"/>
            <w:hideMark/>
          </w:tcPr>
          <w:p w14:paraId="12EDAB53" w14:textId="77777777" w:rsidR="00A86815" w:rsidRPr="00A86815" w:rsidRDefault="00A86815" w:rsidP="00A86815">
            <w:pPr>
              <w:jc w:val="center"/>
              <w:rPr>
                <w:rFonts w:ascii="Calibri" w:eastAsia="Times New Roman" w:hAnsi="Calibri" w:cs="Times New Roman"/>
                <w:color w:val="000000"/>
                <w:szCs w:val="20"/>
              </w:rPr>
            </w:pPr>
            <w:r w:rsidRPr="00A86815">
              <w:rPr>
                <w:rFonts w:ascii="Calibri" w:eastAsia="Times New Roman" w:hAnsi="Calibri" w:cs="Times New Roman"/>
                <w:color w:val="000000"/>
                <w:szCs w:val="20"/>
              </w:rPr>
              <w:t> </w:t>
            </w:r>
          </w:p>
        </w:tc>
        <w:tc>
          <w:tcPr>
            <w:tcW w:w="1300" w:type="dxa"/>
            <w:gridSpan w:val="2"/>
            <w:tcBorders>
              <w:top w:val="nil"/>
              <w:left w:val="nil"/>
              <w:bottom w:val="single" w:sz="8" w:space="0" w:color="auto"/>
              <w:right w:val="single" w:sz="8" w:space="0" w:color="auto"/>
            </w:tcBorders>
            <w:shd w:val="clear" w:color="auto" w:fill="auto"/>
            <w:vAlign w:val="center"/>
            <w:hideMark/>
          </w:tcPr>
          <w:p w14:paraId="42D24AB8" w14:textId="77777777" w:rsidR="00A86815" w:rsidRPr="00A86815" w:rsidRDefault="00A86815" w:rsidP="00A86815">
            <w:pPr>
              <w:jc w:val="center"/>
              <w:rPr>
                <w:rFonts w:ascii="Calibri" w:eastAsia="Times New Roman" w:hAnsi="Calibri" w:cs="Times New Roman"/>
                <w:color w:val="000000"/>
                <w:szCs w:val="20"/>
              </w:rPr>
            </w:pPr>
            <w:r w:rsidRPr="00A86815">
              <w:rPr>
                <w:rFonts w:ascii="Calibri" w:eastAsia="Times New Roman" w:hAnsi="Calibri" w:cs="Times New Roman"/>
                <w:color w:val="000000"/>
                <w:szCs w:val="20"/>
              </w:rPr>
              <w:t> </w:t>
            </w:r>
          </w:p>
        </w:tc>
        <w:tc>
          <w:tcPr>
            <w:tcW w:w="1300" w:type="dxa"/>
            <w:gridSpan w:val="2"/>
            <w:tcBorders>
              <w:top w:val="nil"/>
              <w:left w:val="nil"/>
              <w:bottom w:val="single" w:sz="8" w:space="0" w:color="auto"/>
              <w:right w:val="single" w:sz="8" w:space="0" w:color="auto"/>
            </w:tcBorders>
            <w:shd w:val="clear" w:color="auto" w:fill="auto"/>
            <w:vAlign w:val="center"/>
            <w:hideMark/>
          </w:tcPr>
          <w:p w14:paraId="18895E32" w14:textId="77777777" w:rsidR="00A86815" w:rsidRPr="00A86815" w:rsidRDefault="00A86815" w:rsidP="00A86815">
            <w:pPr>
              <w:jc w:val="center"/>
              <w:rPr>
                <w:rFonts w:ascii="Calibri" w:eastAsia="Times New Roman" w:hAnsi="Calibri" w:cs="Times New Roman"/>
                <w:color w:val="000000"/>
                <w:szCs w:val="20"/>
              </w:rPr>
            </w:pPr>
            <w:r w:rsidRPr="00A86815">
              <w:rPr>
                <w:rFonts w:ascii="Calibri" w:eastAsia="Times New Roman" w:hAnsi="Calibri" w:cs="Times New Roman"/>
                <w:color w:val="000000"/>
                <w:szCs w:val="20"/>
              </w:rPr>
              <w:t> </w:t>
            </w:r>
          </w:p>
        </w:tc>
        <w:tc>
          <w:tcPr>
            <w:tcW w:w="1189" w:type="dxa"/>
            <w:tcBorders>
              <w:top w:val="nil"/>
              <w:left w:val="nil"/>
              <w:bottom w:val="single" w:sz="8" w:space="0" w:color="auto"/>
              <w:right w:val="single" w:sz="8" w:space="0" w:color="auto"/>
            </w:tcBorders>
            <w:shd w:val="clear" w:color="auto" w:fill="auto"/>
            <w:vAlign w:val="center"/>
            <w:hideMark/>
          </w:tcPr>
          <w:p w14:paraId="68EF6679" w14:textId="75408D3A" w:rsidR="00A86815" w:rsidRPr="00A86815" w:rsidRDefault="00A86815" w:rsidP="00DA1AB4">
            <w:pPr>
              <w:jc w:val="center"/>
              <w:rPr>
                <w:rFonts w:ascii="Calibri" w:eastAsia="Times New Roman" w:hAnsi="Calibri" w:cs="Times New Roman"/>
                <w:color w:val="000000"/>
                <w:szCs w:val="20"/>
              </w:rPr>
            </w:pPr>
            <w:r w:rsidRPr="00A86815">
              <w:rPr>
                <w:rFonts w:ascii="Calibri" w:eastAsia="Times New Roman" w:hAnsi="Calibri" w:cs="Times New Roman"/>
                <w:color w:val="000000"/>
                <w:szCs w:val="20"/>
              </w:rPr>
              <w:t>X</w:t>
            </w:r>
            <w:r w:rsidR="0071767B">
              <w:rPr>
                <w:rFonts w:ascii="Calibri" w:eastAsia="Times New Roman" w:hAnsi="Calibri" w:cs="Times New Roman"/>
                <w:color w:val="000000"/>
                <w:szCs w:val="20"/>
              </w:rPr>
              <w:t xml:space="preserve"> </w:t>
            </w:r>
            <w:r w:rsidR="0071767B" w:rsidRPr="00A86815">
              <w:rPr>
                <w:rFonts w:ascii="Calibri" w:eastAsia="Times New Roman" w:hAnsi="Calibri" w:cs="Times New Roman"/>
                <w:color w:val="000000"/>
                <w:szCs w:val="20"/>
                <w:vertAlign w:val="superscript"/>
              </w:rPr>
              <w:t>(</w:t>
            </w:r>
            <w:r w:rsidR="00DA1AB4">
              <w:rPr>
                <w:rFonts w:ascii="Calibri" w:eastAsia="Times New Roman" w:hAnsi="Calibri" w:cs="Times New Roman"/>
                <w:color w:val="000000"/>
                <w:szCs w:val="20"/>
                <w:vertAlign w:val="superscript"/>
              </w:rPr>
              <w:t>3</w:t>
            </w:r>
            <w:r w:rsidR="0071767B" w:rsidRPr="00A86815">
              <w:rPr>
                <w:rFonts w:ascii="Calibri" w:eastAsia="Times New Roman" w:hAnsi="Calibri" w:cs="Times New Roman"/>
                <w:color w:val="000000"/>
                <w:szCs w:val="20"/>
                <w:vertAlign w:val="superscript"/>
              </w:rPr>
              <w:t>)</w:t>
            </w:r>
          </w:p>
        </w:tc>
      </w:tr>
      <w:tr w:rsidR="00A86815" w:rsidRPr="00A86815" w14:paraId="75BDB8B5" w14:textId="77777777" w:rsidTr="00D16E63">
        <w:trPr>
          <w:trHeight w:val="320"/>
        </w:trPr>
        <w:tc>
          <w:tcPr>
            <w:tcW w:w="4560" w:type="dxa"/>
            <w:tcBorders>
              <w:top w:val="nil"/>
              <w:left w:val="single" w:sz="8" w:space="0" w:color="auto"/>
              <w:bottom w:val="single" w:sz="8" w:space="0" w:color="auto"/>
              <w:right w:val="single" w:sz="8" w:space="0" w:color="auto"/>
            </w:tcBorders>
            <w:shd w:val="clear" w:color="000000" w:fill="FFFFFF"/>
            <w:vAlign w:val="center"/>
            <w:hideMark/>
          </w:tcPr>
          <w:p w14:paraId="4F4656FD" w14:textId="77777777" w:rsidR="00A86815" w:rsidRPr="00A86815" w:rsidRDefault="00A86815" w:rsidP="00A86815">
            <w:pPr>
              <w:jc w:val="left"/>
              <w:rPr>
                <w:rFonts w:ascii="Calibri" w:eastAsia="Times New Roman" w:hAnsi="Calibri" w:cs="Times New Roman"/>
                <w:color w:val="000000"/>
                <w:szCs w:val="20"/>
              </w:rPr>
            </w:pPr>
            <w:r w:rsidRPr="00A86815">
              <w:rPr>
                <w:rFonts w:ascii="Calibri" w:eastAsia="Times New Roman" w:hAnsi="Calibri" w:cs="Times New Roman"/>
                <w:color w:val="000000"/>
                <w:szCs w:val="20"/>
              </w:rPr>
              <w:t>R15 : Cumul contrat de travail et mandat social</w:t>
            </w:r>
          </w:p>
        </w:tc>
        <w:tc>
          <w:tcPr>
            <w:tcW w:w="1300" w:type="dxa"/>
            <w:tcBorders>
              <w:top w:val="nil"/>
              <w:left w:val="nil"/>
              <w:bottom w:val="single" w:sz="8" w:space="0" w:color="auto"/>
              <w:right w:val="single" w:sz="8" w:space="0" w:color="auto"/>
            </w:tcBorders>
            <w:shd w:val="clear" w:color="000000" w:fill="FFFFFF"/>
            <w:vAlign w:val="center"/>
            <w:hideMark/>
          </w:tcPr>
          <w:p w14:paraId="588419F3" w14:textId="77777777" w:rsidR="00A86815" w:rsidRPr="00A86815" w:rsidRDefault="00A86815" w:rsidP="00A86815">
            <w:pPr>
              <w:jc w:val="center"/>
              <w:rPr>
                <w:rFonts w:ascii="Calibri" w:eastAsia="Times New Roman" w:hAnsi="Calibri" w:cs="Times New Roman"/>
                <w:color w:val="000000"/>
                <w:szCs w:val="20"/>
              </w:rPr>
            </w:pPr>
            <w:r w:rsidRPr="00A86815">
              <w:rPr>
                <w:rFonts w:ascii="Calibri" w:eastAsia="Times New Roman" w:hAnsi="Calibri" w:cs="Times New Roman"/>
                <w:color w:val="000000"/>
                <w:szCs w:val="20"/>
              </w:rPr>
              <w:t>X</w:t>
            </w:r>
          </w:p>
        </w:tc>
        <w:tc>
          <w:tcPr>
            <w:tcW w:w="1300" w:type="dxa"/>
            <w:gridSpan w:val="2"/>
            <w:tcBorders>
              <w:top w:val="nil"/>
              <w:left w:val="nil"/>
              <w:bottom w:val="single" w:sz="8" w:space="0" w:color="auto"/>
              <w:right w:val="single" w:sz="8" w:space="0" w:color="auto"/>
            </w:tcBorders>
            <w:shd w:val="clear" w:color="000000" w:fill="FFFFFF"/>
            <w:vAlign w:val="center"/>
            <w:hideMark/>
          </w:tcPr>
          <w:p w14:paraId="5EE46AA6" w14:textId="77777777" w:rsidR="00A86815" w:rsidRPr="00A86815" w:rsidRDefault="00A86815" w:rsidP="00A86815">
            <w:pPr>
              <w:jc w:val="center"/>
              <w:rPr>
                <w:rFonts w:ascii="Calibri" w:eastAsia="Times New Roman" w:hAnsi="Calibri" w:cs="Times New Roman"/>
                <w:color w:val="000000"/>
                <w:szCs w:val="20"/>
              </w:rPr>
            </w:pPr>
            <w:r w:rsidRPr="00A86815">
              <w:rPr>
                <w:rFonts w:ascii="Calibri" w:eastAsia="Times New Roman" w:hAnsi="Calibri" w:cs="Times New Roman"/>
                <w:color w:val="000000"/>
                <w:szCs w:val="20"/>
              </w:rPr>
              <w:t> </w:t>
            </w:r>
          </w:p>
        </w:tc>
        <w:tc>
          <w:tcPr>
            <w:tcW w:w="1300" w:type="dxa"/>
            <w:gridSpan w:val="2"/>
            <w:tcBorders>
              <w:top w:val="nil"/>
              <w:left w:val="nil"/>
              <w:bottom w:val="single" w:sz="8" w:space="0" w:color="auto"/>
              <w:right w:val="single" w:sz="8" w:space="0" w:color="auto"/>
            </w:tcBorders>
            <w:shd w:val="clear" w:color="000000" w:fill="FFFFFF"/>
            <w:vAlign w:val="center"/>
            <w:hideMark/>
          </w:tcPr>
          <w:p w14:paraId="7BDC474E" w14:textId="77777777" w:rsidR="00A86815" w:rsidRPr="00A86815" w:rsidRDefault="00A86815" w:rsidP="00A86815">
            <w:pPr>
              <w:jc w:val="center"/>
              <w:rPr>
                <w:rFonts w:ascii="Calibri" w:eastAsia="Times New Roman" w:hAnsi="Calibri" w:cs="Times New Roman"/>
                <w:color w:val="000000"/>
                <w:szCs w:val="20"/>
              </w:rPr>
            </w:pPr>
            <w:r w:rsidRPr="00A86815">
              <w:rPr>
                <w:rFonts w:ascii="Calibri" w:eastAsia="Times New Roman" w:hAnsi="Calibri" w:cs="Times New Roman"/>
                <w:color w:val="000000"/>
                <w:szCs w:val="20"/>
              </w:rPr>
              <w:t> </w:t>
            </w:r>
          </w:p>
        </w:tc>
        <w:tc>
          <w:tcPr>
            <w:tcW w:w="1189" w:type="dxa"/>
            <w:tcBorders>
              <w:top w:val="nil"/>
              <w:left w:val="nil"/>
              <w:bottom w:val="single" w:sz="8" w:space="0" w:color="auto"/>
              <w:right w:val="single" w:sz="8" w:space="0" w:color="auto"/>
            </w:tcBorders>
            <w:shd w:val="clear" w:color="000000" w:fill="FFFFFF"/>
            <w:vAlign w:val="center"/>
            <w:hideMark/>
          </w:tcPr>
          <w:p w14:paraId="4CA875D8" w14:textId="77777777" w:rsidR="00A86815" w:rsidRPr="00A86815" w:rsidRDefault="00A86815" w:rsidP="00A86815">
            <w:pPr>
              <w:jc w:val="center"/>
              <w:rPr>
                <w:rFonts w:ascii="Calibri" w:eastAsia="Times New Roman" w:hAnsi="Calibri" w:cs="Times New Roman"/>
                <w:color w:val="000000"/>
                <w:szCs w:val="20"/>
              </w:rPr>
            </w:pPr>
            <w:r w:rsidRPr="00A86815">
              <w:rPr>
                <w:rFonts w:ascii="Calibri" w:eastAsia="Times New Roman" w:hAnsi="Calibri" w:cs="Times New Roman"/>
                <w:color w:val="000000"/>
                <w:szCs w:val="20"/>
              </w:rPr>
              <w:t> </w:t>
            </w:r>
          </w:p>
        </w:tc>
      </w:tr>
      <w:tr w:rsidR="00A86815" w:rsidRPr="00A86815" w14:paraId="4090FE77" w14:textId="77777777" w:rsidTr="00D16E63">
        <w:trPr>
          <w:trHeight w:val="340"/>
        </w:trPr>
        <w:tc>
          <w:tcPr>
            <w:tcW w:w="4560" w:type="dxa"/>
            <w:tcBorders>
              <w:top w:val="nil"/>
              <w:left w:val="single" w:sz="8" w:space="0" w:color="auto"/>
              <w:bottom w:val="single" w:sz="8" w:space="0" w:color="auto"/>
              <w:right w:val="single" w:sz="8" w:space="0" w:color="auto"/>
            </w:tcBorders>
            <w:shd w:val="clear" w:color="000000" w:fill="FFFFFF"/>
            <w:vAlign w:val="center"/>
            <w:hideMark/>
          </w:tcPr>
          <w:p w14:paraId="0A63DE69" w14:textId="05605B0F" w:rsidR="00A86815" w:rsidRPr="00A86815" w:rsidRDefault="00A86815" w:rsidP="0071767B">
            <w:pPr>
              <w:jc w:val="left"/>
              <w:rPr>
                <w:rFonts w:ascii="Calibri" w:eastAsia="Times New Roman" w:hAnsi="Calibri" w:cs="Times New Roman"/>
                <w:color w:val="000000"/>
                <w:szCs w:val="20"/>
              </w:rPr>
            </w:pPr>
            <w:r w:rsidRPr="00A86815">
              <w:rPr>
                <w:rFonts w:ascii="Calibri" w:eastAsia="Times New Roman" w:hAnsi="Calibri" w:cs="Times New Roman"/>
                <w:color w:val="000000"/>
                <w:szCs w:val="20"/>
              </w:rPr>
              <w:t xml:space="preserve">R16 : Indemnités de départ </w:t>
            </w:r>
          </w:p>
        </w:tc>
        <w:tc>
          <w:tcPr>
            <w:tcW w:w="1300" w:type="dxa"/>
            <w:tcBorders>
              <w:top w:val="nil"/>
              <w:left w:val="nil"/>
              <w:bottom w:val="single" w:sz="8" w:space="0" w:color="auto"/>
              <w:right w:val="single" w:sz="8" w:space="0" w:color="auto"/>
            </w:tcBorders>
            <w:shd w:val="clear" w:color="000000" w:fill="FFFFFF"/>
            <w:vAlign w:val="center"/>
            <w:hideMark/>
          </w:tcPr>
          <w:p w14:paraId="34580FED" w14:textId="6705DB77" w:rsidR="00A86815" w:rsidRPr="00A86815" w:rsidRDefault="00A86815" w:rsidP="00A86815">
            <w:pPr>
              <w:jc w:val="center"/>
              <w:rPr>
                <w:rFonts w:ascii="Calibri" w:eastAsia="Times New Roman" w:hAnsi="Calibri" w:cs="Times New Roman"/>
                <w:color w:val="000000"/>
                <w:szCs w:val="20"/>
              </w:rPr>
            </w:pPr>
            <w:r w:rsidRPr="00A86815">
              <w:rPr>
                <w:rFonts w:ascii="Calibri" w:eastAsia="Times New Roman" w:hAnsi="Calibri" w:cs="Times New Roman"/>
                <w:color w:val="000000"/>
                <w:szCs w:val="20"/>
              </w:rPr>
              <w:t> </w:t>
            </w:r>
            <w:r w:rsidR="0071767B" w:rsidRPr="00A86815">
              <w:rPr>
                <w:rFonts w:ascii="Calibri" w:eastAsia="Times New Roman" w:hAnsi="Calibri" w:cs="Times New Roman"/>
                <w:color w:val="000000"/>
                <w:szCs w:val="20"/>
              </w:rPr>
              <w:t>X</w:t>
            </w:r>
          </w:p>
        </w:tc>
        <w:tc>
          <w:tcPr>
            <w:tcW w:w="1300" w:type="dxa"/>
            <w:gridSpan w:val="2"/>
            <w:tcBorders>
              <w:top w:val="nil"/>
              <w:left w:val="nil"/>
              <w:bottom w:val="single" w:sz="8" w:space="0" w:color="auto"/>
              <w:right w:val="single" w:sz="8" w:space="0" w:color="auto"/>
            </w:tcBorders>
            <w:shd w:val="clear" w:color="000000" w:fill="FFFFFF"/>
            <w:vAlign w:val="center"/>
            <w:hideMark/>
          </w:tcPr>
          <w:p w14:paraId="3167D043" w14:textId="77777777" w:rsidR="00A86815" w:rsidRPr="00A86815" w:rsidRDefault="00A86815" w:rsidP="00A86815">
            <w:pPr>
              <w:jc w:val="center"/>
              <w:rPr>
                <w:rFonts w:ascii="Calibri" w:eastAsia="Times New Roman" w:hAnsi="Calibri" w:cs="Times New Roman"/>
                <w:color w:val="000000"/>
                <w:szCs w:val="20"/>
              </w:rPr>
            </w:pPr>
            <w:r w:rsidRPr="00A86815">
              <w:rPr>
                <w:rFonts w:ascii="Calibri" w:eastAsia="Times New Roman" w:hAnsi="Calibri" w:cs="Times New Roman"/>
                <w:color w:val="000000"/>
                <w:szCs w:val="20"/>
              </w:rPr>
              <w:t> </w:t>
            </w:r>
          </w:p>
        </w:tc>
        <w:tc>
          <w:tcPr>
            <w:tcW w:w="1300" w:type="dxa"/>
            <w:gridSpan w:val="2"/>
            <w:tcBorders>
              <w:top w:val="nil"/>
              <w:left w:val="nil"/>
              <w:bottom w:val="single" w:sz="8" w:space="0" w:color="auto"/>
              <w:right w:val="single" w:sz="8" w:space="0" w:color="auto"/>
            </w:tcBorders>
            <w:shd w:val="clear" w:color="000000" w:fill="FFFFFF"/>
            <w:vAlign w:val="center"/>
            <w:hideMark/>
          </w:tcPr>
          <w:p w14:paraId="76AD7A05" w14:textId="77777777" w:rsidR="00A86815" w:rsidRPr="00A86815" w:rsidRDefault="00A86815" w:rsidP="00A86815">
            <w:pPr>
              <w:jc w:val="center"/>
              <w:rPr>
                <w:rFonts w:ascii="Calibri" w:eastAsia="Times New Roman" w:hAnsi="Calibri" w:cs="Times New Roman"/>
                <w:color w:val="000000"/>
                <w:szCs w:val="20"/>
              </w:rPr>
            </w:pPr>
            <w:r w:rsidRPr="00A86815">
              <w:rPr>
                <w:rFonts w:ascii="Calibri" w:eastAsia="Times New Roman" w:hAnsi="Calibri" w:cs="Times New Roman"/>
                <w:color w:val="000000"/>
                <w:szCs w:val="20"/>
              </w:rPr>
              <w:t> </w:t>
            </w:r>
          </w:p>
        </w:tc>
        <w:tc>
          <w:tcPr>
            <w:tcW w:w="1189" w:type="dxa"/>
            <w:tcBorders>
              <w:top w:val="nil"/>
              <w:left w:val="nil"/>
              <w:bottom w:val="single" w:sz="8" w:space="0" w:color="auto"/>
              <w:right w:val="single" w:sz="8" w:space="0" w:color="auto"/>
            </w:tcBorders>
            <w:shd w:val="clear" w:color="000000" w:fill="FFFFFF"/>
            <w:vAlign w:val="center"/>
            <w:hideMark/>
          </w:tcPr>
          <w:p w14:paraId="782F104B" w14:textId="55FD0717" w:rsidR="00A86815" w:rsidRPr="00A86815" w:rsidRDefault="00A86815" w:rsidP="00A86815">
            <w:pPr>
              <w:jc w:val="center"/>
              <w:rPr>
                <w:rFonts w:ascii="Calibri" w:eastAsia="Times New Roman" w:hAnsi="Calibri" w:cs="Times New Roman"/>
                <w:color w:val="000000"/>
                <w:szCs w:val="20"/>
              </w:rPr>
            </w:pPr>
          </w:p>
        </w:tc>
      </w:tr>
      <w:tr w:rsidR="00A86815" w:rsidRPr="00A86815" w14:paraId="15D9EC7E" w14:textId="77777777" w:rsidTr="00D16E63">
        <w:trPr>
          <w:trHeight w:val="320"/>
        </w:trPr>
        <w:tc>
          <w:tcPr>
            <w:tcW w:w="4560" w:type="dxa"/>
            <w:tcBorders>
              <w:top w:val="nil"/>
              <w:left w:val="single" w:sz="8" w:space="0" w:color="auto"/>
              <w:bottom w:val="single" w:sz="8" w:space="0" w:color="auto"/>
              <w:right w:val="single" w:sz="8" w:space="0" w:color="auto"/>
            </w:tcBorders>
            <w:shd w:val="clear" w:color="000000" w:fill="FFFFFF"/>
            <w:vAlign w:val="center"/>
            <w:hideMark/>
          </w:tcPr>
          <w:p w14:paraId="157EE064" w14:textId="77777777" w:rsidR="00A86815" w:rsidRPr="00A86815" w:rsidRDefault="00A86815" w:rsidP="00A86815">
            <w:pPr>
              <w:jc w:val="left"/>
              <w:rPr>
                <w:rFonts w:ascii="Calibri" w:eastAsia="Times New Roman" w:hAnsi="Calibri" w:cs="Times New Roman"/>
                <w:color w:val="000000"/>
                <w:szCs w:val="20"/>
              </w:rPr>
            </w:pPr>
            <w:r w:rsidRPr="00A86815">
              <w:rPr>
                <w:rFonts w:ascii="Calibri" w:eastAsia="Times New Roman" w:hAnsi="Calibri" w:cs="Times New Roman"/>
                <w:color w:val="000000"/>
                <w:szCs w:val="20"/>
              </w:rPr>
              <w:t>R17 : Régimes de retraite supplémentaires</w:t>
            </w:r>
          </w:p>
        </w:tc>
        <w:tc>
          <w:tcPr>
            <w:tcW w:w="1300" w:type="dxa"/>
            <w:tcBorders>
              <w:top w:val="nil"/>
              <w:left w:val="nil"/>
              <w:bottom w:val="single" w:sz="8" w:space="0" w:color="auto"/>
              <w:right w:val="single" w:sz="8" w:space="0" w:color="auto"/>
            </w:tcBorders>
            <w:shd w:val="clear" w:color="000000" w:fill="FFFFFF"/>
            <w:vAlign w:val="center"/>
            <w:hideMark/>
          </w:tcPr>
          <w:p w14:paraId="3F7328E8" w14:textId="77777777" w:rsidR="00A86815" w:rsidRPr="00A86815" w:rsidRDefault="00A86815" w:rsidP="00A86815">
            <w:pPr>
              <w:jc w:val="center"/>
              <w:rPr>
                <w:rFonts w:ascii="Calibri" w:eastAsia="Times New Roman" w:hAnsi="Calibri" w:cs="Times New Roman"/>
                <w:color w:val="000000"/>
                <w:szCs w:val="20"/>
              </w:rPr>
            </w:pPr>
            <w:r w:rsidRPr="00A86815">
              <w:rPr>
                <w:rFonts w:ascii="Calibri" w:eastAsia="Times New Roman" w:hAnsi="Calibri" w:cs="Times New Roman"/>
                <w:color w:val="000000"/>
                <w:szCs w:val="20"/>
              </w:rPr>
              <w:t>X</w:t>
            </w:r>
          </w:p>
        </w:tc>
        <w:tc>
          <w:tcPr>
            <w:tcW w:w="1300" w:type="dxa"/>
            <w:gridSpan w:val="2"/>
            <w:tcBorders>
              <w:top w:val="nil"/>
              <w:left w:val="nil"/>
              <w:bottom w:val="single" w:sz="8" w:space="0" w:color="auto"/>
              <w:right w:val="single" w:sz="8" w:space="0" w:color="auto"/>
            </w:tcBorders>
            <w:shd w:val="clear" w:color="000000" w:fill="FFFFFF"/>
            <w:vAlign w:val="center"/>
            <w:hideMark/>
          </w:tcPr>
          <w:p w14:paraId="3FF5182F" w14:textId="77777777" w:rsidR="00A86815" w:rsidRPr="00A86815" w:rsidRDefault="00A86815" w:rsidP="00A86815">
            <w:pPr>
              <w:jc w:val="center"/>
              <w:rPr>
                <w:rFonts w:ascii="Calibri" w:eastAsia="Times New Roman" w:hAnsi="Calibri" w:cs="Times New Roman"/>
                <w:color w:val="000000"/>
                <w:szCs w:val="20"/>
              </w:rPr>
            </w:pPr>
            <w:r w:rsidRPr="00A86815">
              <w:rPr>
                <w:rFonts w:ascii="Calibri" w:eastAsia="Times New Roman" w:hAnsi="Calibri" w:cs="Times New Roman"/>
                <w:color w:val="000000"/>
                <w:szCs w:val="20"/>
              </w:rPr>
              <w:t> </w:t>
            </w:r>
          </w:p>
        </w:tc>
        <w:tc>
          <w:tcPr>
            <w:tcW w:w="1300" w:type="dxa"/>
            <w:gridSpan w:val="2"/>
            <w:tcBorders>
              <w:top w:val="nil"/>
              <w:left w:val="nil"/>
              <w:bottom w:val="single" w:sz="8" w:space="0" w:color="auto"/>
              <w:right w:val="single" w:sz="8" w:space="0" w:color="auto"/>
            </w:tcBorders>
            <w:shd w:val="clear" w:color="000000" w:fill="FFFFFF"/>
            <w:vAlign w:val="center"/>
            <w:hideMark/>
          </w:tcPr>
          <w:p w14:paraId="38AD9CFD" w14:textId="77777777" w:rsidR="00A86815" w:rsidRPr="00A86815" w:rsidRDefault="00A86815" w:rsidP="00A86815">
            <w:pPr>
              <w:jc w:val="center"/>
              <w:rPr>
                <w:rFonts w:ascii="Calibri" w:eastAsia="Times New Roman" w:hAnsi="Calibri" w:cs="Times New Roman"/>
                <w:color w:val="000000"/>
                <w:szCs w:val="20"/>
              </w:rPr>
            </w:pPr>
            <w:r w:rsidRPr="00A86815">
              <w:rPr>
                <w:rFonts w:ascii="Calibri" w:eastAsia="Times New Roman" w:hAnsi="Calibri" w:cs="Times New Roman"/>
                <w:color w:val="000000"/>
                <w:szCs w:val="20"/>
              </w:rPr>
              <w:t> </w:t>
            </w:r>
          </w:p>
        </w:tc>
        <w:tc>
          <w:tcPr>
            <w:tcW w:w="1189" w:type="dxa"/>
            <w:tcBorders>
              <w:top w:val="nil"/>
              <w:left w:val="nil"/>
              <w:bottom w:val="single" w:sz="8" w:space="0" w:color="auto"/>
              <w:right w:val="single" w:sz="8" w:space="0" w:color="auto"/>
            </w:tcBorders>
            <w:shd w:val="clear" w:color="000000" w:fill="FFFFFF"/>
            <w:vAlign w:val="center"/>
            <w:hideMark/>
          </w:tcPr>
          <w:p w14:paraId="776C6E8C" w14:textId="77777777" w:rsidR="00A86815" w:rsidRPr="00A86815" w:rsidRDefault="00A86815" w:rsidP="00A86815">
            <w:pPr>
              <w:jc w:val="center"/>
              <w:rPr>
                <w:rFonts w:ascii="Calibri" w:eastAsia="Times New Roman" w:hAnsi="Calibri" w:cs="Times New Roman"/>
                <w:color w:val="000000"/>
                <w:szCs w:val="20"/>
              </w:rPr>
            </w:pPr>
            <w:r w:rsidRPr="00A86815">
              <w:rPr>
                <w:rFonts w:ascii="Calibri" w:eastAsia="Times New Roman" w:hAnsi="Calibri" w:cs="Times New Roman"/>
                <w:color w:val="000000"/>
                <w:szCs w:val="20"/>
              </w:rPr>
              <w:t> </w:t>
            </w:r>
          </w:p>
        </w:tc>
      </w:tr>
      <w:tr w:rsidR="00A86815" w:rsidRPr="00A86815" w14:paraId="1C234F34" w14:textId="77777777" w:rsidTr="00D16E63">
        <w:trPr>
          <w:trHeight w:val="340"/>
        </w:trPr>
        <w:tc>
          <w:tcPr>
            <w:tcW w:w="4560" w:type="dxa"/>
            <w:tcBorders>
              <w:top w:val="nil"/>
              <w:left w:val="single" w:sz="8" w:space="0" w:color="auto"/>
              <w:bottom w:val="single" w:sz="8" w:space="0" w:color="auto"/>
              <w:right w:val="single" w:sz="8" w:space="0" w:color="auto"/>
            </w:tcBorders>
            <w:shd w:val="clear" w:color="000000" w:fill="FFFFFF"/>
            <w:vAlign w:val="center"/>
            <w:hideMark/>
          </w:tcPr>
          <w:p w14:paraId="64526C85" w14:textId="58CC6DCC" w:rsidR="00A86815" w:rsidRPr="00A86815" w:rsidRDefault="00A86815" w:rsidP="00DA1AB4">
            <w:pPr>
              <w:jc w:val="left"/>
              <w:rPr>
                <w:rFonts w:ascii="Calibri" w:eastAsia="Times New Roman" w:hAnsi="Calibri" w:cs="Times New Roman"/>
                <w:color w:val="000000"/>
                <w:szCs w:val="20"/>
              </w:rPr>
            </w:pPr>
            <w:r w:rsidRPr="00A86815">
              <w:rPr>
                <w:rFonts w:ascii="Calibri" w:eastAsia="Times New Roman" w:hAnsi="Calibri" w:cs="Times New Roman"/>
                <w:color w:val="000000"/>
                <w:szCs w:val="20"/>
              </w:rPr>
              <w:t xml:space="preserve">R18 : Stock-options et attribution gratuite d’actions </w:t>
            </w:r>
            <w:r w:rsidRPr="00A86815">
              <w:rPr>
                <w:rFonts w:ascii="Calibri" w:eastAsia="Times New Roman" w:hAnsi="Calibri" w:cs="Times New Roman"/>
                <w:color w:val="000000"/>
                <w:szCs w:val="20"/>
                <w:vertAlign w:val="superscript"/>
              </w:rPr>
              <w:t>(</w:t>
            </w:r>
            <w:r w:rsidR="00DA1AB4">
              <w:rPr>
                <w:rFonts w:ascii="Calibri" w:eastAsia="Times New Roman" w:hAnsi="Calibri" w:cs="Times New Roman"/>
                <w:color w:val="000000"/>
                <w:szCs w:val="20"/>
                <w:vertAlign w:val="superscript"/>
              </w:rPr>
              <w:t>5</w:t>
            </w:r>
            <w:r w:rsidRPr="00A86815">
              <w:rPr>
                <w:rFonts w:ascii="Calibri" w:eastAsia="Times New Roman" w:hAnsi="Calibri" w:cs="Times New Roman"/>
                <w:color w:val="000000"/>
                <w:szCs w:val="20"/>
                <w:vertAlign w:val="superscript"/>
              </w:rPr>
              <w:t>)</w:t>
            </w:r>
          </w:p>
        </w:tc>
        <w:tc>
          <w:tcPr>
            <w:tcW w:w="1300" w:type="dxa"/>
            <w:tcBorders>
              <w:top w:val="nil"/>
              <w:left w:val="nil"/>
              <w:bottom w:val="single" w:sz="8" w:space="0" w:color="auto"/>
              <w:right w:val="single" w:sz="8" w:space="0" w:color="auto"/>
            </w:tcBorders>
            <w:shd w:val="clear" w:color="000000" w:fill="FFFFFF"/>
            <w:vAlign w:val="center"/>
            <w:hideMark/>
          </w:tcPr>
          <w:p w14:paraId="491A26D9" w14:textId="77777777" w:rsidR="00A86815" w:rsidRPr="00A86815" w:rsidRDefault="00A86815" w:rsidP="00A86815">
            <w:pPr>
              <w:jc w:val="center"/>
              <w:rPr>
                <w:rFonts w:ascii="Calibri" w:eastAsia="Times New Roman" w:hAnsi="Calibri" w:cs="Times New Roman"/>
                <w:color w:val="000000"/>
                <w:szCs w:val="20"/>
              </w:rPr>
            </w:pPr>
            <w:r w:rsidRPr="00A86815">
              <w:rPr>
                <w:rFonts w:ascii="Calibri" w:eastAsia="Times New Roman" w:hAnsi="Calibri" w:cs="Times New Roman"/>
                <w:color w:val="000000"/>
                <w:szCs w:val="20"/>
              </w:rPr>
              <w:t>X</w:t>
            </w:r>
          </w:p>
        </w:tc>
        <w:tc>
          <w:tcPr>
            <w:tcW w:w="1300" w:type="dxa"/>
            <w:gridSpan w:val="2"/>
            <w:tcBorders>
              <w:top w:val="nil"/>
              <w:left w:val="nil"/>
              <w:bottom w:val="single" w:sz="8" w:space="0" w:color="auto"/>
              <w:right w:val="single" w:sz="8" w:space="0" w:color="auto"/>
            </w:tcBorders>
            <w:shd w:val="clear" w:color="000000" w:fill="FFFFFF"/>
            <w:vAlign w:val="center"/>
            <w:hideMark/>
          </w:tcPr>
          <w:p w14:paraId="0B512854" w14:textId="77777777" w:rsidR="00A86815" w:rsidRPr="00A86815" w:rsidRDefault="00A86815" w:rsidP="00A86815">
            <w:pPr>
              <w:jc w:val="center"/>
              <w:rPr>
                <w:rFonts w:ascii="Calibri" w:eastAsia="Times New Roman" w:hAnsi="Calibri" w:cs="Times New Roman"/>
                <w:color w:val="000000"/>
                <w:szCs w:val="20"/>
              </w:rPr>
            </w:pPr>
            <w:r w:rsidRPr="00A86815">
              <w:rPr>
                <w:rFonts w:ascii="Calibri" w:eastAsia="Times New Roman" w:hAnsi="Calibri" w:cs="Times New Roman"/>
                <w:color w:val="000000"/>
                <w:szCs w:val="20"/>
              </w:rPr>
              <w:t> </w:t>
            </w:r>
          </w:p>
        </w:tc>
        <w:tc>
          <w:tcPr>
            <w:tcW w:w="1300" w:type="dxa"/>
            <w:gridSpan w:val="2"/>
            <w:tcBorders>
              <w:top w:val="nil"/>
              <w:left w:val="nil"/>
              <w:bottom w:val="single" w:sz="8" w:space="0" w:color="auto"/>
              <w:right w:val="single" w:sz="8" w:space="0" w:color="auto"/>
            </w:tcBorders>
            <w:shd w:val="clear" w:color="000000" w:fill="FFFFFF"/>
            <w:vAlign w:val="center"/>
            <w:hideMark/>
          </w:tcPr>
          <w:p w14:paraId="4384DBA8" w14:textId="77777777" w:rsidR="00A86815" w:rsidRPr="00A86815" w:rsidRDefault="00A86815" w:rsidP="00A86815">
            <w:pPr>
              <w:jc w:val="center"/>
              <w:rPr>
                <w:rFonts w:ascii="Calibri" w:eastAsia="Times New Roman" w:hAnsi="Calibri" w:cs="Times New Roman"/>
                <w:color w:val="000000"/>
                <w:szCs w:val="20"/>
              </w:rPr>
            </w:pPr>
            <w:r w:rsidRPr="00A86815">
              <w:rPr>
                <w:rFonts w:ascii="Calibri" w:eastAsia="Times New Roman" w:hAnsi="Calibri" w:cs="Times New Roman"/>
                <w:color w:val="000000"/>
                <w:szCs w:val="20"/>
              </w:rPr>
              <w:t> </w:t>
            </w:r>
          </w:p>
        </w:tc>
        <w:tc>
          <w:tcPr>
            <w:tcW w:w="1189" w:type="dxa"/>
            <w:tcBorders>
              <w:top w:val="nil"/>
              <w:left w:val="nil"/>
              <w:bottom w:val="single" w:sz="8" w:space="0" w:color="auto"/>
              <w:right w:val="single" w:sz="8" w:space="0" w:color="auto"/>
            </w:tcBorders>
            <w:shd w:val="clear" w:color="000000" w:fill="FFFFFF"/>
            <w:vAlign w:val="center"/>
            <w:hideMark/>
          </w:tcPr>
          <w:p w14:paraId="5AEB9E43" w14:textId="77777777" w:rsidR="00A86815" w:rsidRPr="00A86815" w:rsidRDefault="00A86815" w:rsidP="00A86815">
            <w:pPr>
              <w:jc w:val="center"/>
              <w:rPr>
                <w:rFonts w:ascii="Calibri" w:eastAsia="Times New Roman" w:hAnsi="Calibri" w:cs="Times New Roman"/>
                <w:color w:val="000000"/>
                <w:szCs w:val="20"/>
              </w:rPr>
            </w:pPr>
            <w:r w:rsidRPr="00A86815">
              <w:rPr>
                <w:rFonts w:ascii="Calibri" w:eastAsia="Times New Roman" w:hAnsi="Calibri" w:cs="Times New Roman"/>
                <w:color w:val="000000"/>
                <w:szCs w:val="20"/>
              </w:rPr>
              <w:t> </w:t>
            </w:r>
          </w:p>
        </w:tc>
      </w:tr>
      <w:tr w:rsidR="00A86815" w:rsidRPr="00A86815" w14:paraId="7FDEF115" w14:textId="77777777" w:rsidTr="00D16E63">
        <w:trPr>
          <w:trHeight w:val="320"/>
        </w:trPr>
        <w:tc>
          <w:tcPr>
            <w:tcW w:w="4560" w:type="dxa"/>
            <w:tcBorders>
              <w:top w:val="nil"/>
              <w:left w:val="single" w:sz="8" w:space="0" w:color="auto"/>
              <w:bottom w:val="single" w:sz="8" w:space="0" w:color="auto"/>
              <w:right w:val="single" w:sz="8" w:space="0" w:color="auto"/>
            </w:tcBorders>
            <w:shd w:val="clear" w:color="000000" w:fill="FFFFFF"/>
            <w:vAlign w:val="center"/>
            <w:hideMark/>
          </w:tcPr>
          <w:p w14:paraId="11A22FB9" w14:textId="77777777" w:rsidR="00A86815" w:rsidRPr="00A86815" w:rsidRDefault="00A86815" w:rsidP="00A86815">
            <w:pPr>
              <w:jc w:val="left"/>
              <w:rPr>
                <w:rFonts w:ascii="Calibri" w:eastAsia="Times New Roman" w:hAnsi="Calibri" w:cs="Times New Roman"/>
                <w:color w:val="000000"/>
                <w:szCs w:val="20"/>
              </w:rPr>
            </w:pPr>
            <w:r w:rsidRPr="00A86815">
              <w:rPr>
                <w:rFonts w:ascii="Calibri" w:eastAsia="Times New Roman" w:hAnsi="Calibri" w:cs="Times New Roman"/>
                <w:color w:val="000000"/>
                <w:szCs w:val="20"/>
              </w:rPr>
              <w:t>R19 : Revue des points de vigilance</w:t>
            </w:r>
          </w:p>
        </w:tc>
        <w:tc>
          <w:tcPr>
            <w:tcW w:w="1300" w:type="dxa"/>
            <w:tcBorders>
              <w:top w:val="nil"/>
              <w:left w:val="nil"/>
              <w:bottom w:val="single" w:sz="8" w:space="0" w:color="auto"/>
              <w:right w:val="single" w:sz="8" w:space="0" w:color="auto"/>
            </w:tcBorders>
            <w:shd w:val="clear" w:color="000000" w:fill="FFFFFF"/>
            <w:vAlign w:val="center"/>
            <w:hideMark/>
          </w:tcPr>
          <w:p w14:paraId="160D77AB" w14:textId="77777777" w:rsidR="00A86815" w:rsidRPr="00A86815" w:rsidRDefault="00A86815" w:rsidP="00A86815">
            <w:pPr>
              <w:jc w:val="center"/>
              <w:rPr>
                <w:rFonts w:ascii="Calibri" w:eastAsia="Times New Roman" w:hAnsi="Calibri" w:cs="Times New Roman"/>
                <w:color w:val="000000"/>
                <w:szCs w:val="20"/>
              </w:rPr>
            </w:pPr>
            <w:r w:rsidRPr="00A86815">
              <w:rPr>
                <w:rFonts w:ascii="Calibri" w:eastAsia="Times New Roman" w:hAnsi="Calibri" w:cs="Times New Roman"/>
                <w:color w:val="000000"/>
                <w:szCs w:val="20"/>
              </w:rPr>
              <w:t>X</w:t>
            </w:r>
          </w:p>
        </w:tc>
        <w:tc>
          <w:tcPr>
            <w:tcW w:w="1300" w:type="dxa"/>
            <w:gridSpan w:val="2"/>
            <w:tcBorders>
              <w:top w:val="nil"/>
              <w:left w:val="nil"/>
              <w:bottom w:val="single" w:sz="8" w:space="0" w:color="auto"/>
              <w:right w:val="single" w:sz="8" w:space="0" w:color="auto"/>
            </w:tcBorders>
            <w:shd w:val="clear" w:color="000000" w:fill="FFFFFF"/>
            <w:vAlign w:val="center"/>
            <w:hideMark/>
          </w:tcPr>
          <w:p w14:paraId="1DB49C16" w14:textId="77777777" w:rsidR="00A86815" w:rsidRPr="00A86815" w:rsidRDefault="00A86815" w:rsidP="00A86815">
            <w:pPr>
              <w:jc w:val="center"/>
              <w:rPr>
                <w:rFonts w:ascii="Calibri" w:eastAsia="Times New Roman" w:hAnsi="Calibri" w:cs="Times New Roman"/>
                <w:color w:val="000000"/>
                <w:szCs w:val="20"/>
              </w:rPr>
            </w:pPr>
            <w:r w:rsidRPr="00A86815">
              <w:rPr>
                <w:rFonts w:ascii="Calibri" w:eastAsia="Times New Roman" w:hAnsi="Calibri" w:cs="Times New Roman"/>
                <w:color w:val="000000"/>
                <w:szCs w:val="20"/>
              </w:rPr>
              <w:t> </w:t>
            </w:r>
          </w:p>
        </w:tc>
        <w:tc>
          <w:tcPr>
            <w:tcW w:w="1300" w:type="dxa"/>
            <w:gridSpan w:val="2"/>
            <w:tcBorders>
              <w:top w:val="nil"/>
              <w:left w:val="nil"/>
              <w:bottom w:val="single" w:sz="8" w:space="0" w:color="auto"/>
              <w:right w:val="single" w:sz="8" w:space="0" w:color="auto"/>
            </w:tcBorders>
            <w:shd w:val="clear" w:color="000000" w:fill="FFFFFF"/>
            <w:vAlign w:val="center"/>
            <w:hideMark/>
          </w:tcPr>
          <w:p w14:paraId="34D4BDFA" w14:textId="77777777" w:rsidR="00A86815" w:rsidRPr="00A86815" w:rsidRDefault="00A86815" w:rsidP="00A86815">
            <w:pPr>
              <w:jc w:val="center"/>
              <w:rPr>
                <w:rFonts w:ascii="Calibri" w:eastAsia="Times New Roman" w:hAnsi="Calibri" w:cs="Times New Roman"/>
                <w:color w:val="000000"/>
                <w:szCs w:val="20"/>
              </w:rPr>
            </w:pPr>
            <w:r w:rsidRPr="00A86815">
              <w:rPr>
                <w:rFonts w:ascii="Calibri" w:eastAsia="Times New Roman" w:hAnsi="Calibri" w:cs="Times New Roman"/>
                <w:color w:val="000000"/>
                <w:szCs w:val="20"/>
              </w:rPr>
              <w:t> </w:t>
            </w:r>
          </w:p>
        </w:tc>
        <w:tc>
          <w:tcPr>
            <w:tcW w:w="1189" w:type="dxa"/>
            <w:tcBorders>
              <w:top w:val="nil"/>
              <w:left w:val="nil"/>
              <w:bottom w:val="single" w:sz="8" w:space="0" w:color="auto"/>
              <w:right w:val="single" w:sz="8" w:space="0" w:color="auto"/>
            </w:tcBorders>
            <w:shd w:val="clear" w:color="000000" w:fill="FFFFFF"/>
            <w:vAlign w:val="center"/>
            <w:hideMark/>
          </w:tcPr>
          <w:p w14:paraId="6088EC52" w14:textId="77777777" w:rsidR="00A86815" w:rsidRPr="00A86815" w:rsidRDefault="00A86815" w:rsidP="00A86815">
            <w:pPr>
              <w:jc w:val="center"/>
              <w:rPr>
                <w:rFonts w:ascii="Calibri" w:eastAsia="Times New Roman" w:hAnsi="Calibri" w:cs="Times New Roman"/>
                <w:color w:val="000000"/>
                <w:szCs w:val="20"/>
              </w:rPr>
            </w:pPr>
            <w:r w:rsidRPr="00A86815">
              <w:rPr>
                <w:rFonts w:ascii="Calibri" w:eastAsia="Times New Roman" w:hAnsi="Calibri" w:cs="Times New Roman"/>
                <w:color w:val="000000"/>
                <w:szCs w:val="20"/>
              </w:rPr>
              <w:t> </w:t>
            </w:r>
          </w:p>
        </w:tc>
      </w:tr>
    </w:tbl>
    <w:p w14:paraId="57B4EC61" w14:textId="77777777" w:rsidR="00DA1AB4" w:rsidRPr="006B3490" w:rsidRDefault="00DA1AB4" w:rsidP="00DA1AB4">
      <w:pPr>
        <w:textAlignment w:val="baseline"/>
        <w:rPr>
          <w:rFonts w:eastAsia="Tahoma" w:cstheme="majorHAnsi"/>
          <w:sz w:val="18"/>
          <w:szCs w:val="18"/>
        </w:rPr>
      </w:pPr>
      <w:r w:rsidRPr="006B3490">
        <w:rPr>
          <w:rFonts w:eastAsia="Tahoma" w:cstheme="majorHAnsi"/>
          <w:sz w:val="18"/>
          <w:szCs w:val="18"/>
        </w:rPr>
        <w:lastRenderedPageBreak/>
        <w:t>(1) Compte tenu de sa taille et de celle de son Conseil, la Société n’a pas mis en place de comités spécialisés (audit, rémunérations, nominations, stratégiques, etc.) et n’envisage pas d’en créer.  </w:t>
      </w:r>
    </w:p>
    <w:p w14:paraId="52DD3807" w14:textId="77777777" w:rsidR="00DA1AB4" w:rsidRPr="0071767B" w:rsidRDefault="00DA1AB4" w:rsidP="00DA1AB4">
      <w:pPr>
        <w:rPr>
          <w:sz w:val="18"/>
          <w:szCs w:val="18"/>
        </w:rPr>
      </w:pPr>
      <w:r w:rsidRPr="0071767B">
        <w:rPr>
          <w:sz w:val="18"/>
          <w:szCs w:val="18"/>
        </w:rPr>
        <w:t>(</w:t>
      </w:r>
      <w:r>
        <w:rPr>
          <w:sz w:val="18"/>
          <w:szCs w:val="18"/>
        </w:rPr>
        <w:t>2</w:t>
      </w:r>
      <w:r w:rsidRPr="0071767B">
        <w:rPr>
          <w:sz w:val="18"/>
          <w:szCs w:val="18"/>
        </w:rPr>
        <w:t xml:space="preserve">) Seule la recommandation sur l’échelonnement du renouvellement des mandats des administrations n’est pas suivie par la Société, les autres éléments de la recommandation étant suivis par la Société. </w:t>
      </w:r>
    </w:p>
    <w:p w14:paraId="362FB700" w14:textId="40796613" w:rsidR="00DD06F3" w:rsidRPr="00DD06F3" w:rsidRDefault="00DA1AB4" w:rsidP="00DD06F3">
      <w:pPr>
        <w:textAlignment w:val="baseline"/>
        <w:rPr>
          <w:rFonts w:eastAsia="Tahoma" w:cstheme="majorHAnsi"/>
          <w:sz w:val="18"/>
          <w:szCs w:val="18"/>
        </w:rPr>
      </w:pPr>
      <w:r w:rsidRPr="006B3490">
        <w:rPr>
          <w:rFonts w:eastAsia="Tahoma" w:cstheme="majorHAnsi"/>
          <w:sz w:val="18"/>
          <w:szCs w:val="18"/>
        </w:rPr>
        <w:t xml:space="preserve">(3) La Société ne souhaite pas suivre la Recommandation </w:t>
      </w:r>
      <w:r w:rsidR="00E513E0">
        <w:rPr>
          <w:rFonts w:eastAsia="Tahoma" w:cstheme="majorHAnsi"/>
          <w:sz w:val="18"/>
          <w:szCs w:val="18"/>
        </w:rPr>
        <w:t>n°</w:t>
      </w:r>
      <w:r w:rsidRPr="006B3490">
        <w:rPr>
          <w:rFonts w:eastAsia="Tahoma" w:cstheme="majorHAnsi"/>
          <w:sz w:val="18"/>
          <w:szCs w:val="18"/>
        </w:rPr>
        <w:t>14 dans la mesure où elle estime que, compte tenu de l’âge de son dirigeant actuel, le sujet de sa succession n’est pas d’actualité.</w:t>
      </w:r>
    </w:p>
    <w:p w14:paraId="72E70F0D" w14:textId="77777777" w:rsidR="00AC3B77" w:rsidRDefault="00AC3B77" w:rsidP="00AC3B77"/>
    <w:p w14:paraId="00EFFC6F" w14:textId="0C4DAF36" w:rsidR="005033E1" w:rsidRPr="005033E1" w:rsidRDefault="005033E1" w:rsidP="005033E1">
      <w:r w:rsidRPr="005033E1">
        <w:t xml:space="preserve">Compte tenu de la taille de </w:t>
      </w:r>
      <w:r>
        <w:t>Spineway</w:t>
      </w:r>
      <w:r w:rsidRPr="005033E1">
        <w:t xml:space="preserve">, il n’a pas été mis en place de structure spécifique et/ou de réunion formelle (exécutive session) des administrateurs, en ce compris </w:t>
      </w:r>
      <w:r w:rsidR="00E513E0">
        <w:t>des</w:t>
      </w:r>
      <w:r w:rsidR="00E513E0" w:rsidRPr="005033E1">
        <w:t xml:space="preserve"> </w:t>
      </w:r>
      <w:r w:rsidRPr="005033E1">
        <w:t xml:space="preserve">administrateurs indépendants. Conformément à la possibilité prévue par la partie « Contexte » de la Recommandation </w:t>
      </w:r>
      <w:r w:rsidR="00C721AC">
        <w:t>n°</w:t>
      </w:r>
      <w:r w:rsidRPr="005033E1">
        <w:t>5</w:t>
      </w:r>
      <w:r w:rsidR="00C721AC">
        <w:t xml:space="preserve"> du code de gouvernement d’entreprise Middlenext</w:t>
      </w:r>
      <w:r w:rsidRPr="005033E1">
        <w:t>, les échanges entre administrateurs, en ce compris ceux hors la présence du ou des dirigeants, se font de manière informelle</w:t>
      </w:r>
      <w:r>
        <w:t>.</w:t>
      </w:r>
    </w:p>
    <w:p w14:paraId="11B3D1D8" w14:textId="77777777" w:rsidR="005033E1" w:rsidRDefault="005033E1" w:rsidP="00AC3B77"/>
    <w:p w14:paraId="597582EF" w14:textId="77777777" w:rsidR="00DD06F3" w:rsidRPr="00DD06F3" w:rsidRDefault="00DD06F3" w:rsidP="00DD06F3">
      <w:r w:rsidRPr="00DD06F3">
        <w:t>Au cours de l’année 2020, le Conseil d’administration s’est réuni à 7 reprises et le taux de présence des administrateurs a été de 67,85 % (présence physique ou bien par visioconférence). </w:t>
      </w:r>
    </w:p>
    <w:p w14:paraId="0C2CDF0C" w14:textId="77777777" w:rsidR="00DD06F3" w:rsidRDefault="00DD06F3" w:rsidP="00DD06F3">
      <w:pPr>
        <w:widowControl w:val="0"/>
        <w:autoSpaceDE w:val="0"/>
        <w:autoSpaceDN w:val="0"/>
        <w:adjustRightInd w:val="0"/>
        <w:rPr>
          <w:sz w:val="18"/>
          <w:szCs w:val="18"/>
        </w:rPr>
      </w:pPr>
    </w:p>
    <w:p w14:paraId="11A68543" w14:textId="77777777" w:rsidR="000A2AE4" w:rsidRDefault="000A2AE4" w:rsidP="00AC3B77">
      <w:pPr>
        <w:widowControl w:val="0"/>
        <w:autoSpaceDE w:val="0"/>
        <w:autoSpaceDN w:val="0"/>
        <w:adjustRightInd w:val="0"/>
        <w:rPr>
          <w:sz w:val="18"/>
          <w:szCs w:val="18"/>
        </w:rPr>
      </w:pPr>
    </w:p>
    <w:p w14:paraId="1C852179" w14:textId="5D3D0875" w:rsidR="000A2AE4" w:rsidRDefault="000A2AE4" w:rsidP="000A2AE4">
      <w:pPr>
        <w:pStyle w:val="Titre2"/>
      </w:pPr>
      <w:bookmarkStart w:id="249" w:name="_Toc475033245"/>
      <w:r>
        <w:t>1</w:t>
      </w:r>
      <w:r w:rsidR="00A247E0">
        <w:t>4</w:t>
      </w:r>
      <w:r>
        <w:t>.5 Contrôle interne</w:t>
      </w:r>
      <w:bookmarkEnd w:id="249"/>
      <w:r>
        <w:tab/>
      </w:r>
    </w:p>
    <w:p w14:paraId="3C5319E8" w14:textId="77777777" w:rsidR="000A2AE4" w:rsidRDefault="000A2AE4" w:rsidP="00AC3B77">
      <w:pPr>
        <w:widowControl w:val="0"/>
        <w:autoSpaceDE w:val="0"/>
        <w:autoSpaceDN w:val="0"/>
        <w:adjustRightInd w:val="0"/>
        <w:rPr>
          <w:sz w:val="18"/>
          <w:szCs w:val="18"/>
        </w:rPr>
      </w:pPr>
    </w:p>
    <w:p w14:paraId="4182CC77" w14:textId="77777777" w:rsidR="00DD06F3" w:rsidRPr="006B3490" w:rsidRDefault="00DD06F3" w:rsidP="00DD06F3">
      <w:pPr>
        <w:rPr>
          <w:rFonts w:eastAsia="Times New Roman" w:cstheme="majorHAnsi"/>
          <w:szCs w:val="20"/>
        </w:rPr>
      </w:pPr>
      <w:r w:rsidRPr="006B3490">
        <w:rPr>
          <w:rFonts w:eastAsia="Times New Roman" w:cstheme="majorHAnsi"/>
          <w:szCs w:val="20"/>
        </w:rPr>
        <w:t xml:space="preserve">La Société a mis en place des dispositions en matière de contrôle interne en vue d’assurer une gestion financière rigoureuse et une maîtrise des risques. </w:t>
      </w:r>
    </w:p>
    <w:p w14:paraId="51EAB75D" w14:textId="77777777" w:rsidR="00DD06F3" w:rsidRPr="006B3490" w:rsidRDefault="00DD06F3" w:rsidP="00DD06F3">
      <w:pPr>
        <w:rPr>
          <w:rFonts w:eastAsia="Times New Roman" w:cstheme="majorHAnsi"/>
          <w:szCs w:val="20"/>
        </w:rPr>
      </w:pPr>
    </w:p>
    <w:p w14:paraId="3489453A" w14:textId="77777777" w:rsidR="00DD06F3" w:rsidRPr="006B3490" w:rsidRDefault="00DD06F3" w:rsidP="00DD06F3">
      <w:pPr>
        <w:rPr>
          <w:rFonts w:eastAsia="Times New Roman" w:cstheme="majorHAnsi"/>
          <w:szCs w:val="20"/>
        </w:rPr>
      </w:pPr>
      <w:r w:rsidRPr="006B3490">
        <w:rPr>
          <w:rFonts w:eastAsia="Times New Roman" w:cstheme="majorHAnsi"/>
          <w:szCs w:val="20"/>
        </w:rPr>
        <w:t xml:space="preserve">Une description des principales dispositions existantes en matière de contrôle interne est présentée ci-dessous. </w:t>
      </w:r>
    </w:p>
    <w:p w14:paraId="11317EC4" w14:textId="77777777" w:rsidR="00DD06F3" w:rsidRPr="006B3490" w:rsidRDefault="00DD06F3" w:rsidP="00DD06F3">
      <w:pPr>
        <w:rPr>
          <w:rFonts w:eastAsia="Times New Roman" w:cstheme="majorHAnsi"/>
          <w:szCs w:val="20"/>
        </w:rPr>
      </w:pPr>
    </w:p>
    <w:p w14:paraId="32D8DDA0" w14:textId="77777777" w:rsidR="00DD06F3" w:rsidRPr="006B3490" w:rsidRDefault="00DD06F3" w:rsidP="00DD06F3">
      <w:pPr>
        <w:rPr>
          <w:rFonts w:eastAsia="Times New Roman" w:cstheme="majorHAnsi"/>
          <w:szCs w:val="20"/>
        </w:rPr>
      </w:pPr>
      <w:r w:rsidRPr="006B3490">
        <w:rPr>
          <w:rFonts w:eastAsia="Times New Roman" w:cstheme="majorHAnsi"/>
          <w:szCs w:val="20"/>
        </w:rPr>
        <w:t xml:space="preserve">Le système de contrôle interne du Groupe est constitué d’un ensemble de mécanismes de contrôle et de services externes mis en place par la direction en vue d’assurer une gestion saine et efficace des affaires et des biens de l’entreprise. </w:t>
      </w:r>
    </w:p>
    <w:p w14:paraId="44BB1459" w14:textId="77777777" w:rsidR="00DD06F3" w:rsidRPr="006B3490" w:rsidRDefault="00DD06F3" w:rsidP="00DD06F3">
      <w:pPr>
        <w:rPr>
          <w:rFonts w:eastAsia="Times New Roman" w:cstheme="majorHAnsi"/>
          <w:szCs w:val="20"/>
        </w:rPr>
      </w:pPr>
    </w:p>
    <w:p w14:paraId="58087046" w14:textId="77777777" w:rsidR="00DD06F3" w:rsidRPr="006B3490" w:rsidRDefault="00DD06F3" w:rsidP="00DD06F3">
      <w:pPr>
        <w:rPr>
          <w:rFonts w:eastAsia="Times New Roman" w:cstheme="majorHAnsi"/>
          <w:b/>
          <w:bCs/>
          <w:szCs w:val="20"/>
        </w:rPr>
      </w:pPr>
      <w:r w:rsidRPr="006B3490">
        <w:rPr>
          <w:rFonts w:eastAsia="Times New Roman" w:cstheme="majorHAnsi"/>
          <w:b/>
          <w:bCs/>
          <w:szCs w:val="20"/>
        </w:rPr>
        <w:t>Informations comptables et financières</w:t>
      </w:r>
      <w:r w:rsidRPr="006B3490">
        <w:rPr>
          <w:rFonts w:eastAsia="Times New Roman" w:cstheme="majorHAnsi"/>
          <w:bCs/>
          <w:szCs w:val="20"/>
        </w:rPr>
        <w:t xml:space="preserve"> :</w:t>
      </w:r>
      <w:r w:rsidRPr="006B3490">
        <w:rPr>
          <w:rFonts w:eastAsia="Times New Roman" w:cstheme="majorHAnsi"/>
          <w:b/>
          <w:bCs/>
          <w:szCs w:val="20"/>
        </w:rPr>
        <w:t xml:space="preserve"> </w:t>
      </w:r>
    </w:p>
    <w:p w14:paraId="56C81461" w14:textId="77777777" w:rsidR="00DD06F3" w:rsidRPr="006B3490" w:rsidRDefault="00DD06F3" w:rsidP="00DD06F3">
      <w:pPr>
        <w:rPr>
          <w:rFonts w:eastAsia="Times New Roman" w:cstheme="majorHAnsi"/>
          <w:szCs w:val="20"/>
        </w:rPr>
      </w:pPr>
    </w:p>
    <w:p w14:paraId="54C2BD1B" w14:textId="6C99495F" w:rsidR="00DD06F3" w:rsidRPr="006B3490" w:rsidRDefault="00DD06F3" w:rsidP="00DD06F3">
      <w:pPr>
        <w:rPr>
          <w:rFonts w:eastAsia="Times New Roman" w:cstheme="majorHAnsi"/>
          <w:szCs w:val="20"/>
        </w:rPr>
      </w:pPr>
      <w:r w:rsidRPr="006B3490">
        <w:rPr>
          <w:rFonts w:eastAsia="Times New Roman" w:cstheme="majorHAnsi"/>
          <w:szCs w:val="20"/>
        </w:rPr>
        <w:t xml:space="preserve">La tenue de la comptabilité de la société est régie par le code de commerce et, plus généralement, par l’environnement légal et réglementaire, en conformité avec les dispositions du </w:t>
      </w:r>
      <w:r w:rsidR="00C216CC">
        <w:rPr>
          <w:rFonts w:eastAsia="Times New Roman" w:cstheme="majorHAnsi"/>
          <w:szCs w:val="20"/>
        </w:rPr>
        <w:t>p</w:t>
      </w:r>
      <w:r w:rsidRPr="006B3490">
        <w:rPr>
          <w:rFonts w:eastAsia="Times New Roman" w:cstheme="majorHAnsi"/>
          <w:szCs w:val="20"/>
        </w:rPr>
        <w:t xml:space="preserve">lan </w:t>
      </w:r>
      <w:r w:rsidR="00C216CC">
        <w:rPr>
          <w:rFonts w:eastAsia="Times New Roman" w:cstheme="majorHAnsi"/>
          <w:szCs w:val="20"/>
        </w:rPr>
        <w:t>c</w:t>
      </w:r>
      <w:r w:rsidRPr="006B3490">
        <w:rPr>
          <w:rFonts w:eastAsia="Times New Roman" w:cstheme="majorHAnsi"/>
          <w:szCs w:val="20"/>
        </w:rPr>
        <w:t xml:space="preserve">omptable </w:t>
      </w:r>
      <w:r w:rsidR="00C216CC">
        <w:rPr>
          <w:rFonts w:eastAsia="Times New Roman" w:cstheme="majorHAnsi"/>
          <w:szCs w:val="20"/>
        </w:rPr>
        <w:t>g</w:t>
      </w:r>
      <w:r w:rsidRPr="006B3490">
        <w:rPr>
          <w:rFonts w:eastAsia="Times New Roman" w:cstheme="majorHAnsi"/>
          <w:szCs w:val="20"/>
        </w:rPr>
        <w:t xml:space="preserve">énéral. </w:t>
      </w:r>
    </w:p>
    <w:p w14:paraId="4DDD95EA" w14:textId="77777777" w:rsidR="00DD06F3" w:rsidRPr="006B3490" w:rsidRDefault="00DD06F3" w:rsidP="00DD06F3">
      <w:pPr>
        <w:rPr>
          <w:rFonts w:eastAsia="Times New Roman" w:cstheme="majorHAnsi"/>
          <w:szCs w:val="20"/>
        </w:rPr>
      </w:pPr>
      <w:r w:rsidRPr="006B3490">
        <w:rPr>
          <w:rFonts w:eastAsia="Times New Roman" w:cstheme="majorHAnsi"/>
          <w:szCs w:val="20"/>
        </w:rPr>
        <w:t xml:space="preserve">Dans ce cadre, et outre les documents obligatoires, sont établis : </w:t>
      </w:r>
    </w:p>
    <w:p w14:paraId="48CD1B6F" w14:textId="77777777" w:rsidR="00DD06F3" w:rsidRPr="006B3490" w:rsidRDefault="00DD06F3" w:rsidP="00DD06F3">
      <w:pPr>
        <w:rPr>
          <w:rFonts w:eastAsia="Times New Roman" w:cstheme="majorHAnsi"/>
          <w:szCs w:val="20"/>
        </w:rPr>
      </w:pPr>
    </w:p>
    <w:p w14:paraId="7FA23A9A" w14:textId="77777777" w:rsidR="00DD06F3" w:rsidRPr="006B3490" w:rsidRDefault="00DD06F3" w:rsidP="00C622C2">
      <w:pPr>
        <w:pStyle w:val="Paragraphedeliste"/>
        <w:numPr>
          <w:ilvl w:val="0"/>
          <w:numId w:val="62"/>
        </w:numPr>
        <w:ind w:left="567" w:hanging="567"/>
        <w:rPr>
          <w:rFonts w:eastAsia="Times New Roman" w:cstheme="majorHAnsi"/>
          <w:szCs w:val="20"/>
        </w:rPr>
      </w:pPr>
      <w:r w:rsidRPr="006B3490">
        <w:rPr>
          <w:rFonts w:eastAsia="Times New Roman" w:cstheme="majorHAnsi"/>
          <w:szCs w:val="20"/>
        </w:rPr>
        <w:t xml:space="preserve">un suivi quotidien des positions bancaires et des prévisions hebdomadaires ; </w:t>
      </w:r>
    </w:p>
    <w:p w14:paraId="0DAF1884" w14:textId="77777777" w:rsidR="00DD06F3" w:rsidRPr="006B3490" w:rsidRDefault="00DD06F3" w:rsidP="00C622C2">
      <w:pPr>
        <w:pStyle w:val="Paragraphedeliste"/>
        <w:numPr>
          <w:ilvl w:val="0"/>
          <w:numId w:val="62"/>
        </w:numPr>
        <w:ind w:left="567" w:hanging="567"/>
        <w:rPr>
          <w:rFonts w:eastAsia="Times New Roman" w:cstheme="majorHAnsi"/>
          <w:szCs w:val="20"/>
        </w:rPr>
      </w:pPr>
      <w:r w:rsidRPr="006B3490">
        <w:rPr>
          <w:rFonts w:eastAsia="Times New Roman" w:cstheme="majorHAnsi"/>
          <w:szCs w:val="20"/>
        </w:rPr>
        <w:t xml:space="preserve">une situation hebdomadaire de la facturation ; </w:t>
      </w:r>
    </w:p>
    <w:p w14:paraId="114C2918" w14:textId="77777777" w:rsidR="00DD06F3" w:rsidRPr="006B3490" w:rsidRDefault="00DD06F3" w:rsidP="00C622C2">
      <w:pPr>
        <w:pStyle w:val="Paragraphedeliste"/>
        <w:numPr>
          <w:ilvl w:val="0"/>
          <w:numId w:val="62"/>
        </w:numPr>
        <w:ind w:left="567" w:hanging="567"/>
        <w:rPr>
          <w:rFonts w:eastAsia="Times New Roman" w:cstheme="majorHAnsi"/>
          <w:szCs w:val="20"/>
        </w:rPr>
      </w:pPr>
      <w:r w:rsidRPr="006B3490">
        <w:rPr>
          <w:rFonts w:eastAsia="Times New Roman" w:cstheme="majorHAnsi"/>
          <w:szCs w:val="20"/>
        </w:rPr>
        <w:t xml:space="preserve">une situation mensuelle du chiffre d’affaires par client et par gamme, des encaissements et de l’encours client ainsi que des stocks ; </w:t>
      </w:r>
    </w:p>
    <w:p w14:paraId="31D1267B" w14:textId="77777777" w:rsidR="00DD06F3" w:rsidRPr="006B3490" w:rsidRDefault="00DD06F3" w:rsidP="00C622C2">
      <w:pPr>
        <w:pStyle w:val="Paragraphedeliste"/>
        <w:numPr>
          <w:ilvl w:val="0"/>
          <w:numId w:val="62"/>
        </w:numPr>
        <w:ind w:left="567" w:hanging="567"/>
        <w:rPr>
          <w:rFonts w:eastAsia="Times New Roman" w:cstheme="majorHAnsi"/>
          <w:szCs w:val="20"/>
        </w:rPr>
      </w:pPr>
      <w:r w:rsidRPr="006B3490">
        <w:rPr>
          <w:rFonts w:eastAsia="Times New Roman" w:cstheme="majorHAnsi"/>
          <w:szCs w:val="20"/>
        </w:rPr>
        <w:t>des états financiers de gestion mensuels suite à la mise en place de clôtures comptables mensuelles et le développement de nombreux reportings de gestion ;</w:t>
      </w:r>
    </w:p>
    <w:p w14:paraId="3FBE0F54" w14:textId="4FA0BA86" w:rsidR="00DD06F3" w:rsidRPr="006B3490" w:rsidRDefault="00DD06F3" w:rsidP="00C622C2">
      <w:pPr>
        <w:pStyle w:val="Paragraphedeliste"/>
        <w:numPr>
          <w:ilvl w:val="0"/>
          <w:numId w:val="62"/>
        </w:numPr>
        <w:ind w:left="567" w:hanging="567"/>
        <w:rPr>
          <w:rFonts w:eastAsia="Times New Roman" w:cstheme="majorHAnsi"/>
          <w:szCs w:val="20"/>
        </w:rPr>
      </w:pPr>
      <w:r w:rsidRPr="006B3490">
        <w:rPr>
          <w:rFonts w:eastAsia="Times New Roman" w:cstheme="majorHAnsi"/>
          <w:szCs w:val="20"/>
        </w:rPr>
        <w:t xml:space="preserve">la mise en place d’une politique de gestion de projets société commune à l’ensemble </w:t>
      </w:r>
      <w:r w:rsidR="00051CA0" w:rsidRPr="006B3490">
        <w:rPr>
          <w:rFonts w:eastAsia="Times New Roman" w:cstheme="majorHAnsi"/>
          <w:szCs w:val="20"/>
        </w:rPr>
        <w:t>des services</w:t>
      </w:r>
      <w:r w:rsidRPr="006B3490">
        <w:rPr>
          <w:rFonts w:eastAsia="Times New Roman" w:cstheme="majorHAnsi"/>
          <w:szCs w:val="20"/>
        </w:rPr>
        <w:t> ;</w:t>
      </w:r>
    </w:p>
    <w:p w14:paraId="795EF0C3" w14:textId="64207E92" w:rsidR="00DD06F3" w:rsidRPr="006B3490" w:rsidRDefault="00DD06F3" w:rsidP="00C622C2">
      <w:pPr>
        <w:pStyle w:val="Paragraphedeliste"/>
        <w:numPr>
          <w:ilvl w:val="0"/>
          <w:numId w:val="62"/>
        </w:numPr>
        <w:ind w:left="567" w:hanging="567"/>
        <w:rPr>
          <w:rFonts w:eastAsia="Times New Roman" w:cstheme="majorHAnsi"/>
          <w:szCs w:val="20"/>
        </w:rPr>
      </w:pPr>
      <w:r w:rsidRPr="006B3490">
        <w:rPr>
          <w:rFonts w:eastAsia="Times New Roman" w:cstheme="majorHAnsi"/>
          <w:szCs w:val="20"/>
        </w:rPr>
        <w:t xml:space="preserve">la mise en place de suivi </w:t>
      </w:r>
      <w:r w:rsidR="006F06C0" w:rsidRPr="006B3490">
        <w:rPr>
          <w:rFonts w:eastAsia="Times New Roman" w:cstheme="majorHAnsi"/>
          <w:szCs w:val="20"/>
        </w:rPr>
        <w:t>budgétaires</w:t>
      </w:r>
      <w:r w:rsidRPr="006B3490">
        <w:rPr>
          <w:rFonts w:eastAsia="Times New Roman" w:cstheme="majorHAnsi"/>
          <w:szCs w:val="20"/>
        </w:rPr>
        <w:t xml:space="preserve"> mensuels (analyse des écarts réel-budget) et un process de reforecasts bi-annuel à compter de 2021 ;</w:t>
      </w:r>
    </w:p>
    <w:p w14:paraId="4A477495" w14:textId="4DA4835A" w:rsidR="00DD06F3" w:rsidRPr="006B3490" w:rsidRDefault="00DD06F3" w:rsidP="00C622C2">
      <w:pPr>
        <w:pStyle w:val="Paragraphedeliste"/>
        <w:numPr>
          <w:ilvl w:val="0"/>
          <w:numId w:val="62"/>
        </w:numPr>
        <w:ind w:left="567" w:hanging="567"/>
        <w:rPr>
          <w:rFonts w:eastAsia="Times New Roman" w:cstheme="majorHAnsi"/>
          <w:szCs w:val="20"/>
        </w:rPr>
      </w:pPr>
      <w:r w:rsidRPr="006B3490">
        <w:rPr>
          <w:rFonts w:eastAsia="Times New Roman" w:cstheme="majorHAnsi"/>
          <w:szCs w:val="20"/>
        </w:rPr>
        <w:t xml:space="preserve">la mise en place d’une politique de prévisions incluant la collecte d’informations de clients et élaborée en concertation entre les départements commercial, supply et </w:t>
      </w:r>
      <w:r w:rsidR="00051CA0" w:rsidRPr="006B3490">
        <w:rPr>
          <w:rFonts w:eastAsia="Times New Roman" w:cstheme="majorHAnsi"/>
          <w:szCs w:val="20"/>
        </w:rPr>
        <w:t>finance.</w:t>
      </w:r>
      <w:r w:rsidRPr="006B3490">
        <w:rPr>
          <w:rFonts w:eastAsia="Times New Roman" w:cstheme="majorHAnsi"/>
          <w:szCs w:val="20"/>
        </w:rPr>
        <w:t xml:space="preserve"> </w:t>
      </w:r>
    </w:p>
    <w:p w14:paraId="325048D4" w14:textId="77777777" w:rsidR="00DD06F3" w:rsidRPr="006B3490" w:rsidRDefault="00DD06F3" w:rsidP="00DD06F3">
      <w:pPr>
        <w:rPr>
          <w:rFonts w:eastAsia="Times New Roman" w:cstheme="majorHAnsi"/>
          <w:szCs w:val="20"/>
        </w:rPr>
      </w:pPr>
    </w:p>
    <w:p w14:paraId="4D06B88B" w14:textId="1B4768F6" w:rsidR="00DD06F3" w:rsidRPr="006B3490" w:rsidRDefault="00DD06F3" w:rsidP="00DD06F3">
      <w:pPr>
        <w:rPr>
          <w:rFonts w:eastAsia="Times New Roman" w:cstheme="majorHAnsi"/>
          <w:szCs w:val="20"/>
        </w:rPr>
      </w:pPr>
      <w:r w:rsidRPr="006B3490">
        <w:rPr>
          <w:rFonts w:eastAsia="Times New Roman" w:cstheme="majorHAnsi"/>
          <w:szCs w:val="20"/>
        </w:rPr>
        <w:t xml:space="preserve">La fonction financière est gérée en interne par le </w:t>
      </w:r>
      <w:r w:rsidR="00E513E0">
        <w:rPr>
          <w:rFonts w:eastAsia="Times New Roman" w:cstheme="majorHAnsi"/>
          <w:szCs w:val="20"/>
        </w:rPr>
        <w:t>d</w:t>
      </w:r>
      <w:r w:rsidR="00E513E0" w:rsidRPr="006B3490">
        <w:rPr>
          <w:rFonts w:eastAsia="Times New Roman" w:cstheme="majorHAnsi"/>
          <w:szCs w:val="20"/>
        </w:rPr>
        <w:t xml:space="preserve">irecteur </w:t>
      </w:r>
      <w:r w:rsidR="006F06C0">
        <w:rPr>
          <w:rFonts w:eastAsia="Times New Roman" w:cstheme="majorHAnsi"/>
          <w:szCs w:val="20"/>
        </w:rPr>
        <w:t>a</w:t>
      </w:r>
      <w:r w:rsidRPr="006B3490">
        <w:rPr>
          <w:rFonts w:eastAsia="Times New Roman" w:cstheme="majorHAnsi"/>
          <w:szCs w:val="20"/>
        </w:rPr>
        <w:t xml:space="preserve">dministratif et </w:t>
      </w:r>
      <w:r w:rsidR="006F06C0">
        <w:rPr>
          <w:rFonts w:eastAsia="Times New Roman" w:cstheme="majorHAnsi"/>
          <w:szCs w:val="20"/>
        </w:rPr>
        <w:t>f</w:t>
      </w:r>
      <w:r w:rsidRPr="006B3490">
        <w:rPr>
          <w:rFonts w:eastAsia="Times New Roman" w:cstheme="majorHAnsi"/>
          <w:szCs w:val="20"/>
        </w:rPr>
        <w:t xml:space="preserve">inancier. La fonction comptable est assurée avec l’assistance d’un expert-comptable extérieur et indépendant (BBM Baker Tilly 4 rue Paul Valérien Perrin, 38 170 Seyssinet). </w:t>
      </w:r>
    </w:p>
    <w:p w14:paraId="15E289EF" w14:textId="77777777" w:rsidR="00DD06F3" w:rsidRPr="006B3490" w:rsidRDefault="00DD06F3" w:rsidP="00DD06F3">
      <w:pPr>
        <w:rPr>
          <w:rFonts w:eastAsia="Times New Roman" w:cstheme="majorHAnsi"/>
          <w:szCs w:val="20"/>
        </w:rPr>
      </w:pPr>
    </w:p>
    <w:p w14:paraId="2ED25CB5" w14:textId="77777777" w:rsidR="00DD06F3" w:rsidRPr="006B3490" w:rsidRDefault="00DD06F3" w:rsidP="00DD06F3">
      <w:pPr>
        <w:rPr>
          <w:rFonts w:eastAsia="Times New Roman" w:cstheme="majorHAnsi"/>
          <w:szCs w:val="20"/>
        </w:rPr>
      </w:pPr>
      <w:r w:rsidRPr="006B3490">
        <w:rPr>
          <w:rFonts w:eastAsia="Times New Roman" w:cstheme="majorHAnsi"/>
          <w:szCs w:val="20"/>
        </w:rPr>
        <w:t xml:space="preserve">La réalisation de la paie et la revue fiscale sont confiées à cet expert-comptable. </w:t>
      </w:r>
    </w:p>
    <w:p w14:paraId="573B5F26" w14:textId="77777777" w:rsidR="00DD06F3" w:rsidRPr="006B3490" w:rsidRDefault="00DD06F3" w:rsidP="00DD06F3">
      <w:pPr>
        <w:rPr>
          <w:rFonts w:eastAsia="Times New Roman" w:cstheme="majorHAnsi"/>
          <w:szCs w:val="20"/>
        </w:rPr>
      </w:pPr>
    </w:p>
    <w:p w14:paraId="1BBE1504" w14:textId="6C8DC4CB" w:rsidR="00DD06F3" w:rsidRPr="006B3490" w:rsidRDefault="00DD06F3" w:rsidP="00DD06F3">
      <w:pPr>
        <w:rPr>
          <w:rFonts w:eastAsia="Times New Roman" w:cstheme="majorHAnsi"/>
          <w:szCs w:val="20"/>
        </w:rPr>
      </w:pPr>
      <w:r w:rsidRPr="006B3490">
        <w:rPr>
          <w:rFonts w:eastAsia="Times New Roman" w:cstheme="majorHAnsi"/>
          <w:szCs w:val="20"/>
        </w:rPr>
        <w:t xml:space="preserve">Les comptes établis en normes françaises sont produits avec l’assistance du cabinet d’expertise comptable et sont soumis pour audit aux commissaires aux comptes de la Société. La direction administrative et financière reporte au Président </w:t>
      </w:r>
      <w:r w:rsidR="00E513E0">
        <w:t>Directeur Général</w:t>
      </w:r>
      <w:r w:rsidR="00E513E0" w:rsidDel="00E513E0">
        <w:rPr>
          <w:rFonts w:eastAsia="Times New Roman" w:cstheme="majorHAnsi"/>
          <w:szCs w:val="20"/>
        </w:rPr>
        <w:t xml:space="preserve"> </w:t>
      </w:r>
      <w:r w:rsidRPr="006B3490">
        <w:rPr>
          <w:rFonts w:eastAsia="Times New Roman" w:cstheme="majorHAnsi"/>
          <w:szCs w:val="20"/>
        </w:rPr>
        <w:t xml:space="preserve">de la Société. </w:t>
      </w:r>
    </w:p>
    <w:p w14:paraId="02380F1E" w14:textId="77777777" w:rsidR="000A2AE4" w:rsidRDefault="000A2AE4" w:rsidP="000A2AE4">
      <w:pPr>
        <w:rPr>
          <w:rFonts w:cs="Times New Roman"/>
          <w:szCs w:val="20"/>
        </w:rPr>
      </w:pPr>
    </w:p>
    <w:p w14:paraId="1A1771DF" w14:textId="77777777" w:rsidR="0094440F" w:rsidRDefault="0094440F" w:rsidP="000A2AE4">
      <w:r w:rsidRPr="0094440F">
        <w:rPr>
          <w:rFonts w:eastAsiaTheme="majorEastAsia" w:cstheme="majorBidi"/>
          <w:b/>
          <w:bCs/>
          <w:smallCaps/>
          <w:color w:val="4F81BD" w:themeColor="accent1"/>
          <w:sz w:val="26"/>
          <w:szCs w:val="26"/>
        </w:rPr>
        <w:lastRenderedPageBreak/>
        <w:t>14.5 Incidences significatives potentielles sur la gouvernance d’entreprise</w:t>
      </w:r>
      <w:r>
        <w:t xml:space="preserve"> </w:t>
      </w:r>
    </w:p>
    <w:p w14:paraId="6FB5AEB9" w14:textId="77777777" w:rsidR="0094440F" w:rsidRDefault="0094440F" w:rsidP="000A2AE4"/>
    <w:p w14:paraId="07B5CB94" w14:textId="10783C80" w:rsidR="0094440F" w:rsidRDefault="0094440F" w:rsidP="000A2AE4">
      <w:pPr>
        <w:rPr>
          <w:rFonts w:cs="Times New Roman"/>
          <w:szCs w:val="20"/>
        </w:rPr>
      </w:pPr>
      <w:r>
        <w:t>Non applicable</w:t>
      </w:r>
    </w:p>
    <w:p w14:paraId="2B5F467C" w14:textId="77777777" w:rsidR="0059388C" w:rsidRPr="008D2210" w:rsidRDefault="0059388C" w:rsidP="000A2AE4">
      <w:pPr>
        <w:widowControl w:val="0"/>
        <w:autoSpaceDE w:val="0"/>
        <w:autoSpaceDN w:val="0"/>
        <w:adjustRightInd w:val="0"/>
        <w:rPr>
          <w:rFonts w:cs="Times New Roman"/>
          <w:color w:val="FF0000"/>
          <w:szCs w:val="20"/>
        </w:rPr>
      </w:pPr>
    </w:p>
    <w:p w14:paraId="39453D5E" w14:textId="77777777" w:rsidR="0059388C" w:rsidRPr="008D2210" w:rsidRDefault="0059388C" w:rsidP="0059388C">
      <w:pPr>
        <w:widowControl w:val="0"/>
        <w:autoSpaceDE w:val="0"/>
        <w:autoSpaceDN w:val="0"/>
        <w:adjustRightInd w:val="0"/>
        <w:rPr>
          <w:rFonts w:cstheme="majorHAnsi"/>
          <w:color w:val="FF0000"/>
          <w:szCs w:val="20"/>
        </w:rPr>
      </w:pPr>
    </w:p>
    <w:p w14:paraId="011FBA93" w14:textId="6062DDBE" w:rsidR="0059388C" w:rsidRPr="008D2210" w:rsidRDefault="0059388C" w:rsidP="0059388C">
      <w:pPr>
        <w:autoSpaceDE w:val="0"/>
        <w:autoSpaceDN w:val="0"/>
        <w:rPr>
          <w:rFonts w:cstheme="majorHAnsi"/>
          <w:color w:val="FF0000"/>
          <w:szCs w:val="20"/>
        </w:rPr>
      </w:pPr>
    </w:p>
    <w:p w14:paraId="4C72EF70" w14:textId="77777777" w:rsidR="003727B4" w:rsidRPr="008D2210" w:rsidRDefault="003727B4" w:rsidP="00EE50DB">
      <w:pPr>
        <w:pStyle w:val="Titre1"/>
        <w:rPr>
          <w:color w:val="FF0000"/>
        </w:rPr>
        <w:sectPr w:rsidR="003727B4" w:rsidRPr="008D2210" w:rsidSect="003727B4">
          <w:pgSz w:w="11906" w:h="16838"/>
          <w:pgMar w:top="1417" w:right="1417" w:bottom="1417" w:left="1417" w:header="708" w:footer="708" w:gutter="0"/>
          <w:cols w:space="708"/>
          <w:titlePg/>
          <w:docGrid w:linePitch="360"/>
        </w:sectPr>
      </w:pPr>
      <w:bookmarkStart w:id="250" w:name="_Ref337844531"/>
      <w:bookmarkStart w:id="251" w:name="_Ref341519842"/>
      <w:bookmarkStart w:id="252" w:name="_Ref341519846"/>
    </w:p>
    <w:p w14:paraId="4293DF24" w14:textId="376E1682" w:rsidR="00CF0C5B" w:rsidRPr="00AD3B74" w:rsidRDefault="00EE50DB" w:rsidP="00AD3B74">
      <w:pPr>
        <w:pStyle w:val="Titre1"/>
        <w:rPr>
          <w:caps/>
        </w:rPr>
      </w:pPr>
      <w:bookmarkStart w:id="253" w:name="_Toc475033246"/>
      <w:r w:rsidRPr="00AD3B74">
        <w:rPr>
          <w:caps/>
        </w:rPr>
        <w:lastRenderedPageBreak/>
        <w:t>1</w:t>
      </w:r>
      <w:r w:rsidR="00A247E0" w:rsidRPr="00AD3B74">
        <w:rPr>
          <w:caps/>
        </w:rPr>
        <w:t>5</w:t>
      </w:r>
      <w:r w:rsidRPr="00AD3B74">
        <w:rPr>
          <w:caps/>
        </w:rPr>
        <w:t xml:space="preserve">. </w:t>
      </w:r>
      <w:r w:rsidR="00CF0C5B" w:rsidRPr="00AD3B74">
        <w:rPr>
          <w:caps/>
        </w:rPr>
        <w:t>Sala</w:t>
      </w:r>
      <w:r w:rsidRPr="00AD3B74">
        <w:rPr>
          <w:caps/>
        </w:rPr>
        <w:t>riés</w:t>
      </w:r>
      <w:bookmarkEnd w:id="250"/>
      <w:bookmarkEnd w:id="251"/>
      <w:bookmarkEnd w:id="252"/>
      <w:bookmarkEnd w:id="253"/>
      <w:r w:rsidR="00CF0C5B" w:rsidRPr="00AD3B74">
        <w:rPr>
          <w:caps/>
        </w:rPr>
        <w:t xml:space="preserve"> </w:t>
      </w:r>
      <w:r w:rsidR="00CF0C5B" w:rsidRPr="00AD3B74">
        <w:rPr>
          <w:caps/>
        </w:rPr>
        <w:tab/>
      </w:r>
    </w:p>
    <w:p w14:paraId="3DE43807" w14:textId="7536C615" w:rsidR="00CF0C5B" w:rsidRDefault="00EE50DB" w:rsidP="00EE50DB">
      <w:pPr>
        <w:pStyle w:val="Titre2"/>
      </w:pPr>
      <w:bookmarkStart w:id="254" w:name="_Toc475033247"/>
      <w:r>
        <w:t>1</w:t>
      </w:r>
      <w:r w:rsidR="00A247E0">
        <w:t>5</w:t>
      </w:r>
      <w:r>
        <w:t>.1 R</w:t>
      </w:r>
      <w:r w:rsidR="00CF0C5B">
        <w:t>essources humaines</w:t>
      </w:r>
      <w:bookmarkEnd w:id="254"/>
      <w:r w:rsidR="00CF0C5B" w:rsidRPr="002B74FE">
        <w:t xml:space="preserve"> </w:t>
      </w:r>
      <w:r w:rsidR="00CF0C5B" w:rsidRPr="002B74FE">
        <w:tab/>
      </w:r>
    </w:p>
    <w:p w14:paraId="7746371C" w14:textId="05649ED3" w:rsidR="00CF0C5B" w:rsidRDefault="00EE50DB" w:rsidP="00EE50DB">
      <w:pPr>
        <w:pStyle w:val="Titre3"/>
      </w:pPr>
      <w:bookmarkStart w:id="255" w:name="_Toc475033248"/>
      <w:r>
        <w:t>1</w:t>
      </w:r>
      <w:r w:rsidR="00A247E0">
        <w:t>5</w:t>
      </w:r>
      <w:r>
        <w:t xml:space="preserve">.1.1 </w:t>
      </w:r>
      <w:r w:rsidR="00CF0C5B">
        <w:t>Organigramme opérationnel</w:t>
      </w:r>
      <w:bookmarkEnd w:id="255"/>
      <w:r w:rsidR="00CF0C5B">
        <w:t xml:space="preserve"> </w:t>
      </w:r>
      <w:r w:rsidR="00CF0C5B">
        <w:tab/>
      </w:r>
    </w:p>
    <w:p w14:paraId="466FE96C" w14:textId="4EE89E54" w:rsidR="00C80FBF" w:rsidRDefault="003F69B5" w:rsidP="00C80FBF">
      <w:r>
        <w:rPr>
          <w:noProof/>
        </w:rPr>
        <w:drawing>
          <wp:inline distT="0" distB="0" distL="0" distR="0" wp14:anchorId="4D0EE26B" wp14:editId="0C5C0459">
            <wp:extent cx="8139248" cy="4345728"/>
            <wp:effectExtent l="0" t="0" r="0" b="0"/>
            <wp:docPr id="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pic:nvPicPr>
                  <pic:blipFill>
                    <a:blip r:embed="rId98">
                      <a:extLst>
                        <a:ext uri="{28A0092B-C50C-407E-A947-70E740481C1C}">
                          <a14:useLocalDpi xmlns:a14="http://schemas.microsoft.com/office/drawing/2010/main" val="0"/>
                        </a:ext>
                      </a:extLst>
                    </a:blip>
                    <a:stretch>
                      <a:fillRect/>
                    </a:stretch>
                  </pic:blipFill>
                  <pic:spPr>
                    <a:xfrm>
                      <a:off x="0" y="0"/>
                      <a:ext cx="8140807" cy="4346560"/>
                    </a:xfrm>
                    <a:prstGeom prst="rect">
                      <a:avLst/>
                    </a:prstGeom>
                  </pic:spPr>
                </pic:pic>
              </a:graphicData>
            </a:graphic>
          </wp:inline>
        </w:drawing>
      </w:r>
    </w:p>
    <w:p w14:paraId="4A9FFCA6" w14:textId="290C10AE" w:rsidR="003727B4" w:rsidRDefault="003727B4" w:rsidP="00C80FBF">
      <w:pPr>
        <w:sectPr w:rsidR="003727B4" w:rsidSect="005B42F0">
          <w:pgSz w:w="16838" w:h="11906" w:orient="landscape"/>
          <w:pgMar w:top="1135" w:right="1417" w:bottom="1417" w:left="1417" w:header="708" w:footer="708" w:gutter="0"/>
          <w:cols w:space="708"/>
          <w:docGrid w:linePitch="360"/>
        </w:sectPr>
      </w:pPr>
    </w:p>
    <w:p w14:paraId="03CE5DD4" w14:textId="76482CC9" w:rsidR="00C97443" w:rsidRDefault="00EE50DB" w:rsidP="00AE115A">
      <w:pPr>
        <w:pStyle w:val="Titre3"/>
      </w:pPr>
      <w:bookmarkStart w:id="256" w:name="_Toc475033249"/>
      <w:r>
        <w:lastRenderedPageBreak/>
        <w:t>1</w:t>
      </w:r>
      <w:r w:rsidR="00A247E0">
        <w:t>5</w:t>
      </w:r>
      <w:r>
        <w:t xml:space="preserve">.1.2 </w:t>
      </w:r>
      <w:r w:rsidR="00CF0C5B">
        <w:t>Nombre et répartition des effectifs</w:t>
      </w:r>
      <w:bookmarkEnd w:id="256"/>
      <w:r w:rsidR="00CF0C5B">
        <w:t xml:space="preserve"> </w:t>
      </w:r>
      <w:r w:rsidR="00CF0C5B">
        <w:tab/>
      </w:r>
    </w:p>
    <w:p w14:paraId="1EF22D57" w14:textId="77777777" w:rsidR="00C97443" w:rsidRDefault="00C97443">
      <w:pPr>
        <w:jc w:val="left"/>
      </w:pPr>
    </w:p>
    <w:tbl>
      <w:tblPr>
        <w:tblW w:w="6111" w:type="dxa"/>
        <w:tblInd w:w="55" w:type="dxa"/>
        <w:tblLayout w:type="fixed"/>
        <w:tblCellMar>
          <w:left w:w="70" w:type="dxa"/>
          <w:right w:w="70" w:type="dxa"/>
        </w:tblCellMar>
        <w:tblLook w:val="04A0" w:firstRow="1" w:lastRow="0" w:firstColumn="1" w:lastColumn="0" w:noHBand="0" w:noVBand="1"/>
      </w:tblPr>
      <w:tblGrid>
        <w:gridCol w:w="2142"/>
        <w:gridCol w:w="1984"/>
        <w:gridCol w:w="1985"/>
      </w:tblGrid>
      <w:tr w:rsidR="004E6A71" w:rsidRPr="00040C7A" w14:paraId="169F68A8" w14:textId="77777777" w:rsidTr="5F1F329D">
        <w:trPr>
          <w:trHeight w:val="340"/>
        </w:trPr>
        <w:tc>
          <w:tcPr>
            <w:tcW w:w="6111" w:type="dxa"/>
            <w:gridSpan w:val="3"/>
            <w:tcBorders>
              <w:top w:val="nil"/>
              <w:bottom w:val="single" w:sz="12" w:space="0" w:color="FFFFFF" w:themeColor="background1"/>
            </w:tcBorders>
            <w:shd w:val="clear" w:color="auto" w:fill="305496"/>
            <w:noWrap/>
            <w:vAlign w:val="center"/>
            <w:hideMark/>
          </w:tcPr>
          <w:p w14:paraId="010D5901" w14:textId="48B1F8B6" w:rsidR="004E6A71" w:rsidRPr="005B42F0" w:rsidRDefault="004E6A71" w:rsidP="004E6A71">
            <w:pPr>
              <w:jc w:val="center"/>
              <w:rPr>
                <w:rFonts w:ascii="Calibri" w:eastAsia="Times New Roman" w:hAnsi="Calibri" w:cs="Times New Roman"/>
                <w:b/>
                <w:color w:val="FFFFFF"/>
                <w:szCs w:val="20"/>
              </w:rPr>
            </w:pPr>
            <w:r w:rsidRPr="005B42F0">
              <w:rPr>
                <w:rFonts w:ascii="Calibri" w:eastAsia="Times New Roman" w:hAnsi="Calibri" w:cs="Times New Roman"/>
                <w:b/>
                <w:color w:val="FFFFFF"/>
                <w:szCs w:val="20"/>
              </w:rPr>
              <w:t>Effectifs moyens en équivalent temps plein</w:t>
            </w:r>
          </w:p>
        </w:tc>
      </w:tr>
      <w:tr w:rsidR="004E6A71" w:rsidRPr="00040C7A" w14:paraId="4E52D58B" w14:textId="77777777" w:rsidTr="5F1F329D">
        <w:trPr>
          <w:trHeight w:val="340"/>
        </w:trPr>
        <w:tc>
          <w:tcPr>
            <w:tcW w:w="2142" w:type="dxa"/>
            <w:tcBorders>
              <w:top w:val="nil"/>
              <w:left w:val="nil"/>
              <w:bottom w:val="single" w:sz="12" w:space="0" w:color="FFFFFF" w:themeColor="background1"/>
              <w:right w:val="single" w:sz="12" w:space="0" w:color="FFFFFF" w:themeColor="background1"/>
            </w:tcBorders>
            <w:shd w:val="clear" w:color="auto" w:fill="305496"/>
            <w:noWrap/>
            <w:vAlign w:val="center"/>
            <w:hideMark/>
          </w:tcPr>
          <w:p w14:paraId="21B4792B" w14:textId="6E365F44" w:rsidR="004E6A71" w:rsidRPr="00040C7A" w:rsidRDefault="004E6A71" w:rsidP="00040C7A">
            <w:pPr>
              <w:jc w:val="center"/>
              <w:rPr>
                <w:rFonts w:ascii="Calibri" w:eastAsia="Times New Roman" w:hAnsi="Calibri" w:cs="Times New Roman"/>
                <w:color w:val="FFFFFF"/>
                <w:szCs w:val="20"/>
              </w:rPr>
            </w:pPr>
          </w:p>
        </w:tc>
        <w:tc>
          <w:tcPr>
            <w:tcW w:w="1984" w:type="dxa"/>
            <w:tcBorders>
              <w:top w:val="nil"/>
              <w:left w:val="nil"/>
              <w:bottom w:val="single" w:sz="12" w:space="0" w:color="FFFFFF" w:themeColor="background1"/>
              <w:right w:val="single" w:sz="12" w:space="0" w:color="FFFFFF" w:themeColor="background1"/>
            </w:tcBorders>
            <w:shd w:val="clear" w:color="auto" w:fill="305496"/>
            <w:noWrap/>
            <w:vAlign w:val="center"/>
            <w:hideMark/>
          </w:tcPr>
          <w:p w14:paraId="23992EA1" w14:textId="729FE4D8" w:rsidR="004E6A71" w:rsidRPr="005B42F0" w:rsidRDefault="004E6A71" w:rsidP="003A4614">
            <w:pPr>
              <w:jc w:val="center"/>
              <w:rPr>
                <w:rFonts w:ascii="Calibri" w:eastAsia="Times New Roman" w:hAnsi="Calibri" w:cs="Times New Roman"/>
                <w:b/>
                <w:color w:val="FFFFFF"/>
                <w:szCs w:val="20"/>
              </w:rPr>
            </w:pPr>
            <w:r w:rsidRPr="005B42F0">
              <w:rPr>
                <w:rFonts w:ascii="Calibri" w:eastAsia="Times New Roman" w:hAnsi="Calibri" w:cs="Times New Roman"/>
                <w:b/>
                <w:color w:val="FFFFFF"/>
                <w:szCs w:val="20"/>
              </w:rPr>
              <w:t xml:space="preserve">Au </w:t>
            </w:r>
            <w:r w:rsidR="003A4614" w:rsidRPr="005B42F0">
              <w:rPr>
                <w:rFonts w:ascii="Calibri" w:eastAsia="Times New Roman" w:hAnsi="Calibri" w:cs="Times New Roman"/>
                <w:b/>
                <w:color w:val="FFFFFF"/>
                <w:szCs w:val="20"/>
              </w:rPr>
              <w:t>31 décembre</w:t>
            </w:r>
            <w:r w:rsidRPr="005B42F0">
              <w:rPr>
                <w:rFonts w:ascii="Calibri" w:eastAsia="Times New Roman" w:hAnsi="Calibri" w:cs="Times New Roman"/>
                <w:b/>
                <w:color w:val="FFFFFF"/>
                <w:szCs w:val="20"/>
              </w:rPr>
              <w:t xml:space="preserve"> 2020</w:t>
            </w:r>
          </w:p>
        </w:tc>
        <w:tc>
          <w:tcPr>
            <w:tcW w:w="1985" w:type="dxa"/>
            <w:tcBorders>
              <w:top w:val="nil"/>
              <w:left w:val="nil"/>
              <w:bottom w:val="single" w:sz="12" w:space="0" w:color="FFFFFF" w:themeColor="background1"/>
              <w:right w:val="nil"/>
            </w:tcBorders>
            <w:shd w:val="clear" w:color="auto" w:fill="305496"/>
            <w:vAlign w:val="center"/>
          </w:tcPr>
          <w:p w14:paraId="6C1E2133" w14:textId="590FD4B9" w:rsidR="004E6A71" w:rsidRPr="005B42F0" w:rsidRDefault="004E6A71" w:rsidP="003A4614">
            <w:pPr>
              <w:jc w:val="center"/>
              <w:rPr>
                <w:rFonts w:ascii="Calibri" w:eastAsia="Times New Roman" w:hAnsi="Calibri" w:cs="Times New Roman"/>
                <w:b/>
                <w:color w:val="FFFFFF"/>
                <w:szCs w:val="20"/>
              </w:rPr>
            </w:pPr>
            <w:r w:rsidRPr="005B42F0">
              <w:rPr>
                <w:rFonts w:ascii="Calibri" w:eastAsia="Times New Roman" w:hAnsi="Calibri" w:cs="Times New Roman"/>
                <w:b/>
                <w:color w:val="FFFFFF"/>
                <w:szCs w:val="20"/>
              </w:rPr>
              <w:t xml:space="preserve">Au 31 décembre </w:t>
            </w:r>
            <w:r w:rsidR="003A4614" w:rsidRPr="005B42F0">
              <w:rPr>
                <w:rFonts w:ascii="Calibri" w:eastAsia="Times New Roman" w:hAnsi="Calibri" w:cs="Times New Roman"/>
                <w:b/>
                <w:color w:val="FFFFFF"/>
                <w:szCs w:val="20"/>
              </w:rPr>
              <w:t>2019</w:t>
            </w:r>
          </w:p>
        </w:tc>
      </w:tr>
      <w:tr w:rsidR="004E6A71" w:rsidRPr="00040C7A" w14:paraId="68D41D62" w14:textId="77777777" w:rsidTr="5F1F329D">
        <w:trPr>
          <w:trHeight w:val="340"/>
        </w:trPr>
        <w:tc>
          <w:tcPr>
            <w:tcW w:w="2142"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CE6F1"/>
            <w:vAlign w:val="center"/>
            <w:hideMark/>
          </w:tcPr>
          <w:p w14:paraId="09992F37" w14:textId="77676162" w:rsidR="004E6A71" w:rsidRPr="004E6A71" w:rsidRDefault="004E6A71" w:rsidP="00040C7A">
            <w:pPr>
              <w:jc w:val="center"/>
              <w:rPr>
                <w:rFonts w:ascii="Calibri" w:eastAsia="Times New Roman" w:hAnsi="Calibri" w:cs="Times New Roman"/>
                <w:szCs w:val="20"/>
              </w:rPr>
            </w:pPr>
            <w:r w:rsidRPr="004E6A71">
              <w:rPr>
                <w:rFonts w:ascii="Calibri" w:eastAsia="Times New Roman" w:hAnsi="Calibri" w:cs="Times New Roman"/>
                <w:szCs w:val="20"/>
              </w:rPr>
              <w:t>Cadre</w:t>
            </w:r>
          </w:p>
        </w:tc>
        <w:tc>
          <w:tcPr>
            <w:tcW w:w="1984"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CE6F1"/>
            <w:vAlign w:val="center"/>
            <w:hideMark/>
          </w:tcPr>
          <w:p w14:paraId="54B51683" w14:textId="4783F98C" w:rsidR="004E6A71" w:rsidRPr="003A4614" w:rsidRDefault="003A4614" w:rsidP="00040C7A">
            <w:pPr>
              <w:jc w:val="center"/>
              <w:rPr>
                <w:rFonts w:ascii="Calibri" w:eastAsia="Times New Roman" w:hAnsi="Calibri" w:cs="Times New Roman"/>
                <w:szCs w:val="20"/>
              </w:rPr>
            </w:pPr>
            <w:r w:rsidRPr="003A4614">
              <w:rPr>
                <w:rFonts w:ascii="Calibri" w:eastAsia="Times New Roman" w:hAnsi="Calibri" w:cs="Times New Roman"/>
                <w:szCs w:val="20"/>
              </w:rPr>
              <w:t>18</w:t>
            </w:r>
          </w:p>
        </w:tc>
        <w:tc>
          <w:tcPr>
            <w:tcW w:w="1985"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CE6F1"/>
            <w:vAlign w:val="center"/>
          </w:tcPr>
          <w:p w14:paraId="3FFD3799" w14:textId="5AC44E06" w:rsidR="004E6A71" w:rsidRPr="003A4614" w:rsidRDefault="003A4614" w:rsidP="004E6A71">
            <w:pPr>
              <w:jc w:val="center"/>
              <w:rPr>
                <w:rFonts w:ascii="Calibri" w:eastAsia="Times New Roman" w:hAnsi="Calibri" w:cs="Times New Roman"/>
                <w:szCs w:val="20"/>
              </w:rPr>
            </w:pPr>
            <w:r w:rsidRPr="003A4614">
              <w:rPr>
                <w:rFonts w:ascii="Calibri" w:eastAsia="Times New Roman" w:hAnsi="Calibri" w:cs="Times New Roman"/>
                <w:szCs w:val="20"/>
              </w:rPr>
              <w:t>19</w:t>
            </w:r>
          </w:p>
        </w:tc>
      </w:tr>
      <w:tr w:rsidR="004E6A71" w:rsidRPr="00040C7A" w14:paraId="4C848520" w14:textId="77777777" w:rsidTr="5F1F329D">
        <w:trPr>
          <w:trHeight w:val="340"/>
        </w:trPr>
        <w:tc>
          <w:tcPr>
            <w:tcW w:w="2142"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CE6F1"/>
            <w:vAlign w:val="center"/>
          </w:tcPr>
          <w:p w14:paraId="6B8E84E3" w14:textId="3715E045" w:rsidR="004E6A71" w:rsidRPr="004E6A71" w:rsidRDefault="004E6A71" w:rsidP="00040C7A">
            <w:pPr>
              <w:jc w:val="center"/>
              <w:rPr>
                <w:rFonts w:ascii="Calibri" w:eastAsia="Times New Roman" w:hAnsi="Calibri" w:cs="Times New Roman"/>
                <w:szCs w:val="20"/>
              </w:rPr>
            </w:pPr>
            <w:r w:rsidRPr="004E6A71">
              <w:rPr>
                <w:rFonts w:ascii="Calibri" w:eastAsia="Times New Roman" w:hAnsi="Calibri" w:cs="Times New Roman"/>
                <w:szCs w:val="20"/>
              </w:rPr>
              <w:t>Employés</w:t>
            </w:r>
          </w:p>
        </w:tc>
        <w:tc>
          <w:tcPr>
            <w:tcW w:w="1984"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CE6F1"/>
            <w:vAlign w:val="center"/>
          </w:tcPr>
          <w:p w14:paraId="558CFB83" w14:textId="5D438F7D" w:rsidR="004E6A71" w:rsidRPr="003A4614" w:rsidRDefault="003A4614" w:rsidP="00040C7A">
            <w:pPr>
              <w:jc w:val="center"/>
              <w:rPr>
                <w:rFonts w:ascii="Calibri" w:eastAsia="Times New Roman" w:hAnsi="Calibri" w:cs="Times New Roman"/>
                <w:szCs w:val="20"/>
              </w:rPr>
            </w:pPr>
            <w:r w:rsidRPr="003A4614">
              <w:rPr>
                <w:rFonts w:ascii="Calibri" w:eastAsia="Times New Roman" w:hAnsi="Calibri" w:cs="Times New Roman"/>
                <w:szCs w:val="20"/>
              </w:rPr>
              <w:t>7</w:t>
            </w:r>
          </w:p>
        </w:tc>
        <w:tc>
          <w:tcPr>
            <w:tcW w:w="1985"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CE6F1"/>
            <w:vAlign w:val="center"/>
          </w:tcPr>
          <w:p w14:paraId="1C99C4F5" w14:textId="713A91B2" w:rsidR="004E6A71" w:rsidRPr="003A4614" w:rsidRDefault="003A4614" w:rsidP="004E6A71">
            <w:pPr>
              <w:jc w:val="center"/>
              <w:rPr>
                <w:rFonts w:ascii="Calibri" w:eastAsia="Times New Roman" w:hAnsi="Calibri" w:cs="Times New Roman"/>
                <w:szCs w:val="20"/>
              </w:rPr>
            </w:pPr>
            <w:r w:rsidRPr="003A4614">
              <w:rPr>
                <w:rFonts w:ascii="Calibri" w:eastAsia="Times New Roman" w:hAnsi="Calibri" w:cs="Times New Roman"/>
                <w:szCs w:val="20"/>
              </w:rPr>
              <w:t>11</w:t>
            </w:r>
          </w:p>
        </w:tc>
      </w:tr>
      <w:tr w:rsidR="004E6A71" w:rsidRPr="004E6A71" w14:paraId="6F4B7722" w14:textId="77777777" w:rsidTr="5F1F329D">
        <w:trPr>
          <w:trHeight w:val="340"/>
        </w:trPr>
        <w:tc>
          <w:tcPr>
            <w:tcW w:w="2142"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CE6F1"/>
            <w:vAlign w:val="center"/>
          </w:tcPr>
          <w:p w14:paraId="2ED264F5" w14:textId="32FC6FAD" w:rsidR="004E6A71" w:rsidRPr="004E6A71" w:rsidRDefault="004E6A71" w:rsidP="00040C7A">
            <w:pPr>
              <w:jc w:val="center"/>
              <w:rPr>
                <w:rFonts w:ascii="Calibri" w:eastAsia="Times New Roman" w:hAnsi="Calibri" w:cs="Times New Roman"/>
                <w:b/>
                <w:szCs w:val="20"/>
              </w:rPr>
            </w:pPr>
            <w:r w:rsidRPr="004E6A71">
              <w:rPr>
                <w:rFonts w:ascii="Calibri" w:eastAsia="Times New Roman" w:hAnsi="Calibri" w:cs="Times New Roman"/>
                <w:b/>
                <w:szCs w:val="20"/>
              </w:rPr>
              <w:t>Total</w:t>
            </w:r>
          </w:p>
        </w:tc>
        <w:tc>
          <w:tcPr>
            <w:tcW w:w="1984"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CE6F1"/>
            <w:vAlign w:val="center"/>
          </w:tcPr>
          <w:p w14:paraId="5877DB1A" w14:textId="2D0C03B6" w:rsidR="004E6A71" w:rsidRPr="003A4614" w:rsidRDefault="003A4614" w:rsidP="00040C7A">
            <w:pPr>
              <w:jc w:val="center"/>
              <w:rPr>
                <w:rFonts w:ascii="Calibri" w:eastAsia="Times New Roman" w:hAnsi="Calibri" w:cs="Times New Roman"/>
                <w:b/>
                <w:szCs w:val="20"/>
              </w:rPr>
            </w:pPr>
            <w:r w:rsidRPr="003A4614">
              <w:rPr>
                <w:rFonts w:ascii="Calibri" w:eastAsia="Times New Roman" w:hAnsi="Calibri" w:cs="Times New Roman"/>
                <w:b/>
                <w:szCs w:val="20"/>
              </w:rPr>
              <w:t>25</w:t>
            </w:r>
          </w:p>
        </w:tc>
        <w:tc>
          <w:tcPr>
            <w:tcW w:w="1985"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CE6F1"/>
            <w:vAlign w:val="center"/>
          </w:tcPr>
          <w:p w14:paraId="091D54F5" w14:textId="1F971CEC" w:rsidR="004E6A71" w:rsidRPr="003A4614" w:rsidRDefault="5F1F329D" w:rsidP="0063448B">
            <w:pPr>
              <w:spacing w:line="259" w:lineRule="auto"/>
              <w:jc w:val="center"/>
              <w:rPr>
                <w:rFonts w:ascii="Calibri" w:eastAsia="Calibri" w:hAnsi="Calibri" w:cs="Calibri"/>
                <w:szCs w:val="20"/>
              </w:rPr>
            </w:pPr>
            <w:r w:rsidRPr="5F1F329D">
              <w:rPr>
                <w:rFonts w:ascii="Calibri" w:eastAsia="Times New Roman" w:hAnsi="Calibri" w:cs="Times New Roman"/>
                <w:b/>
                <w:bCs/>
              </w:rPr>
              <w:t>30</w:t>
            </w:r>
          </w:p>
        </w:tc>
      </w:tr>
    </w:tbl>
    <w:p w14:paraId="2E5E860E" w14:textId="77777777" w:rsidR="006910DD" w:rsidRDefault="006910DD" w:rsidP="00DD588B">
      <w:pPr>
        <w:rPr>
          <w:color w:val="FF0000"/>
          <w:szCs w:val="20"/>
        </w:rPr>
      </w:pPr>
    </w:p>
    <w:p w14:paraId="4C4682F9" w14:textId="04B81F19" w:rsidR="00272590" w:rsidRDefault="00984F30" w:rsidP="00984F30">
      <w:r>
        <w:t xml:space="preserve">Pour rappel, </w:t>
      </w:r>
      <w:r w:rsidR="00272590">
        <w:t xml:space="preserve">Spineway avait mené </w:t>
      </w:r>
      <w:r>
        <w:t xml:space="preserve">en 2019 </w:t>
      </w:r>
      <w:r w:rsidR="00272590">
        <w:t>une réorgan</w:t>
      </w:r>
      <w:r>
        <w:t xml:space="preserve">isation profonde de ses équipes dans le cadre d’un PSE lequel a conduit au départ de 8 salariés, et avait alors également renouvelé la moitié de son </w:t>
      </w:r>
      <w:r w:rsidR="004B5469">
        <w:t>c</w:t>
      </w:r>
      <w:r>
        <w:t xml:space="preserve">omité de </w:t>
      </w:r>
      <w:r w:rsidR="004B5469">
        <w:t>d</w:t>
      </w:r>
      <w:r>
        <w:t>irection.</w:t>
      </w:r>
    </w:p>
    <w:p w14:paraId="5DD6E37E" w14:textId="5C2E9CF0" w:rsidR="00272590" w:rsidRPr="00272590" w:rsidRDefault="00272590" w:rsidP="00272590">
      <w:pPr>
        <w:jc w:val="left"/>
      </w:pPr>
    </w:p>
    <w:p w14:paraId="19501EDE" w14:textId="268DC419" w:rsidR="00AB2CCD" w:rsidRPr="00272590" w:rsidRDefault="00DC7352" w:rsidP="00C622C2">
      <w:pPr>
        <w:pStyle w:val="Paragraphedeliste"/>
        <w:numPr>
          <w:ilvl w:val="0"/>
          <w:numId w:val="45"/>
        </w:numPr>
        <w:rPr>
          <w:b/>
          <w:szCs w:val="20"/>
        </w:rPr>
      </w:pPr>
      <w:r w:rsidRPr="00272590">
        <w:rPr>
          <w:b/>
          <w:szCs w:val="20"/>
        </w:rPr>
        <w:t>Covid</w:t>
      </w:r>
      <w:r w:rsidR="00016D04">
        <w:rPr>
          <w:b/>
          <w:szCs w:val="20"/>
        </w:rPr>
        <w:t>-</w:t>
      </w:r>
      <w:r w:rsidRPr="00272590">
        <w:rPr>
          <w:b/>
          <w:szCs w:val="20"/>
        </w:rPr>
        <w:t>19 : Sécurité, t</w:t>
      </w:r>
      <w:r w:rsidR="009C2E60" w:rsidRPr="00272590">
        <w:rPr>
          <w:b/>
          <w:szCs w:val="20"/>
        </w:rPr>
        <w:t>é</w:t>
      </w:r>
      <w:r w:rsidRPr="00272590">
        <w:rPr>
          <w:b/>
          <w:szCs w:val="20"/>
        </w:rPr>
        <w:t>létravail et plan de continuité</w:t>
      </w:r>
    </w:p>
    <w:p w14:paraId="49C5CA31" w14:textId="77777777" w:rsidR="00DC7352" w:rsidRDefault="00DC7352" w:rsidP="00DC7352">
      <w:pPr>
        <w:rPr>
          <w:color w:val="FF0000"/>
          <w:szCs w:val="20"/>
        </w:rPr>
      </w:pPr>
    </w:p>
    <w:p w14:paraId="5868C8B6" w14:textId="0C2FEBF1" w:rsidR="00272590" w:rsidRPr="00272590" w:rsidRDefault="00984F30" w:rsidP="00272590">
      <w:pPr>
        <w:widowControl w:val="0"/>
        <w:autoSpaceDE w:val="0"/>
        <w:autoSpaceDN w:val="0"/>
        <w:adjustRightInd w:val="0"/>
      </w:pPr>
      <w:r>
        <w:t>Dans un contexte de crise sanitaire liée à l’épidémie de Covid</w:t>
      </w:r>
      <w:r w:rsidR="00016D04">
        <w:t>-</w:t>
      </w:r>
      <w:r>
        <w:t>19, et a</w:t>
      </w:r>
      <w:r w:rsidR="00272590" w:rsidRPr="00272590">
        <w:t>fin de préserver la santé et la sécurité de ses collaborateurs, le Groupe a instauré dès le 16 mars 2020, le</w:t>
      </w:r>
      <w:r w:rsidR="00272590">
        <w:t xml:space="preserve"> </w:t>
      </w:r>
      <w:r w:rsidR="00272590" w:rsidRPr="00272590">
        <w:t>télétravail pour toutes les fonctions compatibles lui permettant de maintenir pendant la période de</w:t>
      </w:r>
      <w:r w:rsidR="00272590">
        <w:t xml:space="preserve"> </w:t>
      </w:r>
      <w:r w:rsidR="00272590" w:rsidRPr="00272590">
        <w:t>confinement la continuité de ses principaux services administratifs (financiers, informatique, marketing,</w:t>
      </w:r>
      <w:r w:rsidR="00272590">
        <w:t xml:space="preserve"> </w:t>
      </w:r>
      <w:r w:rsidR="00272590" w:rsidRPr="00272590">
        <w:t>qualité, R</w:t>
      </w:r>
      <w:r w:rsidR="00E513E0">
        <w:t>H, etc</w:t>
      </w:r>
      <w:r w:rsidR="00272590" w:rsidRPr="00272590">
        <w:t xml:space="preserve">) et de conserver une capacité de </w:t>
      </w:r>
      <w:r>
        <w:t>livraison de</w:t>
      </w:r>
      <w:r w:rsidR="00272590" w:rsidRPr="00272590">
        <w:t xml:space="preserve"> ses produits à l’ensemble de ses clients et distributeurs.</w:t>
      </w:r>
    </w:p>
    <w:p w14:paraId="35218659" w14:textId="77777777" w:rsidR="00984F30" w:rsidRDefault="00984F30" w:rsidP="00272590">
      <w:pPr>
        <w:widowControl w:val="0"/>
        <w:autoSpaceDE w:val="0"/>
        <w:autoSpaceDN w:val="0"/>
        <w:adjustRightInd w:val="0"/>
      </w:pPr>
    </w:p>
    <w:p w14:paraId="0E5C53FD" w14:textId="3E89A891" w:rsidR="00272590" w:rsidRPr="00272590" w:rsidRDefault="00272590" w:rsidP="00272590">
      <w:pPr>
        <w:widowControl w:val="0"/>
        <w:autoSpaceDE w:val="0"/>
        <w:autoSpaceDN w:val="0"/>
        <w:adjustRightInd w:val="0"/>
      </w:pPr>
      <w:r w:rsidRPr="00272590">
        <w:t xml:space="preserve">La plupart des opérations de chirurgie du rachis étant </w:t>
      </w:r>
      <w:r>
        <w:t>alors</w:t>
      </w:r>
      <w:r w:rsidRPr="00272590">
        <w:t xml:space="preserve"> reportée, Spineway a également mis</w:t>
      </w:r>
      <w:r>
        <w:t xml:space="preserve"> </w:t>
      </w:r>
      <w:r w:rsidRPr="00272590">
        <w:t>en place un plan global d’activité partielle approuvé par la DIRRECTE, lui permettant d’adapter ses effectifs</w:t>
      </w:r>
      <w:r>
        <w:t xml:space="preserve"> sur </w:t>
      </w:r>
      <w:r w:rsidRPr="00272590">
        <w:t>la période.</w:t>
      </w:r>
    </w:p>
    <w:p w14:paraId="2E3658C4" w14:textId="77777777" w:rsidR="00AE115A" w:rsidRDefault="00AE115A" w:rsidP="00DD588B">
      <w:pPr>
        <w:rPr>
          <w:color w:val="FF0000"/>
          <w:szCs w:val="20"/>
        </w:rPr>
      </w:pPr>
    </w:p>
    <w:p w14:paraId="1DC9D974" w14:textId="304BDCE7" w:rsidR="00437782" w:rsidRPr="008716E2" w:rsidRDefault="008716E2" w:rsidP="00C622C2">
      <w:pPr>
        <w:pStyle w:val="Paragraphedeliste"/>
        <w:numPr>
          <w:ilvl w:val="0"/>
          <w:numId w:val="5"/>
        </w:numPr>
        <w:rPr>
          <w:b/>
        </w:rPr>
      </w:pPr>
      <w:r w:rsidRPr="008716E2">
        <w:rPr>
          <w:b/>
        </w:rPr>
        <w:t>Formation</w:t>
      </w:r>
      <w:r>
        <w:rPr>
          <w:b/>
        </w:rPr>
        <w:t>(s)</w:t>
      </w:r>
      <w:r w:rsidR="00AE115A">
        <w:rPr>
          <w:b/>
        </w:rPr>
        <w:t xml:space="preserve"> / Suivi</w:t>
      </w:r>
    </w:p>
    <w:p w14:paraId="1D4C6287" w14:textId="3EB37E61" w:rsidR="008716E2" w:rsidRPr="00B049A3" w:rsidRDefault="00040C7A" w:rsidP="008716E2">
      <w:r w:rsidRPr="00B049A3">
        <w:t>S’agissant des formations de ses collaborateurs, Spineway travaille avec un consultant extérieur.</w:t>
      </w:r>
    </w:p>
    <w:p w14:paraId="0704269C" w14:textId="257B46BB" w:rsidR="00040C7A" w:rsidRPr="00B049A3" w:rsidRDefault="00040C7A" w:rsidP="008716E2">
      <w:r w:rsidRPr="00B049A3">
        <w:t xml:space="preserve">Un planning des formations proposées est établi chaque année de </w:t>
      </w:r>
      <w:r w:rsidR="00E513E0">
        <w:t>manière</w:t>
      </w:r>
      <w:r w:rsidR="00E513E0" w:rsidRPr="00B049A3">
        <w:t xml:space="preserve"> </w:t>
      </w:r>
      <w:r w:rsidRPr="00B049A3">
        <w:t>à renforcer ou élargir des domaines de compétences de chacun.</w:t>
      </w:r>
    </w:p>
    <w:p w14:paraId="2F786B62" w14:textId="77777777" w:rsidR="008716E2" w:rsidRPr="008716E2" w:rsidRDefault="008716E2" w:rsidP="008716E2">
      <w:pPr>
        <w:rPr>
          <w:color w:val="FF0000"/>
        </w:rPr>
      </w:pPr>
    </w:p>
    <w:p w14:paraId="576CB4FC" w14:textId="1D110882" w:rsidR="008716E2" w:rsidRDefault="008716E2" w:rsidP="00C622C2">
      <w:pPr>
        <w:pStyle w:val="Paragraphedeliste"/>
        <w:numPr>
          <w:ilvl w:val="0"/>
          <w:numId w:val="5"/>
        </w:numPr>
        <w:rPr>
          <w:b/>
        </w:rPr>
      </w:pPr>
      <w:r w:rsidRPr="008716E2">
        <w:rPr>
          <w:b/>
        </w:rPr>
        <w:t>Turn over</w:t>
      </w:r>
    </w:p>
    <w:p w14:paraId="2493028B" w14:textId="2032912D" w:rsidR="008716E2" w:rsidRPr="00B049A3" w:rsidRDefault="00B049A3" w:rsidP="008716E2">
      <w:pPr>
        <w:rPr>
          <w:szCs w:val="20"/>
        </w:rPr>
      </w:pPr>
      <w:r w:rsidRPr="00B049A3">
        <w:rPr>
          <w:szCs w:val="20"/>
        </w:rPr>
        <w:t xml:space="preserve">Hors </w:t>
      </w:r>
      <w:r w:rsidRPr="00B049A3">
        <w:t>PSE, le</w:t>
      </w:r>
      <w:r w:rsidR="002E748B" w:rsidRPr="00B049A3">
        <w:rPr>
          <w:szCs w:val="20"/>
        </w:rPr>
        <w:t xml:space="preserve"> turn over est faible.</w:t>
      </w:r>
    </w:p>
    <w:p w14:paraId="3E03B416" w14:textId="77777777" w:rsidR="00AE115A" w:rsidRDefault="00AE115A" w:rsidP="008716E2">
      <w:pPr>
        <w:rPr>
          <w:color w:val="FF0000"/>
        </w:rPr>
      </w:pPr>
    </w:p>
    <w:p w14:paraId="6AA75949" w14:textId="3CCD621C" w:rsidR="00AE115A" w:rsidRPr="00AE115A" w:rsidRDefault="00AE115A" w:rsidP="00C622C2">
      <w:pPr>
        <w:pStyle w:val="Paragraphedeliste"/>
        <w:numPr>
          <w:ilvl w:val="0"/>
          <w:numId w:val="5"/>
        </w:numPr>
        <w:rPr>
          <w:b/>
        </w:rPr>
      </w:pPr>
      <w:r>
        <w:rPr>
          <w:b/>
        </w:rPr>
        <w:t>Convention collective</w:t>
      </w:r>
    </w:p>
    <w:p w14:paraId="4DBE85E6" w14:textId="0D394F64" w:rsidR="00AE115A" w:rsidRPr="00AD40C5" w:rsidRDefault="00AE115A" w:rsidP="00AE115A">
      <w:pPr>
        <w:rPr>
          <w:b/>
        </w:rPr>
      </w:pPr>
      <w:r w:rsidRPr="00306656">
        <w:t>IDCC 43 : convention collective nationale des entreprises de commission, de courtage et de commerce</w:t>
      </w:r>
      <w:r w:rsidRPr="00AD40C5">
        <w:t xml:space="preserve"> intracommunautaire et d'importation-exportation</w:t>
      </w:r>
    </w:p>
    <w:p w14:paraId="63A7FFF8" w14:textId="2123ACBC" w:rsidR="00DD588B" w:rsidRDefault="005B42F0" w:rsidP="00AE115A">
      <w:pPr>
        <w:rPr>
          <w:rStyle w:val="Lienhypertexte"/>
          <w:szCs w:val="20"/>
        </w:rPr>
      </w:pPr>
      <w:hyperlink r:id="rId99" w:history="1">
        <w:r w:rsidR="00AE115A" w:rsidRPr="00AD40C5">
          <w:rPr>
            <w:rStyle w:val="Lienhypertexte"/>
            <w:szCs w:val="20"/>
          </w:rPr>
          <w:t>https://www.legifrance.gouv.fr/affichIDCC.do?idConvention=KALICONT000005635612&amp;cidTexte=&amp;idSectionTA=&amp;dateTexte=29990101</w:t>
        </w:r>
      </w:hyperlink>
    </w:p>
    <w:p w14:paraId="69665A50" w14:textId="77777777" w:rsidR="00AE115A" w:rsidRDefault="00AE115A" w:rsidP="00AE115A">
      <w:pPr>
        <w:rPr>
          <w:rStyle w:val="Lienhypertexte"/>
          <w:szCs w:val="20"/>
        </w:rPr>
      </w:pPr>
    </w:p>
    <w:p w14:paraId="1FF4FBF9" w14:textId="7F73D2BA" w:rsidR="00AE115A" w:rsidRPr="008716E2" w:rsidRDefault="00AE115A" w:rsidP="00C622C2">
      <w:pPr>
        <w:pStyle w:val="Paragraphedeliste"/>
        <w:numPr>
          <w:ilvl w:val="0"/>
          <w:numId w:val="5"/>
        </w:numPr>
        <w:rPr>
          <w:b/>
        </w:rPr>
      </w:pPr>
      <w:r>
        <w:rPr>
          <w:b/>
        </w:rPr>
        <w:t>Représentants des salariés</w:t>
      </w:r>
    </w:p>
    <w:p w14:paraId="1BF5B2EB" w14:textId="34F47782" w:rsidR="00AE115A" w:rsidRDefault="00AE115A" w:rsidP="00306656">
      <w:r>
        <w:t xml:space="preserve">Comptant moins de 50 salariés, Spineway ne dispose pas de comité </w:t>
      </w:r>
      <w:r w:rsidR="00974215">
        <w:t>social et économique</w:t>
      </w:r>
      <w:r>
        <w:t>.</w:t>
      </w:r>
    </w:p>
    <w:p w14:paraId="16A3AB72" w14:textId="21997C83" w:rsidR="00AE115A" w:rsidRPr="001365C7" w:rsidRDefault="00517DC3" w:rsidP="00AE115A">
      <w:r>
        <w:t>La Société n’a plus à ce jour de délégués du personnel en raison d’une carence de candidature. La Société a sollicité des candidatures afin d’organiser une nouvelle élection.</w:t>
      </w:r>
    </w:p>
    <w:p w14:paraId="3F13BC36" w14:textId="77777777" w:rsidR="003F345D" w:rsidRPr="001C2F71" w:rsidRDefault="003F345D" w:rsidP="001C2F71"/>
    <w:p w14:paraId="73284BC4" w14:textId="5966B1F3" w:rsidR="00CF0C5B" w:rsidRDefault="00EE50DB" w:rsidP="00EE50DB">
      <w:pPr>
        <w:pStyle w:val="Titre2"/>
      </w:pPr>
      <w:bookmarkStart w:id="257" w:name="_Toc475033250"/>
      <w:r>
        <w:t>1</w:t>
      </w:r>
      <w:r w:rsidR="00A247E0">
        <w:t>5</w:t>
      </w:r>
      <w:r>
        <w:t xml:space="preserve">.2 </w:t>
      </w:r>
      <w:r w:rsidR="00CF0C5B">
        <w:t>Participation des salariés dans le capital de la Société</w:t>
      </w:r>
      <w:bookmarkEnd w:id="257"/>
      <w:r w:rsidR="00CF0C5B">
        <w:t xml:space="preserve"> </w:t>
      </w:r>
      <w:r w:rsidR="00CF0C5B">
        <w:tab/>
      </w:r>
    </w:p>
    <w:p w14:paraId="6BEF8A79" w14:textId="77777777" w:rsidR="001C2F71" w:rsidRDefault="001C2F71" w:rsidP="001C2F71"/>
    <w:p w14:paraId="4C766FB8" w14:textId="25904461" w:rsidR="00AE115A" w:rsidRPr="00AE115A" w:rsidRDefault="00DB6BFD" w:rsidP="008716E2">
      <w:r w:rsidRPr="00AE115A">
        <w:t xml:space="preserve">A la date du </w:t>
      </w:r>
      <w:r w:rsidR="00920DEB">
        <w:t>Document d’enregistrement universel</w:t>
      </w:r>
      <w:r w:rsidRPr="00AE115A">
        <w:t>, les salariés ne disposent pas d</w:t>
      </w:r>
      <w:r w:rsidR="00AE115A" w:rsidRPr="00AE115A">
        <w:t>e participation dans le capital de Spineway.</w:t>
      </w:r>
    </w:p>
    <w:p w14:paraId="6355E610" w14:textId="77777777" w:rsidR="001365C7" w:rsidRDefault="001365C7" w:rsidP="001365C7"/>
    <w:p w14:paraId="47B15932" w14:textId="5D1520CD" w:rsidR="00CF0C5B" w:rsidRDefault="00B813F0" w:rsidP="00EE50DB">
      <w:pPr>
        <w:pStyle w:val="Titre2"/>
      </w:pPr>
      <w:bookmarkStart w:id="258" w:name="_Toc475033251"/>
      <w:r>
        <w:t>1</w:t>
      </w:r>
      <w:r w:rsidR="00A247E0">
        <w:t>5</w:t>
      </w:r>
      <w:r>
        <w:t>.3</w:t>
      </w:r>
      <w:r w:rsidR="00EE50DB">
        <w:t xml:space="preserve"> </w:t>
      </w:r>
      <w:r w:rsidR="00CF0C5B">
        <w:t>Contrats d’intéressement et de participation</w:t>
      </w:r>
      <w:bookmarkEnd w:id="258"/>
      <w:r w:rsidR="00CF0C5B">
        <w:t xml:space="preserve"> </w:t>
      </w:r>
      <w:r w:rsidR="00CF0C5B">
        <w:tab/>
      </w:r>
    </w:p>
    <w:p w14:paraId="79B79E9D" w14:textId="77777777" w:rsidR="00DD588B" w:rsidRDefault="00DD588B" w:rsidP="00DD588B">
      <w:pPr>
        <w:rPr>
          <w:color w:val="FF0000"/>
          <w:szCs w:val="20"/>
          <w:highlight w:val="green"/>
        </w:rPr>
      </w:pPr>
    </w:p>
    <w:p w14:paraId="03D8A017" w14:textId="75BB8733" w:rsidR="00611259" w:rsidRPr="00D65D46" w:rsidRDefault="00611259" w:rsidP="00611259">
      <w:r w:rsidRPr="00D65D46">
        <w:t xml:space="preserve">Contrat d’intéressement : </w:t>
      </w:r>
      <w:r w:rsidR="00D65D46" w:rsidRPr="00D65D46">
        <w:t>Néant.</w:t>
      </w:r>
    </w:p>
    <w:p w14:paraId="5B28A46A" w14:textId="3ABEDE50" w:rsidR="005F4903" w:rsidRDefault="00611259">
      <w:pPr>
        <w:rPr>
          <w:szCs w:val="20"/>
        </w:rPr>
      </w:pPr>
      <w:r>
        <w:t>Participation</w:t>
      </w:r>
      <w:r w:rsidR="002E748B">
        <w:t xml:space="preserve"> des salariés</w:t>
      </w:r>
      <w:r w:rsidR="00A56A96">
        <w:t xml:space="preserve"> </w:t>
      </w:r>
      <w:r>
        <w:t xml:space="preserve">: </w:t>
      </w:r>
      <w:r w:rsidR="00DD06F3" w:rsidRPr="00D65D46">
        <w:t>Néant.</w:t>
      </w:r>
    </w:p>
    <w:p w14:paraId="1269B68E" w14:textId="77777777" w:rsidR="003727B4" w:rsidRDefault="003727B4">
      <w:pPr>
        <w:rPr>
          <w:szCs w:val="20"/>
        </w:rPr>
        <w:sectPr w:rsidR="003727B4" w:rsidSect="003727B4">
          <w:pgSz w:w="11906" w:h="16838"/>
          <w:pgMar w:top="1417" w:right="1417" w:bottom="1417" w:left="1417" w:header="708" w:footer="708" w:gutter="0"/>
          <w:cols w:space="708"/>
          <w:docGrid w:linePitch="360"/>
        </w:sectPr>
      </w:pPr>
    </w:p>
    <w:p w14:paraId="026F4074" w14:textId="30D481EA" w:rsidR="00CF0C5B" w:rsidRPr="00894266" w:rsidRDefault="00DE68AB" w:rsidP="00894266">
      <w:pPr>
        <w:pStyle w:val="Titre1"/>
      </w:pPr>
      <w:bookmarkStart w:id="259" w:name="_Toc475033252"/>
      <w:r>
        <w:lastRenderedPageBreak/>
        <w:t xml:space="preserve">16. </w:t>
      </w:r>
      <w:r w:rsidRPr="002B74FE">
        <w:t>PRINCIPAUX ACTIONNAIRES</w:t>
      </w:r>
      <w:bookmarkEnd w:id="259"/>
      <w:r w:rsidRPr="002B74FE">
        <w:t xml:space="preserve"> </w:t>
      </w:r>
      <w:r w:rsidR="00CF0C5B" w:rsidRPr="002B74FE">
        <w:tab/>
      </w:r>
    </w:p>
    <w:p w14:paraId="01084D4E" w14:textId="55F2480A" w:rsidR="00BB1379" w:rsidRDefault="00E52C27" w:rsidP="00C54B14">
      <w:pPr>
        <w:pStyle w:val="Titre2"/>
      </w:pPr>
      <w:bookmarkStart w:id="260" w:name="_Ref338060580"/>
      <w:bookmarkStart w:id="261" w:name="_Toc475033253"/>
      <w:r>
        <w:t>1</w:t>
      </w:r>
      <w:r w:rsidR="00A247E0">
        <w:t>6</w:t>
      </w:r>
      <w:r>
        <w:t xml:space="preserve">.1 </w:t>
      </w:r>
      <w:r w:rsidR="00CF0C5B">
        <w:t>Répartition du capital et des droits de vote</w:t>
      </w:r>
      <w:bookmarkEnd w:id="260"/>
      <w:r w:rsidR="00CF0C5B" w:rsidRPr="002B74FE">
        <w:t xml:space="preserve"> </w:t>
      </w:r>
      <w:r w:rsidR="00D16E63">
        <w:t>au 31 décembre 2020</w:t>
      </w:r>
      <w:bookmarkEnd w:id="261"/>
      <w:r w:rsidR="00CF0C5B" w:rsidRPr="002B74FE">
        <w:tab/>
      </w:r>
    </w:p>
    <w:p w14:paraId="45147129" w14:textId="77777777" w:rsidR="00472262" w:rsidRDefault="00472262" w:rsidP="00472262"/>
    <w:p w14:paraId="38879964" w14:textId="00EA34CD" w:rsidR="00472262" w:rsidRDefault="00472262" w:rsidP="00472262">
      <w:r>
        <w:t xml:space="preserve">La répartition du capital social et des droits de vote au 31 décembre 2020 est calculée sur </w:t>
      </w:r>
      <w:r w:rsidR="00D16E63">
        <w:t>la base du nombre d’actions composant le</w:t>
      </w:r>
      <w:r>
        <w:t xml:space="preserve"> capital comptable de Spineway au 31 décembre 2020 (et non </w:t>
      </w:r>
      <w:r w:rsidR="00D16E63">
        <w:t xml:space="preserve">le </w:t>
      </w:r>
      <w:r>
        <w:t>capital social juridique) soit 4.632.759.445 actions : Cf. paragraphe « </w:t>
      </w:r>
      <w:r>
        <w:fldChar w:fldCharType="begin"/>
      </w:r>
      <w:r>
        <w:instrText xml:space="preserve"> REF _Ref474073183 \h </w:instrText>
      </w:r>
      <w:r>
        <w:fldChar w:fldCharType="separate"/>
      </w:r>
      <w:r>
        <w:t>19.1.1 Montant du capital social</w:t>
      </w:r>
      <w:r>
        <w:fldChar w:fldCharType="end"/>
      </w:r>
      <w:r>
        <w:t xml:space="preserve"> » du Document d’enregistrement universel: </w:t>
      </w:r>
    </w:p>
    <w:p w14:paraId="33E3EE01" w14:textId="776CC68A" w:rsidR="00472262" w:rsidRPr="00472262" w:rsidRDefault="00AF00B1" w:rsidP="00472262">
      <w:r>
        <w:rPr>
          <w:noProof/>
        </w:rPr>
        <w:drawing>
          <wp:inline distT="0" distB="0" distL="0" distR="0" wp14:anchorId="08768880" wp14:editId="4DF41745">
            <wp:extent cx="8892540" cy="2625547"/>
            <wp:effectExtent l="0" t="0" r="0" b="0"/>
            <wp:docPr id="1214375494"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8892540" cy="2625547"/>
                    </a:xfrm>
                    <a:prstGeom prst="rect">
                      <a:avLst/>
                    </a:prstGeom>
                    <a:noFill/>
                    <a:ln>
                      <a:noFill/>
                    </a:ln>
                  </pic:spPr>
                </pic:pic>
              </a:graphicData>
            </a:graphic>
          </wp:inline>
        </w:drawing>
      </w:r>
    </w:p>
    <w:p w14:paraId="760AD4A5" w14:textId="76B720FA" w:rsidR="00A71590" w:rsidRPr="00A71590" w:rsidRDefault="00A71590" w:rsidP="005B42F0"/>
    <w:p w14:paraId="3E147FC8" w14:textId="0B00E724" w:rsidR="0009794C" w:rsidRDefault="0098016E" w:rsidP="00F30702">
      <w:pPr>
        <w:rPr>
          <w:szCs w:val="20"/>
        </w:rPr>
      </w:pPr>
      <w:r w:rsidRPr="00410E9B">
        <w:rPr>
          <w:szCs w:val="20"/>
        </w:rPr>
        <w:t>Tinavi</w:t>
      </w:r>
      <w:r w:rsidR="003F742B" w:rsidRPr="00410E9B">
        <w:rPr>
          <w:szCs w:val="20"/>
        </w:rPr>
        <w:t xml:space="preserve"> Medical Technologies est une société à responsabilité limitée immatriculée en République Populaire de Chine et dont le siège social est situé 2/F, C-1 Dongsheng Technology Park, 66 Xixiaokou Road, Haidian à Pékin (100192). Cette société est un partenaire stratégique de Spineway dont elle est distributeur en Chine, investisseur et </w:t>
      </w:r>
      <w:r w:rsidR="00BA6B63">
        <w:rPr>
          <w:szCs w:val="20"/>
        </w:rPr>
        <w:t>a</w:t>
      </w:r>
      <w:r w:rsidR="00410E9B">
        <w:rPr>
          <w:szCs w:val="20"/>
        </w:rPr>
        <w:t>dministrateur</w:t>
      </w:r>
      <w:r w:rsidR="003F742B" w:rsidRPr="00410E9B">
        <w:rPr>
          <w:szCs w:val="20"/>
        </w:rPr>
        <w:t>. (Cf. paragraphes « </w:t>
      </w:r>
      <w:r w:rsidR="003F742B" w:rsidRPr="00410E9B">
        <w:rPr>
          <w:szCs w:val="20"/>
        </w:rPr>
        <w:fldChar w:fldCharType="begin"/>
      </w:r>
      <w:r w:rsidR="003F742B" w:rsidRPr="00410E9B">
        <w:rPr>
          <w:szCs w:val="20"/>
        </w:rPr>
        <w:instrText xml:space="preserve"> REF _Ref337397328 \h </w:instrText>
      </w:r>
      <w:r w:rsidR="003F742B" w:rsidRPr="00410E9B">
        <w:rPr>
          <w:szCs w:val="20"/>
        </w:rPr>
      </w:r>
      <w:r w:rsidR="003F742B" w:rsidRPr="00410E9B">
        <w:rPr>
          <w:szCs w:val="20"/>
        </w:rPr>
        <w:fldChar w:fldCharType="separate"/>
      </w:r>
      <w:r w:rsidR="003A0AD1">
        <w:t xml:space="preserve">19.1.4 Valeurs mobilières ouvrant droit à une quote-part de </w:t>
      </w:r>
      <w:r w:rsidR="003F742B" w:rsidRPr="00410E9B">
        <w:rPr>
          <w:szCs w:val="20"/>
        </w:rPr>
        <w:fldChar w:fldCharType="end"/>
      </w:r>
      <w:r w:rsidR="003F742B" w:rsidRPr="00410E9B">
        <w:rPr>
          <w:szCs w:val="20"/>
        </w:rPr>
        <w:t> » et « </w:t>
      </w:r>
      <w:r w:rsidR="003F742B" w:rsidRPr="00410E9B">
        <w:rPr>
          <w:szCs w:val="20"/>
        </w:rPr>
        <w:fldChar w:fldCharType="begin"/>
      </w:r>
      <w:r w:rsidR="003F742B" w:rsidRPr="00410E9B">
        <w:rPr>
          <w:szCs w:val="20"/>
        </w:rPr>
        <w:instrText xml:space="preserve"> REF _Ref337844515 \h </w:instrText>
      </w:r>
      <w:r w:rsidR="003F742B" w:rsidRPr="00410E9B">
        <w:rPr>
          <w:szCs w:val="20"/>
        </w:rPr>
      </w:r>
      <w:r w:rsidR="003F742B" w:rsidRPr="00410E9B">
        <w:rPr>
          <w:szCs w:val="20"/>
        </w:rPr>
        <w:fldChar w:fldCharType="separate"/>
      </w:r>
      <w:r w:rsidR="003A0AD1">
        <w:t>12.1</w:t>
      </w:r>
      <w:r w:rsidR="003A0AD1" w:rsidRPr="00095E6D">
        <w:t xml:space="preserve"> Dirigeants </w:t>
      </w:r>
      <w:r w:rsidR="003A0AD1">
        <w:t>et administrateurs</w:t>
      </w:r>
      <w:r w:rsidR="003F742B" w:rsidRPr="00410E9B">
        <w:rPr>
          <w:szCs w:val="20"/>
        </w:rPr>
        <w:fldChar w:fldCharType="end"/>
      </w:r>
      <w:r w:rsidR="003F742B" w:rsidRPr="00410E9B">
        <w:rPr>
          <w:szCs w:val="20"/>
        </w:rPr>
        <w:t xml:space="preserve"> » </w:t>
      </w:r>
      <w:r w:rsidR="000C10EB" w:rsidRPr="00410E9B">
        <w:rPr>
          <w:szCs w:val="20"/>
        </w:rPr>
        <w:t xml:space="preserve">du </w:t>
      </w:r>
      <w:r w:rsidR="00920DEB" w:rsidRPr="00410E9B">
        <w:rPr>
          <w:szCs w:val="20"/>
        </w:rPr>
        <w:t>Document d’enregistrement universel</w:t>
      </w:r>
      <w:r w:rsidR="003F742B" w:rsidRPr="00410E9B">
        <w:rPr>
          <w:szCs w:val="20"/>
        </w:rPr>
        <w:t>).</w:t>
      </w:r>
    </w:p>
    <w:p w14:paraId="1F043462" w14:textId="2477C023" w:rsidR="009107CD" w:rsidRDefault="0009794C" w:rsidP="00F30702">
      <w:r w:rsidRPr="0009794C">
        <w:rPr>
          <w:szCs w:val="20"/>
        </w:rPr>
        <w:t>Negma Group L</w:t>
      </w:r>
      <w:r w:rsidR="00E513E0">
        <w:rPr>
          <w:szCs w:val="20"/>
        </w:rPr>
        <w:t>td</w:t>
      </w:r>
      <w:r w:rsidRPr="0009794C">
        <w:rPr>
          <w:szCs w:val="20"/>
        </w:rPr>
        <w:t xml:space="preserve"> </w:t>
      </w:r>
      <w:r>
        <w:rPr>
          <w:szCs w:val="20"/>
        </w:rPr>
        <w:t xml:space="preserve">(Park Capital) </w:t>
      </w:r>
      <w:r w:rsidRPr="0009794C">
        <w:rPr>
          <w:szCs w:val="20"/>
        </w:rPr>
        <w:t>est un fond d’investissement anglais et dont le siège social est situé Road Town, Tortola, VG 1110, British Virgin Islands.</w:t>
      </w:r>
      <w:r>
        <w:rPr>
          <w:szCs w:val="20"/>
        </w:rPr>
        <w:t xml:space="preserve"> Negma n’a pas vocation à rester actionnaire de Spineway.</w:t>
      </w:r>
      <w:r w:rsidR="009107CD" w:rsidRPr="009107CD">
        <w:t xml:space="preserve"> </w:t>
      </w:r>
    </w:p>
    <w:p w14:paraId="7BE96F9E" w14:textId="750131BE" w:rsidR="00231D44" w:rsidRPr="009107CD" w:rsidRDefault="009107CD" w:rsidP="00F30702">
      <w:r>
        <w:t xml:space="preserve">Au 31 décembre 2020, European </w:t>
      </w:r>
      <w:r w:rsidRPr="5F1F329D">
        <w:rPr>
          <w:rFonts w:ascii="Calibri" w:eastAsia="Times New Roman" w:hAnsi="Calibri" w:cs="Times New Roman"/>
          <w:color w:val="000000" w:themeColor="text1"/>
        </w:rPr>
        <w:t xml:space="preserve">High Growth Opportunities Securitization Fund, Yorkville et Negma </w:t>
      </w:r>
      <w:r w:rsidR="00E513E0">
        <w:rPr>
          <w:rFonts w:ascii="Calibri" w:eastAsia="Times New Roman" w:hAnsi="Calibri" w:cs="Times New Roman"/>
          <w:color w:val="000000" w:themeColor="text1"/>
        </w:rPr>
        <w:t xml:space="preserve">Group Ltd </w:t>
      </w:r>
      <w:r w:rsidRPr="5F1F329D">
        <w:rPr>
          <w:rFonts w:ascii="Calibri" w:eastAsia="Times New Roman" w:hAnsi="Calibri" w:cs="Times New Roman"/>
          <w:color w:val="000000" w:themeColor="text1"/>
        </w:rPr>
        <w:t xml:space="preserve">n’étaient à la connaissance de la société propriétaires d’aucune action Spineway puisque ces investisseurs avaient, à cette date, revendu l’ensemble des actions qui avaient pu être émises à leur bénéfice dans le cadre des contrats de financements signés avec Spineway. </w:t>
      </w:r>
      <w:r>
        <w:t>Cf. paragraphe «</w:t>
      </w:r>
      <w:r w:rsidR="0037609D">
        <w:t xml:space="preserve"> </w:t>
      </w:r>
      <w:r>
        <w:t>s’agissant de l’accès au capital des investisseurs, paragraphes « </w:t>
      </w:r>
      <w:r>
        <w:fldChar w:fldCharType="begin"/>
      </w:r>
      <w:r>
        <w:instrText xml:space="preserve"> REF _Ref471663564 \h </w:instrText>
      </w:r>
      <w:r>
        <w:fldChar w:fldCharType="separate"/>
      </w:r>
      <w:r w:rsidR="003A0AD1">
        <w:t>19.1.4 Valeurs mobilières ouvrant droit à une quote-part de capital</w:t>
      </w:r>
      <w:r>
        <w:fldChar w:fldCharType="end"/>
      </w:r>
      <w:r>
        <w:t xml:space="preserve">», </w:t>
      </w:r>
      <w:r w:rsidRPr="5F1F329D">
        <w:rPr>
          <w:rFonts w:ascii="Calibri" w:eastAsia="Times New Roman" w:hAnsi="Calibri" w:cs="Times New Roman"/>
          <w:color w:val="000000" w:themeColor="text1"/>
        </w:rPr>
        <w:t>« </w:t>
      </w:r>
      <w:r w:rsidRPr="5F1F329D">
        <w:rPr>
          <w:rFonts w:ascii="Calibri" w:eastAsia="Times New Roman" w:hAnsi="Calibri" w:cs="Times New Roman"/>
          <w:color w:val="000000" w:themeColor="text1"/>
        </w:rPr>
        <w:fldChar w:fldCharType="begin"/>
      </w:r>
      <w:r w:rsidRPr="5F1F329D">
        <w:rPr>
          <w:rFonts w:ascii="Calibri" w:eastAsia="Times New Roman" w:hAnsi="Calibri" w:cs="Times New Roman"/>
          <w:color w:val="000000" w:themeColor="text1"/>
        </w:rPr>
        <w:instrText xml:space="preserve"> REF _Ref472618033 \h </w:instrText>
      </w:r>
      <w:r w:rsidRPr="5F1F329D">
        <w:rPr>
          <w:rFonts w:ascii="Calibri" w:eastAsia="Times New Roman" w:hAnsi="Calibri" w:cs="Times New Roman"/>
          <w:color w:val="000000" w:themeColor="text1"/>
        </w:rPr>
      </w:r>
      <w:r w:rsidRPr="5F1F329D">
        <w:rPr>
          <w:rFonts w:ascii="Calibri" w:eastAsia="Times New Roman" w:hAnsi="Calibri" w:cs="Times New Roman"/>
          <w:color w:val="000000" w:themeColor="text1"/>
        </w:rPr>
        <w:fldChar w:fldCharType="separate"/>
      </w:r>
      <w:r w:rsidR="003A0AD1">
        <w:t>19.1.7 Historique du capital social</w:t>
      </w:r>
      <w:r w:rsidRPr="5F1F329D">
        <w:rPr>
          <w:rFonts w:ascii="Calibri" w:eastAsia="Times New Roman" w:hAnsi="Calibri" w:cs="Times New Roman"/>
          <w:color w:val="000000" w:themeColor="text1"/>
        </w:rPr>
        <w:fldChar w:fldCharType="end"/>
      </w:r>
      <w:r w:rsidRPr="5F1F329D">
        <w:rPr>
          <w:rFonts w:ascii="Calibri" w:eastAsia="Times New Roman" w:hAnsi="Calibri" w:cs="Times New Roman"/>
          <w:color w:val="000000" w:themeColor="text1"/>
        </w:rPr>
        <w:t> » et</w:t>
      </w:r>
      <w:r>
        <w:t xml:space="preserve"> « </w:t>
      </w:r>
      <w:r>
        <w:fldChar w:fldCharType="begin"/>
      </w:r>
      <w:r>
        <w:instrText xml:space="preserve"> REF _Ref337968423 \h </w:instrText>
      </w:r>
      <w:r>
        <w:fldChar w:fldCharType="separate"/>
      </w:r>
      <w:r w:rsidR="003A0AD1">
        <w:t xml:space="preserve">20. </w:t>
      </w:r>
      <w:r w:rsidR="003A0AD1" w:rsidRPr="0045432D">
        <w:t>Contrats importants</w:t>
      </w:r>
      <w:r>
        <w:fldChar w:fldCharType="end"/>
      </w:r>
      <w:r>
        <w:t> » du Document d’enregistrement universel.</w:t>
      </w:r>
    </w:p>
    <w:p w14:paraId="5C436AA7" w14:textId="77777777" w:rsidR="006928E0" w:rsidRPr="000357E1" w:rsidRDefault="006928E0" w:rsidP="00E85593">
      <w:pPr>
        <w:rPr>
          <w:b/>
          <w:color w:val="FF0000"/>
          <w:highlight w:val="yellow"/>
        </w:rPr>
        <w:sectPr w:rsidR="006928E0" w:rsidRPr="000357E1" w:rsidSect="003727B4">
          <w:pgSz w:w="16838" w:h="11906" w:orient="landscape"/>
          <w:pgMar w:top="1417" w:right="1417" w:bottom="1417" w:left="1417" w:header="708" w:footer="708" w:gutter="0"/>
          <w:cols w:space="708"/>
          <w:docGrid w:linePitch="360"/>
        </w:sectPr>
      </w:pPr>
    </w:p>
    <w:p w14:paraId="725D3581" w14:textId="526CDD91" w:rsidR="002E5831" w:rsidRPr="00E525BB" w:rsidRDefault="00E513E0" w:rsidP="005B42F0">
      <w:pPr>
        <w:rPr>
          <w:b/>
        </w:rPr>
      </w:pPr>
      <w:r w:rsidRPr="005B42F0">
        <w:rPr>
          <w:color w:val="FF0000"/>
        </w:rPr>
        <w:lastRenderedPageBreak/>
        <w:t xml:space="preserve">             </w:t>
      </w:r>
      <w:r w:rsidR="00E525BB" w:rsidRPr="00962E51">
        <w:rPr>
          <w:b/>
        </w:rPr>
        <w:t>P</w:t>
      </w:r>
      <w:r w:rsidR="002E5831" w:rsidRPr="003F1935">
        <w:rPr>
          <w:b/>
        </w:rPr>
        <w:t>acte d’actionnaires</w:t>
      </w:r>
      <w:r w:rsidR="00653056">
        <w:rPr>
          <w:b/>
        </w:rPr>
        <w:t xml:space="preserve"> </w:t>
      </w:r>
      <w:r w:rsidR="002E5831" w:rsidRPr="00E525BB">
        <w:rPr>
          <w:b/>
        </w:rPr>
        <w:t>:</w:t>
      </w:r>
    </w:p>
    <w:p w14:paraId="6CFE49AC" w14:textId="77777777" w:rsidR="002E5831" w:rsidRPr="0044426D" w:rsidRDefault="002E5831" w:rsidP="009678E1">
      <w:pPr>
        <w:ind w:left="567"/>
      </w:pPr>
    </w:p>
    <w:p w14:paraId="37BBDA4B" w14:textId="23EF8F03" w:rsidR="0057758C" w:rsidRPr="00D00AC7" w:rsidRDefault="0044426D" w:rsidP="0057758C">
      <w:pPr>
        <w:ind w:firstLine="567"/>
        <w:rPr>
          <w:szCs w:val="20"/>
        </w:rPr>
      </w:pPr>
      <w:r w:rsidRPr="00D00AC7">
        <w:rPr>
          <w:szCs w:val="20"/>
        </w:rPr>
        <w:t>Néant</w:t>
      </w:r>
      <w:r>
        <w:rPr>
          <w:szCs w:val="20"/>
        </w:rPr>
        <w:t>.</w:t>
      </w:r>
    </w:p>
    <w:p w14:paraId="5B368DBF" w14:textId="57EF407D" w:rsidR="00CF0C5B" w:rsidRDefault="00C54B14" w:rsidP="009678E1">
      <w:pPr>
        <w:pStyle w:val="Titre2"/>
        <w:ind w:left="567"/>
      </w:pPr>
      <w:r>
        <w:br/>
      </w:r>
      <w:bookmarkStart w:id="262" w:name="_Toc475033254"/>
      <w:r w:rsidR="00E52C27">
        <w:t>1</w:t>
      </w:r>
      <w:r w:rsidR="00A247E0">
        <w:t>6</w:t>
      </w:r>
      <w:r w:rsidR="00E52C27">
        <w:t xml:space="preserve">.2 </w:t>
      </w:r>
      <w:r w:rsidR="00CF0C5B">
        <w:t>Actionnaires significatifs non représentés au Conseil d’administration</w:t>
      </w:r>
      <w:bookmarkEnd w:id="262"/>
    </w:p>
    <w:p w14:paraId="4A04F0C3" w14:textId="77777777" w:rsidR="00533AEF" w:rsidRDefault="00533AEF" w:rsidP="00361210"/>
    <w:p w14:paraId="75856C8F" w14:textId="384E3058" w:rsidR="00361210" w:rsidRDefault="00361210" w:rsidP="00361210">
      <w:pPr>
        <w:ind w:left="567"/>
      </w:pPr>
      <w:r w:rsidRPr="00827751">
        <w:t xml:space="preserve">A la date du </w:t>
      </w:r>
      <w:r>
        <w:t>Document d’enregistrement universel</w:t>
      </w:r>
      <w:r w:rsidRPr="00827751">
        <w:t xml:space="preserve">, il </w:t>
      </w:r>
      <w:r w:rsidR="00DD06F3">
        <w:t>n’</w:t>
      </w:r>
      <w:r>
        <w:t xml:space="preserve">existe </w:t>
      </w:r>
      <w:r w:rsidR="005B2043" w:rsidRPr="00DD06F3">
        <w:t>pas d’</w:t>
      </w:r>
      <w:r w:rsidR="00DD06F3">
        <w:t>actionnaire</w:t>
      </w:r>
      <w:r>
        <w:t xml:space="preserve"> signi</w:t>
      </w:r>
      <w:r w:rsidR="00DD06F3">
        <w:t>ficatif</w:t>
      </w:r>
      <w:r w:rsidRPr="00827751">
        <w:t xml:space="preserve"> </w:t>
      </w:r>
      <w:r w:rsidR="005B2043">
        <w:t>non</w:t>
      </w:r>
      <w:r w:rsidRPr="00827751">
        <w:t xml:space="preserve"> représenté au Conseil d’</w:t>
      </w:r>
      <w:r w:rsidR="008C04B3">
        <w:t>a</w:t>
      </w:r>
      <w:r w:rsidRPr="00827751">
        <w:t>dministration</w:t>
      </w:r>
      <w:r>
        <w:t xml:space="preserve"> de Spineway</w:t>
      </w:r>
      <w:r w:rsidRPr="00827751">
        <w:t>.</w:t>
      </w:r>
      <w:r>
        <w:t xml:space="preserve"> </w:t>
      </w:r>
    </w:p>
    <w:p w14:paraId="64C2DB22" w14:textId="1D17ECD2" w:rsidR="002B20FB" w:rsidRPr="00DD06F3" w:rsidRDefault="005412D1" w:rsidP="00DD06F3">
      <w:pPr>
        <w:ind w:left="567"/>
      </w:pPr>
      <w:r w:rsidRPr="005412D1">
        <w:t>M</w:t>
      </w:r>
      <w:r w:rsidR="005B2043">
        <w:t>.</w:t>
      </w:r>
      <w:r w:rsidRPr="005412D1">
        <w:t xml:space="preserve"> </w:t>
      </w:r>
      <w:r>
        <w:t xml:space="preserve">Stéphane Le Roux </w:t>
      </w:r>
      <w:r w:rsidR="000357E1">
        <w:t>est</w:t>
      </w:r>
      <w:r>
        <w:t xml:space="preserve"> Présiden</w:t>
      </w:r>
      <w:bookmarkStart w:id="263" w:name="_Ref373430037"/>
      <w:r w:rsidR="005B2043">
        <w:t xml:space="preserve">t </w:t>
      </w:r>
      <w:r w:rsidR="00E513E0">
        <w:t>Directeur Général</w:t>
      </w:r>
      <w:r w:rsidR="00E513E0" w:rsidDel="00E513E0">
        <w:t xml:space="preserve"> </w:t>
      </w:r>
      <w:r w:rsidR="005B2043">
        <w:t>de Spineway.</w:t>
      </w:r>
      <w:bookmarkEnd w:id="263"/>
    </w:p>
    <w:p w14:paraId="176CEC36" w14:textId="77777777" w:rsidR="005B2043" w:rsidRDefault="005B2043" w:rsidP="005B2043">
      <w:pPr>
        <w:ind w:left="567"/>
        <w:rPr>
          <w:b/>
          <w:color w:val="FF0000"/>
          <w:highlight w:val="yellow"/>
        </w:rPr>
      </w:pPr>
    </w:p>
    <w:p w14:paraId="09308D54" w14:textId="469B894E" w:rsidR="00DD06F3" w:rsidRDefault="00DD06F3" w:rsidP="00DD06F3">
      <w:pPr>
        <w:pStyle w:val="Titre2"/>
        <w:ind w:left="567"/>
      </w:pPr>
      <w:bookmarkStart w:id="264" w:name="_Toc472953564"/>
      <w:bookmarkStart w:id="265" w:name="_Toc475033255"/>
      <w:r>
        <w:t>16.3 Droits de vote des principaux actionnaires</w:t>
      </w:r>
      <w:bookmarkEnd w:id="264"/>
      <w:bookmarkEnd w:id="265"/>
    </w:p>
    <w:p w14:paraId="26AA853E" w14:textId="77777777" w:rsidR="00DD06F3" w:rsidRDefault="00DD06F3" w:rsidP="00DD06F3">
      <w:pPr>
        <w:ind w:left="567"/>
        <w:rPr>
          <w:color w:val="FF0000"/>
          <w:highlight w:val="green"/>
        </w:rPr>
      </w:pPr>
    </w:p>
    <w:p w14:paraId="76C65810" w14:textId="77777777" w:rsidR="00DD06F3" w:rsidRDefault="00DD06F3" w:rsidP="00DD06F3">
      <w:pPr>
        <w:ind w:left="567"/>
        <w:rPr>
          <w:szCs w:val="20"/>
        </w:rPr>
      </w:pPr>
      <w:r w:rsidRPr="0032696E">
        <w:rPr>
          <w:szCs w:val="20"/>
        </w:rPr>
        <w:t xml:space="preserve">Le droit de vote attaché aux actions est proportionnel à la quotité de capital qu’elles représentent et chaque action donne droit à une voix. </w:t>
      </w:r>
    </w:p>
    <w:p w14:paraId="322D5506" w14:textId="77777777" w:rsidR="00DD06F3" w:rsidRPr="00D2485D" w:rsidRDefault="00DD06F3" w:rsidP="00DD06F3">
      <w:pPr>
        <w:ind w:left="567"/>
        <w:rPr>
          <w:szCs w:val="20"/>
        </w:rPr>
      </w:pPr>
      <w:r>
        <w:rPr>
          <w:szCs w:val="20"/>
        </w:rPr>
        <w:t>Toutefois, les statuts prévoient qu’un droit de vote double est attribué aux actions pour lesquelles est justifiée une inscription nominative depuis deux (2) ans au moins au nom du même actionnaire (article 29-2 des statuts de Spineway).</w:t>
      </w:r>
    </w:p>
    <w:p w14:paraId="13DF26DE" w14:textId="77777777" w:rsidR="00DD06F3" w:rsidRPr="00DD06F3" w:rsidRDefault="00DD06F3" w:rsidP="005B2043">
      <w:pPr>
        <w:ind w:left="567"/>
      </w:pPr>
    </w:p>
    <w:p w14:paraId="08AD2888" w14:textId="41D98F01" w:rsidR="0062458A" w:rsidRDefault="5F1F329D" w:rsidP="009678E1">
      <w:pPr>
        <w:pStyle w:val="Titre2"/>
        <w:ind w:left="567"/>
      </w:pPr>
      <w:bookmarkStart w:id="266" w:name="_Toc475033256"/>
      <w:r>
        <w:t>16.</w:t>
      </w:r>
      <w:r w:rsidR="00DD06F3">
        <w:t>4</w:t>
      </w:r>
      <w:r>
        <w:t xml:space="preserve"> Contrôle de la Société</w:t>
      </w:r>
      <w:bookmarkEnd w:id="266"/>
      <w:r>
        <w:t xml:space="preserve"> </w:t>
      </w:r>
    </w:p>
    <w:p w14:paraId="75F88F78" w14:textId="77777777" w:rsidR="0062458A" w:rsidRDefault="0062458A" w:rsidP="009678E1">
      <w:pPr>
        <w:ind w:left="567"/>
      </w:pPr>
    </w:p>
    <w:p w14:paraId="3189F1B2" w14:textId="324D40A5" w:rsidR="006439DE" w:rsidRPr="006439DE" w:rsidRDefault="006439DE" w:rsidP="006439DE">
      <w:pPr>
        <w:ind w:left="567"/>
      </w:pPr>
      <w:r w:rsidRPr="006439DE">
        <w:t xml:space="preserve">A la date du </w:t>
      </w:r>
      <w:r w:rsidR="00DD06F3">
        <w:t>Document d’enregistrement universel</w:t>
      </w:r>
      <w:r w:rsidRPr="006439DE">
        <w:t>, aucun actionnaire ne détient individuellement le contrôle de la Société au sens de l’article L. 233-3 du Code de commerce.</w:t>
      </w:r>
    </w:p>
    <w:p w14:paraId="140A0725" w14:textId="77777777" w:rsidR="006439DE" w:rsidRDefault="006439DE" w:rsidP="006439DE">
      <w:pPr>
        <w:ind w:left="567"/>
      </w:pPr>
    </w:p>
    <w:p w14:paraId="2DB08A80" w14:textId="0643CAEB" w:rsidR="002409A5" w:rsidRDefault="00CD7CDB" w:rsidP="009678E1">
      <w:pPr>
        <w:ind w:left="567"/>
      </w:pPr>
      <w:r>
        <w:t>L</w:t>
      </w:r>
      <w:r w:rsidR="002409A5" w:rsidRPr="00223FB6">
        <w:t>a Société n’a pas mis en place de mesures spécifiques en vue de s’assurer que le contrôle ne soit pas exercé de manière abusive.</w:t>
      </w:r>
      <w:r w:rsidR="0059388C">
        <w:t xml:space="preserve"> Néanmoins, et comme indiqué au paragraphe « </w:t>
      </w:r>
      <w:r w:rsidR="0059388C">
        <w:fldChar w:fldCharType="begin"/>
      </w:r>
      <w:r w:rsidR="0059388C">
        <w:instrText xml:space="preserve"> REF _Ref373567577 \h </w:instrText>
      </w:r>
      <w:r w:rsidR="0059388C">
        <w:fldChar w:fldCharType="separate"/>
      </w:r>
      <w:r w:rsidR="003A0AD1">
        <w:t>14.4 Déclaration relative au gouvernement d’entreprise</w:t>
      </w:r>
      <w:r w:rsidR="0059388C">
        <w:fldChar w:fldCharType="end"/>
      </w:r>
      <w:r w:rsidR="0059388C">
        <w:t xml:space="preserve"> », la société a décidé d’appliquer une très grande majorité des recommandations du </w:t>
      </w:r>
      <w:r w:rsidR="00DF41BF">
        <w:t>c</w:t>
      </w:r>
      <w:r w:rsidR="0059388C">
        <w:t>ode</w:t>
      </w:r>
      <w:r w:rsidR="00DF41BF">
        <w:t xml:space="preserve"> de gouvernement d’entreprise</w:t>
      </w:r>
      <w:r w:rsidR="0059388C">
        <w:t xml:space="preserve"> Middlenext, dont certaines tendent à s’assurer que le contrôle ne soit pas exercé de manière abusive et, notamment, la recommandation </w:t>
      </w:r>
      <w:r w:rsidR="00DF41BF">
        <w:t>n°</w:t>
      </w:r>
      <w:r w:rsidR="0059388C">
        <w:t xml:space="preserve">2 relative aux conflits d’intérêts ou la recommandation </w:t>
      </w:r>
      <w:r w:rsidR="00DF41BF">
        <w:t>n°</w:t>
      </w:r>
      <w:r w:rsidR="0059388C">
        <w:t>3 relative à la présence de deux administrateurs indépendants au sein du Conseil d’administration.</w:t>
      </w:r>
    </w:p>
    <w:p w14:paraId="7685A796" w14:textId="77777777" w:rsidR="006F6AEA" w:rsidRPr="0032696E" w:rsidRDefault="006F6AEA" w:rsidP="009678E1">
      <w:pPr>
        <w:ind w:left="567"/>
        <w:rPr>
          <w:szCs w:val="20"/>
        </w:rPr>
      </w:pPr>
    </w:p>
    <w:p w14:paraId="007B240D" w14:textId="629907E3" w:rsidR="00CF0C5B" w:rsidRDefault="00E52C27" w:rsidP="009678E1">
      <w:pPr>
        <w:pStyle w:val="Titre2"/>
        <w:ind w:left="567"/>
      </w:pPr>
      <w:bookmarkStart w:id="267" w:name="_Toc475033257"/>
      <w:r>
        <w:t>1</w:t>
      </w:r>
      <w:r w:rsidR="00A247E0">
        <w:t>6</w:t>
      </w:r>
      <w:r>
        <w:t>.</w:t>
      </w:r>
      <w:r w:rsidR="00DD06F3">
        <w:t>5</w:t>
      </w:r>
      <w:r>
        <w:t xml:space="preserve"> </w:t>
      </w:r>
      <w:r w:rsidR="00CF0C5B">
        <w:t>Accord pouvant entrainer un changement de contrôle</w:t>
      </w:r>
      <w:bookmarkEnd w:id="267"/>
      <w:r w:rsidR="00CF0C5B">
        <w:t xml:space="preserve"> </w:t>
      </w:r>
      <w:r w:rsidR="00CF0C5B">
        <w:tab/>
      </w:r>
    </w:p>
    <w:p w14:paraId="0F22B242" w14:textId="77777777" w:rsidR="0062458A" w:rsidRPr="008716E2" w:rsidRDefault="0062458A" w:rsidP="009678E1">
      <w:pPr>
        <w:ind w:left="567"/>
        <w:rPr>
          <w:color w:val="FF0000"/>
        </w:rPr>
      </w:pPr>
    </w:p>
    <w:p w14:paraId="1B401C80" w14:textId="049A9B1A" w:rsidR="0051679A" w:rsidRPr="005B2043" w:rsidRDefault="0051679A" w:rsidP="009678E1">
      <w:pPr>
        <w:ind w:left="567"/>
        <w:rPr>
          <w:szCs w:val="20"/>
        </w:rPr>
      </w:pPr>
      <w:r w:rsidRPr="005B2043">
        <w:rPr>
          <w:szCs w:val="20"/>
        </w:rPr>
        <w:t xml:space="preserve">A la date du </w:t>
      </w:r>
      <w:r w:rsidR="00920DEB" w:rsidRPr="005B2043">
        <w:t>Document d’enregistrement universel</w:t>
      </w:r>
      <w:r w:rsidRPr="005B2043">
        <w:rPr>
          <w:szCs w:val="20"/>
        </w:rPr>
        <w:t>, à</w:t>
      </w:r>
      <w:r w:rsidR="00533AEF" w:rsidRPr="005B2043">
        <w:rPr>
          <w:szCs w:val="20"/>
        </w:rPr>
        <w:t xml:space="preserve"> la connaissance de la Société, </w:t>
      </w:r>
      <w:r w:rsidRPr="005B2043">
        <w:rPr>
          <w:szCs w:val="20"/>
        </w:rPr>
        <w:t xml:space="preserve">il n’existe pas d’accord entre actionnaires pouvant entraîner un changement de contrôle de la Société. </w:t>
      </w:r>
    </w:p>
    <w:p w14:paraId="5B3F26E4" w14:textId="77777777" w:rsidR="001876EF" w:rsidRPr="001876EF" w:rsidRDefault="001876EF" w:rsidP="009678E1">
      <w:pPr>
        <w:ind w:left="567"/>
        <w:rPr>
          <w:szCs w:val="20"/>
        </w:rPr>
      </w:pPr>
    </w:p>
    <w:p w14:paraId="437BBD4A" w14:textId="0D64A703" w:rsidR="001C2F71" w:rsidRDefault="5F1F329D" w:rsidP="009678E1">
      <w:pPr>
        <w:pStyle w:val="Titre2"/>
        <w:ind w:left="567"/>
      </w:pPr>
      <w:bookmarkStart w:id="268" w:name="_Toc475033258"/>
      <w:r>
        <w:t>16.</w:t>
      </w:r>
      <w:r w:rsidR="00DD06F3">
        <w:t>6</w:t>
      </w:r>
      <w:r>
        <w:t xml:space="preserve"> Etat des nantissements d’actions composant le capital de la Société</w:t>
      </w:r>
      <w:bookmarkEnd w:id="268"/>
      <w:r>
        <w:t xml:space="preserve"> </w:t>
      </w:r>
    </w:p>
    <w:p w14:paraId="7D19985F" w14:textId="77777777" w:rsidR="00C81B63" w:rsidRDefault="00C81B63" w:rsidP="009678E1">
      <w:pPr>
        <w:ind w:left="567"/>
      </w:pPr>
    </w:p>
    <w:p w14:paraId="6BE32090" w14:textId="6C0C292F" w:rsidR="001C2F71" w:rsidRPr="003F742B" w:rsidRDefault="007E72BA" w:rsidP="009678E1">
      <w:pPr>
        <w:ind w:left="567"/>
        <w:rPr>
          <w:b/>
          <w:bCs/>
        </w:rPr>
      </w:pPr>
      <w:r w:rsidRPr="003F742B">
        <w:t>Néant</w:t>
      </w:r>
      <w:r w:rsidR="001C2F71" w:rsidRPr="003F742B">
        <w:br w:type="page"/>
      </w:r>
    </w:p>
    <w:p w14:paraId="03651919" w14:textId="71CC4E91" w:rsidR="00CF0C5B" w:rsidRDefault="00E52C27" w:rsidP="009678E1">
      <w:pPr>
        <w:pStyle w:val="Titre1"/>
        <w:ind w:left="567"/>
      </w:pPr>
      <w:bookmarkStart w:id="269" w:name="_Ref337817237"/>
      <w:bookmarkStart w:id="270" w:name="_Ref474073024"/>
      <w:bookmarkStart w:id="271" w:name="_Toc475033259"/>
      <w:r>
        <w:lastRenderedPageBreak/>
        <w:t>1</w:t>
      </w:r>
      <w:r w:rsidR="00A247E0">
        <w:t>7</w:t>
      </w:r>
      <w:r>
        <w:t xml:space="preserve">. </w:t>
      </w:r>
      <w:bookmarkStart w:id="272" w:name="_Hlk63190109"/>
      <w:bookmarkEnd w:id="269"/>
      <w:r w:rsidR="0042482A">
        <w:t>TRANSACTIONS AVEC DES PARTIES LIEES</w:t>
      </w:r>
      <w:bookmarkEnd w:id="270"/>
      <w:bookmarkEnd w:id="271"/>
      <w:r w:rsidR="00CF0C5B" w:rsidRPr="00663C5C">
        <w:t xml:space="preserve"> </w:t>
      </w:r>
      <w:r w:rsidR="00CF0C5B" w:rsidRPr="00663C5C">
        <w:tab/>
      </w:r>
      <w:bookmarkEnd w:id="272"/>
    </w:p>
    <w:p w14:paraId="588083F6" w14:textId="77777777" w:rsidR="00863CC3" w:rsidRDefault="00863CC3" w:rsidP="009678E1">
      <w:pPr>
        <w:ind w:left="567"/>
      </w:pPr>
    </w:p>
    <w:p w14:paraId="555350D4" w14:textId="39E503A4" w:rsidR="00CF0C5B" w:rsidRDefault="00863CC3" w:rsidP="009678E1">
      <w:pPr>
        <w:ind w:left="567"/>
      </w:pPr>
      <w:r>
        <w:t xml:space="preserve">Les conventions règlementées conclues entre </w:t>
      </w:r>
      <w:r w:rsidR="00C6149B">
        <w:t>Spineway</w:t>
      </w:r>
      <w:r>
        <w:t xml:space="preserve">, ses administrateurs, </w:t>
      </w:r>
      <w:r w:rsidR="0059388C">
        <w:t xml:space="preserve">son </w:t>
      </w:r>
      <w:r w:rsidR="00E513E0">
        <w:t>Directeur Général</w:t>
      </w:r>
      <w:r w:rsidR="0059388C">
        <w:t xml:space="preserve">, l’un de ses actionnaires disposant d’une fraction des droits de vote supérieure à 10% ou, s’il s’agit d’une société actionnaire, la société la contrôlant au sens de l’article L. 233-3 du Code de commerce, </w:t>
      </w:r>
      <w:r>
        <w:t xml:space="preserve">ou avec des sociétés ayant des administrateurs, des directeurs généraux, des membres du Conseil d’administration communs avec </w:t>
      </w:r>
      <w:r w:rsidR="00C6149B">
        <w:t>Spineway</w:t>
      </w:r>
      <w:r>
        <w:t xml:space="preserve"> sont présentées dans les rapports spéciaux des </w:t>
      </w:r>
      <w:r w:rsidR="0042482A">
        <w:t>c</w:t>
      </w:r>
      <w:r>
        <w:t xml:space="preserve">ommissaires aux </w:t>
      </w:r>
      <w:r w:rsidR="0042482A">
        <w:t>c</w:t>
      </w:r>
      <w:r>
        <w:t>omptes établis au titre des exe</w:t>
      </w:r>
      <w:r w:rsidR="00533AEF">
        <w:t>rcices clos les 31 décembre 2020</w:t>
      </w:r>
      <w:r w:rsidR="00C6149B">
        <w:t xml:space="preserve"> </w:t>
      </w:r>
      <w:r w:rsidR="00B6124F">
        <w:t>et 201</w:t>
      </w:r>
      <w:r w:rsidR="00533AEF">
        <w:t>9</w:t>
      </w:r>
      <w:r w:rsidR="00B6124F">
        <w:t xml:space="preserve"> figurant ci-</w:t>
      </w:r>
      <w:r w:rsidR="00BD78EA">
        <w:t>après</w:t>
      </w:r>
      <w:r w:rsidR="009E2AA5">
        <w:t>.</w:t>
      </w:r>
    </w:p>
    <w:p w14:paraId="01D83EAE" w14:textId="77777777" w:rsidR="001D164B" w:rsidRPr="0063448B" w:rsidRDefault="001D164B" w:rsidP="009678E1">
      <w:pPr>
        <w:ind w:left="567"/>
      </w:pPr>
    </w:p>
    <w:p w14:paraId="03B7B720" w14:textId="77777777" w:rsidR="001D164B" w:rsidRPr="0063448B" w:rsidRDefault="5F1F329D" w:rsidP="5F1F329D">
      <w:pPr>
        <w:ind w:left="567"/>
        <w:rPr>
          <w:rFonts w:cs="Arial"/>
        </w:rPr>
      </w:pPr>
      <w:r w:rsidRPr="0063448B">
        <w:rPr>
          <w:rFonts w:cs="Arial"/>
        </w:rPr>
        <w:t>Remarques :</w:t>
      </w:r>
    </w:p>
    <w:p w14:paraId="41ED2167" w14:textId="1282BC84" w:rsidR="0063448B" w:rsidRDefault="006A1142" w:rsidP="0063448B">
      <w:pPr>
        <w:pStyle w:val="Paragraphedeliste"/>
        <w:numPr>
          <w:ilvl w:val="0"/>
          <w:numId w:val="5"/>
        </w:numPr>
        <w:ind w:hanging="11"/>
      </w:pPr>
      <w:r>
        <w:t>Les</w:t>
      </w:r>
      <w:r w:rsidRPr="0063448B">
        <w:t xml:space="preserve"> </w:t>
      </w:r>
      <w:r w:rsidR="00BD78EA" w:rsidRPr="0063448B">
        <w:t>conventions de prestations de services signées entre Spineway et sa filiale américaine Spineway USA</w:t>
      </w:r>
      <w:r w:rsidR="00E513E0">
        <w:t xml:space="preserve"> Inc</w:t>
      </w:r>
      <w:r w:rsidR="00BD78EA" w:rsidRPr="0063448B">
        <w:t xml:space="preserve"> sont évoquées </w:t>
      </w:r>
      <w:r>
        <w:t xml:space="preserve">au </w:t>
      </w:r>
      <w:r w:rsidR="00BD78EA" w:rsidRPr="0063448B">
        <w:t>paragraphe « </w:t>
      </w:r>
      <w:r w:rsidR="00BD78EA" w:rsidRPr="0063448B">
        <w:fldChar w:fldCharType="begin"/>
      </w:r>
      <w:r w:rsidR="00BD78EA" w:rsidRPr="0063448B">
        <w:instrText xml:space="preserve"> REF _Ref369941709 \h </w:instrText>
      </w:r>
      <w:r w:rsidR="00BD78EA" w:rsidRPr="0063448B">
        <w:fldChar w:fldCharType="separate"/>
      </w:r>
      <w:r w:rsidR="003A0AD1">
        <w:t>6</w:t>
      </w:r>
      <w:r w:rsidR="003A0AD1" w:rsidRPr="00A601E8">
        <w:t>.3. P</w:t>
      </w:r>
      <w:r w:rsidR="003A0AD1">
        <w:t>rincipaux flux intra-groupe</w:t>
      </w:r>
      <w:r w:rsidR="00BD78EA" w:rsidRPr="0063448B">
        <w:fldChar w:fldCharType="end"/>
      </w:r>
      <w:r w:rsidR="00BD78EA" w:rsidRPr="0063448B">
        <w:t xml:space="preserve"> » </w:t>
      </w:r>
      <w:r w:rsidR="000C10EB" w:rsidRPr="0063448B">
        <w:t xml:space="preserve">du </w:t>
      </w:r>
      <w:r w:rsidR="00920DEB" w:rsidRPr="0063448B">
        <w:t>Document d’enregistrement universel</w:t>
      </w:r>
      <w:r w:rsidR="00BD78EA" w:rsidRPr="0063448B">
        <w:t xml:space="preserve">. </w:t>
      </w:r>
    </w:p>
    <w:p w14:paraId="01604017" w14:textId="2A25CF40" w:rsidR="004D2222" w:rsidRPr="0063448B" w:rsidRDefault="5F1F329D" w:rsidP="0063448B">
      <w:pPr>
        <w:pStyle w:val="Paragraphedeliste"/>
        <w:numPr>
          <w:ilvl w:val="0"/>
          <w:numId w:val="5"/>
        </w:numPr>
        <w:ind w:hanging="11"/>
      </w:pPr>
      <w:r w:rsidRPr="0063448B">
        <w:rPr>
          <w:rFonts w:cs="Arial"/>
        </w:rPr>
        <w:t xml:space="preserve">Les comptes courants d’associés évoquées dans les comptes concernent M. Stéphane Le Roux </w:t>
      </w:r>
      <w:r w:rsidR="00E513E0">
        <w:rPr>
          <w:rFonts w:cs="Arial"/>
        </w:rPr>
        <w:t>P</w:t>
      </w:r>
      <w:r w:rsidR="00E513E0" w:rsidRPr="0063448B">
        <w:rPr>
          <w:rFonts w:cs="Arial"/>
        </w:rPr>
        <w:t xml:space="preserve">résident </w:t>
      </w:r>
      <w:r w:rsidR="00E513E0">
        <w:t>Directeur Général</w:t>
      </w:r>
      <w:r w:rsidR="00E513E0" w:rsidDel="00E513E0">
        <w:rPr>
          <w:rFonts w:cs="Arial"/>
        </w:rPr>
        <w:t xml:space="preserve"> </w:t>
      </w:r>
      <w:r w:rsidRPr="0063448B">
        <w:rPr>
          <w:rFonts w:cs="Arial"/>
        </w:rPr>
        <w:t xml:space="preserve">et </w:t>
      </w:r>
      <w:r w:rsidRPr="0063448B">
        <w:t xml:space="preserve">mandataire social </w:t>
      </w:r>
      <w:r w:rsidRPr="0063448B">
        <w:rPr>
          <w:rFonts w:cs="Arial"/>
        </w:rPr>
        <w:t>de la société. Ce compte courant de personne physique n’est pas rémunéré. Une dette vis-à-vis d’un a</w:t>
      </w:r>
      <w:r w:rsidR="0063448B">
        <w:rPr>
          <w:rFonts w:cs="Arial"/>
        </w:rPr>
        <w:t>n</w:t>
      </w:r>
      <w:r w:rsidRPr="0063448B">
        <w:rPr>
          <w:rFonts w:cs="Arial"/>
        </w:rPr>
        <w:t>cien associé existe toujours au 31 décembre 2020, aucune demande de remboursement n’ayant été exprimée par l’intéressé. Ces comptes courants sont créditeurs et on</w:t>
      </w:r>
      <w:r w:rsidR="003569B3">
        <w:rPr>
          <w:rFonts w:cs="Arial"/>
        </w:rPr>
        <w:t>t</w:t>
      </w:r>
      <w:r w:rsidRPr="0063448B">
        <w:rPr>
          <w:rFonts w:cs="Arial"/>
        </w:rPr>
        <w:t xml:space="preserve"> vocation à être remboursés aux associés et non pas à être convertis. N’étant pas rémunérés, il a été considéré qu’ils n’entraient pas dans le champ des conventions réglementées. Spineway s’engage à présenter, pour ratification, ces conventions de compte courant à la prochaine Assemblée Générale.</w:t>
      </w:r>
    </w:p>
    <w:p w14:paraId="140E57BC" w14:textId="734DB459" w:rsidR="001D164B" w:rsidRPr="0063448B" w:rsidRDefault="001D164B" w:rsidP="009678E1">
      <w:pPr>
        <w:pStyle w:val="Paragraphedeliste"/>
        <w:widowControl w:val="0"/>
        <w:autoSpaceDE w:val="0"/>
        <w:autoSpaceDN w:val="0"/>
        <w:adjustRightInd w:val="0"/>
        <w:ind w:left="567"/>
        <w:jc w:val="left"/>
        <w:rPr>
          <w:rFonts w:cs="Arial"/>
          <w:szCs w:val="20"/>
        </w:rPr>
      </w:pPr>
    </w:p>
    <w:p w14:paraId="42811519" w14:textId="77777777" w:rsidR="001D164B" w:rsidRPr="00B871FB" w:rsidRDefault="001D164B" w:rsidP="009678E1">
      <w:pPr>
        <w:ind w:left="567"/>
        <w:rPr>
          <w:rFonts w:cs="Arial"/>
          <w:szCs w:val="20"/>
        </w:rPr>
      </w:pPr>
    </w:p>
    <w:p w14:paraId="23AA1833" w14:textId="77777777" w:rsidR="00D16E63" w:rsidRDefault="00D16E63">
      <w:pPr>
        <w:jc w:val="left"/>
        <w:rPr>
          <w:rFonts w:eastAsiaTheme="majorEastAsia" w:cstheme="majorBidi"/>
          <w:b/>
          <w:bCs/>
          <w:smallCaps/>
          <w:color w:val="4F81BD" w:themeColor="accent1"/>
          <w:sz w:val="26"/>
          <w:szCs w:val="26"/>
        </w:rPr>
      </w:pPr>
      <w:bookmarkStart w:id="273" w:name="_Ref337720237"/>
      <w:bookmarkStart w:id="274" w:name="_Ref369165801"/>
      <w:r>
        <w:br w:type="page"/>
      </w:r>
    </w:p>
    <w:p w14:paraId="4B258FA9" w14:textId="4AC28661" w:rsidR="00863CC3" w:rsidRDefault="00036E0A" w:rsidP="009678E1">
      <w:pPr>
        <w:pStyle w:val="Titre2"/>
        <w:ind w:left="567"/>
      </w:pPr>
      <w:bookmarkStart w:id="275" w:name="_Toc475033260"/>
      <w:r>
        <w:lastRenderedPageBreak/>
        <w:t>1</w:t>
      </w:r>
      <w:r w:rsidR="00A247E0">
        <w:t>7</w:t>
      </w:r>
      <w:r>
        <w:t xml:space="preserve">.1 </w:t>
      </w:r>
      <w:r w:rsidR="00863CC3">
        <w:t>Rapport spécial établi pour l’exercice clos le 31 décembre 20</w:t>
      </w:r>
      <w:bookmarkEnd w:id="273"/>
      <w:bookmarkEnd w:id="274"/>
      <w:r w:rsidR="00A247E0">
        <w:t>20</w:t>
      </w:r>
      <w:bookmarkEnd w:id="275"/>
      <w:r w:rsidR="00863CC3">
        <w:tab/>
      </w:r>
    </w:p>
    <w:p w14:paraId="1EBA22B6" w14:textId="7A5F769B" w:rsidR="00331565" w:rsidRDefault="00331565" w:rsidP="009678E1">
      <w:pPr>
        <w:ind w:left="567"/>
        <w:rPr>
          <w:color w:val="FF0000"/>
        </w:rPr>
      </w:pPr>
    </w:p>
    <w:p w14:paraId="243913E6" w14:textId="2B3453DE" w:rsidR="00331565" w:rsidRDefault="0068048C" w:rsidP="009678E1">
      <w:pPr>
        <w:ind w:left="567"/>
      </w:pPr>
      <w:r>
        <w:rPr>
          <w:noProof/>
        </w:rPr>
        <w:drawing>
          <wp:inline distT="0" distB="0" distL="0" distR="0" wp14:anchorId="7D5083B4" wp14:editId="2E10DB2D">
            <wp:extent cx="5922433" cy="7645630"/>
            <wp:effectExtent l="0" t="0" r="0" b="0"/>
            <wp:docPr id="892276858"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922519" cy="7645741"/>
                    </a:xfrm>
                    <a:prstGeom prst="rect">
                      <a:avLst/>
                    </a:prstGeom>
                    <a:noFill/>
                    <a:ln>
                      <a:noFill/>
                    </a:ln>
                  </pic:spPr>
                </pic:pic>
              </a:graphicData>
            </a:graphic>
          </wp:inline>
        </w:drawing>
      </w:r>
    </w:p>
    <w:p w14:paraId="23FC4050" w14:textId="07E6D64D" w:rsidR="0068048C" w:rsidRDefault="0068048C" w:rsidP="009678E1">
      <w:pPr>
        <w:ind w:left="567"/>
      </w:pPr>
      <w:r>
        <w:rPr>
          <w:noProof/>
        </w:rPr>
        <w:lastRenderedPageBreak/>
        <w:drawing>
          <wp:inline distT="0" distB="0" distL="0" distR="0" wp14:anchorId="7DCF4425" wp14:editId="2D0ED065">
            <wp:extent cx="6036733" cy="7919925"/>
            <wp:effectExtent l="0" t="0" r="8890" b="5080"/>
            <wp:docPr id="892276859"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6037140" cy="7920459"/>
                    </a:xfrm>
                    <a:prstGeom prst="rect">
                      <a:avLst/>
                    </a:prstGeom>
                    <a:noFill/>
                    <a:ln>
                      <a:noFill/>
                    </a:ln>
                  </pic:spPr>
                </pic:pic>
              </a:graphicData>
            </a:graphic>
          </wp:inline>
        </w:drawing>
      </w:r>
    </w:p>
    <w:p w14:paraId="1A1643E7" w14:textId="5BEEFC55" w:rsidR="0068048C" w:rsidRDefault="0068048C" w:rsidP="009678E1">
      <w:pPr>
        <w:ind w:left="567"/>
      </w:pPr>
      <w:r>
        <w:rPr>
          <w:noProof/>
        </w:rPr>
        <w:lastRenderedPageBreak/>
        <w:drawing>
          <wp:inline distT="0" distB="0" distL="0" distR="0" wp14:anchorId="66174F52" wp14:editId="1FC05F4E">
            <wp:extent cx="6122875" cy="8116358"/>
            <wp:effectExtent l="0" t="0" r="0" b="12065"/>
            <wp:docPr id="892276860"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6123102" cy="8116659"/>
                    </a:xfrm>
                    <a:prstGeom prst="rect">
                      <a:avLst/>
                    </a:prstGeom>
                    <a:noFill/>
                    <a:ln>
                      <a:noFill/>
                    </a:ln>
                  </pic:spPr>
                </pic:pic>
              </a:graphicData>
            </a:graphic>
          </wp:inline>
        </w:drawing>
      </w:r>
    </w:p>
    <w:p w14:paraId="69FB27CC" w14:textId="4B525D7C" w:rsidR="0068048C" w:rsidRDefault="0068048C" w:rsidP="009678E1">
      <w:pPr>
        <w:ind w:left="567"/>
      </w:pPr>
      <w:r>
        <w:rPr>
          <w:noProof/>
        </w:rPr>
        <w:lastRenderedPageBreak/>
        <w:drawing>
          <wp:inline distT="0" distB="0" distL="0" distR="0" wp14:anchorId="4668F19D" wp14:editId="5000B2CE">
            <wp:extent cx="6036733" cy="4092701"/>
            <wp:effectExtent l="0" t="0" r="8890" b="0"/>
            <wp:docPr id="892276862"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6037238" cy="4093043"/>
                    </a:xfrm>
                    <a:prstGeom prst="rect">
                      <a:avLst/>
                    </a:prstGeom>
                    <a:noFill/>
                    <a:ln>
                      <a:noFill/>
                    </a:ln>
                  </pic:spPr>
                </pic:pic>
              </a:graphicData>
            </a:graphic>
          </wp:inline>
        </w:drawing>
      </w:r>
    </w:p>
    <w:p w14:paraId="1E0F4011" w14:textId="77777777" w:rsidR="0068048C" w:rsidRDefault="0068048C" w:rsidP="009678E1">
      <w:pPr>
        <w:ind w:left="567"/>
      </w:pPr>
    </w:p>
    <w:p w14:paraId="7407190D" w14:textId="77777777" w:rsidR="0068048C" w:rsidRDefault="0068048C" w:rsidP="009678E1">
      <w:pPr>
        <w:ind w:left="567"/>
      </w:pPr>
    </w:p>
    <w:p w14:paraId="6D809B1B" w14:textId="77777777" w:rsidR="0068048C" w:rsidRDefault="0068048C" w:rsidP="009678E1">
      <w:pPr>
        <w:ind w:left="567"/>
      </w:pPr>
    </w:p>
    <w:p w14:paraId="03E37641" w14:textId="5524659F" w:rsidR="00331565" w:rsidRDefault="00331565" w:rsidP="009678E1">
      <w:pPr>
        <w:ind w:left="567"/>
      </w:pPr>
    </w:p>
    <w:p w14:paraId="75ABDF0C" w14:textId="77777777" w:rsidR="00331565" w:rsidRDefault="00331565" w:rsidP="009678E1">
      <w:pPr>
        <w:ind w:left="567"/>
        <w:jc w:val="left"/>
        <w:rPr>
          <w:rFonts w:eastAsiaTheme="majorEastAsia" w:cstheme="majorBidi"/>
          <w:b/>
          <w:bCs/>
          <w:smallCaps/>
          <w:color w:val="4F81BD" w:themeColor="accent1"/>
          <w:sz w:val="26"/>
          <w:szCs w:val="26"/>
        </w:rPr>
      </w:pPr>
      <w:r>
        <w:br w:type="page"/>
      </w:r>
    </w:p>
    <w:p w14:paraId="1D403402" w14:textId="26A76CA6" w:rsidR="00863CC3" w:rsidRDefault="00A247E0" w:rsidP="009678E1">
      <w:pPr>
        <w:pStyle w:val="Titre2"/>
        <w:ind w:left="567"/>
      </w:pPr>
      <w:bookmarkStart w:id="276" w:name="_Toc475033261"/>
      <w:r>
        <w:lastRenderedPageBreak/>
        <w:t>17</w:t>
      </w:r>
      <w:r w:rsidR="00036E0A">
        <w:t>.</w:t>
      </w:r>
      <w:r w:rsidR="00863CC3">
        <w:t>2 Rapport spécial établi pour l’exercice clos le 31 décembre 201</w:t>
      </w:r>
      <w:r>
        <w:t>9</w:t>
      </w:r>
      <w:bookmarkEnd w:id="276"/>
      <w:r w:rsidR="00863CC3">
        <w:tab/>
      </w:r>
    </w:p>
    <w:p w14:paraId="7AC848C0" w14:textId="77777777" w:rsidR="00B24C65" w:rsidRDefault="00B24C65" w:rsidP="009678E1">
      <w:pPr>
        <w:ind w:left="567"/>
        <w:rPr>
          <w:color w:val="FF0000"/>
        </w:rPr>
      </w:pPr>
    </w:p>
    <w:p w14:paraId="68742D53" w14:textId="705B6B7C" w:rsidR="0051556E" w:rsidRDefault="0051556E" w:rsidP="009678E1">
      <w:pPr>
        <w:ind w:left="567"/>
        <w:rPr>
          <w:szCs w:val="20"/>
        </w:rPr>
      </w:pPr>
    </w:p>
    <w:p w14:paraId="51BACC6F" w14:textId="7443D4AA" w:rsidR="0051556E" w:rsidRDefault="007E486E" w:rsidP="009678E1">
      <w:pPr>
        <w:ind w:left="567"/>
        <w:rPr>
          <w:szCs w:val="20"/>
        </w:rPr>
      </w:pPr>
      <w:r>
        <w:rPr>
          <w:noProof/>
        </w:rPr>
        <w:drawing>
          <wp:inline distT="0" distB="0" distL="0" distR="0" wp14:anchorId="4EE014B7" wp14:editId="6EB670A6">
            <wp:extent cx="5851524" cy="7634230"/>
            <wp:effectExtent l="0" t="0" r="0" b="11430"/>
            <wp:docPr id="2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pic:cNvPicPr/>
                  </pic:nvPicPr>
                  <pic:blipFill>
                    <a:blip r:embed="rId105">
                      <a:extLst>
                        <a:ext uri="{28A0092B-C50C-407E-A947-70E740481C1C}">
                          <a14:useLocalDpi xmlns:a14="http://schemas.microsoft.com/office/drawing/2010/main" val="0"/>
                        </a:ext>
                      </a:extLst>
                    </a:blip>
                    <a:stretch>
                      <a:fillRect/>
                    </a:stretch>
                  </pic:blipFill>
                  <pic:spPr>
                    <a:xfrm>
                      <a:off x="0" y="0"/>
                      <a:ext cx="5851524" cy="7634230"/>
                    </a:xfrm>
                    <a:prstGeom prst="rect">
                      <a:avLst/>
                    </a:prstGeom>
                  </pic:spPr>
                </pic:pic>
              </a:graphicData>
            </a:graphic>
          </wp:inline>
        </w:drawing>
      </w:r>
    </w:p>
    <w:p w14:paraId="7DE88878" w14:textId="77777777" w:rsidR="007E486E" w:rsidRDefault="007E486E" w:rsidP="009678E1">
      <w:pPr>
        <w:ind w:left="567"/>
        <w:rPr>
          <w:szCs w:val="20"/>
        </w:rPr>
      </w:pPr>
    </w:p>
    <w:p w14:paraId="4EF85CB9" w14:textId="2936945C" w:rsidR="0051556E" w:rsidRDefault="007E486E" w:rsidP="009678E1">
      <w:pPr>
        <w:ind w:left="567"/>
        <w:rPr>
          <w:szCs w:val="20"/>
        </w:rPr>
      </w:pPr>
      <w:r>
        <w:rPr>
          <w:noProof/>
        </w:rPr>
        <w:lastRenderedPageBreak/>
        <w:drawing>
          <wp:inline distT="0" distB="0" distL="0" distR="0" wp14:anchorId="306D7D45" wp14:editId="3B78B8AC">
            <wp:extent cx="5851524" cy="7025618"/>
            <wp:effectExtent l="0" t="0" r="0" b="10795"/>
            <wp:docPr id="82"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
                    <pic:cNvPicPr/>
                  </pic:nvPicPr>
                  <pic:blipFill>
                    <a:blip r:embed="rId106">
                      <a:extLst>
                        <a:ext uri="{28A0092B-C50C-407E-A947-70E740481C1C}">
                          <a14:useLocalDpi xmlns:a14="http://schemas.microsoft.com/office/drawing/2010/main" val="0"/>
                        </a:ext>
                      </a:extLst>
                    </a:blip>
                    <a:stretch>
                      <a:fillRect/>
                    </a:stretch>
                  </pic:blipFill>
                  <pic:spPr>
                    <a:xfrm>
                      <a:off x="0" y="0"/>
                      <a:ext cx="5851524" cy="7025618"/>
                    </a:xfrm>
                    <a:prstGeom prst="rect">
                      <a:avLst/>
                    </a:prstGeom>
                  </pic:spPr>
                </pic:pic>
              </a:graphicData>
            </a:graphic>
          </wp:inline>
        </w:drawing>
      </w:r>
    </w:p>
    <w:p w14:paraId="1E4B90B8" w14:textId="72023708" w:rsidR="007E486E" w:rsidRDefault="007E486E" w:rsidP="009678E1">
      <w:pPr>
        <w:ind w:left="567"/>
        <w:rPr>
          <w:szCs w:val="20"/>
        </w:rPr>
      </w:pPr>
      <w:r>
        <w:rPr>
          <w:noProof/>
        </w:rPr>
        <w:lastRenderedPageBreak/>
        <w:drawing>
          <wp:inline distT="0" distB="0" distL="0" distR="0" wp14:anchorId="59FC53A5" wp14:editId="66740632">
            <wp:extent cx="5851524" cy="7693510"/>
            <wp:effectExtent l="0" t="0" r="0" b="3175"/>
            <wp:docPr id="83"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
                    <pic:cNvPicPr/>
                  </pic:nvPicPr>
                  <pic:blipFill>
                    <a:blip r:embed="rId107">
                      <a:extLst>
                        <a:ext uri="{28A0092B-C50C-407E-A947-70E740481C1C}">
                          <a14:useLocalDpi xmlns:a14="http://schemas.microsoft.com/office/drawing/2010/main" val="0"/>
                        </a:ext>
                      </a:extLst>
                    </a:blip>
                    <a:stretch>
                      <a:fillRect/>
                    </a:stretch>
                  </pic:blipFill>
                  <pic:spPr>
                    <a:xfrm>
                      <a:off x="0" y="0"/>
                      <a:ext cx="5851524" cy="7693510"/>
                    </a:xfrm>
                    <a:prstGeom prst="rect">
                      <a:avLst/>
                    </a:prstGeom>
                  </pic:spPr>
                </pic:pic>
              </a:graphicData>
            </a:graphic>
          </wp:inline>
        </w:drawing>
      </w:r>
    </w:p>
    <w:p w14:paraId="36BB665E" w14:textId="77777777" w:rsidR="007E486E" w:rsidRDefault="007E486E" w:rsidP="009678E1">
      <w:pPr>
        <w:ind w:left="567"/>
        <w:rPr>
          <w:szCs w:val="20"/>
        </w:rPr>
      </w:pPr>
    </w:p>
    <w:p w14:paraId="6084E8FA" w14:textId="56E91154" w:rsidR="007E486E" w:rsidRDefault="009E3905" w:rsidP="009678E1">
      <w:pPr>
        <w:ind w:left="567"/>
        <w:rPr>
          <w:szCs w:val="20"/>
        </w:rPr>
      </w:pPr>
      <w:r>
        <w:rPr>
          <w:noProof/>
        </w:rPr>
        <w:lastRenderedPageBreak/>
        <w:drawing>
          <wp:inline distT="0" distB="0" distL="0" distR="0" wp14:anchorId="7FF2F284" wp14:editId="7B4EA29A">
            <wp:extent cx="5851524" cy="7935890"/>
            <wp:effectExtent l="0" t="0" r="0" b="0"/>
            <wp:docPr id="85"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
                    <pic:cNvPicPr/>
                  </pic:nvPicPr>
                  <pic:blipFill>
                    <a:blip r:embed="rId108">
                      <a:extLst>
                        <a:ext uri="{28A0092B-C50C-407E-A947-70E740481C1C}">
                          <a14:useLocalDpi xmlns:a14="http://schemas.microsoft.com/office/drawing/2010/main" val="0"/>
                        </a:ext>
                      </a:extLst>
                    </a:blip>
                    <a:stretch>
                      <a:fillRect/>
                    </a:stretch>
                  </pic:blipFill>
                  <pic:spPr>
                    <a:xfrm>
                      <a:off x="0" y="0"/>
                      <a:ext cx="5851524" cy="7935890"/>
                    </a:xfrm>
                    <a:prstGeom prst="rect">
                      <a:avLst/>
                    </a:prstGeom>
                  </pic:spPr>
                </pic:pic>
              </a:graphicData>
            </a:graphic>
          </wp:inline>
        </w:drawing>
      </w:r>
    </w:p>
    <w:p w14:paraId="72120317" w14:textId="7BAB9FC7" w:rsidR="0051556E" w:rsidRDefault="0051556E" w:rsidP="009678E1">
      <w:pPr>
        <w:ind w:left="567"/>
        <w:rPr>
          <w:szCs w:val="20"/>
        </w:rPr>
      </w:pPr>
    </w:p>
    <w:p w14:paraId="20A63C01" w14:textId="77777777" w:rsidR="007470C7" w:rsidRDefault="007470C7">
      <w:pPr>
        <w:jc w:val="left"/>
      </w:pPr>
      <w:bookmarkStart w:id="277" w:name="_Ref337799097"/>
      <w:bookmarkStart w:id="278" w:name="_Ref338424710"/>
      <w:r>
        <w:br w:type="page"/>
      </w:r>
    </w:p>
    <w:p w14:paraId="083A8CB4" w14:textId="7BCFED61" w:rsidR="00CF0C5B" w:rsidRPr="007470C7" w:rsidRDefault="006634B7" w:rsidP="007470C7">
      <w:pPr>
        <w:pStyle w:val="Titre1"/>
        <w:ind w:left="567"/>
      </w:pPr>
      <w:bookmarkStart w:id="279" w:name="_Toc475033262"/>
      <w:r>
        <w:lastRenderedPageBreak/>
        <w:t>18</w:t>
      </w:r>
      <w:r w:rsidRPr="0009178C">
        <w:t>. INFORMATIONS FINANCIERES</w:t>
      </w:r>
      <w:r w:rsidRPr="005345C1">
        <w:t xml:space="preserve"> CONCERNANT LE PATRIMOINE, LA SITUATION FINANCIERE ET LES RESULTATS DE</w:t>
      </w:r>
      <w:r w:rsidRPr="005345C1">
        <w:rPr>
          <w:sz w:val="20"/>
          <w:szCs w:val="20"/>
        </w:rPr>
        <w:t xml:space="preserve"> </w:t>
      </w:r>
      <w:bookmarkEnd w:id="277"/>
      <w:bookmarkEnd w:id="278"/>
      <w:r>
        <w:t>LA SOCIETE</w:t>
      </w:r>
      <w:bookmarkEnd w:id="279"/>
      <w:r w:rsidRPr="005345C1">
        <w:rPr>
          <w:sz w:val="20"/>
          <w:szCs w:val="20"/>
        </w:rPr>
        <w:t xml:space="preserve"> </w:t>
      </w:r>
      <w:r w:rsidRPr="005345C1">
        <w:rPr>
          <w:sz w:val="20"/>
          <w:szCs w:val="20"/>
        </w:rPr>
        <w:tab/>
      </w:r>
    </w:p>
    <w:p w14:paraId="571BC74F" w14:textId="77777777" w:rsidR="00797059" w:rsidRDefault="00797059" w:rsidP="009678E1">
      <w:pPr>
        <w:ind w:left="567"/>
        <w:jc w:val="left"/>
      </w:pPr>
    </w:p>
    <w:p w14:paraId="24868151" w14:textId="58E7BE93" w:rsidR="00797059" w:rsidRDefault="009C6D28" w:rsidP="009678E1">
      <w:pPr>
        <w:ind w:left="567"/>
        <w:rPr>
          <w:szCs w:val="20"/>
        </w:rPr>
      </w:pPr>
      <w:r>
        <w:rPr>
          <w:szCs w:val="20"/>
        </w:rPr>
        <w:t>Spineway présente </w:t>
      </w:r>
      <w:r w:rsidR="00ED7320">
        <w:rPr>
          <w:szCs w:val="20"/>
        </w:rPr>
        <w:t xml:space="preserve">des comptes </w:t>
      </w:r>
      <w:r w:rsidR="00797059" w:rsidRPr="00AA74B8">
        <w:rPr>
          <w:szCs w:val="20"/>
        </w:rPr>
        <w:t>consolidé</w:t>
      </w:r>
      <w:r w:rsidR="00797059">
        <w:rPr>
          <w:szCs w:val="20"/>
        </w:rPr>
        <w:t>s établis</w:t>
      </w:r>
      <w:r w:rsidR="00797059" w:rsidRPr="00AA74B8">
        <w:rPr>
          <w:szCs w:val="20"/>
        </w:rPr>
        <w:t xml:space="preserve"> en normes françaises et </w:t>
      </w:r>
      <w:r w:rsidR="00797059">
        <w:rPr>
          <w:szCs w:val="20"/>
        </w:rPr>
        <w:t>relatifs</w:t>
      </w:r>
      <w:r>
        <w:rPr>
          <w:szCs w:val="20"/>
        </w:rPr>
        <w:t xml:space="preserve"> aux exercices clos les 31 décembre </w:t>
      </w:r>
      <w:r w:rsidRPr="00837DF9">
        <w:rPr>
          <w:szCs w:val="20"/>
        </w:rPr>
        <w:t xml:space="preserve">2020 </w:t>
      </w:r>
      <w:r w:rsidR="00837DF9">
        <w:rPr>
          <w:szCs w:val="20"/>
        </w:rPr>
        <w:t>et</w:t>
      </w:r>
      <w:r w:rsidR="00837DF9" w:rsidRPr="00837DF9">
        <w:rPr>
          <w:szCs w:val="20"/>
        </w:rPr>
        <w:t xml:space="preserve"> 31 décembre 201</w:t>
      </w:r>
      <w:r w:rsidR="001A03ED">
        <w:rPr>
          <w:szCs w:val="20"/>
        </w:rPr>
        <w:t>9</w:t>
      </w:r>
      <w:r w:rsidR="0073053E" w:rsidRPr="00837DF9">
        <w:rPr>
          <w:szCs w:val="20"/>
        </w:rPr>
        <w:t>)</w:t>
      </w:r>
      <w:r w:rsidRPr="00837DF9">
        <w:rPr>
          <w:szCs w:val="20"/>
        </w:rPr>
        <w:t>.</w:t>
      </w:r>
    </w:p>
    <w:p w14:paraId="0614138E" w14:textId="45E0E3AF" w:rsidR="009C6D28" w:rsidRDefault="009C6D28" w:rsidP="009678E1">
      <w:pPr>
        <w:ind w:left="567"/>
        <w:rPr>
          <w:szCs w:val="20"/>
        </w:rPr>
      </w:pPr>
      <w:r>
        <w:rPr>
          <w:szCs w:val="20"/>
        </w:rPr>
        <w:t xml:space="preserve">Ces comptes ont fait l’objet d’un audit par le </w:t>
      </w:r>
      <w:r w:rsidR="000C7427">
        <w:rPr>
          <w:szCs w:val="20"/>
        </w:rPr>
        <w:t>c</w:t>
      </w:r>
      <w:r>
        <w:rPr>
          <w:szCs w:val="20"/>
        </w:rPr>
        <w:t xml:space="preserve">ommissaire aux </w:t>
      </w:r>
      <w:r w:rsidR="000C7427">
        <w:rPr>
          <w:szCs w:val="20"/>
        </w:rPr>
        <w:t>c</w:t>
      </w:r>
      <w:r>
        <w:rPr>
          <w:szCs w:val="20"/>
        </w:rPr>
        <w:t>omptes.</w:t>
      </w:r>
    </w:p>
    <w:p w14:paraId="3D5A8570" w14:textId="77777777" w:rsidR="009C6D28" w:rsidRDefault="009C6D28" w:rsidP="009678E1">
      <w:pPr>
        <w:ind w:left="567"/>
        <w:rPr>
          <w:rFonts w:eastAsiaTheme="majorEastAsia" w:cstheme="majorBidi"/>
          <w:b/>
          <w:bCs/>
          <w:smallCaps/>
          <w:color w:val="4F81BD" w:themeColor="accent1"/>
          <w:sz w:val="26"/>
          <w:szCs w:val="26"/>
        </w:rPr>
      </w:pPr>
    </w:p>
    <w:p w14:paraId="49347CCD" w14:textId="4BB7B9B1" w:rsidR="00CF0C5B" w:rsidRDefault="00A247E0" w:rsidP="009678E1">
      <w:pPr>
        <w:pStyle w:val="Titre2"/>
        <w:ind w:left="567"/>
      </w:pPr>
      <w:bookmarkStart w:id="280" w:name="_Toc475033263"/>
      <w:r>
        <w:t>18</w:t>
      </w:r>
      <w:r w:rsidR="00C032EC">
        <w:t xml:space="preserve">.1 </w:t>
      </w:r>
      <w:r w:rsidR="00CF0C5B" w:rsidRPr="005345C1">
        <w:t>Comptes établis pour les exercices clos les 31</w:t>
      </w:r>
      <w:r w:rsidR="00863CC3">
        <w:t xml:space="preserve"> décembre </w:t>
      </w:r>
      <w:r w:rsidR="009C6D28">
        <w:t>2020</w:t>
      </w:r>
      <w:r w:rsidR="00C6149B">
        <w:t xml:space="preserve"> </w:t>
      </w:r>
      <w:r w:rsidR="001A03ED">
        <w:t>et 31 décembre 2019</w:t>
      </w:r>
      <w:bookmarkEnd w:id="280"/>
    </w:p>
    <w:p w14:paraId="7DA4B323" w14:textId="6BE47F60" w:rsidR="0009178C" w:rsidRPr="0009178C" w:rsidRDefault="00A247E0" w:rsidP="009678E1">
      <w:pPr>
        <w:pStyle w:val="Titre3"/>
        <w:ind w:left="567"/>
      </w:pPr>
      <w:bookmarkStart w:id="281" w:name="_Toc475033264"/>
      <w:r>
        <w:t>18</w:t>
      </w:r>
      <w:r w:rsidR="00C032EC">
        <w:t xml:space="preserve">.1.1 </w:t>
      </w:r>
      <w:r w:rsidR="00CF0C5B">
        <w:t xml:space="preserve">Comptes </w:t>
      </w:r>
      <w:r>
        <w:t>consolidés</w:t>
      </w:r>
      <w:r w:rsidR="00CF0C5B">
        <w:t xml:space="preserve"> établis pour l’exercice clos le 31 décembre 20</w:t>
      </w:r>
      <w:r>
        <w:t>20</w:t>
      </w:r>
      <w:bookmarkEnd w:id="281"/>
    </w:p>
    <w:p w14:paraId="327950C8" w14:textId="77777777" w:rsidR="00F97116" w:rsidRDefault="00F97116" w:rsidP="009678E1">
      <w:pPr>
        <w:ind w:left="567"/>
      </w:pPr>
    </w:p>
    <w:p w14:paraId="29DDEAF5" w14:textId="6F699BF4" w:rsidR="005F2EA0" w:rsidRDefault="005F2EA0" w:rsidP="009678E1">
      <w:pPr>
        <w:ind w:left="567"/>
        <w:rPr>
          <w:color w:val="FF0000"/>
        </w:rPr>
      </w:pPr>
    </w:p>
    <w:p w14:paraId="15C9FDAB" w14:textId="6AFA1319" w:rsidR="005F2EA0" w:rsidRDefault="00090C5F" w:rsidP="009678E1">
      <w:pPr>
        <w:ind w:left="567"/>
        <w:rPr>
          <w:color w:val="FF0000"/>
        </w:rPr>
      </w:pPr>
      <w:r>
        <w:rPr>
          <w:noProof/>
          <w:color w:val="FF0000"/>
        </w:rPr>
        <w:lastRenderedPageBreak/>
        <w:drawing>
          <wp:inline distT="0" distB="0" distL="0" distR="0" wp14:anchorId="4FC774B9" wp14:editId="65302D5E">
            <wp:extent cx="6298607" cy="8314267"/>
            <wp:effectExtent l="0" t="0" r="635" b="0"/>
            <wp:docPr id="18"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6298741" cy="8314444"/>
                    </a:xfrm>
                    <a:prstGeom prst="rect">
                      <a:avLst/>
                    </a:prstGeom>
                    <a:noFill/>
                    <a:ln>
                      <a:noFill/>
                    </a:ln>
                  </pic:spPr>
                </pic:pic>
              </a:graphicData>
            </a:graphic>
          </wp:inline>
        </w:drawing>
      </w:r>
    </w:p>
    <w:p w14:paraId="01153B1A" w14:textId="71681BEA" w:rsidR="005F2EA0" w:rsidRDefault="00090C5F" w:rsidP="009678E1">
      <w:pPr>
        <w:ind w:left="567"/>
        <w:rPr>
          <w:color w:val="FF0000"/>
        </w:rPr>
      </w:pPr>
      <w:r>
        <w:rPr>
          <w:noProof/>
          <w:color w:val="FF0000"/>
        </w:rPr>
        <w:lastRenderedPageBreak/>
        <w:drawing>
          <wp:inline distT="0" distB="0" distL="0" distR="0" wp14:anchorId="0FD6BD31" wp14:editId="27990AB3">
            <wp:extent cx="6267720" cy="8885767"/>
            <wp:effectExtent l="0" t="0" r="6350" b="4445"/>
            <wp:docPr id="31"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6268009" cy="8886176"/>
                    </a:xfrm>
                    <a:prstGeom prst="rect">
                      <a:avLst/>
                    </a:prstGeom>
                    <a:noFill/>
                    <a:ln>
                      <a:noFill/>
                    </a:ln>
                  </pic:spPr>
                </pic:pic>
              </a:graphicData>
            </a:graphic>
          </wp:inline>
        </w:drawing>
      </w:r>
    </w:p>
    <w:p w14:paraId="78731EF3" w14:textId="078CA49E" w:rsidR="00090C5F" w:rsidRDefault="003A0AD1" w:rsidP="009678E1">
      <w:pPr>
        <w:ind w:left="567"/>
        <w:rPr>
          <w:color w:val="FF0000"/>
        </w:rPr>
      </w:pPr>
      <w:r w:rsidRPr="005E694E">
        <w:rPr>
          <w:noProof/>
        </w:rPr>
        <w:lastRenderedPageBreak/>
        <w:drawing>
          <wp:inline distT="0" distB="0" distL="0" distR="0" wp14:anchorId="71782427" wp14:editId="0F95DDC5">
            <wp:extent cx="6645910" cy="4270059"/>
            <wp:effectExtent l="0" t="0" r="8890" b="0"/>
            <wp:docPr id="2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6645910" cy="4270059"/>
                    </a:xfrm>
                    <a:prstGeom prst="rect">
                      <a:avLst/>
                    </a:prstGeom>
                    <a:noFill/>
                    <a:ln>
                      <a:noFill/>
                    </a:ln>
                  </pic:spPr>
                </pic:pic>
              </a:graphicData>
            </a:graphic>
          </wp:inline>
        </w:drawing>
      </w:r>
    </w:p>
    <w:p w14:paraId="211E7502" w14:textId="77777777" w:rsidR="00090C5F" w:rsidRDefault="00090C5F" w:rsidP="009678E1">
      <w:pPr>
        <w:ind w:left="567"/>
        <w:rPr>
          <w:color w:val="FF0000"/>
        </w:rPr>
      </w:pPr>
    </w:p>
    <w:p w14:paraId="68369037" w14:textId="1CC5E833" w:rsidR="005F2EA0" w:rsidRDefault="005F2EA0" w:rsidP="009678E1">
      <w:pPr>
        <w:ind w:left="567"/>
        <w:rPr>
          <w:color w:val="FF0000"/>
        </w:rPr>
      </w:pPr>
    </w:p>
    <w:p w14:paraId="2FE3F45D" w14:textId="148B90D7" w:rsidR="005F2EA0" w:rsidRDefault="00090C5F" w:rsidP="009678E1">
      <w:pPr>
        <w:ind w:left="567"/>
        <w:rPr>
          <w:color w:val="FF0000"/>
        </w:rPr>
      </w:pPr>
      <w:r>
        <w:rPr>
          <w:noProof/>
          <w:color w:val="FF0000"/>
        </w:rPr>
        <w:lastRenderedPageBreak/>
        <w:drawing>
          <wp:inline distT="0" distB="0" distL="0" distR="0" wp14:anchorId="6765B5F7" wp14:editId="5C9C19A6">
            <wp:extent cx="6319790" cy="8657167"/>
            <wp:effectExtent l="0" t="0" r="5080" b="4445"/>
            <wp:docPr id="87"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6320167" cy="8657683"/>
                    </a:xfrm>
                    <a:prstGeom prst="rect">
                      <a:avLst/>
                    </a:prstGeom>
                    <a:noFill/>
                    <a:ln>
                      <a:noFill/>
                    </a:ln>
                  </pic:spPr>
                </pic:pic>
              </a:graphicData>
            </a:graphic>
          </wp:inline>
        </w:drawing>
      </w:r>
    </w:p>
    <w:p w14:paraId="2CA63045" w14:textId="58FDA3F8" w:rsidR="00090C5F" w:rsidRDefault="00090C5F" w:rsidP="009678E1">
      <w:pPr>
        <w:ind w:left="567"/>
        <w:rPr>
          <w:color w:val="FF0000"/>
        </w:rPr>
      </w:pPr>
      <w:r>
        <w:rPr>
          <w:noProof/>
          <w:color w:val="FF0000"/>
        </w:rPr>
        <w:lastRenderedPageBreak/>
        <w:drawing>
          <wp:inline distT="0" distB="0" distL="0" distR="0" wp14:anchorId="0652A5B5" wp14:editId="26ADE854">
            <wp:extent cx="5922433" cy="9015548"/>
            <wp:effectExtent l="0" t="0" r="0" b="1905"/>
            <wp:docPr id="111"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922466" cy="9015599"/>
                    </a:xfrm>
                    <a:prstGeom prst="rect">
                      <a:avLst/>
                    </a:prstGeom>
                    <a:noFill/>
                    <a:ln>
                      <a:noFill/>
                    </a:ln>
                  </pic:spPr>
                </pic:pic>
              </a:graphicData>
            </a:graphic>
          </wp:inline>
        </w:drawing>
      </w:r>
    </w:p>
    <w:p w14:paraId="10C91AE7" w14:textId="1879199B" w:rsidR="00090C5F" w:rsidRDefault="00090C5F" w:rsidP="009678E1">
      <w:pPr>
        <w:ind w:left="567"/>
        <w:rPr>
          <w:color w:val="FF0000"/>
        </w:rPr>
      </w:pPr>
      <w:r>
        <w:rPr>
          <w:noProof/>
          <w:color w:val="FF0000"/>
        </w:rPr>
        <w:lastRenderedPageBreak/>
        <w:drawing>
          <wp:inline distT="0" distB="0" distL="0" distR="0" wp14:anchorId="437277DB" wp14:editId="7DE5377E">
            <wp:extent cx="6255993" cy="8885767"/>
            <wp:effectExtent l="0" t="0" r="0" b="4445"/>
            <wp:docPr id="112"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6256202" cy="8886064"/>
                    </a:xfrm>
                    <a:prstGeom prst="rect">
                      <a:avLst/>
                    </a:prstGeom>
                    <a:noFill/>
                    <a:ln>
                      <a:noFill/>
                    </a:ln>
                  </pic:spPr>
                </pic:pic>
              </a:graphicData>
            </a:graphic>
          </wp:inline>
        </w:drawing>
      </w:r>
    </w:p>
    <w:p w14:paraId="5D8ED555" w14:textId="47D3914D" w:rsidR="00090C5F" w:rsidRDefault="00090C5F" w:rsidP="009678E1">
      <w:pPr>
        <w:ind w:left="567"/>
        <w:rPr>
          <w:color w:val="FF0000"/>
        </w:rPr>
      </w:pPr>
      <w:r>
        <w:rPr>
          <w:noProof/>
          <w:color w:val="FF0000"/>
        </w:rPr>
        <w:lastRenderedPageBreak/>
        <w:drawing>
          <wp:inline distT="0" distB="0" distL="0" distR="0" wp14:anchorId="6855CD5D" wp14:editId="349B5239">
            <wp:extent cx="6112546" cy="9000067"/>
            <wp:effectExtent l="0" t="0" r="8890" b="0"/>
            <wp:docPr id="113"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6112570" cy="9000103"/>
                    </a:xfrm>
                    <a:prstGeom prst="rect">
                      <a:avLst/>
                    </a:prstGeom>
                    <a:noFill/>
                    <a:ln>
                      <a:noFill/>
                    </a:ln>
                  </pic:spPr>
                </pic:pic>
              </a:graphicData>
            </a:graphic>
          </wp:inline>
        </w:drawing>
      </w:r>
    </w:p>
    <w:p w14:paraId="45AE1C7D" w14:textId="170C7BDB" w:rsidR="00090C5F" w:rsidRDefault="00090C5F" w:rsidP="009678E1">
      <w:pPr>
        <w:ind w:left="567"/>
        <w:rPr>
          <w:color w:val="FF0000"/>
        </w:rPr>
      </w:pPr>
      <w:r>
        <w:rPr>
          <w:noProof/>
          <w:color w:val="FF0000"/>
        </w:rPr>
        <w:lastRenderedPageBreak/>
        <w:drawing>
          <wp:inline distT="0" distB="0" distL="0" distR="0" wp14:anchorId="1257E312" wp14:editId="79FA6B21">
            <wp:extent cx="6265333" cy="9181669"/>
            <wp:effectExtent l="0" t="0" r="8890" b="0"/>
            <wp:docPr id="114"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6265590" cy="9182045"/>
                    </a:xfrm>
                    <a:prstGeom prst="rect">
                      <a:avLst/>
                    </a:prstGeom>
                    <a:noFill/>
                    <a:ln>
                      <a:noFill/>
                    </a:ln>
                  </pic:spPr>
                </pic:pic>
              </a:graphicData>
            </a:graphic>
          </wp:inline>
        </w:drawing>
      </w:r>
    </w:p>
    <w:p w14:paraId="16ECC1D5" w14:textId="2E07EDA1" w:rsidR="00090C5F" w:rsidRDefault="00090C5F" w:rsidP="009678E1">
      <w:pPr>
        <w:ind w:left="567"/>
        <w:rPr>
          <w:color w:val="FF0000"/>
        </w:rPr>
      </w:pPr>
      <w:r>
        <w:rPr>
          <w:noProof/>
          <w:color w:val="FF0000"/>
        </w:rPr>
        <w:lastRenderedPageBreak/>
        <w:drawing>
          <wp:inline distT="0" distB="0" distL="0" distR="0" wp14:anchorId="2E41F877" wp14:editId="48377E5E">
            <wp:extent cx="5996199" cy="8771467"/>
            <wp:effectExtent l="0" t="0" r="0" b="0"/>
            <wp:docPr id="115"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996223" cy="8771502"/>
                    </a:xfrm>
                    <a:prstGeom prst="rect">
                      <a:avLst/>
                    </a:prstGeom>
                    <a:noFill/>
                    <a:ln>
                      <a:noFill/>
                    </a:ln>
                  </pic:spPr>
                </pic:pic>
              </a:graphicData>
            </a:graphic>
          </wp:inline>
        </w:drawing>
      </w:r>
    </w:p>
    <w:p w14:paraId="13F7AB33" w14:textId="0E9E55EE" w:rsidR="00090C5F" w:rsidRDefault="00090C5F" w:rsidP="009678E1">
      <w:pPr>
        <w:ind w:left="567"/>
        <w:rPr>
          <w:color w:val="FF0000"/>
        </w:rPr>
      </w:pPr>
      <w:r>
        <w:rPr>
          <w:noProof/>
          <w:color w:val="FF0000"/>
        </w:rPr>
        <w:lastRenderedPageBreak/>
        <w:drawing>
          <wp:inline distT="0" distB="0" distL="0" distR="0" wp14:anchorId="536F881D" wp14:editId="15EDE206">
            <wp:extent cx="6089448" cy="8542867"/>
            <wp:effectExtent l="0" t="0" r="6985" b="0"/>
            <wp:docPr id="127"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6089746" cy="8543285"/>
                    </a:xfrm>
                    <a:prstGeom prst="rect">
                      <a:avLst/>
                    </a:prstGeom>
                    <a:noFill/>
                    <a:ln>
                      <a:noFill/>
                    </a:ln>
                  </pic:spPr>
                </pic:pic>
              </a:graphicData>
            </a:graphic>
          </wp:inline>
        </w:drawing>
      </w:r>
    </w:p>
    <w:p w14:paraId="6204BE25" w14:textId="05FDCC9B" w:rsidR="00090C5F" w:rsidRDefault="00090C5F" w:rsidP="009678E1">
      <w:pPr>
        <w:ind w:left="567"/>
        <w:rPr>
          <w:color w:val="FF0000"/>
        </w:rPr>
      </w:pPr>
      <w:r>
        <w:rPr>
          <w:noProof/>
          <w:color w:val="FF0000"/>
        </w:rPr>
        <w:lastRenderedPageBreak/>
        <w:drawing>
          <wp:inline distT="0" distB="0" distL="0" distR="0" wp14:anchorId="336C3A63" wp14:editId="627E891A">
            <wp:extent cx="6063229" cy="8885767"/>
            <wp:effectExtent l="0" t="0" r="7620" b="4445"/>
            <wp:docPr id="998831554"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6063270" cy="8885827"/>
                    </a:xfrm>
                    <a:prstGeom prst="rect">
                      <a:avLst/>
                    </a:prstGeom>
                    <a:noFill/>
                    <a:ln>
                      <a:noFill/>
                    </a:ln>
                  </pic:spPr>
                </pic:pic>
              </a:graphicData>
            </a:graphic>
          </wp:inline>
        </w:drawing>
      </w:r>
    </w:p>
    <w:p w14:paraId="2B5EA674" w14:textId="77777777" w:rsidR="00090C5F" w:rsidRDefault="00090C5F" w:rsidP="009678E1">
      <w:pPr>
        <w:ind w:left="567"/>
        <w:rPr>
          <w:color w:val="FF0000"/>
        </w:rPr>
      </w:pPr>
    </w:p>
    <w:p w14:paraId="69247B37" w14:textId="5B1DA593" w:rsidR="00090C5F" w:rsidRDefault="00090C5F" w:rsidP="009678E1">
      <w:pPr>
        <w:ind w:left="567"/>
        <w:rPr>
          <w:color w:val="FF0000"/>
        </w:rPr>
      </w:pPr>
      <w:r>
        <w:rPr>
          <w:noProof/>
          <w:color w:val="FF0000"/>
        </w:rPr>
        <w:lastRenderedPageBreak/>
        <w:drawing>
          <wp:inline distT="0" distB="0" distL="0" distR="0" wp14:anchorId="55C735EC" wp14:editId="06E8736E">
            <wp:extent cx="6179817" cy="8885767"/>
            <wp:effectExtent l="0" t="0" r="0" b="4445"/>
            <wp:docPr id="998831556"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6180119" cy="8886201"/>
                    </a:xfrm>
                    <a:prstGeom prst="rect">
                      <a:avLst/>
                    </a:prstGeom>
                    <a:noFill/>
                    <a:ln>
                      <a:noFill/>
                    </a:ln>
                  </pic:spPr>
                </pic:pic>
              </a:graphicData>
            </a:graphic>
          </wp:inline>
        </w:drawing>
      </w:r>
    </w:p>
    <w:p w14:paraId="1EA0F3BE" w14:textId="7FAAAD12" w:rsidR="00090C5F" w:rsidRDefault="00090C5F" w:rsidP="009678E1">
      <w:pPr>
        <w:ind w:left="567"/>
        <w:rPr>
          <w:color w:val="FF0000"/>
        </w:rPr>
      </w:pPr>
      <w:r>
        <w:rPr>
          <w:noProof/>
          <w:color w:val="FF0000"/>
        </w:rPr>
        <w:lastRenderedPageBreak/>
        <w:drawing>
          <wp:inline distT="0" distB="0" distL="0" distR="0" wp14:anchorId="7C4646D9" wp14:editId="37D832DB">
            <wp:extent cx="6151033" cy="2797794"/>
            <wp:effectExtent l="0" t="0" r="0" b="0"/>
            <wp:docPr id="998831557"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6151621" cy="2798062"/>
                    </a:xfrm>
                    <a:prstGeom prst="rect">
                      <a:avLst/>
                    </a:prstGeom>
                    <a:noFill/>
                    <a:ln>
                      <a:noFill/>
                    </a:ln>
                  </pic:spPr>
                </pic:pic>
              </a:graphicData>
            </a:graphic>
          </wp:inline>
        </w:drawing>
      </w:r>
    </w:p>
    <w:p w14:paraId="7923F23E" w14:textId="77777777" w:rsidR="00090C5F" w:rsidRDefault="00090C5F" w:rsidP="009678E1">
      <w:pPr>
        <w:ind w:left="567"/>
        <w:rPr>
          <w:color w:val="FF0000"/>
        </w:rPr>
      </w:pPr>
    </w:p>
    <w:p w14:paraId="229FC664" w14:textId="3B76C99B" w:rsidR="00090C5F" w:rsidRDefault="00090C5F" w:rsidP="009678E1">
      <w:pPr>
        <w:ind w:left="567"/>
        <w:rPr>
          <w:color w:val="FF0000"/>
        </w:rPr>
      </w:pPr>
      <w:r>
        <w:rPr>
          <w:noProof/>
          <w:color w:val="FF0000"/>
        </w:rPr>
        <w:lastRenderedPageBreak/>
        <w:drawing>
          <wp:inline distT="0" distB="0" distL="0" distR="0" wp14:anchorId="47F364DC" wp14:editId="366EC3D3">
            <wp:extent cx="6151033" cy="9109404"/>
            <wp:effectExtent l="0" t="0" r="0" b="9525"/>
            <wp:docPr id="998831558"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6151302" cy="9109802"/>
                    </a:xfrm>
                    <a:prstGeom prst="rect">
                      <a:avLst/>
                    </a:prstGeom>
                    <a:noFill/>
                    <a:ln>
                      <a:noFill/>
                    </a:ln>
                  </pic:spPr>
                </pic:pic>
              </a:graphicData>
            </a:graphic>
          </wp:inline>
        </w:drawing>
      </w:r>
    </w:p>
    <w:p w14:paraId="525B582F" w14:textId="5BEC246E" w:rsidR="00090C5F" w:rsidRDefault="00090C5F" w:rsidP="009678E1">
      <w:pPr>
        <w:ind w:left="567"/>
        <w:rPr>
          <w:color w:val="FF0000"/>
        </w:rPr>
      </w:pPr>
      <w:r>
        <w:rPr>
          <w:noProof/>
          <w:color w:val="FF0000"/>
        </w:rPr>
        <w:lastRenderedPageBreak/>
        <w:drawing>
          <wp:inline distT="0" distB="0" distL="0" distR="0" wp14:anchorId="197D7D5F" wp14:editId="320BC6D8">
            <wp:extent cx="6151033" cy="7978036"/>
            <wp:effectExtent l="0" t="0" r="0" b="0"/>
            <wp:docPr id="998831560"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6151328" cy="7978419"/>
                    </a:xfrm>
                    <a:prstGeom prst="rect">
                      <a:avLst/>
                    </a:prstGeom>
                    <a:noFill/>
                    <a:ln>
                      <a:noFill/>
                    </a:ln>
                  </pic:spPr>
                </pic:pic>
              </a:graphicData>
            </a:graphic>
          </wp:inline>
        </w:drawing>
      </w:r>
    </w:p>
    <w:p w14:paraId="01B6DA50" w14:textId="77777777" w:rsidR="00090C5F" w:rsidRDefault="00090C5F" w:rsidP="009678E1">
      <w:pPr>
        <w:ind w:left="567"/>
        <w:rPr>
          <w:color w:val="FF0000"/>
        </w:rPr>
      </w:pPr>
    </w:p>
    <w:p w14:paraId="5EE1CEAE" w14:textId="44E8E7A7" w:rsidR="00090C5F" w:rsidRDefault="00090C5F" w:rsidP="009678E1">
      <w:pPr>
        <w:ind w:left="567"/>
        <w:rPr>
          <w:color w:val="FF0000"/>
        </w:rPr>
      </w:pPr>
      <w:r>
        <w:rPr>
          <w:noProof/>
          <w:color w:val="FF0000"/>
        </w:rPr>
        <w:lastRenderedPageBreak/>
        <w:drawing>
          <wp:inline distT="0" distB="0" distL="0" distR="0" wp14:anchorId="6115D303" wp14:editId="76A8E845">
            <wp:extent cx="6078497" cy="9114367"/>
            <wp:effectExtent l="0" t="0" r="0" b="4445"/>
            <wp:docPr id="998831561"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6078568" cy="9114473"/>
                    </a:xfrm>
                    <a:prstGeom prst="rect">
                      <a:avLst/>
                    </a:prstGeom>
                    <a:noFill/>
                    <a:ln>
                      <a:noFill/>
                    </a:ln>
                  </pic:spPr>
                </pic:pic>
              </a:graphicData>
            </a:graphic>
          </wp:inline>
        </w:drawing>
      </w:r>
    </w:p>
    <w:p w14:paraId="48E3A796" w14:textId="7D214DC4" w:rsidR="00090C5F" w:rsidRDefault="00090C5F" w:rsidP="009678E1">
      <w:pPr>
        <w:ind w:left="567"/>
        <w:rPr>
          <w:color w:val="FF0000"/>
        </w:rPr>
      </w:pPr>
      <w:r>
        <w:rPr>
          <w:noProof/>
          <w:color w:val="FF0000"/>
        </w:rPr>
        <w:lastRenderedPageBreak/>
        <w:drawing>
          <wp:inline distT="0" distB="0" distL="0" distR="0" wp14:anchorId="20B41B65" wp14:editId="41E7AA0E">
            <wp:extent cx="6175376" cy="9000067"/>
            <wp:effectExtent l="0" t="0" r="0" b="0"/>
            <wp:docPr id="998831562"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6175486" cy="9000228"/>
                    </a:xfrm>
                    <a:prstGeom prst="rect">
                      <a:avLst/>
                    </a:prstGeom>
                    <a:noFill/>
                    <a:ln>
                      <a:noFill/>
                    </a:ln>
                  </pic:spPr>
                </pic:pic>
              </a:graphicData>
            </a:graphic>
          </wp:inline>
        </w:drawing>
      </w:r>
    </w:p>
    <w:p w14:paraId="6F73ABEE" w14:textId="1035984B" w:rsidR="00090C5F" w:rsidRDefault="00090C5F" w:rsidP="009678E1">
      <w:pPr>
        <w:ind w:left="567"/>
        <w:rPr>
          <w:color w:val="FF0000"/>
        </w:rPr>
      </w:pPr>
      <w:r>
        <w:rPr>
          <w:noProof/>
          <w:color w:val="FF0000"/>
        </w:rPr>
        <w:lastRenderedPageBreak/>
        <w:drawing>
          <wp:inline distT="0" distB="0" distL="0" distR="0" wp14:anchorId="38DE3EB0" wp14:editId="3E1527B8">
            <wp:extent cx="6134951" cy="8542867"/>
            <wp:effectExtent l="0" t="0" r="12065" b="0"/>
            <wp:docPr id="998831563"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6135294" cy="8543345"/>
                    </a:xfrm>
                    <a:prstGeom prst="rect">
                      <a:avLst/>
                    </a:prstGeom>
                    <a:noFill/>
                    <a:ln>
                      <a:noFill/>
                    </a:ln>
                  </pic:spPr>
                </pic:pic>
              </a:graphicData>
            </a:graphic>
          </wp:inline>
        </w:drawing>
      </w:r>
    </w:p>
    <w:p w14:paraId="4CA1834D" w14:textId="77777777" w:rsidR="00090C5F" w:rsidRDefault="00090C5F" w:rsidP="009678E1">
      <w:pPr>
        <w:ind w:left="567"/>
        <w:rPr>
          <w:color w:val="FF0000"/>
        </w:rPr>
      </w:pPr>
    </w:p>
    <w:p w14:paraId="6B37096C" w14:textId="19899C5A" w:rsidR="00090C5F" w:rsidRDefault="00090C5F" w:rsidP="009678E1">
      <w:pPr>
        <w:ind w:left="567"/>
        <w:rPr>
          <w:color w:val="FF0000"/>
        </w:rPr>
      </w:pPr>
      <w:r>
        <w:rPr>
          <w:noProof/>
          <w:color w:val="FF0000"/>
        </w:rPr>
        <w:lastRenderedPageBreak/>
        <w:drawing>
          <wp:inline distT="0" distB="0" distL="0" distR="0" wp14:anchorId="03EB395C" wp14:editId="5BD0572B">
            <wp:extent cx="6036733" cy="8832886"/>
            <wp:effectExtent l="0" t="0" r="8890" b="6350"/>
            <wp:docPr id="998831565"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6037026" cy="8833315"/>
                    </a:xfrm>
                    <a:prstGeom prst="rect">
                      <a:avLst/>
                    </a:prstGeom>
                    <a:noFill/>
                    <a:ln>
                      <a:noFill/>
                    </a:ln>
                  </pic:spPr>
                </pic:pic>
              </a:graphicData>
            </a:graphic>
          </wp:inline>
        </w:drawing>
      </w:r>
    </w:p>
    <w:p w14:paraId="62ACE303" w14:textId="77777777" w:rsidR="00090C5F" w:rsidRDefault="00090C5F" w:rsidP="009678E1">
      <w:pPr>
        <w:ind w:left="567"/>
        <w:rPr>
          <w:color w:val="FF0000"/>
        </w:rPr>
      </w:pPr>
    </w:p>
    <w:p w14:paraId="1D8DD47E" w14:textId="5046721B" w:rsidR="00090C5F" w:rsidRDefault="00090C5F" w:rsidP="009678E1">
      <w:pPr>
        <w:ind w:left="567"/>
        <w:rPr>
          <w:color w:val="FF0000"/>
        </w:rPr>
      </w:pPr>
      <w:r>
        <w:rPr>
          <w:noProof/>
          <w:color w:val="FF0000"/>
        </w:rPr>
        <w:lastRenderedPageBreak/>
        <w:drawing>
          <wp:inline distT="0" distB="0" distL="0" distR="0" wp14:anchorId="487FF28D" wp14:editId="30C44C6A">
            <wp:extent cx="6151033" cy="5057943"/>
            <wp:effectExtent l="0" t="0" r="0" b="0"/>
            <wp:docPr id="998831566"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6151108" cy="5058005"/>
                    </a:xfrm>
                    <a:prstGeom prst="rect">
                      <a:avLst/>
                    </a:prstGeom>
                    <a:noFill/>
                    <a:ln>
                      <a:noFill/>
                    </a:ln>
                  </pic:spPr>
                </pic:pic>
              </a:graphicData>
            </a:graphic>
          </wp:inline>
        </w:drawing>
      </w:r>
    </w:p>
    <w:p w14:paraId="75B44131" w14:textId="2EB2793E" w:rsidR="00090C5F" w:rsidRDefault="00090C5F" w:rsidP="009678E1">
      <w:pPr>
        <w:ind w:left="567"/>
        <w:rPr>
          <w:color w:val="FF0000"/>
        </w:rPr>
      </w:pPr>
      <w:r>
        <w:rPr>
          <w:noProof/>
          <w:color w:val="FF0000"/>
        </w:rPr>
        <w:lastRenderedPageBreak/>
        <w:drawing>
          <wp:inline distT="0" distB="0" distL="0" distR="0" wp14:anchorId="45DEB33B" wp14:editId="2B6A01EC">
            <wp:extent cx="6107616" cy="7971367"/>
            <wp:effectExtent l="0" t="0" r="0" b="4445"/>
            <wp:docPr id="998831567"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6107939" cy="7971788"/>
                    </a:xfrm>
                    <a:prstGeom prst="rect">
                      <a:avLst/>
                    </a:prstGeom>
                    <a:noFill/>
                    <a:ln>
                      <a:noFill/>
                    </a:ln>
                  </pic:spPr>
                </pic:pic>
              </a:graphicData>
            </a:graphic>
          </wp:inline>
        </w:drawing>
      </w:r>
    </w:p>
    <w:p w14:paraId="5C299314" w14:textId="38E1DC17" w:rsidR="00090C5F" w:rsidRDefault="00090C5F" w:rsidP="009678E1">
      <w:pPr>
        <w:ind w:left="567"/>
        <w:rPr>
          <w:color w:val="FF0000"/>
        </w:rPr>
      </w:pPr>
      <w:r>
        <w:rPr>
          <w:noProof/>
          <w:color w:val="FF0000"/>
        </w:rPr>
        <w:lastRenderedPageBreak/>
        <w:drawing>
          <wp:inline distT="0" distB="0" distL="0" distR="0" wp14:anchorId="6DD6CAA2" wp14:editId="43C365A9">
            <wp:extent cx="6083088" cy="6828367"/>
            <wp:effectExtent l="0" t="0" r="0" b="4445"/>
            <wp:docPr id="998831568"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6083222" cy="6828517"/>
                    </a:xfrm>
                    <a:prstGeom prst="rect">
                      <a:avLst/>
                    </a:prstGeom>
                    <a:noFill/>
                    <a:ln>
                      <a:noFill/>
                    </a:ln>
                  </pic:spPr>
                </pic:pic>
              </a:graphicData>
            </a:graphic>
          </wp:inline>
        </w:drawing>
      </w:r>
    </w:p>
    <w:p w14:paraId="3A1FD0AC" w14:textId="77777777" w:rsidR="00090C5F" w:rsidRDefault="00090C5F" w:rsidP="009678E1">
      <w:pPr>
        <w:ind w:left="567"/>
        <w:rPr>
          <w:color w:val="FF0000"/>
        </w:rPr>
      </w:pPr>
    </w:p>
    <w:p w14:paraId="71952CE0" w14:textId="422FAF2E" w:rsidR="00090C5F" w:rsidRDefault="00090C5F" w:rsidP="009678E1">
      <w:pPr>
        <w:ind w:left="567"/>
        <w:rPr>
          <w:color w:val="FF0000"/>
        </w:rPr>
      </w:pPr>
      <w:r>
        <w:rPr>
          <w:noProof/>
          <w:color w:val="FF0000"/>
        </w:rPr>
        <w:lastRenderedPageBreak/>
        <w:drawing>
          <wp:inline distT="0" distB="0" distL="0" distR="0" wp14:anchorId="2C8B8B7B" wp14:editId="30DC453C">
            <wp:extent cx="6240794" cy="7628467"/>
            <wp:effectExtent l="0" t="0" r="7620" b="0"/>
            <wp:docPr id="998831569"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6240877" cy="7628568"/>
                    </a:xfrm>
                    <a:prstGeom prst="rect">
                      <a:avLst/>
                    </a:prstGeom>
                    <a:noFill/>
                    <a:ln>
                      <a:noFill/>
                    </a:ln>
                  </pic:spPr>
                </pic:pic>
              </a:graphicData>
            </a:graphic>
          </wp:inline>
        </w:drawing>
      </w:r>
    </w:p>
    <w:p w14:paraId="0D58D336" w14:textId="77777777" w:rsidR="00090C5F" w:rsidRDefault="00090C5F" w:rsidP="009678E1">
      <w:pPr>
        <w:ind w:left="567"/>
        <w:rPr>
          <w:color w:val="FF0000"/>
        </w:rPr>
      </w:pPr>
    </w:p>
    <w:p w14:paraId="23AB6BE0" w14:textId="090AC2CC" w:rsidR="00090C5F" w:rsidRDefault="00090C5F" w:rsidP="009678E1">
      <w:pPr>
        <w:ind w:left="567"/>
        <w:rPr>
          <w:color w:val="FF0000"/>
        </w:rPr>
      </w:pPr>
      <w:r>
        <w:rPr>
          <w:noProof/>
          <w:color w:val="FF0000"/>
        </w:rPr>
        <w:lastRenderedPageBreak/>
        <w:drawing>
          <wp:inline distT="0" distB="0" distL="0" distR="0" wp14:anchorId="230E5FAC" wp14:editId="4483F266">
            <wp:extent cx="6136410" cy="8199967"/>
            <wp:effectExtent l="0" t="0" r="10795" b="4445"/>
            <wp:docPr id="998831570"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6136637" cy="8200270"/>
                    </a:xfrm>
                    <a:prstGeom prst="rect">
                      <a:avLst/>
                    </a:prstGeom>
                    <a:noFill/>
                    <a:ln>
                      <a:noFill/>
                    </a:ln>
                  </pic:spPr>
                </pic:pic>
              </a:graphicData>
            </a:graphic>
          </wp:inline>
        </w:drawing>
      </w:r>
    </w:p>
    <w:p w14:paraId="4AFF527A" w14:textId="77777777" w:rsidR="00090C5F" w:rsidRDefault="00090C5F" w:rsidP="009678E1">
      <w:pPr>
        <w:ind w:left="567"/>
        <w:rPr>
          <w:color w:val="FF0000"/>
        </w:rPr>
      </w:pPr>
    </w:p>
    <w:p w14:paraId="735A371F" w14:textId="77777777" w:rsidR="00090C5F" w:rsidRDefault="00090C5F" w:rsidP="009678E1">
      <w:pPr>
        <w:ind w:left="567"/>
        <w:rPr>
          <w:color w:val="FF0000"/>
        </w:rPr>
      </w:pPr>
    </w:p>
    <w:p w14:paraId="3CC51034" w14:textId="77777777" w:rsidR="00090C5F" w:rsidRDefault="00090C5F" w:rsidP="009678E1">
      <w:pPr>
        <w:ind w:left="567"/>
        <w:rPr>
          <w:color w:val="FF0000"/>
        </w:rPr>
      </w:pPr>
    </w:p>
    <w:p w14:paraId="30A05E45" w14:textId="0555890B" w:rsidR="00F6643C" w:rsidRDefault="00F6643C" w:rsidP="009678E1">
      <w:pPr>
        <w:ind w:left="567"/>
        <w:rPr>
          <w:color w:val="FF0000"/>
        </w:rPr>
      </w:pPr>
      <w:r>
        <w:rPr>
          <w:noProof/>
          <w:color w:val="FF0000"/>
        </w:rPr>
        <w:lastRenderedPageBreak/>
        <w:drawing>
          <wp:inline distT="0" distB="0" distL="0" distR="0" wp14:anchorId="6FFED41E" wp14:editId="11958BC5">
            <wp:extent cx="6228005" cy="8428567"/>
            <wp:effectExtent l="0" t="0" r="0" b="4445"/>
            <wp:docPr id="998831571"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6228439" cy="8429155"/>
                    </a:xfrm>
                    <a:prstGeom prst="rect">
                      <a:avLst/>
                    </a:prstGeom>
                    <a:noFill/>
                    <a:ln>
                      <a:noFill/>
                    </a:ln>
                  </pic:spPr>
                </pic:pic>
              </a:graphicData>
            </a:graphic>
          </wp:inline>
        </w:drawing>
      </w:r>
    </w:p>
    <w:p w14:paraId="5640C70A" w14:textId="4E7649DD" w:rsidR="00F6643C" w:rsidRDefault="00F6643C" w:rsidP="009678E1">
      <w:pPr>
        <w:ind w:left="567"/>
        <w:rPr>
          <w:color w:val="FF0000"/>
        </w:rPr>
      </w:pPr>
      <w:r>
        <w:rPr>
          <w:noProof/>
          <w:color w:val="FF0000"/>
        </w:rPr>
        <w:lastRenderedPageBreak/>
        <w:drawing>
          <wp:inline distT="0" distB="0" distL="0" distR="0" wp14:anchorId="37FCA223" wp14:editId="4AD9C63D">
            <wp:extent cx="6092275" cy="8542867"/>
            <wp:effectExtent l="0" t="0" r="3810" b="0"/>
            <wp:docPr id="998831572"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6092651" cy="8543394"/>
                    </a:xfrm>
                    <a:prstGeom prst="rect">
                      <a:avLst/>
                    </a:prstGeom>
                    <a:noFill/>
                    <a:ln>
                      <a:noFill/>
                    </a:ln>
                  </pic:spPr>
                </pic:pic>
              </a:graphicData>
            </a:graphic>
          </wp:inline>
        </w:drawing>
      </w:r>
    </w:p>
    <w:p w14:paraId="7E5571BC" w14:textId="3993F71F" w:rsidR="00F6643C" w:rsidRDefault="005E694E" w:rsidP="009678E1">
      <w:pPr>
        <w:ind w:left="567"/>
        <w:rPr>
          <w:color w:val="FF0000"/>
        </w:rPr>
      </w:pPr>
      <w:r w:rsidRPr="005E694E">
        <w:lastRenderedPageBreak/>
        <w:t xml:space="preserve"> </w:t>
      </w:r>
      <w:r w:rsidRPr="005B42F0">
        <w:rPr>
          <w:noProof/>
          <w:color w:val="FF0000"/>
        </w:rPr>
        <w:drawing>
          <wp:inline distT="0" distB="0" distL="0" distR="0" wp14:anchorId="38CEB017" wp14:editId="69643BB4">
            <wp:extent cx="6151033" cy="8529193"/>
            <wp:effectExtent l="0" t="0" r="0" b="5715"/>
            <wp:docPr id="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6151222" cy="8529455"/>
                    </a:xfrm>
                    <a:prstGeom prst="rect">
                      <a:avLst/>
                    </a:prstGeom>
                    <a:noFill/>
                    <a:ln>
                      <a:noFill/>
                    </a:ln>
                  </pic:spPr>
                </pic:pic>
              </a:graphicData>
            </a:graphic>
          </wp:inline>
        </w:drawing>
      </w:r>
    </w:p>
    <w:p w14:paraId="015CCA90" w14:textId="7C7C432A" w:rsidR="00F6643C" w:rsidRDefault="005E694E" w:rsidP="009678E1">
      <w:pPr>
        <w:ind w:left="567"/>
        <w:rPr>
          <w:color w:val="FF0000"/>
        </w:rPr>
      </w:pPr>
      <w:r w:rsidRPr="005E694E">
        <w:lastRenderedPageBreak/>
        <w:t xml:space="preserve"> </w:t>
      </w:r>
      <w:r w:rsidRPr="005B42F0">
        <w:rPr>
          <w:noProof/>
          <w:color w:val="FF0000"/>
        </w:rPr>
        <w:drawing>
          <wp:inline distT="0" distB="0" distL="0" distR="0" wp14:anchorId="30A55ECC" wp14:editId="323ADC18">
            <wp:extent cx="6160303" cy="8459258"/>
            <wp:effectExtent l="0" t="0" r="12065" b="0"/>
            <wp:docPr id="11"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6160642" cy="8459723"/>
                    </a:xfrm>
                    <a:prstGeom prst="rect">
                      <a:avLst/>
                    </a:prstGeom>
                    <a:noFill/>
                    <a:ln>
                      <a:noFill/>
                    </a:ln>
                  </pic:spPr>
                </pic:pic>
              </a:graphicData>
            </a:graphic>
          </wp:inline>
        </w:drawing>
      </w:r>
    </w:p>
    <w:p w14:paraId="4D7A8C6C" w14:textId="46299978" w:rsidR="00F6643C" w:rsidRDefault="005E694E" w:rsidP="009678E1">
      <w:pPr>
        <w:ind w:left="567"/>
        <w:rPr>
          <w:color w:val="FF0000"/>
        </w:rPr>
      </w:pPr>
      <w:r w:rsidRPr="005E694E">
        <w:lastRenderedPageBreak/>
        <w:t xml:space="preserve"> </w:t>
      </w:r>
      <w:r w:rsidRPr="005B42F0">
        <w:rPr>
          <w:noProof/>
          <w:color w:val="FF0000"/>
        </w:rPr>
        <w:drawing>
          <wp:inline distT="0" distB="0" distL="0" distR="0" wp14:anchorId="414923C5" wp14:editId="63053C0F">
            <wp:extent cx="6265333" cy="6804590"/>
            <wp:effectExtent l="0" t="0" r="8890" b="3175"/>
            <wp:docPr id="1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6265779" cy="6805075"/>
                    </a:xfrm>
                    <a:prstGeom prst="rect">
                      <a:avLst/>
                    </a:prstGeom>
                    <a:noFill/>
                    <a:ln>
                      <a:noFill/>
                    </a:ln>
                  </pic:spPr>
                </pic:pic>
              </a:graphicData>
            </a:graphic>
          </wp:inline>
        </w:drawing>
      </w:r>
    </w:p>
    <w:p w14:paraId="1D519F74" w14:textId="77777777" w:rsidR="00F6643C" w:rsidRDefault="00F6643C" w:rsidP="009678E1">
      <w:pPr>
        <w:ind w:left="567"/>
        <w:rPr>
          <w:color w:val="FF0000"/>
        </w:rPr>
      </w:pPr>
    </w:p>
    <w:p w14:paraId="1726AA63" w14:textId="77777777" w:rsidR="00F6643C" w:rsidRDefault="00F6643C" w:rsidP="009678E1">
      <w:pPr>
        <w:ind w:left="567"/>
        <w:rPr>
          <w:color w:val="FF0000"/>
        </w:rPr>
      </w:pPr>
    </w:p>
    <w:p w14:paraId="1F96FC30" w14:textId="255B2FB6" w:rsidR="00F6643C" w:rsidRDefault="00F6643C" w:rsidP="009678E1">
      <w:pPr>
        <w:ind w:left="567"/>
        <w:rPr>
          <w:color w:val="FF0000"/>
        </w:rPr>
      </w:pPr>
      <w:r>
        <w:rPr>
          <w:noProof/>
          <w:color w:val="FF0000"/>
        </w:rPr>
        <w:lastRenderedPageBreak/>
        <w:drawing>
          <wp:inline distT="0" distB="0" distL="0" distR="0" wp14:anchorId="493F7D8C" wp14:editId="32AB8474">
            <wp:extent cx="6151033" cy="6879445"/>
            <wp:effectExtent l="0" t="0" r="0" b="4445"/>
            <wp:docPr id="998831576"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6151630" cy="6880112"/>
                    </a:xfrm>
                    <a:prstGeom prst="rect">
                      <a:avLst/>
                    </a:prstGeom>
                    <a:noFill/>
                    <a:ln>
                      <a:noFill/>
                    </a:ln>
                  </pic:spPr>
                </pic:pic>
              </a:graphicData>
            </a:graphic>
          </wp:inline>
        </w:drawing>
      </w:r>
    </w:p>
    <w:p w14:paraId="1AB69E18" w14:textId="77777777" w:rsidR="00090C5F" w:rsidRDefault="00090C5F" w:rsidP="009678E1">
      <w:pPr>
        <w:ind w:left="567"/>
        <w:rPr>
          <w:color w:val="FF0000"/>
        </w:rPr>
      </w:pPr>
    </w:p>
    <w:p w14:paraId="5A9F54B1" w14:textId="77777777" w:rsidR="00090C5F" w:rsidRDefault="00090C5F" w:rsidP="009678E1">
      <w:pPr>
        <w:ind w:left="567"/>
        <w:rPr>
          <w:color w:val="FF0000"/>
        </w:rPr>
      </w:pPr>
    </w:p>
    <w:p w14:paraId="2EFA41BD" w14:textId="77777777" w:rsidR="00090C5F" w:rsidRDefault="00090C5F" w:rsidP="009678E1">
      <w:pPr>
        <w:ind w:left="567"/>
        <w:rPr>
          <w:color w:val="FF0000"/>
        </w:rPr>
      </w:pPr>
    </w:p>
    <w:p w14:paraId="7AD115A0" w14:textId="77777777" w:rsidR="00090C5F" w:rsidRDefault="00090C5F" w:rsidP="009678E1">
      <w:pPr>
        <w:ind w:left="567"/>
        <w:rPr>
          <w:color w:val="FF0000"/>
        </w:rPr>
      </w:pPr>
    </w:p>
    <w:p w14:paraId="3F42433D" w14:textId="77777777" w:rsidR="00090C5F" w:rsidRDefault="00090C5F" w:rsidP="009678E1">
      <w:pPr>
        <w:ind w:left="567"/>
        <w:rPr>
          <w:color w:val="FF0000"/>
        </w:rPr>
      </w:pPr>
    </w:p>
    <w:p w14:paraId="3EF84B74" w14:textId="77777777" w:rsidR="00090C5F" w:rsidRDefault="00090C5F" w:rsidP="009678E1">
      <w:pPr>
        <w:ind w:left="567"/>
        <w:rPr>
          <w:color w:val="FF0000"/>
        </w:rPr>
      </w:pPr>
    </w:p>
    <w:p w14:paraId="5E05C67E" w14:textId="06CFF8C5" w:rsidR="00090C5F" w:rsidRDefault="00F6643C" w:rsidP="009678E1">
      <w:pPr>
        <w:ind w:left="567"/>
        <w:rPr>
          <w:color w:val="FF0000"/>
        </w:rPr>
      </w:pPr>
      <w:r>
        <w:rPr>
          <w:noProof/>
          <w:color w:val="FF0000"/>
        </w:rPr>
        <w:lastRenderedPageBreak/>
        <w:drawing>
          <wp:inline distT="0" distB="0" distL="0" distR="0" wp14:anchorId="495B8E99" wp14:editId="40E960C7">
            <wp:extent cx="6036733" cy="9094306"/>
            <wp:effectExtent l="0" t="0" r="8890" b="0"/>
            <wp:docPr id="998831577"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6037106" cy="9094867"/>
                    </a:xfrm>
                    <a:prstGeom prst="rect">
                      <a:avLst/>
                    </a:prstGeom>
                    <a:noFill/>
                    <a:ln>
                      <a:noFill/>
                    </a:ln>
                  </pic:spPr>
                </pic:pic>
              </a:graphicData>
            </a:graphic>
          </wp:inline>
        </w:drawing>
      </w:r>
    </w:p>
    <w:p w14:paraId="3D1878D8" w14:textId="6E6AE66A" w:rsidR="00F6643C" w:rsidRDefault="00F6643C" w:rsidP="009678E1">
      <w:pPr>
        <w:ind w:left="567"/>
        <w:rPr>
          <w:color w:val="FF0000"/>
        </w:rPr>
      </w:pPr>
      <w:r>
        <w:rPr>
          <w:noProof/>
          <w:color w:val="FF0000"/>
        </w:rPr>
        <w:lastRenderedPageBreak/>
        <w:drawing>
          <wp:inline distT="0" distB="0" distL="0" distR="0" wp14:anchorId="627E256C" wp14:editId="7C6E5EFB">
            <wp:extent cx="6002555" cy="9325398"/>
            <wp:effectExtent l="0" t="0" r="0" b="0"/>
            <wp:docPr id="998831578"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6002806" cy="9325787"/>
                    </a:xfrm>
                    <a:prstGeom prst="rect">
                      <a:avLst/>
                    </a:prstGeom>
                    <a:noFill/>
                    <a:ln>
                      <a:noFill/>
                    </a:ln>
                  </pic:spPr>
                </pic:pic>
              </a:graphicData>
            </a:graphic>
          </wp:inline>
        </w:drawing>
      </w:r>
      <w:r>
        <w:rPr>
          <w:noProof/>
          <w:color w:val="FF0000"/>
        </w:rPr>
        <w:lastRenderedPageBreak/>
        <w:drawing>
          <wp:inline distT="0" distB="0" distL="0" distR="0" wp14:anchorId="36B4F8B8" wp14:editId="01E6A044">
            <wp:extent cx="6151033" cy="5879970"/>
            <wp:effectExtent l="0" t="0" r="0" b="0"/>
            <wp:docPr id="998831579"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6151516" cy="5880432"/>
                    </a:xfrm>
                    <a:prstGeom prst="rect">
                      <a:avLst/>
                    </a:prstGeom>
                    <a:noFill/>
                    <a:ln>
                      <a:noFill/>
                    </a:ln>
                  </pic:spPr>
                </pic:pic>
              </a:graphicData>
            </a:graphic>
          </wp:inline>
        </w:drawing>
      </w:r>
    </w:p>
    <w:p w14:paraId="14FBC90A" w14:textId="77777777" w:rsidR="00090C5F" w:rsidRDefault="00090C5F" w:rsidP="009678E1">
      <w:pPr>
        <w:ind w:left="567"/>
        <w:rPr>
          <w:color w:val="FF0000"/>
        </w:rPr>
      </w:pPr>
    </w:p>
    <w:p w14:paraId="77CA60D2" w14:textId="77777777" w:rsidR="00090C5F" w:rsidRDefault="00090C5F" w:rsidP="009678E1">
      <w:pPr>
        <w:ind w:left="567"/>
        <w:rPr>
          <w:color w:val="FF0000"/>
        </w:rPr>
      </w:pPr>
    </w:p>
    <w:p w14:paraId="0751F210" w14:textId="77777777" w:rsidR="00090C5F" w:rsidRDefault="00090C5F" w:rsidP="009678E1">
      <w:pPr>
        <w:ind w:left="567"/>
        <w:rPr>
          <w:color w:val="FF0000"/>
        </w:rPr>
      </w:pPr>
    </w:p>
    <w:p w14:paraId="6F4FDC69" w14:textId="77777777" w:rsidR="00090C5F" w:rsidRDefault="00090C5F" w:rsidP="009678E1">
      <w:pPr>
        <w:ind w:left="567"/>
        <w:rPr>
          <w:color w:val="FF0000"/>
        </w:rPr>
      </w:pPr>
    </w:p>
    <w:p w14:paraId="74003491" w14:textId="77777777" w:rsidR="00090C5F" w:rsidRDefault="00090C5F" w:rsidP="009678E1">
      <w:pPr>
        <w:ind w:left="567"/>
        <w:rPr>
          <w:color w:val="FF0000"/>
        </w:rPr>
      </w:pPr>
    </w:p>
    <w:p w14:paraId="78B69D9A" w14:textId="77777777" w:rsidR="00090C5F" w:rsidRDefault="00090C5F" w:rsidP="009678E1">
      <w:pPr>
        <w:ind w:left="567"/>
        <w:rPr>
          <w:color w:val="FF0000"/>
        </w:rPr>
      </w:pPr>
    </w:p>
    <w:p w14:paraId="0C4F037D" w14:textId="77777777" w:rsidR="00090C5F" w:rsidRDefault="00090C5F" w:rsidP="009678E1">
      <w:pPr>
        <w:ind w:left="567"/>
        <w:rPr>
          <w:color w:val="FF0000"/>
        </w:rPr>
      </w:pPr>
    </w:p>
    <w:p w14:paraId="57225413" w14:textId="147D0F70" w:rsidR="005F2EA0" w:rsidRDefault="005F2EA0" w:rsidP="009678E1">
      <w:pPr>
        <w:ind w:left="567"/>
        <w:rPr>
          <w:color w:val="FF0000"/>
        </w:rPr>
      </w:pPr>
    </w:p>
    <w:p w14:paraId="104778FB" w14:textId="77777777" w:rsidR="005F2EA0" w:rsidRDefault="005F2EA0" w:rsidP="009678E1">
      <w:pPr>
        <w:ind w:left="567"/>
        <w:rPr>
          <w:color w:val="FF0000"/>
        </w:rPr>
      </w:pPr>
    </w:p>
    <w:p w14:paraId="59A5C467" w14:textId="77777777" w:rsidR="005F2EA0" w:rsidRDefault="005F2EA0" w:rsidP="009678E1">
      <w:pPr>
        <w:ind w:left="567"/>
        <w:rPr>
          <w:color w:val="FF0000"/>
        </w:rPr>
      </w:pPr>
    </w:p>
    <w:p w14:paraId="0538520B" w14:textId="77777777" w:rsidR="0073053E" w:rsidRPr="004A3649" w:rsidRDefault="0073053E" w:rsidP="00CD7CDB">
      <w:pPr>
        <w:rPr>
          <w:color w:val="FF0000"/>
        </w:rPr>
      </w:pPr>
    </w:p>
    <w:p w14:paraId="6DC89490" w14:textId="77777777" w:rsidR="00090C5F" w:rsidRDefault="00090C5F">
      <w:pPr>
        <w:jc w:val="left"/>
        <w:rPr>
          <w:rFonts w:eastAsiaTheme="majorEastAsia" w:cstheme="majorBidi"/>
          <w:b/>
          <w:bCs/>
          <w:color w:val="4F81BD" w:themeColor="accent1"/>
        </w:rPr>
      </w:pPr>
      <w:r>
        <w:br w:type="page"/>
      </w:r>
    </w:p>
    <w:p w14:paraId="5C240FCF" w14:textId="4190DF05" w:rsidR="00CF0C5B" w:rsidRDefault="00A247E0" w:rsidP="009678E1">
      <w:pPr>
        <w:pStyle w:val="Titre3"/>
        <w:ind w:left="567"/>
      </w:pPr>
      <w:bookmarkStart w:id="282" w:name="_Toc475033265"/>
      <w:r>
        <w:lastRenderedPageBreak/>
        <w:t>18</w:t>
      </w:r>
      <w:r w:rsidR="00C032EC">
        <w:t>.1.</w:t>
      </w:r>
      <w:r w:rsidR="00CD7CDB">
        <w:t>2</w:t>
      </w:r>
      <w:r w:rsidR="00C032EC">
        <w:t xml:space="preserve"> </w:t>
      </w:r>
      <w:r w:rsidR="00CF0C5B">
        <w:t xml:space="preserve">Comptes </w:t>
      </w:r>
      <w:r>
        <w:t>consolidés</w:t>
      </w:r>
      <w:r w:rsidR="00CF0C5B">
        <w:t xml:space="preserve"> établis pour l’exercice clos le 31 décembre 20</w:t>
      </w:r>
      <w:r>
        <w:t>19</w:t>
      </w:r>
      <w:bookmarkEnd w:id="282"/>
    </w:p>
    <w:p w14:paraId="6E7F71A8" w14:textId="77777777" w:rsidR="00F97116" w:rsidRDefault="00F97116" w:rsidP="009678E1">
      <w:pPr>
        <w:ind w:left="567"/>
      </w:pPr>
    </w:p>
    <w:p w14:paraId="5920FB09" w14:textId="0B22D378" w:rsidR="004F231D" w:rsidRDefault="004F231D" w:rsidP="009678E1">
      <w:pPr>
        <w:ind w:left="567"/>
      </w:pPr>
      <w:r>
        <w:rPr>
          <w:noProof/>
        </w:rPr>
        <w:drawing>
          <wp:inline distT="0" distB="0" distL="0" distR="0" wp14:anchorId="6CB40B45" wp14:editId="604AED66">
            <wp:extent cx="5851524" cy="8211970"/>
            <wp:effectExtent l="0" t="0" r="0" b="0"/>
            <wp:docPr id="516"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5"/>
                    <pic:cNvPicPr/>
                  </pic:nvPicPr>
                  <pic:blipFill>
                    <a:blip r:embed="rId142">
                      <a:extLst>
                        <a:ext uri="{28A0092B-C50C-407E-A947-70E740481C1C}">
                          <a14:useLocalDpi xmlns:a14="http://schemas.microsoft.com/office/drawing/2010/main" val="0"/>
                        </a:ext>
                      </a:extLst>
                    </a:blip>
                    <a:stretch>
                      <a:fillRect/>
                    </a:stretch>
                  </pic:blipFill>
                  <pic:spPr>
                    <a:xfrm>
                      <a:off x="0" y="0"/>
                      <a:ext cx="5851524" cy="8211970"/>
                    </a:xfrm>
                    <a:prstGeom prst="rect">
                      <a:avLst/>
                    </a:prstGeom>
                  </pic:spPr>
                </pic:pic>
              </a:graphicData>
            </a:graphic>
          </wp:inline>
        </w:drawing>
      </w:r>
    </w:p>
    <w:p w14:paraId="44D59667" w14:textId="6EB11C4C" w:rsidR="004341F7" w:rsidRDefault="004341F7" w:rsidP="009678E1">
      <w:pPr>
        <w:ind w:left="567"/>
      </w:pPr>
    </w:p>
    <w:p w14:paraId="06F2C14D" w14:textId="77777777" w:rsidR="004341F7" w:rsidRDefault="004341F7" w:rsidP="009678E1">
      <w:pPr>
        <w:ind w:left="567"/>
      </w:pPr>
    </w:p>
    <w:p w14:paraId="475507AF" w14:textId="77777777" w:rsidR="004F231D" w:rsidRDefault="004F231D" w:rsidP="009678E1">
      <w:pPr>
        <w:ind w:left="567"/>
      </w:pPr>
      <w:r>
        <w:rPr>
          <w:noProof/>
        </w:rPr>
        <w:lastRenderedPageBreak/>
        <w:drawing>
          <wp:inline distT="0" distB="0" distL="0" distR="0" wp14:anchorId="2710A2E1" wp14:editId="37EE1A23">
            <wp:extent cx="5851524" cy="7465367"/>
            <wp:effectExtent l="0" t="0" r="0" b="2540"/>
            <wp:docPr id="517"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6"/>
                    <pic:cNvPicPr/>
                  </pic:nvPicPr>
                  <pic:blipFill>
                    <a:blip r:embed="rId143">
                      <a:extLst>
                        <a:ext uri="{28A0092B-C50C-407E-A947-70E740481C1C}">
                          <a14:useLocalDpi xmlns:a14="http://schemas.microsoft.com/office/drawing/2010/main" val="0"/>
                        </a:ext>
                      </a:extLst>
                    </a:blip>
                    <a:stretch>
                      <a:fillRect/>
                    </a:stretch>
                  </pic:blipFill>
                  <pic:spPr>
                    <a:xfrm>
                      <a:off x="0" y="0"/>
                      <a:ext cx="5851524" cy="7465367"/>
                    </a:xfrm>
                    <a:prstGeom prst="rect">
                      <a:avLst/>
                    </a:prstGeom>
                  </pic:spPr>
                </pic:pic>
              </a:graphicData>
            </a:graphic>
          </wp:inline>
        </w:drawing>
      </w:r>
    </w:p>
    <w:p w14:paraId="546D65C1" w14:textId="77777777" w:rsidR="004F231D" w:rsidRDefault="004F231D" w:rsidP="009678E1">
      <w:pPr>
        <w:ind w:left="567"/>
      </w:pPr>
    </w:p>
    <w:p w14:paraId="03E57323" w14:textId="77777777" w:rsidR="004F231D" w:rsidRDefault="004F231D" w:rsidP="009678E1">
      <w:pPr>
        <w:ind w:left="567"/>
      </w:pPr>
    </w:p>
    <w:p w14:paraId="147EA6E9" w14:textId="6198BF46" w:rsidR="004F231D" w:rsidRDefault="004F231D" w:rsidP="009678E1">
      <w:pPr>
        <w:ind w:left="567"/>
      </w:pPr>
      <w:r>
        <w:rPr>
          <w:noProof/>
        </w:rPr>
        <w:lastRenderedPageBreak/>
        <w:drawing>
          <wp:inline distT="0" distB="0" distL="0" distR="0" wp14:anchorId="3583A9B3" wp14:editId="0537A2DF">
            <wp:extent cx="5851524" cy="3891999"/>
            <wp:effectExtent l="0" t="0" r="0" b="0"/>
            <wp:docPr id="518"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7"/>
                    <pic:cNvPicPr/>
                  </pic:nvPicPr>
                  <pic:blipFill>
                    <a:blip r:embed="rId144">
                      <a:extLst>
                        <a:ext uri="{28A0092B-C50C-407E-A947-70E740481C1C}">
                          <a14:useLocalDpi xmlns:a14="http://schemas.microsoft.com/office/drawing/2010/main" val="0"/>
                        </a:ext>
                      </a:extLst>
                    </a:blip>
                    <a:stretch>
                      <a:fillRect/>
                    </a:stretch>
                  </pic:blipFill>
                  <pic:spPr>
                    <a:xfrm>
                      <a:off x="0" y="0"/>
                      <a:ext cx="5851524" cy="3891999"/>
                    </a:xfrm>
                    <a:prstGeom prst="rect">
                      <a:avLst/>
                    </a:prstGeom>
                  </pic:spPr>
                </pic:pic>
              </a:graphicData>
            </a:graphic>
          </wp:inline>
        </w:drawing>
      </w:r>
    </w:p>
    <w:p w14:paraId="32E6E4FA" w14:textId="77777777" w:rsidR="004F231D" w:rsidRDefault="004F231D" w:rsidP="009678E1">
      <w:pPr>
        <w:ind w:left="567"/>
      </w:pPr>
    </w:p>
    <w:p w14:paraId="7CBC66A4" w14:textId="7E2A3D81" w:rsidR="004F231D" w:rsidRDefault="004F231D" w:rsidP="009678E1">
      <w:pPr>
        <w:ind w:left="567"/>
      </w:pPr>
      <w:r>
        <w:rPr>
          <w:noProof/>
        </w:rPr>
        <w:lastRenderedPageBreak/>
        <w:drawing>
          <wp:inline distT="0" distB="0" distL="0" distR="0" wp14:anchorId="43B4E5ED" wp14:editId="7D3AD877">
            <wp:extent cx="5851524" cy="7526134"/>
            <wp:effectExtent l="0" t="0" r="0" b="0"/>
            <wp:docPr id="519"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8"/>
                    <pic:cNvPicPr/>
                  </pic:nvPicPr>
                  <pic:blipFill>
                    <a:blip r:embed="rId145">
                      <a:extLst>
                        <a:ext uri="{28A0092B-C50C-407E-A947-70E740481C1C}">
                          <a14:useLocalDpi xmlns:a14="http://schemas.microsoft.com/office/drawing/2010/main" val="0"/>
                        </a:ext>
                      </a:extLst>
                    </a:blip>
                    <a:stretch>
                      <a:fillRect/>
                    </a:stretch>
                  </pic:blipFill>
                  <pic:spPr>
                    <a:xfrm>
                      <a:off x="0" y="0"/>
                      <a:ext cx="5851524" cy="7526134"/>
                    </a:xfrm>
                    <a:prstGeom prst="rect">
                      <a:avLst/>
                    </a:prstGeom>
                  </pic:spPr>
                </pic:pic>
              </a:graphicData>
            </a:graphic>
          </wp:inline>
        </w:drawing>
      </w:r>
    </w:p>
    <w:p w14:paraId="001E6A51" w14:textId="360B45CC" w:rsidR="004F231D" w:rsidRDefault="004F231D" w:rsidP="009678E1">
      <w:pPr>
        <w:ind w:left="567"/>
      </w:pPr>
      <w:r>
        <w:rPr>
          <w:noProof/>
        </w:rPr>
        <w:lastRenderedPageBreak/>
        <w:drawing>
          <wp:inline distT="0" distB="0" distL="0" distR="0" wp14:anchorId="5F9208A9" wp14:editId="6DE7F382">
            <wp:extent cx="5851524" cy="8425318"/>
            <wp:effectExtent l="0" t="0" r="0" b="7620"/>
            <wp:docPr id="520"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
                    <pic:cNvPicPr/>
                  </pic:nvPicPr>
                  <pic:blipFill>
                    <a:blip r:embed="rId146">
                      <a:extLst>
                        <a:ext uri="{28A0092B-C50C-407E-A947-70E740481C1C}">
                          <a14:useLocalDpi xmlns:a14="http://schemas.microsoft.com/office/drawing/2010/main" val="0"/>
                        </a:ext>
                      </a:extLst>
                    </a:blip>
                    <a:stretch>
                      <a:fillRect/>
                    </a:stretch>
                  </pic:blipFill>
                  <pic:spPr>
                    <a:xfrm>
                      <a:off x="0" y="0"/>
                      <a:ext cx="5851524" cy="8425318"/>
                    </a:xfrm>
                    <a:prstGeom prst="rect">
                      <a:avLst/>
                    </a:prstGeom>
                  </pic:spPr>
                </pic:pic>
              </a:graphicData>
            </a:graphic>
          </wp:inline>
        </w:drawing>
      </w:r>
    </w:p>
    <w:p w14:paraId="7D271D91" w14:textId="74B03E19" w:rsidR="004F231D" w:rsidRDefault="004F231D" w:rsidP="009678E1">
      <w:pPr>
        <w:ind w:left="567"/>
      </w:pPr>
      <w:r>
        <w:rPr>
          <w:noProof/>
        </w:rPr>
        <w:lastRenderedPageBreak/>
        <w:drawing>
          <wp:inline distT="0" distB="0" distL="0" distR="0" wp14:anchorId="286BFE30" wp14:editId="533D9B18">
            <wp:extent cx="5851524" cy="8784892"/>
            <wp:effectExtent l="0" t="0" r="0" b="3810"/>
            <wp:docPr id="521"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0"/>
                    <pic:cNvPicPr/>
                  </pic:nvPicPr>
                  <pic:blipFill>
                    <a:blip r:embed="rId147">
                      <a:extLst>
                        <a:ext uri="{28A0092B-C50C-407E-A947-70E740481C1C}">
                          <a14:useLocalDpi xmlns:a14="http://schemas.microsoft.com/office/drawing/2010/main" val="0"/>
                        </a:ext>
                      </a:extLst>
                    </a:blip>
                    <a:stretch>
                      <a:fillRect/>
                    </a:stretch>
                  </pic:blipFill>
                  <pic:spPr>
                    <a:xfrm>
                      <a:off x="0" y="0"/>
                      <a:ext cx="5851524" cy="8784892"/>
                    </a:xfrm>
                    <a:prstGeom prst="rect">
                      <a:avLst/>
                    </a:prstGeom>
                  </pic:spPr>
                </pic:pic>
              </a:graphicData>
            </a:graphic>
          </wp:inline>
        </w:drawing>
      </w:r>
    </w:p>
    <w:p w14:paraId="6E998C36" w14:textId="49AB205A" w:rsidR="004F231D" w:rsidRDefault="004F231D" w:rsidP="009678E1">
      <w:pPr>
        <w:ind w:left="567"/>
      </w:pPr>
      <w:r>
        <w:rPr>
          <w:noProof/>
        </w:rPr>
        <w:lastRenderedPageBreak/>
        <w:drawing>
          <wp:inline distT="0" distB="0" distL="0" distR="0" wp14:anchorId="1D68A8EB" wp14:editId="2360C6CB">
            <wp:extent cx="5851524" cy="8118144"/>
            <wp:effectExtent l="0" t="0" r="0" b="10160"/>
            <wp:docPr id="522"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1"/>
                    <pic:cNvPicPr/>
                  </pic:nvPicPr>
                  <pic:blipFill>
                    <a:blip r:embed="rId148">
                      <a:extLst>
                        <a:ext uri="{28A0092B-C50C-407E-A947-70E740481C1C}">
                          <a14:useLocalDpi xmlns:a14="http://schemas.microsoft.com/office/drawing/2010/main" val="0"/>
                        </a:ext>
                      </a:extLst>
                    </a:blip>
                    <a:stretch>
                      <a:fillRect/>
                    </a:stretch>
                  </pic:blipFill>
                  <pic:spPr>
                    <a:xfrm>
                      <a:off x="0" y="0"/>
                      <a:ext cx="5851524" cy="8118144"/>
                    </a:xfrm>
                    <a:prstGeom prst="rect">
                      <a:avLst/>
                    </a:prstGeom>
                  </pic:spPr>
                </pic:pic>
              </a:graphicData>
            </a:graphic>
          </wp:inline>
        </w:drawing>
      </w:r>
    </w:p>
    <w:p w14:paraId="407DAB52" w14:textId="0FB1FAA3" w:rsidR="004F231D" w:rsidRDefault="004F231D" w:rsidP="009678E1">
      <w:pPr>
        <w:ind w:left="567"/>
      </w:pPr>
      <w:r>
        <w:rPr>
          <w:noProof/>
        </w:rPr>
        <w:lastRenderedPageBreak/>
        <w:drawing>
          <wp:inline distT="0" distB="0" distL="0" distR="0" wp14:anchorId="71BBF7A3" wp14:editId="20D63F0F">
            <wp:extent cx="5851524" cy="8754429"/>
            <wp:effectExtent l="0" t="0" r="0" b="8890"/>
            <wp:docPr id="523"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2"/>
                    <pic:cNvPicPr/>
                  </pic:nvPicPr>
                  <pic:blipFill>
                    <a:blip r:embed="rId149">
                      <a:extLst>
                        <a:ext uri="{28A0092B-C50C-407E-A947-70E740481C1C}">
                          <a14:useLocalDpi xmlns:a14="http://schemas.microsoft.com/office/drawing/2010/main" val="0"/>
                        </a:ext>
                      </a:extLst>
                    </a:blip>
                    <a:stretch>
                      <a:fillRect/>
                    </a:stretch>
                  </pic:blipFill>
                  <pic:spPr>
                    <a:xfrm>
                      <a:off x="0" y="0"/>
                      <a:ext cx="5851524" cy="8754429"/>
                    </a:xfrm>
                    <a:prstGeom prst="rect">
                      <a:avLst/>
                    </a:prstGeom>
                  </pic:spPr>
                </pic:pic>
              </a:graphicData>
            </a:graphic>
          </wp:inline>
        </w:drawing>
      </w:r>
    </w:p>
    <w:p w14:paraId="068F02AE" w14:textId="0B07429B" w:rsidR="004F231D" w:rsidRDefault="004F231D" w:rsidP="009678E1">
      <w:pPr>
        <w:ind w:left="567"/>
      </w:pPr>
      <w:r>
        <w:rPr>
          <w:noProof/>
        </w:rPr>
        <w:lastRenderedPageBreak/>
        <w:drawing>
          <wp:inline distT="0" distB="0" distL="0" distR="0" wp14:anchorId="60A49838" wp14:editId="7528C120">
            <wp:extent cx="5851524" cy="8653941"/>
            <wp:effectExtent l="0" t="0" r="0" b="7620"/>
            <wp:docPr id="524"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3"/>
                    <pic:cNvPicPr/>
                  </pic:nvPicPr>
                  <pic:blipFill>
                    <a:blip r:embed="rId150">
                      <a:extLst>
                        <a:ext uri="{28A0092B-C50C-407E-A947-70E740481C1C}">
                          <a14:useLocalDpi xmlns:a14="http://schemas.microsoft.com/office/drawing/2010/main" val="0"/>
                        </a:ext>
                      </a:extLst>
                    </a:blip>
                    <a:stretch>
                      <a:fillRect/>
                    </a:stretch>
                  </pic:blipFill>
                  <pic:spPr>
                    <a:xfrm>
                      <a:off x="0" y="0"/>
                      <a:ext cx="5851524" cy="8653941"/>
                    </a:xfrm>
                    <a:prstGeom prst="rect">
                      <a:avLst/>
                    </a:prstGeom>
                  </pic:spPr>
                </pic:pic>
              </a:graphicData>
            </a:graphic>
          </wp:inline>
        </w:drawing>
      </w:r>
    </w:p>
    <w:p w14:paraId="2F3BE7EA" w14:textId="1A67799E" w:rsidR="004F231D" w:rsidRDefault="004F231D" w:rsidP="009678E1">
      <w:pPr>
        <w:ind w:left="567"/>
      </w:pPr>
      <w:r>
        <w:rPr>
          <w:noProof/>
        </w:rPr>
        <w:lastRenderedPageBreak/>
        <w:drawing>
          <wp:inline distT="0" distB="0" distL="0" distR="0" wp14:anchorId="34D0139F" wp14:editId="437065DE">
            <wp:extent cx="5851524" cy="8454675"/>
            <wp:effectExtent l="0" t="0" r="0" b="3810"/>
            <wp:docPr id="525"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4"/>
                    <pic:cNvPicPr/>
                  </pic:nvPicPr>
                  <pic:blipFill>
                    <a:blip r:embed="rId151">
                      <a:extLst>
                        <a:ext uri="{28A0092B-C50C-407E-A947-70E740481C1C}">
                          <a14:useLocalDpi xmlns:a14="http://schemas.microsoft.com/office/drawing/2010/main" val="0"/>
                        </a:ext>
                      </a:extLst>
                    </a:blip>
                    <a:stretch>
                      <a:fillRect/>
                    </a:stretch>
                  </pic:blipFill>
                  <pic:spPr>
                    <a:xfrm>
                      <a:off x="0" y="0"/>
                      <a:ext cx="5851524" cy="8454675"/>
                    </a:xfrm>
                    <a:prstGeom prst="rect">
                      <a:avLst/>
                    </a:prstGeom>
                  </pic:spPr>
                </pic:pic>
              </a:graphicData>
            </a:graphic>
          </wp:inline>
        </w:drawing>
      </w:r>
    </w:p>
    <w:p w14:paraId="6575B0B1" w14:textId="3B3EF7F4" w:rsidR="004F231D" w:rsidRDefault="004F231D" w:rsidP="009678E1">
      <w:pPr>
        <w:ind w:left="567"/>
      </w:pPr>
      <w:r>
        <w:rPr>
          <w:noProof/>
        </w:rPr>
        <w:lastRenderedPageBreak/>
        <w:drawing>
          <wp:inline distT="0" distB="0" distL="0" distR="0" wp14:anchorId="769D1E1B" wp14:editId="47BD6D0D">
            <wp:extent cx="5851524" cy="8691953"/>
            <wp:effectExtent l="0" t="0" r="0" b="0"/>
            <wp:docPr id="526"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5"/>
                    <pic:cNvPicPr/>
                  </pic:nvPicPr>
                  <pic:blipFill>
                    <a:blip r:embed="rId152">
                      <a:extLst>
                        <a:ext uri="{28A0092B-C50C-407E-A947-70E740481C1C}">
                          <a14:useLocalDpi xmlns:a14="http://schemas.microsoft.com/office/drawing/2010/main" val="0"/>
                        </a:ext>
                      </a:extLst>
                    </a:blip>
                    <a:stretch>
                      <a:fillRect/>
                    </a:stretch>
                  </pic:blipFill>
                  <pic:spPr>
                    <a:xfrm>
                      <a:off x="0" y="0"/>
                      <a:ext cx="5851524" cy="8691953"/>
                    </a:xfrm>
                    <a:prstGeom prst="rect">
                      <a:avLst/>
                    </a:prstGeom>
                  </pic:spPr>
                </pic:pic>
              </a:graphicData>
            </a:graphic>
          </wp:inline>
        </w:drawing>
      </w:r>
    </w:p>
    <w:p w14:paraId="541EAC17" w14:textId="1BFBF0D7" w:rsidR="004F231D" w:rsidRDefault="004F231D" w:rsidP="009678E1">
      <w:pPr>
        <w:ind w:left="567"/>
      </w:pPr>
      <w:r>
        <w:rPr>
          <w:noProof/>
        </w:rPr>
        <w:lastRenderedPageBreak/>
        <w:drawing>
          <wp:inline distT="0" distB="0" distL="0" distR="0" wp14:anchorId="45264CDF" wp14:editId="41B470FA">
            <wp:extent cx="5851524" cy="7219124"/>
            <wp:effectExtent l="0" t="0" r="0" b="0"/>
            <wp:docPr id="527"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6"/>
                    <pic:cNvPicPr/>
                  </pic:nvPicPr>
                  <pic:blipFill>
                    <a:blip r:embed="rId153">
                      <a:extLst>
                        <a:ext uri="{28A0092B-C50C-407E-A947-70E740481C1C}">
                          <a14:useLocalDpi xmlns:a14="http://schemas.microsoft.com/office/drawing/2010/main" val="0"/>
                        </a:ext>
                      </a:extLst>
                    </a:blip>
                    <a:stretch>
                      <a:fillRect/>
                    </a:stretch>
                  </pic:blipFill>
                  <pic:spPr>
                    <a:xfrm>
                      <a:off x="0" y="0"/>
                      <a:ext cx="5851524" cy="7219124"/>
                    </a:xfrm>
                    <a:prstGeom prst="rect">
                      <a:avLst/>
                    </a:prstGeom>
                  </pic:spPr>
                </pic:pic>
              </a:graphicData>
            </a:graphic>
          </wp:inline>
        </w:drawing>
      </w:r>
    </w:p>
    <w:p w14:paraId="5D41AD8C" w14:textId="2E1B0A6B" w:rsidR="004F231D" w:rsidRDefault="004F231D" w:rsidP="009678E1">
      <w:pPr>
        <w:ind w:left="567"/>
      </w:pPr>
      <w:r>
        <w:rPr>
          <w:noProof/>
        </w:rPr>
        <w:lastRenderedPageBreak/>
        <w:drawing>
          <wp:inline distT="0" distB="0" distL="0" distR="0" wp14:anchorId="0871257C" wp14:editId="1AFEF4ED">
            <wp:extent cx="5851524" cy="8366472"/>
            <wp:effectExtent l="0" t="0" r="0" b="0"/>
            <wp:docPr id="528"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7"/>
                    <pic:cNvPicPr/>
                  </pic:nvPicPr>
                  <pic:blipFill>
                    <a:blip r:embed="rId154">
                      <a:extLst>
                        <a:ext uri="{28A0092B-C50C-407E-A947-70E740481C1C}">
                          <a14:useLocalDpi xmlns:a14="http://schemas.microsoft.com/office/drawing/2010/main" val="0"/>
                        </a:ext>
                      </a:extLst>
                    </a:blip>
                    <a:stretch>
                      <a:fillRect/>
                    </a:stretch>
                  </pic:blipFill>
                  <pic:spPr>
                    <a:xfrm>
                      <a:off x="0" y="0"/>
                      <a:ext cx="5851524" cy="8366472"/>
                    </a:xfrm>
                    <a:prstGeom prst="rect">
                      <a:avLst/>
                    </a:prstGeom>
                  </pic:spPr>
                </pic:pic>
              </a:graphicData>
            </a:graphic>
          </wp:inline>
        </w:drawing>
      </w:r>
    </w:p>
    <w:p w14:paraId="11B4D414" w14:textId="70EE214F" w:rsidR="004F231D" w:rsidRDefault="004F231D" w:rsidP="009678E1">
      <w:pPr>
        <w:ind w:left="567"/>
      </w:pPr>
      <w:r>
        <w:rPr>
          <w:noProof/>
        </w:rPr>
        <w:lastRenderedPageBreak/>
        <w:drawing>
          <wp:inline distT="0" distB="0" distL="0" distR="0" wp14:anchorId="746D6ABA" wp14:editId="4B921DAC">
            <wp:extent cx="5851524" cy="8628100"/>
            <wp:effectExtent l="0" t="0" r="0" b="8255"/>
            <wp:docPr id="529"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8"/>
                    <pic:cNvPicPr/>
                  </pic:nvPicPr>
                  <pic:blipFill>
                    <a:blip r:embed="rId155">
                      <a:extLst>
                        <a:ext uri="{28A0092B-C50C-407E-A947-70E740481C1C}">
                          <a14:useLocalDpi xmlns:a14="http://schemas.microsoft.com/office/drawing/2010/main" val="0"/>
                        </a:ext>
                      </a:extLst>
                    </a:blip>
                    <a:stretch>
                      <a:fillRect/>
                    </a:stretch>
                  </pic:blipFill>
                  <pic:spPr>
                    <a:xfrm>
                      <a:off x="0" y="0"/>
                      <a:ext cx="5851524" cy="8628100"/>
                    </a:xfrm>
                    <a:prstGeom prst="rect">
                      <a:avLst/>
                    </a:prstGeom>
                  </pic:spPr>
                </pic:pic>
              </a:graphicData>
            </a:graphic>
          </wp:inline>
        </w:drawing>
      </w:r>
    </w:p>
    <w:p w14:paraId="2061B20B" w14:textId="0F4972E9" w:rsidR="004F231D" w:rsidRDefault="004F231D" w:rsidP="009678E1">
      <w:pPr>
        <w:ind w:left="567"/>
      </w:pPr>
      <w:r>
        <w:rPr>
          <w:noProof/>
        </w:rPr>
        <w:lastRenderedPageBreak/>
        <w:drawing>
          <wp:inline distT="0" distB="0" distL="0" distR="0" wp14:anchorId="5AB04283" wp14:editId="7B4627ED">
            <wp:extent cx="5851524" cy="8686567"/>
            <wp:effectExtent l="0" t="0" r="0" b="635"/>
            <wp:docPr id="530"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9"/>
                    <pic:cNvPicPr/>
                  </pic:nvPicPr>
                  <pic:blipFill>
                    <a:blip r:embed="rId156">
                      <a:extLst>
                        <a:ext uri="{28A0092B-C50C-407E-A947-70E740481C1C}">
                          <a14:useLocalDpi xmlns:a14="http://schemas.microsoft.com/office/drawing/2010/main" val="0"/>
                        </a:ext>
                      </a:extLst>
                    </a:blip>
                    <a:stretch>
                      <a:fillRect/>
                    </a:stretch>
                  </pic:blipFill>
                  <pic:spPr>
                    <a:xfrm>
                      <a:off x="0" y="0"/>
                      <a:ext cx="5851524" cy="8686567"/>
                    </a:xfrm>
                    <a:prstGeom prst="rect">
                      <a:avLst/>
                    </a:prstGeom>
                  </pic:spPr>
                </pic:pic>
              </a:graphicData>
            </a:graphic>
          </wp:inline>
        </w:drawing>
      </w:r>
    </w:p>
    <w:p w14:paraId="3449411E" w14:textId="7B6B85F0" w:rsidR="004F231D" w:rsidRDefault="004F231D" w:rsidP="009678E1">
      <w:pPr>
        <w:ind w:left="567"/>
      </w:pPr>
      <w:r>
        <w:rPr>
          <w:noProof/>
        </w:rPr>
        <w:lastRenderedPageBreak/>
        <w:drawing>
          <wp:inline distT="0" distB="0" distL="0" distR="0" wp14:anchorId="7BB07560" wp14:editId="722A314D">
            <wp:extent cx="5851524" cy="8788898"/>
            <wp:effectExtent l="0" t="0" r="0" b="0"/>
            <wp:docPr id="531"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0"/>
                    <pic:cNvPicPr/>
                  </pic:nvPicPr>
                  <pic:blipFill>
                    <a:blip r:embed="rId157">
                      <a:extLst>
                        <a:ext uri="{28A0092B-C50C-407E-A947-70E740481C1C}">
                          <a14:useLocalDpi xmlns:a14="http://schemas.microsoft.com/office/drawing/2010/main" val="0"/>
                        </a:ext>
                      </a:extLst>
                    </a:blip>
                    <a:stretch>
                      <a:fillRect/>
                    </a:stretch>
                  </pic:blipFill>
                  <pic:spPr>
                    <a:xfrm>
                      <a:off x="0" y="0"/>
                      <a:ext cx="5851524" cy="8788898"/>
                    </a:xfrm>
                    <a:prstGeom prst="rect">
                      <a:avLst/>
                    </a:prstGeom>
                  </pic:spPr>
                </pic:pic>
              </a:graphicData>
            </a:graphic>
          </wp:inline>
        </w:drawing>
      </w:r>
    </w:p>
    <w:p w14:paraId="6C9C5691" w14:textId="3AABB2A4" w:rsidR="004F231D" w:rsidRDefault="004F231D" w:rsidP="009678E1">
      <w:pPr>
        <w:ind w:left="567"/>
      </w:pPr>
      <w:r>
        <w:rPr>
          <w:noProof/>
        </w:rPr>
        <w:lastRenderedPageBreak/>
        <w:drawing>
          <wp:inline distT="0" distB="0" distL="0" distR="0" wp14:anchorId="72715A5F" wp14:editId="0C1006F7">
            <wp:extent cx="5851524" cy="8579001"/>
            <wp:effectExtent l="0" t="0" r="0" b="6350"/>
            <wp:docPr id="532"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1"/>
                    <pic:cNvPicPr/>
                  </pic:nvPicPr>
                  <pic:blipFill>
                    <a:blip r:embed="rId158">
                      <a:extLst>
                        <a:ext uri="{28A0092B-C50C-407E-A947-70E740481C1C}">
                          <a14:useLocalDpi xmlns:a14="http://schemas.microsoft.com/office/drawing/2010/main" val="0"/>
                        </a:ext>
                      </a:extLst>
                    </a:blip>
                    <a:stretch>
                      <a:fillRect/>
                    </a:stretch>
                  </pic:blipFill>
                  <pic:spPr>
                    <a:xfrm>
                      <a:off x="0" y="0"/>
                      <a:ext cx="5851524" cy="8579001"/>
                    </a:xfrm>
                    <a:prstGeom prst="rect">
                      <a:avLst/>
                    </a:prstGeom>
                  </pic:spPr>
                </pic:pic>
              </a:graphicData>
            </a:graphic>
          </wp:inline>
        </w:drawing>
      </w:r>
    </w:p>
    <w:p w14:paraId="4BD72013" w14:textId="3C046C1D" w:rsidR="004F231D" w:rsidRDefault="004F231D" w:rsidP="009678E1">
      <w:pPr>
        <w:ind w:left="567"/>
      </w:pPr>
      <w:r>
        <w:rPr>
          <w:noProof/>
        </w:rPr>
        <w:lastRenderedPageBreak/>
        <w:drawing>
          <wp:inline distT="0" distB="0" distL="0" distR="0" wp14:anchorId="238E06D8" wp14:editId="71604185">
            <wp:extent cx="5851524" cy="8641135"/>
            <wp:effectExtent l="0" t="0" r="0" b="0"/>
            <wp:docPr id="533"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2"/>
                    <pic:cNvPicPr/>
                  </pic:nvPicPr>
                  <pic:blipFill>
                    <a:blip r:embed="rId159">
                      <a:extLst>
                        <a:ext uri="{28A0092B-C50C-407E-A947-70E740481C1C}">
                          <a14:useLocalDpi xmlns:a14="http://schemas.microsoft.com/office/drawing/2010/main" val="0"/>
                        </a:ext>
                      </a:extLst>
                    </a:blip>
                    <a:stretch>
                      <a:fillRect/>
                    </a:stretch>
                  </pic:blipFill>
                  <pic:spPr>
                    <a:xfrm>
                      <a:off x="0" y="0"/>
                      <a:ext cx="5851524" cy="8641135"/>
                    </a:xfrm>
                    <a:prstGeom prst="rect">
                      <a:avLst/>
                    </a:prstGeom>
                  </pic:spPr>
                </pic:pic>
              </a:graphicData>
            </a:graphic>
          </wp:inline>
        </w:drawing>
      </w:r>
    </w:p>
    <w:p w14:paraId="6BAD7135" w14:textId="48F37BB4" w:rsidR="004F231D" w:rsidRDefault="004F231D" w:rsidP="009678E1">
      <w:pPr>
        <w:ind w:left="567"/>
      </w:pPr>
      <w:r>
        <w:rPr>
          <w:noProof/>
        </w:rPr>
        <w:lastRenderedPageBreak/>
        <w:drawing>
          <wp:inline distT="0" distB="0" distL="0" distR="0" wp14:anchorId="46036701" wp14:editId="112BC400">
            <wp:extent cx="5851524" cy="3924578"/>
            <wp:effectExtent l="0" t="0" r="0" b="12700"/>
            <wp:docPr id="534"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3"/>
                    <pic:cNvPicPr/>
                  </pic:nvPicPr>
                  <pic:blipFill>
                    <a:blip r:embed="rId160">
                      <a:extLst>
                        <a:ext uri="{28A0092B-C50C-407E-A947-70E740481C1C}">
                          <a14:useLocalDpi xmlns:a14="http://schemas.microsoft.com/office/drawing/2010/main" val="0"/>
                        </a:ext>
                      </a:extLst>
                    </a:blip>
                    <a:stretch>
                      <a:fillRect/>
                    </a:stretch>
                  </pic:blipFill>
                  <pic:spPr>
                    <a:xfrm>
                      <a:off x="0" y="0"/>
                      <a:ext cx="5851524" cy="3924578"/>
                    </a:xfrm>
                    <a:prstGeom prst="rect">
                      <a:avLst/>
                    </a:prstGeom>
                  </pic:spPr>
                </pic:pic>
              </a:graphicData>
            </a:graphic>
          </wp:inline>
        </w:drawing>
      </w:r>
    </w:p>
    <w:p w14:paraId="66171194" w14:textId="77777777" w:rsidR="004F231D" w:rsidRDefault="004F231D" w:rsidP="009678E1">
      <w:pPr>
        <w:ind w:left="567"/>
      </w:pPr>
    </w:p>
    <w:p w14:paraId="0AF8144F" w14:textId="2CB666BA" w:rsidR="004F231D" w:rsidRDefault="004F231D" w:rsidP="009678E1">
      <w:pPr>
        <w:ind w:left="567"/>
      </w:pPr>
      <w:r>
        <w:rPr>
          <w:noProof/>
        </w:rPr>
        <w:lastRenderedPageBreak/>
        <w:drawing>
          <wp:inline distT="0" distB="0" distL="0" distR="0" wp14:anchorId="3527A735" wp14:editId="4FFC7792">
            <wp:extent cx="5851524" cy="6113952"/>
            <wp:effectExtent l="0" t="0" r="0" b="7620"/>
            <wp:docPr id="535"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4"/>
                    <pic:cNvPicPr/>
                  </pic:nvPicPr>
                  <pic:blipFill>
                    <a:blip r:embed="rId161">
                      <a:extLst>
                        <a:ext uri="{28A0092B-C50C-407E-A947-70E740481C1C}">
                          <a14:useLocalDpi xmlns:a14="http://schemas.microsoft.com/office/drawing/2010/main" val="0"/>
                        </a:ext>
                      </a:extLst>
                    </a:blip>
                    <a:stretch>
                      <a:fillRect/>
                    </a:stretch>
                  </pic:blipFill>
                  <pic:spPr>
                    <a:xfrm>
                      <a:off x="0" y="0"/>
                      <a:ext cx="5851524" cy="6113952"/>
                    </a:xfrm>
                    <a:prstGeom prst="rect">
                      <a:avLst/>
                    </a:prstGeom>
                  </pic:spPr>
                </pic:pic>
              </a:graphicData>
            </a:graphic>
          </wp:inline>
        </w:drawing>
      </w:r>
    </w:p>
    <w:p w14:paraId="6912089E" w14:textId="1D713E1C" w:rsidR="004F231D" w:rsidRDefault="004F231D" w:rsidP="009678E1">
      <w:pPr>
        <w:ind w:left="567"/>
      </w:pPr>
      <w:r>
        <w:rPr>
          <w:noProof/>
        </w:rPr>
        <w:lastRenderedPageBreak/>
        <w:drawing>
          <wp:inline distT="0" distB="0" distL="0" distR="0" wp14:anchorId="4AD38F50" wp14:editId="7B5BCB00">
            <wp:extent cx="5851524" cy="8617146"/>
            <wp:effectExtent l="0" t="0" r="0" b="0"/>
            <wp:docPr id="536"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5"/>
                    <pic:cNvPicPr/>
                  </pic:nvPicPr>
                  <pic:blipFill>
                    <a:blip r:embed="rId162">
                      <a:extLst>
                        <a:ext uri="{28A0092B-C50C-407E-A947-70E740481C1C}">
                          <a14:useLocalDpi xmlns:a14="http://schemas.microsoft.com/office/drawing/2010/main" val="0"/>
                        </a:ext>
                      </a:extLst>
                    </a:blip>
                    <a:stretch>
                      <a:fillRect/>
                    </a:stretch>
                  </pic:blipFill>
                  <pic:spPr>
                    <a:xfrm>
                      <a:off x="0" y="0"/>
                      <a:ext cx="5851524" cy="8617146"/>
                    </a:xfrm>
                    <a:prstGeom prst="rect">
                      <a:avLst/>
                    </a:prstGeom>
                  </pic:spPr>
                </pic:pic>
              </a:graphicData>
            </a:graphic>
          </wp:inline>
        </w:drawing>
      </w:r>
    </w:p>
    <w:p w14:paraId="6CC68C71" w14:textId="51C79267" w:rsidR="004F231D" w:rsidRDefault="004F231D" w:rsidP="009678E1">
      <w:pPr>
        <w:ind w:left="567"/>
      </w:pPr>
      <w:r>
        <w:rPr>
          <w:noProof/>
        </w:rPr>
        <w:lastRenderedPageBreak/>
        <w:drawing>
          <wp:inline distT="0" distB="0" distL="0" distR="0" wp14:anchorId="69893E90" wp14:editId="649129BB">
            <wp:extent cx="5851524" cy="8060976"/>
            <wp:effectExtent l="0" t="0" r="0" b="0"/>
            <wp:docPr id="537"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6"/>
                    <pic:cNvPicPr/>
                  </pic:nvPicPr>
                  <pic:blipFill>
                    <a:blip r:embed="rId163">
                      <a:extLst>
                        <a:ext uri="{28A0092B-C50C-407E-A947-70E740481C1C}">
                          <a14:useLocalDpi xmlns:a14="http://schemas.microsoft.com/office/drawing/2010/main" val="0"/>
                        </a:ext>
                      </a:extLst>
                    </a:blip>
                    <a:stretch>
                      <a:fillRect/>
                    </a:stretch>
                  </pic:blipFill>
                  <pic:spPr>
                    <a:xfrm>
                      <a:off x="0" y="0"/>
                      <a:ext cx="5851524" cy="8060976"/>
                    </a:xfrm>
                    <a:prstGeom prst="rect">
                      <a:avLst/>
                    </a:prstGeom>
                  </pic:spPr>
                </pic:pic>
              </a:graphicData>
            </a:graphic>
          </wp:inline>
        </w:drawing>
      </w:r>
    </w:p>
    <w:p w14:paraId="51C94C97" w14:textId="71EEC2C5" w:rsidR="004F231D" w:rsidRDefault="004F231D" w:rsidP="009678E1">
      <w:pPr>
        <w:ind w:left="567"/>
      </w:pPr>
      <w:r>
        <w:rPr>
          <w:noProof/>
        </w:rPr>
        <w:lastRenderedPageBreak/>
        <w:drawing>
          <wp:inline distT="0" distB="0" distL="0" distR="0" wp14:anchorId="330BB358" wp14:editId="144F8283">
            <wp:extent cx="5851524" cy="8683636"/>
            <wp:effectExtent l="0" t="0" r="0" b="3175"/>
            <wp:docPr id="538"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7"/>
                    <pic:cNvPicPr/>
                  </pic:nvPicPr>
                  <pic:blipFill>
                    <a:blip r:embed="rId164">
                      <a:extLst>
                        <a:ext uri="{28A0092B-C50C-407E-A947-70E740481C1C}">
                          <a14:useLocalDpi xmlns:a14="http://schemas.microsoft.com/office/drawing/2010/main" val="0"/>
                        </a:ext>
                      </a:extLst>
                    </a:blip>
                    <a:stretch>
                      <a:fillRect/>
                    </a:stretch>
                  </pic:blipFill>
                  <pic:spPr>
                    <a:xfrm>
                      <a:off x="0" y="0"/>
                      <a:ext cx="5851524" cy="8683636"/>
                    </a:xfrm>
                    <a:prstGeom prst="rect">
                      <a:avLst/>
                    </a:prstGeom>
                  </pic:spPr>
                </pic:pic>
              </a:graphicData>
            </a:graphic>
          </wp:inline>
        </w:drawing>
      </w:r>
    </w:p>
    <w:p w14:paraId="687E5108" w14:textId="5915B876" w:rsidR="004F231D" w:rsidRDefault="004F231D" w:rsidP="009678E1">
      <w:pPr>
        <w:ind w:left="567"/>
      </w:pPr>
      <w:r>
        <w:rPr>
          <w:noProof/>
        </w:rPr>
        <w:lastRenderedPageBreak/>
        <w:drawing>
          <wp:inline distT="0" distB="0" distL="0" distR="0" wp14:anchorId="425B2E57" wp14:editId="190AC98A">
            <wp:extent cx="5851524" cy="8491205"/>
            <wp:effectExtent l="0" t="0" r="0" b="0"/>
            <wp:docPr id="539"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8"/>
                    <pic:cNvPicPr/>
                  </pic:nvPicPr>
                  <pic:blipFill>
                    <a:blip r:embed="rId165">
                      <a:extLst>
                        <a:ext uri="{28A0092B-C50C-407E-A947-70E740481C1C}">
                          <a14:useLocalDpi xmlns:a14="http://schemas.microsoft.com/office/drawing/2010/main" val="0"/>
                        </a:ext>
                      </a:extLst>
                    </a:blip>
                    <a:stretch>
                      <a:fillRect/>
                    </a:stretch>
                  </pic:blipFill>
                  <pic:spPr>
                    <a:xfrm>
                      <a:off x="0" y="0"/>
                      <a:ext cx="5851524" cy="8491205"/>
                    </a:xfrm>
                    <a:prstGeom prst="rect">
                      <a:avLst/>
                    </a:prstGeom>
                  </pic:spPr>
                </pic:pic>
              </a:graphicData>
            </a:graphic>
          </wp:inline>
        </w:drawing>
      </w:r>
    </w:p>
    <w:p w14:paraId="3512DC3E" w14:textId="7BD9A5AC" w:rsidR="004F231D" w:rsidRDefault="004F231D" w:rsidP="009678E1">
      <w:pPr>
        <w:ind w:left="567"/>
      </w:pPr>
      <w:r>
        <w:rPr>
          <w:noProof/>
        </w:rPr>
        <w:lastRenderedPageBreak/>
        <w:drawing>
          <wp:inline distT="0" distB="0" distL="0" distR="0" wp14:anchorId="513E942E" wp14:editId="29006134">
            <wp:extent cx="5851524" cy="8474225"/>
            <wp:effectExtent l="0" t="0" r="0" b="9525"/>
            <wp:docPr id="541"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9"/>
                    <pic:cNvPicPr/>
                  </pic:nvPicPr>
                  <pic:blipFill>
                    <a:blip r:embed="rId166">
                      <a:extLst>
                        <a:ext uri="{28A0092B-C50C-407E-A947-70E740481C1C}">
                          <a14:useLocalDpi xmlns:a14="http://schemas.microsoft.com/office/drawing/2010/main" val="0"/>
                        </a:ext>
                      </a:extLst>
                    </a:blip>
                    <a:stretch>
                      <a:fillRect/>
                    </a:stretch>
                  </pic:blipFill>
                  <pic:spPr>
                    <a:xfrm>
                      <a:off x="0" y="0"/>
                      <a:ext cx="5851524" cy="8474225"/>
                    </a:xfrm>
                    <a:prstGeom prst="rect">
                      <a:avLst/>
                    </a:prstGeom>
                  </pic:spPr>
                </pic:pic>
              </a:graphicData>
            </a:graphic>
          </wp:inline>
        </w:drawing>
      </w:r>
    </w:p>
    <w:p w14:paraId="2BD6360A" w14:textId="4C8F939A" w:rsidR="004F231D" w:rsidRDefault="004F231D" w:rsidP="009678E1">
      <w:pPr>
        <w:ind w:left="567"/>
      </w:pPr>
      <w:r>
        <w:rPr>
          <w:noProof/>
        </w:rPr>
        <w:lastRenderedPageBreak/>
        <w:drawing>
          <wp:inline distT="0" distB="0" distL="0" distR="0" wp14:anchorId="2BED00A2" wp14:editId="4251BAA5">
            <wp:extent cx="5851524" cy="8293022"/>
            <wp:effectExtent l="0" t="0" r="0" b="0"/>
            <wp:docPr id="542"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0"/>
                    <pic:cNvPicPr/>
                  </pic:nvPicPr>
                  <pic:blipFill>
                    <a:blip r:embed="rId167">
                      <a:extLst>
                        <a:ext uri="{28A0092B-C50C-407E-A947-70E740481C1C}">
                          <a14:useLocalDpi xmlns:a14="http://schemas.microsoft.com/office/drawing/2010/main" val="0"/>
                        </a:ext>
                      </a:extLst>
                    </a:blip>
                    <a:stretch>
                      <a:fillRect/>
                    </a:stretch>
                  </pic:blipFill>
                  <pic:spPr>
                    <a:xfrm>
                      <a:off x="0" y="0"/>
                      <a:ext cx="5851524" cy="8293022"/>
                    </a:xfrm>
                    <a:prstGeom prst="rect">
                      <a:avLst/>
                    </a:prstGeom>
                  </pic:spPr>
                </pic:pic>
              </a:graphicData>
            </a:graphic>
          </wp:inline>
        </w:drawing>
      </w:r>
    </w:p>
    <w:p w14:paraId="04458BEF" w14:textId="545C5E9E" w:rsidR="004F231D" w:rsidRDefault="004F231D" w:rsidP="009678E1">
      <w:pPr>
        <w:ind w:left="567"/>
      </w:pPr>
      <w:r>
        <w:rPr>
          <w:noProof/>
        </w:rPr>
        <w:lastRenderedPageBreak/>
        <w:drawing>
          <wp:inline distT="0" distB="0" distL="0" distR="0" wp14:anchorId="3B3682BE" wp14:editId="5F100F9C">
            <wp:extent cx="5851524" cy="8595127"/>
            <wp:effectExtent l="0" t="0" r="0" b="0"/>
            <wp:docPr id="543" name="Ima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1"/>
                    <pic:cNvPicPr/>
                  </pic:nvPicPr>
                  <pic:blipFill>
                    <a:blip r:embed="rId168">
                      <a:extLst>
                        <a:ext uri="{28A0092B-C50C-407E-A947-70E740481C1C}">
                          <a14:useLocalDpi xmlns:a14="http://schemas.microsoft.com/office/drawing/2010/main" val="0"/>
                        </a:ext>
                      </a:extLst>
                    </a:blip>
                    <a:stretch>
                      <a:fillRect/>
                    </a:stretch>
                  </pic:blipFill>
                  <pic:spPr>
                    <a:xfrm>
                      <a:off x="0" y="0"/>
                      <a:ext cx="5851524" cy="8595127"/>
                    </a:xfrm>
                    <a:prstGeom prst="rect">
                      <a:avLst/>
                    </a:prstGeom>
                  </pic:spPr>
                </pic:pic>
              </a:graphicData>
            </a:graphic>
          </wp:inline>
        </w:drawing>
      </w:r>
    </w:p>
    <w:p w14:paraId="264E9774" w14:textId="78BDE4C1" w:rsidR="004F231D" w:rsidRDefault="004F231D" w:rsidP="009678E1">
      <w:pPr>
        <w:ind w:left="567"/>
      </w:pPr>
      <w:r>
        <w:rPr>
          <w:noProof/>
        </w:rPr>
        <w:lastRenderedPageBreak/>
        <w:drawing>
          <wp:inline distT="0" distB="0" distL="0" distR="0" wp14:anchorId="4D6304D3" wp14:editId="1FCE5A9A">
            <wp:extent cx="5851524" cy="8584529"/>
            <wp:effectExtent l="0" t="0" r="0" b="1270"/>
            <wp:docPr id="101" name="Imag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2"/>
                    <pic:cNvPicPr/>
                  </pic:nvPicPr>
                  <pic:blipFill>
                    <a:blip r:embed="rId169">
                      <a:extLst>
                        <a:ext uri="{28A0092B-C50C-407E-A947-70E740481C1C}">
                          <a14:useLocalDpi xmlns:a14="http://schemas.microsoft.com/office/drawing/2010/main" val="0"/>
                        </a:ext>
                      </a:extLst>
                    </a:blip>
                    <a:stretch>
                      <a:fillRect/>
                    </a:stretch>
                  </pic:blipFill>
                  <pic:spPr>
                    <a:xfrm>
                      <a:off x="0" y="0"/>
                      <a:ext cx="5851524" cy="8584529"/>
                    </a:xfrm>
                    <a:prstGeom prst="rect">
                      <a:avLst/>
                    </a:prstGeom>
                  </pic:spPr>
                </pic:pic>
              </a:graphicData>
            </a:graphic>
          </wp:inline>
        </w:drawing>
      </w:r>
    </w:p>
    <w:p w14:paraId="1B0ECBFB" w14:textId="307DABDA" w:rsidR="004F231D" w:rsidRDefault="004F231D" w:rsidP="009678E1">
      <w:pPr>
        <w:ind w:left="567"/>
      </w:pPr>
      <w:r>
        <w:rPr>
          <w:noProof/>
        </w:rPr>
        <w:lastRenderedPageBreak/>
        <w:drawing>
          <wp:inline distT="0" distB="0" distL="0" distR="0" wp14:anchorId="08F249D9" wp14:editId="0FA7BA59">
            <wp:extent cx="5851524" cy="5904528"/>
            <wp:effectExtent l="0" t="0" r="0" b="0"/>
            <wp:docPr id="116" name="Imag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3"/>
                    <pic:cNvPicPr/>
                  </pic:nvPicPr>
                  <pic:blipFill>
                    <a:blip r:embed="rId170">
                      <a:extLst>
                        <a:ext uri="{28A0092B-C50C-407E-A947-70E740481C1C}">
                          <a14:useLocalDpi xmlns:a14="http://schemas.microsoft.com/office/drawing/2010/main" val="0"/>
                        </a:ext>
                      </a:extLst>
                    </a:blip>
                    <a:stretch>
                      <a:fillRect/>
                    </a:stretch>
                  </pic:blipFill>
                  <pic:spPr>
                    <a:xfrm>
                      <a:off x="0" y="0"/>
                      <a:ext cx="5851524" cy="5904528"/>
                    </a:xfrm>
                    <a:prstGeom prst="rect">
                      <a:avLst/>
                    </a:prstGeom>
                  </pic:spPr>
                </pic:pic>
              </a:graphicData>
            </a:graphic>
          </wp:inline>
        </w:drawing>
      </w:r>
    </w:p>
    <w:p w14:paraId="65351DD7" w14:textId="5DD080E5" w:rsidR="004F231D" w:rsidRDefault="004F231D" w:rsidP="009678E1">
      <w:pPr>
        <w:ind w:left="567"/>
      </w:pPr>
      <w:r>
        <w:rPr>
          <w:noProof/>
        </w:rPr>
        <w:lastRenderedPageBreak/>
        <w:drawing>
          <wp:inline distT="0" distB="0" distL="0" distR="0" wp14:anchorId="328A4FEA" wp14:editId="79352A33">
            <wp:extent cx="5851524" cy="8558355"/>
            <wp:effectExtent l="0" t="0" r="0" b="1905"/>
            <wp:docPr id="117" name="Imag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4"/>
                    <pic:cNvPicPr/>
                  </pic:nvPicPr>
                  <pic:blipFill>
                    <a:blip r:embed="rId171">
                      <a:extLst>
                        <a:ext uri="{28A0092B-C50C-407E-A947-70E740481C1C}">
                          <a14:useLocalDpi xmlns:a14="http://schemas.microsoft.com/office/drawing/2010/main" val="0"/>
                        </a:ext>
                      </a:extLst>
                    </a:blip>
                    <a:stretch>
                      <a:fillRect/>
                    </a:stretch>
                  </pic:blipFill>
                  <pic:spPr>
                    <a:xfrm>
                      <a:off x="0" y="0"/>
                      <a:ext cx="5851524" cy="8558355"/>
                    </a:xfrm>
                    <a:prstGeom prst="rect">
                      <a:avLst/>
                    </a:prstGeom>
                  </pic:spPr>
                </pic:pic>
              </a:graphicData>
            </a:graphic>
          </wp:inline>
        </w:drawing>
      </w:r>
    </w:p>
    <w:p w14:paraId="6E2EC702" w14:textId="24C8B1EB" w:rsidR="004F231D" w:rsidRDefault="004F231D" w:rsidP="009678E1">
      <w:pPr>
        <w:ind w:left="567"/>
      </w:pPr>
      <w:r>
        <w:rPr>
          <w:noProof/>
        </w:rPr>
        <w:lastRenderedPageBreak/>
        <w:drawing>
          <wp:inline distT="0" distB="0" distL="0" distR="0" wp14:anchorId="47E818D6" wp14:editId="5DDA0599">
            <wp:extent cx="5851524" cy="8037502"/>
            <wp:effectExtent l="0" t="0" r="0" b="0"/>
            <wp:docPr id="118" name="Imag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5"/>
                    <pic:cNvPicPr/>
                  </pic:nvPicPr>
                  <pic:blipFill>
                    <a:blip r:embed="rId172">
                      <a:extLst>
                        <a:ext uri="{28A0092B-C50C-407E-A947-70E740481C1C}">
                          <a14:useLocalDpi xmlns:a14="http://schemas.microsoft.com/office/drawing/2010/main" val="0"/>
                        </a:ext>
                      </a:extLst>
                    </a:blip>
                    <a:stretch>
                      <a:fillRect/>
                    </a:stretch>
                  </pic:blipFill>
                  <pic:spPr>
                    <a:xfrm>
                      <a:off x="0" y="0"/>
                      <a:ext cx="5851524" cy="8037502"/>
                    </a:xfrm>
                    <a:prstGeom prst="rect">
                      <a:avLst/>
                    </a:prstGeom>
                  </pic:spPr>
                </pic:pic>
              </a:graphicData>
            </a:graphic>
          </wp:inline>
        </w:drawing>
      </w:r>
    </w:p>
    <w:p w14:paraId="328075A9" w14:textId="3BA219B3" w:rsidR="004F231D" w:rsidRDefault="004F231D" w:rsidP="009678E1">
      <w:pPr>
        <w:ind w:left="567"/>
      </w:pPr>
      <w:r>
        <w:rPr>
          <w:noProof/>
        </w:rPr>
        <w:lastRenderedPageBreak/>
        <w:drawing>
          <wp:inline distT="0" distB="0" distL="0" distR="0" wp14:anchorId="3DFEF9D5" wp14:editId="7725A97F">
            <wp:extent cx="5851524" cy="5928773"/>
            <wp:effectExtent l="0" t="0" r="0" b="0"/>
            <wp:docPr id="119" name="Imag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6"/>
                    <pic:cNvPicPr/>
                  </pic:nvPicPr>
                  <pic:blipFill>
                    <a:blip r:embed="rId173">
                      <a:extLst>
                        <a:ext uri="{28A0092B-C50C-407E-A947-70E740481C1C}">
                          <a14:useLocalDpi xmlns:a14="http://schemas.microsoft.com/office/drawing/2010/main" val="0"/>
                        </a:ext>
                      </a:extLst>
                    </a:blip>
                    <a:stretch>
                      <a:fillRect/>
                    </a:stretch>
                  </pic:blipFill>
                  <pic:spPr>
                    <a:xfrm>
                      <a:off x="0" y="0"/>
                      <a:ext cx="5851524" cy="5928773"/>
                    </a:xfrm>
                    <a:prstGeom prst="rect">
                      <a:avLst/>
                    </a:prstGeom>
                  </pic:spPr>
                </pic:pic>
              </a:graphicData>
            </a:graphic>
          </wp:inline>
        </w:drawing>
      </w:r>
    </w:p>
    <w:p w14:paraId="56C3C15B" w14:textId="20C0482C" w:rsidR="004F231D" w:rsidRDefault="004F231D" w:rsidP="009678E1">
      <w:pPr>
        <w:ind w:left="567"/>
      </w:pPr>
      <w:r>
        <w:rPr>
          <w:noProof/>
        </w:rPr>
        <w:lastRenderedPageBreak/>
        <w:drawing>
          <wp:inline distT="0" distB="0" distL="0" distR="0" wp14:anchorId="108F6F72" wp14:editId="457DEAF2">
            <wp:extent cx="5851524" cy="6856332"/>
            <wp:effectExtent l="0" t="0" r="0" b="1905"/>
            <wp:docPr id="120" name="Imag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7"/>
                    <pic:cNvPicPr/>
                  </pic:nvPicPr>
                  <pic:blipFill>
                    <a:blip r:embed="rId174">
                      <a:extLst>
                        <a:ext uri="{28A0092B-C50C-407E-A947-70E740481C1C}">
                          <a14:useLocalDpi xmlns:a14="http://schemas.microsoft.com/office/drawing/2010/main" val="0"/>
                        </a:ext>
                      </a:extLst>
                    </a:blip>
                    <a:stretch>
                      <a:fillRect/>
                    </a:stretch>
                  </pic:blipFill>
                  <pic:spPr>
                    <a:xfrm>
                      <a:off x="0" y="0"/>
                      <a:ext cx="5851524" cy="6856332"/>
                    </a:xfrm>
                    <a:prstGeom prst="rect">
                      <a:avLst/>
                    </a:prstGeom>
                  </pic:spPr>
                </pic:pic>
              </a:graphicData>
            </a:graphic>
          </wp:inline>
        </w:drawing>
      </w:r>
    </w:p>
    <w:p w14:paraId="67A12233" w14:textId="77777777" w:rsidR="004F231D" w:rsidRDefault="004F231D" w:rsidP="009678E1">
      <w:pPr>
        <w:ind w:left="567"/>
      </w:pPr>
    </w:p>
    <w:p w14:paraId="425A91E9" w14:textId="77777777" w:rsidR="003255D7" w:rsidRDefault="003255D7">
      <w:pPr>
        <w:jc w:val="left"/>
        <w:rPr>
          <w:rFonts w:eastAsiaTheme="majorEastAsia" w:cstheme="majorBidi"/>
          <w:b/>
          <w:bCs/>
          <w:color w:val="4F81BD" w:themeColor="accent1"/>
        </w:rPr>
      </w:pPr>
      <w:r>
        <w:br w:type="page"/>
      </w:r>
    </w:p>
    <w:p w14:paraId="3146FC05" w14:textId="4EAC4832" w:rsidR="00CD7CDB" w:rsidRDefault="00CD7CDB" w:rsidP="00CD7CDB">
      <w:pPr>
        <w:pStyle w:val="Titre3"/>
        <w:ind w:left="567"/>
      </w:pPr>
      <w:bookmarkStart w:id="283" w:name="_Toc475033266"/>
      <w:r>
        <w:lastRenderedPageBreak/>
        <w:t>18.1.3 Comptes sociaux établis pour l’exercice clos le 31 décembre 2020</w:t>
      </w:r>
      <w:bookmarkEnd w:id="283"/>
    </w:p>
    <w:p w14:paraId="0B3F17F2" w14:textId="77777777" w:rsidR="00CD7CDB" w:rsidRDefault="00CD7CDB" w:rsidP="00CD7CDB">
      <w:pPr>
        <w:ind w:left="567"/>
        <w:rPr>
          <w:color w:val="FF0000"/>
        </w:rPr>
      </w:pPr>
    </w:p>
    <w:p w14:paraId="77046414" w14:textId="0A7B683A" w:rsidR="003255D7" w:rsidRDefault="003255D7" w:rsidP="00CD7CDB">
      <w:pPr>
        <w:ind w:left="567"/>
        <w:rPr>
          <w:color w:val="FF0000"/>
        </w:rPr>
      </w:pPr>
      <w:r>
        <w:rPr>
          <w:noProof/>
          <w:color w:val="FF0000"/>
        </w:rPr>
        <w:drawing>
          <wp:inline distT="0" distB="0" distL="0" distR="0" wp14:anchorId="528F20C3" wp14:editId="39445B5B">
            <wp:extent cx="6219134" cy="8573558"/>
            <wp:effectExtent l="0" t="0" r="4445" b="12065"/>
            <wp:docPr id="998831580"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6219216" cy="8573671"/>
                    </a:xfrm>
                    <a:prstGeom prst="rect">
                      <a:avLst/>
                    </a:prstGeom>
                    <a:noFill/>
                    <a:ln>
                      <a:noFill/>
                    </a:ln>
                  </pic:spPr>
                </pic:pic>
              </a:graphicData>
            </a:graphic>
          </wp:inline>
        </w:drawing>
      </w:r>
    </w:p>
    <w:p w14:paraId="35670459" w14:textId="366AC530" w:rsidR="003255D7" w:rsidRDefault="003255D7" w:rsidP="00CD7CDB">
      <w:pPr>
        <w:ind w:left="567"/>
        <w:rPr>
          <w:color w:val="FF0000"/>
        </w:rPr>
      </w:pPr>
      <w:r>
        <w:rPr>
          <w:noProof/>
          <w:color w:val="FF0000"/>
        </w:rPr>
        <w:lastRenderedPageBreak/>
        <w:drawing>
          <wp:inline distT="0" distB="0" distL="0" distR="0" wp14:anchorId="17873821" wp14:editId="70A453EA">
            <wp:extent cx="6193542" cy="8344958"/>
            <wp:effectExtent l="0" t="0" r="4445" b="12065"/>
            <wp:docPr id="998831581"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6193769" cy="8345264"/>
                    </a:xfrm>
                    <a:prstGeom prst="rect">
                      <a:avLst/>
                    </a:prstGeom>
                    <a:noFill/>
                    <a:ln>
                      <a:noFill/>
                    </a:ln>
                  </pic:spPr>
                </pic:pic>
              </a:graphicData>
            </a:graphic>
          </wp:inline>
        </w:drawing>
      </w:r>
    </w:p>
    <w:p w14:paraId="11C8E698" w14:textId="51A0EF6A" w:rsidR="003255D7" w:rsidRDefault="003255D7" w:rsidP="00CD7CDB">
      <w:pPr>
        <w:ind w:left="567"/>
        <w:rPr>
          <w:color w:val="FF0000"/>
        </w:rPr>
      </w:pPr>
      <w:r>
        <w:rPr>
          <w:noProof/>
          <w:color w:val="FF0000"/>
        </w:rPr>
        <w:lastRenderedPageBreak/>
        <w:drawing>
          <wp:inline distT="0" distB="0" distL="0" distR="0" wp14:anchorId="2B6AC46B" wp14:editId="144FDD7F">
            <wp:extent cx="6124761" cy="8459258"/>
            <wp:effectExtent l="0" t="0" r="0" b="0"/>
            <wp:docPr id="998831582"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6124842" cy="8459370"/>
                    </a:xfrm>
                    <a:prstGeom prst="rect">
                      <a:avLst/>
                    </a:prstGeom>
                    <a:noFill/>
                    <a:ln>
                      <a:noFill/>
                    </a:ln>
                  </pic:spPr>
                </pic:pic>
              </a:graphicData>
            </a:graphic>
          </wp:inline>
        </w:drawing>
      </w:r>
    </w:p>
    <w:p w14:paraId="303962B5" w14:textId="46BC896D" w:rsidR="003255D7" w:rsidRDefault="003255D7" w:rsidP="00CD7CDB">
      <w:pPr>
        <w:ind w:left="567"/>
        <w:rPr>
          <w:color w:val="FF0000"/>
        </w:rPr>
      </w:pPr>
      <w:r>
        <w:rPr>
          <w:noProof/>
          <w:color w:val="FF0000"/>
        </w:rPr>
        <w:lastRenderedPageBreak/>
        <w:drawing>
          <wp:inline distT="0" distB="0" distL="0" distR="0" wp14:anchorId="37AABD40" wp14:editId="1D6E401A">
            <wp:extent cx="6230491" cy="8687858"/>
            <wp:effectExtent l="0" t="0" r="0" b="0"/>
            <wp:docPr id="998831583"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6230873" cy="8688391"/>
                    </a:xfrm>
                    <a:prstGeom prst="rect">
                      <a:avLst/>
                    </a:prstGeom>
                    <a:noFill/>
                    <a:ln>
                      <a:noFill/>
                    </a:ln>
                  </pic:spPr>
                </pic:pic>
              </a:graphicData>
            </a:graphic>
          </wp:inline>
        </w:drawing>
      </w:r>
    </w:p>
    <w:p w14:paraId="299DF313" w14:textId="34699EDA" w:rsidR="003255D7" w:rsidRDefault="003255D7" w:rsidP="00CD7CDB">
      <w:pPr>
        <w:ind w:left="567"/>
        <w:rPr>
          <w:color w:val="FF0000"/>
        </w:rPr>
      </w:pPr>
      <w:r>
        <w:rPr>
          <w:noProof/>
          <w:color w:val="FF0000"/>
        </w:rPr>
        <w:lastRenderedPageBreak/>
        <w:drawing>
          <wp:inline distT="0" distB="0" distL="0" distR="0" wp14:anchorId="593EF726" wp14:editId="78A5904B">
            <wp:extent cx="6132844" cy="8573558"/>
            <wp:effectExtent l="0" t="0" r="0" b="12065"/>
            <wp:docPr id="1303990496"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6132927" cy="8573674"/>
                    </a:xfrm>
                    <a:prstGeom prst="rect">
                      <a:avLst/>
                    </a:prstGeom>
                    <a:noFill/>
                    <a:ln>
                      <a:noFill/>
                    </a:ln>
                  </pic:spPr>
                </pic:pic>
              </a:graphicData>
            </a:graphic>
          </wp:inline>
        </w:drawing>
      </w:r>
    </w:p>
    <w:p w14:paraId="6E3A69B3" w14:textId="306C0A6A" w:rsidR="003255D7" w:rsidRDefault="003255D7" w:rsidP="00CD7CDB">
      <w:pPr>
        <w:ind w:left="567"/>
        <w:rPr>
          <w:color w:val="FF0000"/>
        </w:rPr>
      </w:pPr>
      <w:r>
        <w:rPr>
          <w:noProof/>
          <w:color w:val="FF0000"/>
        </w:rPr>
        <w:lastRenderedPageBreak/>
        <w:drawing>
          <wp:inline distT="0" distB="0" distL="0" distR="0" wp14:anchorId="1AF3839D" wp14:editId="6CEC06E3">
            <wp:extent cx="6089152" cy="8687858"/>
            <wp:effectExtent l="0" t="0" r="6985" b="0"/>
            <wp:docPr id="1303990497"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6089413" cy="8688231"/>
                    </a:xfrm>
                    <a:prstGeom prst="rect">
                      <a:avLst/>
                    </a:prstGeom>
                    <a:noFill/>
                    <a:ln>
                      <a:noFill/>
                    </a:ln>
                  </pic:spPr>
                </pic:pic>
              </a:graphicData>
            </a:graphic>
          </wp:inline>
        </w:drawing>
      </w:r>
    </w:p>
    <w:p w14:paraId="607FB1FB" w14:textId="44F16A22" w:rsidR="003255D7" w:rsidRDefault="00701FFD" w:rsidP="00CD7CDB">
      <w:pPr>
        <w:ind w:left="567"/>
        <w:rPr>
          <w:color w:val="FF0000"/>
        </w:rPr>
      </w:pPr>
      <w:r w:rsidRPr="00701FFD">
        <w:lastRenderedPageBreak/>
        <w:t xml:space="preserve"> </w:t>
      </w:r>
      <w:r w:rsidR="007C2450">
        <w:rPr>
          <w:noProof/>
        </w:rPr>
        <w:drawing>
          <wp:inline distT="0" distB="0" distL="0" distR="0" wp14:anchorId="6D10BFAA" wp14:editId="720AB56C">
            <wp:extent cx="6342428" cy="8687858"/>
            <wp:effectExtent l="0" t="0" r="7620" b="0"/>
            <wp:docPr id="892276845"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6342573" cy="8688057"/>
                    </a:xfrm>
                    <a:prstGeom prst="rect">
                      <a:avLst/>
                    </a:prstGeom>
                    <a:noFill/>
                    <a:ln>
                      <a:noFill/>
                    </a:ln>
                  </pic:spPr>
                </pic:pic>
              </a:graphicData>
            </a:graphic>
          </wp:inline>
        </w:drawing>
      </w:r>
    </w:p>
    <w:p w14:paraId="047E70EB" w14:textId="77777777" w:rsidR="003255D7" w:rsidRDefault="003255D7" w:rsidP="00CD7CDB">
      <w:pPr>
        <w:ind w:left="567"/>
        <w:rPr>
          <w:color w:val="FF0000"/>
        </w:rPr>
      </w:pPr>
    </w:p>
    <w:p w14:paraId="1DDBC825" w14:textId="7C817683" w:rsidR="003255D7" w:rsidRDefault="00701FFD" w:rsidP="00CD7CDB">
      <w:pPr>
        <w:ind w:left="567"/>
        <w:rPr>
          <w:color w:val="FF0000"/>
        </w:rPr>
      </w:pPr>
      <w:r w:rsidRPr="00701FFD">
        <w:lastRenderedPageBreak/>
        <w:t xml:space="preserve"> </w:t>
      </w:r>
      <w:r w:rsidRPr="005B42F0">
        <w:rPr>
          <w:noProof/>
          <w:color w:val="FF0000"/>
        </w:rPr>
        <w:drawing>
          <wp:inline distT="0" distB="0" distL="0" distR="0" wp14:anchorId="79E76BBD" wp14:editId="73964FA8">
            <wp:extent cx="6285491" cy="8802158"/>
            <wp:effectExtent l="0" t="0" r="0" b="12065"/>
            <wp:docPr id="892276841"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6285711" cy="8802466"/>
                    </a:xfrm>
                    <a:prstGeom prst="rect">
                      <a:avLst/>
                    </a:prstGeom>
                    <a:noFill/>
                    <a:ln>
                      <a:noFill/>
                    </a:ln>
                  </pic:spPr>
                </pic:pic>
              </a:graphicData>
            </a:graphic>
          </wp:inline>
        </w:drawing>
      </w:r>
    </w:p>
    <w:p w14:paraId="0A361ED6" w14:textId="77777777" w:rsidR="003255D7" w:rsidRDefault="003255D7" w:rsidP="00CD7CDB">
      <w:pPr>
        <w:ind w:left="567"/>
        <w:rPr>
          <w:color w:val="FF0000"/>
        </w:rPr>
      </w:pPr>
    </w:p>
    <w:p w14:paraId="59499B8F" w14:textId="0DAC6978" w:rsidR="003255D7" w:rsidRDefault="00701FFD" w:rsidP="00CD7CDB">
      <w:pPr>
        <w:ind w:left="567"/>
        <w:rPr>
          <w:color w:val="FF0000"/>
        </w:rPr>
      </w:pPr>
      <w:r w:rsidRPr="00701FFD">
        <w:lastRenderedPageBreak/>
        <w:t xml:space="preserve"> </w:t>
      </w:r>
      <w:r w:rsidRPr="005B42F0">
        <w:rPr>
          <w:noProof/>
          <w:color w:val="FF0000"/>
        </w:rPr>
        <w:drawing>
          <wp:inline distT="0" distB="0" distL="0" distR="0" wp14:anchorId="52752E66" wp14:editId="75183EEA">
            <wp:extent cx="6253117" cy="8802158"/>
            <wp:effectExtent l="0" t="0" r="0" b="12065"/>
            <wp:docPr id="892276842"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6253285" cy="8802394"/>
                    </a:xfrm>
                    <a:prstGeom prst="rect">
                      <a:avLst/>
                    </a:prstGeom>
                    <a:noFill/>
                    <a:ln>
                      <a:noFill/>
                    </a:ln>
                  </pic:spPr>
                </pic:pic>
              </a:graphicData>
            </a:graphic>
          </wp:inline>
        </w:drawing>
      </w:r>
    </w:p>
    <w:p w14:paraId="6CFC3018" w14:textId="2A56C709" w:rsidR="003255D7" w:rsidRDefault="00701FFD" w:rsidP="00CD7CDB">
      <w:pPr>
        <w:ind w:left="567"/>
        <w:rPr>
          <w:color w:val="FF0000"/>
        </w:rPr>
      </w:pPr>
      <w:r w:rsidRPr="00701FFD">
        <w:lastRenderedPageBreak/>
        <w:t xml:space="preserve"> </w:t>
      </w:r>
      <w:r w:rsidRPr="005B42F0">
        <w:rPr>
          <w:noProof/>
          <w:color w:val="FF0000"/>
        </w:rPr>
        <w:drawing>
          <wp:inline distT="0" distB="0" distL="0" distR="0" wp14:anchorId="76F53CEE" wp14:editId="0C7834E0">
            <wp:extent cx="6230179" cy="8802158"/>
            <wp:effectExtent l="0" t="0" r="0" b="12065"/>
            <wp:docPr id="892276843"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6230447" cy="8802537"/>
                    </a:xfrm>
                    <a:prstGeom prst="rect">
                      <a:avLst/>
                    </a:prstGeom>
                    <a:noFill/>
                    <a:ln>
                      <a:noFill/>
                    </a:ln>
                  </pic:spPr>
                </pic:pic>
              </a:graphicData>
            </a:graphic>
          </wp:inline>
        </w:drawing>
      </w:r>
    </w:p>
    <w:p w14:paraId="5404DCC7" w14:textId="77777777" w:rsidR="00DE0431" w:rsidRDefault="00DE0431" w:rsidP="00CD7CDB">
      <w:pPr>
        <w:ind w:left="567"/>
        <w:rPr>
          <w:color w:val="FF0000"/>
        </w:rPr>
      </w:pPr>
    </w:p>
    <w:p w14:paraId="599695CF" w14:textId="5E1E5EB6" w:rsidR="00DE0431" w:rsidRDefault="00DE0431" w:rsidP="00CD7CDB">
      <w:pPr>
        <w:ind w:left="567"/>
        <w:rPr>
          <w:color w:val="FF0000"/>
        </w:rPr>
      </w:pPr>
      <w:r>
        <w:rPr>
          <w:color w:val="FF0000"/>
        </w:rPr>
        <w:lastRenderedPageBreak/>
        <w:t xml:space="preserve"> </w:t>
      </w:r>
      <w:r w:rsidR="00701FFD" w:rsidRPr="00701FFD">
        <w:t xml:space="preserve"> </w:t>
      </w:r>
      <w:r w:rsidR="00701FFD" w:rsidRPr="005B42F0">
        <w:rPr>
          <w:noProof/>
          <w:color w:val="FF0000"/>
        </w:rPr>
        <w:drawing>
          <wp:inline distT="0" distB="0" distL="0" distR="0" wp14:anchorId="7C96E853" wp14:editId="21BD6479">
            <wp:extent cx="6249229" cy="8687858"/>
            <wp:effectExtent l="0" t="0" r="0" b="0"/>
            <wp:docPr id="892276844"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6249286" cy="8687938"/>
                    </a:xfrm>
                    <a:prstGeom prst="rect">
                      <a:avLst/>
                    </a:prstGeom>
                    <a:noFill/>
                    <a:ln>
                      <a:noFill/>
                    </a:ln>
                  </pic:spPr>
                </pic:pic>
              </a:graphicData>
            </a:graphic>
          </wp:inline>
        </w:drawing>
      </w:r>
    </w:p>
    <w:p w14:paraId="383784BF" w14:textId="77777777" w:rsidR="00DE0431" w:rsidRDefault="00DE0431" w:rsidP="00CD7CDB">
      <w:pPr>
        <w:ind w:left="567"/>
        <w:rPr>
          <w:color w:val="FF0000"/>
        </w:rPr>
      </w:pPr>
    </w:p>
    <w:p w14:paraId="21CE0B19" w14:textId="77777777" w:rsidR="003255D7" w:rsidRDefault="003255D7" w:rsidP="00CD7CDB">
      <w:pPr>
        <w:ind w:left="567"/>
        <w:rPr>
          <w:color w:val="FF0000"/>
        </w:rPr>
      </w:pPr>
    </w:p>
    <w:p w14:paraId="139A04BE" w14:textId="77777777" w:rsidR="003255D7" w:rsidRDefault="003255D7" w:rsidP="00CD7CDB">
      <w:pPr>
        <w:ind w:left="567"/>
        <w:rPr>
          <w:color w:val="FF0000"/>
        </w:rPr>
      </w:pPr>
    </w:p>
    <w:p w14:paraId="029D7912" w14:textId="77777777" w:rsidR="003255D7" w:rsidRDefault="003255D7" w:rsidP="00CD7CDB">
      <w:pPr>
        <w:ind w:left="567"/>
        <w:rPr>
          <w:color w:val="FF0000"/>
        </w:rPr>
      </w:pPr>
    </w:p>
    <w:p w14:paraId="265599A0" w14:textId="77777777" w:rsidR="003255D7" w:rsidRDefault="003255D7" w:rsidP="00CD7CDB">
      <w:pPr>
        <w:ind w:left="567"/>
        <w:rPr>
          <w:color w:val="FF0000"/>
        </w:rPr>
      </w:pPr>
    </w:p>
    <w:p w14:paraId="248C7BEB" w14:textId="543528E9" w:rsidR="003255D7" w:rsidRDefault="00DE0431" w:rsidP="00CD7CDB">
      <w:pPr>
        <w:ind w:left="567"/>
        <w:rPr>
          <w:color w:val="FF0000"/>
        </w:rPr>
      </w:pPr>
      <w:r>
        <w:rPr>
          <w:noProof/>
          <w:color w:val="FF0000"/>
        </w:rPr>
        <w:drawing>
          <wp:inline distT="0" distB="0" distL="0" distR="0" wp14:anchorId="52DADBD8" wp14:editId="3A688348">
            <wp:extent cx="6150274" cy="8573558"/>
            <wp:effectExtent l="0" t="0" r="0" b="12065"/>
            <wp:docPr id="1303990503" name="Imag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6150583" cy="8573988"/>
                    </a:xfrm>
                    <a:prstGeom prst="rect">
                      <a:avLst/>
                    </a:prstGeom>
                    <a:noFill/>
                    <a:ln>
                      <a:noFill/>
                    </a:ln>
                  </pic:spPr>
                </pic:pic>
              </a:graphicData>
            </a:graphic>
          </wp:inline>
        </w:drawing>
      </w:r>
    </w:p>
    <w:p w14:paraId="57824BED" w14:textId="77777777" w:rsidR="00DE0431" w:rsidRDefault="00DE0431" w:rsidP="00CD7CDB">
      <w:pPr>
        <w:ind w:left="567"/>
        <w:rPr>
          <w:color w:val="FF0000"/>
        </w:rPr>
      </w:pPr>
    </w:p>
    <w:p w14:paraId="0E718E26" w14:textId="77777777" w:rsidR="003255D7" w:rsidRDefault="003255D7" w:rsidP="00CD7CDB">
      <w:pPr>
        <w:ind w:left="567"/>
        <w:rPr>
          <w:color w:val="FF0000"/>
        </w:rPr>
      </w:pPr>
    </w:p>
    <w:p w14:paraId="369D3258" w14:textId="77777777" w:rsidR="003255D7" w:rsidRDefault="003255D7" w:rsidP="00CD7CDB">
      <w:pPr>
        <w:ind w:left="567"/>
        <w:rPr>
          <w:color w:val="FF0000"/>
        </w:rPr>
      </w:pPr>
    </w:p>
    <w:p w14:paraId="59D5FE07" w14:textId="6419DAB6" w:rsidR="004F231D" w:rsidRDefault="00DE0431" w:rsidP="009678E1">
      <w:pPr>
        <w:ind w:left="567"/>
      </w:pPr>
      <w:r>
        <w:rPr>
          <w:noProof/>
        </w:rPr>
        <w:drawing>
          <wp:inline distT="0" distB="0" distL="0" distR="0" wp14:anchorId="68EED8E7" wp14:editId="0A5BFF28">
            <wp:extent cx="6135442" cy="8687858"/>
            <wp:effectExtent l="0" t="0" r="11430" b="0"/>
            <wp:docPr id="1303990504" name="Imag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6135848" cy="8688432"/>
                    </a:xfrm>
                    <a:prstGeom prst="rect">
                      <a:avLst/>
                    </a:prstGeom>
                    <a:noFill/>
                    <a:ln>
                      <a:noFill/>
                    </a:ln>
                  </pic:spPr>
                </pic:pic>
              </a:graphicData>
            </a:graphic>
          </wp:inline>
        </w:drawing>
      </w:r>
    </w:p>
    <w:p w14:paraId="2E498650" w14:textId="77777777" w:rsidR="00DE0431" w:rsidRDefault="00DE0431" w:rsidP="009678E1">
      <w:pPr>
        <w:ind w:left="567"/>
      </w:pPr>
    </w:p>
    <w:p w14:paraId="55B28606" w14:textId="247555BB" w:rsidR="00DE0431" w:rsidRDefault="00DE0431" w:rsidP="009678E1">
      <w:pPr>
        <w:ind w:left="567"/>
      </w:pPr>
      <w:r>
        <w:rPr>
          <w:noProof/>
        </w:rPr>
        <w:lastRenderedPageBreak/>
        <w:drawing>
          <wp:inline distT="0" distB="0" distL="0" distR="0" wp14:anchorId="51037F33" wp14:editId="5BEA2D2D">
            <wp:extent cx="6157158" cy="8573558"/>
            <wp:effectExtent l="0" t="0" r="0" b="12065"/>
            <wp:docPr id="1303990505" name="Imag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6157336" cy="8573805"/>
                    </a:xfrm>
                    <a:prstGeom prst="rect">
                      <a:avLst/>
                    </a:prstGeom>
                    <a:noFill/>
                    <a:ln>
                      <a:noFill/>
                    </a:ln>
                  </pic:spPr>
                </pic:pic>
              </a:graphicData>
            </a:graphic>
          </wp:inline>
        </w:drawing>
      </w:r>
    </w:p>
    <w:p w14:paraId="41D40E2F" w14:textId="3FE7BECB" w:rsidR="00DE0431" w:rsidRDefault="00DE0431" w:rsidP="009678E1">
      <w:pPr>
        <w:ind w:left="567"/>
      </w:pPr>
      <w:r>
        <w:rPr>
          <w:noProof/>
        </w:rPr>
        <w:lastRenderedPageBreak/>
        <w:drawing>
          <wp:inline distT="0" distB="0" distL="0" distR="0" wp14:anchorId="678C1AAF" wp14:editId="0652A667">
            <wp:extent cx="6089860" cy="8573558"/>
            <wp:effectExtent l="0" t="0" r="6350" b="12065"/>
            <wp:docPr id="1303990506" name="Imag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6090055" cy="8573832"/>
                    </a:xfrm>
                    <a:prstGeom prst="rect">
                      <a:avLst/>
                    </a:prstGeom>
                    <a:noFill/>
                    <a:ln>
                      <a:noFill/>
                    </a:ln>
                  </pic:spPr>
                </pic:pic>
              </a:graphicData>
            </a:graphic>
          </wp:inline>
        </w:drawing>
      </w:r>
    </w:p>
    <w:p w14:paraId="2BC66A60" w14:textId="77777777" w:rsidR="00DE0431" w:rsidRDefault="00DE0431" w:rsidP="009678E1">
      <w:pPr>
        <w:ind w:left="567"/>
      </w:pPr>
    </w:p>
    <w:p w14:paraId="5079AEAE" w14:textId="11B854C0" w:rsidR="00DE0431" w:rsidRDefault="00DE0431" w:rsidP="009678E1">
      <w:pPr>
        <w:ind w:left="567"/>
      </w:pPr>
      <w:r>
        <w:rPr>
          <w:noProof/>
        </w:rPr>
        <w:lastRenderedPageBreak/>
        <w:drawing>
          <wp:inline distT="0" distB="0" distL="0" distR="0" wp14:anchorId="7B3F2B5D" wp14:editId="489D043F">
            <wp:extent cx="6102955" cy="8459258"/>
            <wp:effectExtent l="0" t="0" r="0" b="0"/>
            <wp:docPr id="1303990507" name="Imag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6103309" cy="8459748"/>
                    </a:xfrm>
                    <a:prstGeom prst="rect">
                      <a:avLst/>
                    </a:prstGeom>
                    <a:noFill/>
                    <a:ln>
                      <a:noFill/>
                    </a:ln>
                  </pic:spPr>
                </pic:pic>
              </a:graphicData>
            </a:graphic>
          </wp:inline>
        </w:drawing>
      </w:r>
    </w:p>
    <w:p w14:paraId="6D1B55D2" w14:textId="77777777" w:rsidR="00DE0431" w:rsidRDefault="00DE0431" w:rsidP="009678E1">
      <w:pPr>
        <w:ind w:left="567"/>
      </w:pPr>
    </w:p>
    <w:p w14:paraId="4570DB3B" w14:textId="29444924" w:rsidR="00DE0431" w:rsidRDefault="00DE0431" w:rsidP="009678E1">
      <w:pPr>
        <w:ind w:left="567"/>
      </w:pPr>
      <w:r>
        <w:rPr>
          <w:noProof/>
        </w:rPr>
        <w:lastRenderedPageBreak/>
        <w:drawing>
          <wp:inline distT="0" distB="0" distL="0" distR="0" wp14:anchorId="2BA7BEC8" wp14:editId="6A47D473">
            <wp:extent cx="6091915" cy="8573558"/>
            <wp:effectExtent l="0" t="0" r="4445" b="12065"/>
            <wp:docPr id="1303990508" name="Imag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6092121" cy="8573849"/>
                    </a:xfrm>
                    <a:prstGeom prst="rect">
                      <a:avLst/>
                    </a:prstGeom>
                    <a:noFill/>
                    <a:ln>
                      <a:noFill/>
                    </a:ln>
                  </pic:spPr>
                </pic:pic>
              </a:graphicData>
            </a:graphic>
          </wp:inline>
        </w:drawing>
      </w:r>
    </w:p>
    <w:p w14:paraId="78E0D650" w14:textId="4BEA0CEB" w:rsidR="00DE0431" w:rsidRDefault="00DE0431" w:rsidP="009678E1">
      <w:pPr>
        <w:ind w:left="567"/>
      </w:pPr>
      <w:r>
        <w:rPr>
          <w:noProof/>
        </w:rPr>
        <w:lastRenderedPageBreak/>
        <w:drawing>
          <wp:inline distT="0" distB="0" distL="0" distR="0" wp14:anchorId="7B577E60" wp14:editId="076D2C7A">
            <wp:extent cx="6066280" cy="6630458"/>
            <wp:effectExtent l="0" t="0" r="4445" b="0"/>
            <wp:docPr id="1303990509" name="Imag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6066472" cy="6630668"/>
                    </a:xfrm>
                    <a:prstGeom prst="rect">
                      <a:avLst/>
                    </a:prstGeom>
                    <a:noFill/>
                    <a:ln>
                      <a:noFill/>
                    </a:ln>
                  </pic:spPr>
                </pic:pic>
              </a:graphicData>
            </a:graphic>
          </wp:inline>
        </w:drawing>
      </w:r>
    </w:p>
    <w:p w14:paraId="4A2DBC10" w14:textId="669F4479" w:rsidR="00DE0431" w:rsidRDefault="00DE0431" w:rsidP="009678E1">
      <w:pPr>
        <w:ind w:left="567"/>
      </w:pPr>
      <w:r>
        <w:rPr>
          <w:noProof/>
        </w:rPr>
        <w:lastRenderedPageBreak/>
        <w:drawing>
          <wp:inline distT="0" distB="0" distL="0" distR="0" wp14:anchorId="5FBE6C76" wp14:editId="0B0641BC">
            <wp:extent cx="6151033" cy="8433217"/>
            <wp:effectExtent l="0" t="0" r="0" b="0"/>
            <wp:docPr id="1303990510" name="Imag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6151094" cy="8433300"/>
                    </a:xfrm>
                    <a:prstGeom prst="rect">
                      <a:avLst/>
                    </a:prstGeom>
                    <a:noFill/>
                    <a:ln>
                      <a:noFill/>
                    </a:ln>
                  </pic:spPr>
                </pic:pic>
              </a:graphicData>
            </a:graphic>
          </wp:inline>
        </w:drawing>
      </w:r>
    </w:p>
    <w:p w14:paraId="4F95A8BA" w14:textId="499978DB" w:rsidR="00DE0431" w:rsidRDefault="00DE0431" w:rsidP="009678E1">
      <w:pPr>
        <w:ind w:left="567"/>
      </w:pPr>
      <w:r>
        <w:rPr>
          <w:noProof/>
        </w:rPr>
        <w:lastRenderedPageBreak/>
        <w:drawing>
          <wp:inline distT="0" distB="0" distL="0" distR="0" wp14:anchorId="7F2BB966" wp14:editId="61A94714">
            <wp:extent cx="6098567" cy="8002058"/>
            <wp:effectExtent l="0" t="0" r="0" b="0"/>
            <wp:docPr id="1303990511" name="Imag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6098860" cy="8002443"/>
                    </a:xfrm>
                    <a:prstGeom prst="rect">
                      <a:avLst/>
                    </a:prstGeom>
                    <a:noFill/>
                    <a:ln>
                      <a:noFill/>
                    </a:ln>
                  </pic:spPr>
                </pic:pic>
              </a:graphicData>
            </a:graphic>
          </wp:inline>
        </w:drawing>
      </w:r>
    </w:p>
    <w:p w14:paraId="7C8E19EB" w14:textId="77777777" w:rsidR="00DE0431" w:rsidRDefault="00DE0431" w:rsidP="009678E1">
      <w:pPr>
        <w:ind w:left="567"/>
      </w:pPr>
    </w:p>
    <w:p w14:paraId="3B76BE1D" w14:textId="0A5D0A13" w:rsidR="00DE0431" w:rsidRDefault="00DE0431" w:rsidP="009678E1">
      <w:pPr>
        <w:ind w:left="567"/>
      </w:pPr>
      <w:r>
        <w:rPr>
          <w:noProof/>
        </w:rPr>
        <w:lastRenderedPageBreak/>
        <w:drawing>
          <wp:inline distT="0" distB="0" distL="0" distR="0" wp14:anchorId="4C6370E3" wp14:editId="69CD7AFC">
            <wp:extent cx="6086659" cy="8344958"/>
            <wp:effectExtent l="0" t="0" r="9525" b="12065"/>
            <wp:docPr id="1303990512" name="Imag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6086719" cy="8345040"/>
                    </a:xfrm>
                    <a:prstGeom prst="rect">
                      <a:avLst/>
                    </a:prstGeom>
                    <a:noFill/>
                    <a:ln>
                      <a:noFill/>
                    </a:ln>
                  </pic:spPr>
                </pic:pic>
              </a:graphicData>
            </a:graphic>
          </wp:inline>
        </w:drawing>
      </w:r>
    </w:p>
    <w:p w14:paraId="0E700345" w14:textId="1E0B6ACF" w:rsidR="00DE0431" w:rsidRDefault="00DE0431" w:rsidP="009678E1">
      <w:pPr>
        <w:ind w:left="567"/>
      </w:pPr>
      <w:r>
        <w:rPr>
          <w:noProof/>
        </w:rPr>
        <w:lastRenderedPageBreak/>
        <w:drawing>
          <wp:inline distT="0" distB="0" distL="0" distR="0" wp14:anchorId="3012D9B2" wp14:editId="5A3EE2E1">
            <wp:extent cx="6151033" cy="7916435"/>
            <wp:effectExtent l="0" t="0" r="0" b="8890"/>
            <wp:docPr id="1303990513" name="Imag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6151415" cy="7916926"/>
                    </a:xfrm>
                    <a:prstGeom prst="rect">
                      <a:avLst/>
                    </a:prstGeom>
                    <a:noFill/>
                    <a:ln>
                      <a:noFill/>
                    </a:ln>
                  </pic:spPr>
                </pic:pic>
              </a:graphicData>
            </a:graphic>
          </wp:inline>
        </w:drawing>
      </w:r>
    </w:p>
    <w:p w14:paraId="7EC522B0" w14:textId="77777777" w:rsidR="00DE0431" w:rsidRDefault="00DE0431" w:rsidP="009678E1">
      <w:pPr>
        <w:ind w:left="567"/>
      </w:pPr>
    </w:p>
    <w:p w14:paraId="38DFA687" w14:textId="19DB7B56" w:rsidR="003255D7" w:rsidRDefault="003255D7">
      <w:pPr>
        <w:jc w:val="left"/>
      </w:pPr>
      <w:r>
        <w:br w:type="page"/>
      </w:r>
      <w:r w:rsidR="00DE0431">
        <w:rPr>
          <w:noProof/>
        </w:rPr>
        <w:lastRenderedPageBreak/>
        <w:drawing>
          <wp:inline distT="0" distB="0" distL="0" distR="0" wp14:anchorId="691E15E0" wp14:editId="07B63A70">
            <wp:extent cx="6057900" cy="2828236"/>
            <wp:effectExtent l="0" t="0" r="0" b="0"/>
            <wp:docPr id="1303990514" name="Imag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6058191" cy="2828372"/>
                    </a:xfrm>
                    <a:prstGeom prst="rect">
                      <a:avLst/>
                    </a:prstGeom>
                    <a:noFill/>
                    <a:ln>
                      <a:noFill/>
                    </a:ln>
                  </pic:spPr>
                </pic:pic>
              </a:graphicData>
            </a:graphic>
          </wp:inline>
        </w:drawing>
      </w:r>
    </w:p>
    <w:p w14:paraId="2AB4539A" w14:textId="1979ECF7" w:rsidR="00DE0431" w:rsidRDefault="00DE0431">
      <w:pPr>
        <w:jc w:val="left"/>
        <w:rPr>
          <w:rFonts w:eastAsiaTheme="majorEastAsia" w:cstheme="majorBidi"/>
          <w:b/>
          <w:bCs/>
          <w:smallCaps/>
          <w:color w:val="4F81BD" w:themeColor="accent1"/>
          <w:sz w:val="26"/>
          <w:szCs w:val="26"/>
        </w:rPr>
      </w:pPr>
      <w:r>
        <w:rPr>
          <w:rFonts w:eastAsiaTheme="majorEastAsia" w:cstheme="majorBidi"/>
          <w:b/>
          <w:bCs/>
          <w:smallCaps/>
          <w:noProof/>
          <w:color w:val="4F81BD" w:themeColor="accent1"/>
          <w:sz w:val="26"/>
          <w:szCs w:val="26"/>
        </w:rPr>
        <w:lastRenderedPageBreak/>
        <w:drawing>
          <wp:inline distT="0" distB="0" distL="0" distR="0" wp14:anchorId="5E841F9E" wp14:editId="00588F31">
            <wp:extent cx="6141139" cy="7659158"/>
            <wp:effectExtent l="0" t="0" r="5715" b="12065"/>
            <wp:docPr id="1303990515" name="Imag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6141174" cy="7659201"/>
                    </a:xfrm>
                    <a:prstGeom prst="rect">
                      <a:avLst/>
                    </a:prstGeom>
                    <a:noFill/>
                    <a:ln>
                      <a:noFill/>
                    </a:ln>
                  </pic:spPr>
                </pic:pic>
              </a:graphicData>
            </a:graphic>
          </wp:inline>
        </w:drawing>
      </w:r>
    </w:p>
    <w:p w14:paraId="22C37151" w14:textId="1223DB36" w:rsidR="00DE0431" w:rsidRDefault="00DE0431">
      <w:pPr>
        <w:jc w:val="left"/>
        <w:rPr>
          <w:rFonts w:eastAsiaTheme="majorEastAsia" w:cstheme="majorBidi"/>
          <w:b/>
          <w:bCs/>
          <w:smallCaps/>
          <w:color w:val="4F81BD" w:themeColor="accent1"/>
          <w:sz w:val="26"/>
          <w:szCs w:val="26"/>
        </w:rPr>
      </w:pPr>
      <w:r>
        <w:rPr>
          <w:rFonts w:eastAsiaTheme="majorEastAsia" w:cstheme="majorBidi"/>
          <w:b/>
          <w:bCs/>
          <w:smallCaps/>
          <w:noProof/>
          <w:color w:val="4F81BD" w:themeColor="accent1"/>
          <w:sz w:val="26"/>
          <w:szCs w:val="26"/>
        </w:rPr>
        <w:lastRenderedPageBreak/>
        <w:drawing>
          <wp:inline distT="0" distB="0" distL="0" distR="0" wp14:anchorId="6692F911" wp14:editId="3A62FADF">
            <wp:extent cx="6057900" cy="3935570"/>
            <wp:effectExtent l="0" t="0" r="0" b="1905"/>
            <wp:docPr id="1303990516" name="Imag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6058196" cy="3935762"/>
                    </a:xfrm>
                    <a:prstGeom prst="rect">
                      <a:avLst/>
                    </a:prstGeom>
                    <a:noFill/>
                    <a:ln>
                      <a:noFill/>
                    </a:ln>
                  </pic:spPr>
                </pic:pic>
              </a:graphicData>
            </a:graphic>
          </wp:inline>
        </w:drawing>
      </w:r>
    </w:p>
    <w:p w14:paraId="1BB6437B" w14:textId="77777777" w:rsidR="00DE0431" w:rsidRDefault="00DE0431">
      <w:pPr>
        <w:jc w:val="left"/>
        <w:rPr>
          <w:rFonts w:eastAsiaTheme="majorEastAsia" w:cstheme="majorBidi"/>
          <w:b/>
          <w:bCs/>
          <w:smallCaps/>
          <w:color w:val="4F81BD" w:themeColor="accent1"/>
          <w:sz w:val="26"/>
          <w:szCs w:val="26"/>
        </w:rPr>
      </w:pPr>
    </w:p>
    <w:p w14:paraId="3A47945C" w14:textId="0DF07BF1" w:rsidR="00DE0431" w:rsidRDefault="00DE0431">
      <w:pPr>
        <w:jc w:val="left"/>
        <w:rPr>
          <w:rFonts w:eastAsiaTheme="majorEastAsia" w:cstheme="majorBidi"/>
          <w:b/>
          <w:bCs/>
          <w:smallCaps/>
          <w:color w:val="4F81BD" w:themeColor="accent1"/>
          <w:sz w:val="26"/>
          <w:szCs w:val="26"/>
        </w:rPr>
      </w:pPr>
      <w:r>
        <w:rPr>
          <w:rFonts w:eastAsiaTheme="majorEastAsia" w:cstheme="majorBidi"/>
          <w:b/>
          <w:bCs/>
          <w:smallCaps/>
          <w:noProof/>
          <w:color w:val="4F81BD" w:themeColor="accent1"/>
          <w:sz w:val="26"/>
          <w:szCs w:val="26"/>
        </w:rPr>
        <w:lastRenderedPageBreak/>
        <w:drawing>
          <wp:inline distT="0" distB="0" distL="0" distR="0" wp14:anchorId="6F21C095" wp14:editId="618DAA91">
            <wp:extent cx="6172200" cy="8464930"/>
            <wp:effectExtent l="0" t="0" r="0" b="0"/>
            <wp:docPr id="1303990517" name="Imag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6172505" cy="8465348"/>
                    </a:xfrm>
                    <a:prstGeom prst="rect">
                      <a:avLst/>
                    </a:prstGeom>
                    <a:noFill/>
                    <a:ln>
                      <a:noFill/>
                    </a:ln>
                  </pic:spPr>
                </pic:pic>
              </a:graphicData>
            </a:graphic>
          </wp:inline>
        </w:drawing>
      </w:r>
    </w:p>
    <w:p w14:paraId="12D5759D" w14:textId="77777777" w:rsidR="00DE0431" w:rsidRDefault="00DE0431">
      <w:pPr>
        <w:jc w:val="left"/>
        <w:rPr>
          <w:rFonts w:eastAsiaTheme="majorEastAsia" w:cstheme="majorBidi"/>
          <w:b/>
          <w:bCs/>
          <w:smallCaps/>
          <w:color w:val="4F81BD" w:themeColor="accent1"/>
          <w:sz w:val="26"/>
          <w:szCs w:val="26"/>
        </w:rPr>
      </w:pPr>
    </w:p>
    <w:p w14:paraId="220DC1F5" w14:textId="41BB6F87" w:rsidR="00DE0431" w:rsidRDefault="00DE0431">
      <w:pPr>
        <w:jc w:val="left"/>
        <w:rPr>
          <w:rFonts w:eastAsiaTheme="majorEastAsia" w:cstheme="majorBidi"/>
          <w:b/>
          <w:bCs/>
          <w:smallCaps/>
          <w:color w:val="4F81BD" w:themeColor="accent1"/>
          <w:sz w:val="26"/>
          <w:szCs w:val="26"/>
        </w:rPr>
      </w:pPr>
      <w:r>
        <w:rPr>
          <w:rFonts w:eastAsiaTheme="majorEastAsia" w:cstheme="majorBidi"/>
          <w:b/>
          <w:bCs/>
          <w:smallCaps/>
          <w:noProof/>
          <w:color w:val="4F81BD" w:themeColor="accent1"/>
          <w:sz w:val="26"/>
          <w:szCs w:val="26"/>
        </w:rPr>
        <w:lastRenderedPageBreak/>
        <w:drawing>
          <wp:inline distT="0" distB="0" distL="0" distR="0" wp14:anchorId="27E47362" wp14:editId="090514A5">
            <wp:extent cx="6090253" cy="7201958"/>
            <wp:effectExtent l="0" t="0" r="6350" b="12065"/>
            <wp:docPr id="1303990518" name="Imag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6090473" cy="7202218"/>
                    </a:xfrm>
                    <a:prstGeom prst="rect">
                      <a:avLst/>
                    </a:prstGeom>
                    <a:noFill/>
                    <a:ln>
                      <a:noFill/>
                    </a:ln>
                  </pic:spPr>
                </pic:pic>
              </a:graphicData>
            </a:graphic>
          </wp:inline>
        </w:drawing>
      </w:r>
    </w:p>
    <w:p w14:paraId="15E386D7" w14:textId="50DD31E4" w:rsidR="00DE0431" w:rsidRDefault="00DE0431">
      <w:pPr>
        <w:jc w:val="left"/>
        <w:rPr>
          <w:rFonts w:eastAsiaTheme="majorEastAsia" w:cstheme="majorBidi"/>
          <w:b/>
          <w:bCs/>
          <w:smallCaps/>
          <w:color w:val="4F81BD" w:themeColor="accent1"/>
          <w:sz w:val="26"/>
          <w:szCs w:val="26"/>
        </w:rPr>
      </w:pPr>
      <w:r>
        <w:rPr>
          <w:rFonts w:eastAsiaTheme="majorEastAsia" w:cstheme="majorBidi"/>
          <w:b/>
          <w:bCs/>
          <w:smallCaps/>
          <w:noProof/>
          <w:color w:val="4F81BD" w:themeColor="accent1"/>
          <w:sz w:val="26"/>
          <w:szCs w:val="26"/>
        </w:rPr>
        <w:lastRenderedPageBreak/>
        <w:drawing>
          <wp:inline distT="0" distB="0" distL="0" distR="0" wp14:anchorId="369B1207" wp14:editId="2DC8D1AE">
            <wp:extent cx="6057900" cy="8571645"/>
            <wp:effectExtent l="0" t="0" r="0" b="0"/>
            <wp:docPr id="1303990519" name="Imag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6058268" cy="8572166"/>
                    </a:xfrm>
                    <a:prstGeom prst="rect">
                      <a:avLst/>
                    </a:prstGeom>
                    <a:noFill/>
                    <a:ln>
                      <a:noFill/>
                    </a:ln>
                  </pic:spPr>
                </pic:pic>
              </a:graphicData>
            </a:graphic>
          </wp:inline>
        </w:drawing>
      </w:r>
    </w:p>
    <w:p w14:paraId="66F19EC9" w14:textId="324F58C5" w:rsidR="00DE0431" w:rsidRDefault="00DE0431">
      <w:pPr>
        <w:jc w:val="left"/>
        <w:rPr>
          <w:rFonts w:eastAsiaTheme="majorEastAsia" w:cstheme="majorBidi"/>
          <w:b/>
          <w:bCs/>
          <w:smallCaps/>
          <w:color w:val="4F81BD" w:themeColor="accent1"/>
          <w:sz w:val="26"/>
          <w:szCs w:val="26"/>
        </w:rPr>
      </w:pPr>
      <w:r>
        <w:rPr>
          <w:rFonts w:eastAsiaTheme="majorEastAsia" w:cstheme="majorBidi"/>
          <w:b/>
          <w:bCs/>
          <w:smallCaps/>
          <w:noProof/>
          <w:color w:val="4F81BD" w:themeColor="accent1"/>
          <w:sz w:val="26"/>
          <w:szCs w:val="26"/>
        </w:rPr>
        <w:lastRenderedPageBreak/>
        <w:drawing>
          <wp:inline distT="0" distB="0" distL="0" distR="0" wp14:anchorId="759F7C81" wp14:editId="37B35F11">
            <wp:extent cx="6057900" cy="8392710"/>
            <wp:effectExtent l="0" t="0" r="0" b="0"/>
            <wp:docPr id="1303990521" name="Imag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6058218" cy="8393151"/>
                    </a:xfrm>
                    <a:prstGeom prst="rect">
                      <a:avLst/>
                    </a:prstGeom>
                    <a:noFill/>
                    <a:ln>
                      <a:noFill/>
                    </a:ln>
                  </pic:spPr>
                </pic:pic>
              </a:graphicData>
            </a:graphic>
          </wp:inline>
        </w:drawing>
      </w:r>
    </w:p>
    <w:p w14:paraId="24CD355D" w14:textId="77777777" w:rsidR="00DE0431" w:rsidRDefault="00DE0431">
      <w:pPr>
        <w:jc w:val="left"/>
        <w:rPr>
          <w:rFonts w:eastAsiaTheme="majorEastAsia" w:cstheme="majorBidi"/>
          <w:b/>
          <w:bCs/>
          <w:smallCaps/>
          <w:color w:val="4F81BD" w:themeColor="accent1"/>
          <w:sz w:val="26"/>
          <w:szCs w:val="26"/>
        </w:rPr>
      </w:pPr>
    </w:p>
    <w:p w14:paraId="5E657ACE" w14:textId="5D097CDF" w:rsidR="00DE0431" w:rsidRDefault="00DE0431">
      <w:pPr>
        <w:jc w:val="left"/>
        <w:rPr>
          <w:rFonts w:eastAsiaTheme="majorEastAsia" w:cstheme="majorBidi"/>
          <w:b/>
          <w:bCs/>
          <w:smallCaps/>
          <w:color w:val="4F81BD" w:themeColor="accent1"/>
          <w:sz w:val="26"/>
          <w:szCs w:val="26"/>
        </w:rPr>
      </w:pPr>
      <w:r>
        <w:rPr>
          <w:rFonts w:eastAsiaTheme="majorEastAsia" w:cstheme="majorBidi"/>
          <w:b/>
          <w:bCs/>
          <w:smallCaps/>
          <w:noProof/>
          <w:color w:val="4F81BD" w:themeColor="accent1"/>
          <w:sz w:val="26"/>
          <w:szCs w:val="26"/>
        </w:rPr>
        <w:lastRenderedPageBreak/>
        <w:drawing>
          <wp:inline distT="0" distB="0" distL="0" distR="0" wp14:anchorId="158EB780" wp14:editId="42155CA7">
            <wp:extent cx="6110257" cy="8344958"/>
            <wp:effectExtent l="0" t="0" r="11430" b="12065"/>
            <wp:docPr id="1303990522" name="Imag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6110567" cy="8345381"/>
                    </a:xfrm>
                    <a:prstGeom prst="rect">
                      <a:avLst/>
                    </a:prstGeom>
                    <a:noFill/>
                    <a:ln>
                      <a:noFill/>
                    </a:ln>
                  </pic:spPr>
                </pic:pic>
              </a:graphicData>
            </a:graphic>
          </wp:inline>
        </w:drawing>
      </w:r>
    </w:p>
    <w:p w14:paraId="4E3CE79B" w14:textId="2621C492" w:rsidR="00DE0431" w:rsidRDefault="00DE0431">
      <w:pPr>
        <w:jc w:val="left"/>
        <w:rPr>
          <w:rFonts w:eastAsiaTheme="majorEastAsia" w:cstheme="majorBidi"/>
          <w:b/>
          <w:bCs/>
          <w:smallCaps/>
          <w:color w:val="4F81BD" w:themeColor="accent1"/>
          <w:sz w:val="26"/>
          <w:szCs w:val="26"/>
        </w:rPr>
      </w:pPr>
      <w:r>
        <w:rPr>
          <w:rFonts w:eastAsiaTheme="majorEastAsia" w:cstheme="majorBidi"/>
          <w:b/>
          <w:bCs/>
          <w:smallCaps/>
          <w:noProof/>
          <w:color w:val="4F81BD" w:themeColor="accent1"/>
          <w:sz w:val="26"/>
          <w:szCs w:val="26"/>
        </w:rPr>
        <w:lastRenderedPageBreak/>
        <w:drawing>
          <wp:inline distT="0" distB="0" distL="0" distR="0" wp14:anchorId="576EDD91" wp14:editId="66FBF860">
            <wp:extent cx="5600700" cy="8325937"/>
            <wp:effectExtent l="0" t="0" r="0" b="5715"/>
            <wp:docPr id="1303990523" name="Imag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5600930" cy="8326278"/>
                    </a:xfrm>
                    <a:prstGeom prst="rect">
                      <a:avLst/>
                    </a:prstGeom>
                    <a:noFill/>
                    <a:ln>
                      <a:noFill/>
                    </a:ln>
                  </pic:spPr>
                </pic:pic>
              </a:graphicData>
            </a:graphic>
          </wp:inline>
        </w:drawing>
      </w:r>
    </w:p>
    <w:p w14:paraId="196A3FD0" w14:textId="48A81E64" w:rsidR="00DE0431" w:rsidRDefault="00DE0431">
      <w:pPr>
        <w:jc w:val="left"/>
        <w:rPr>
          <w:rFonts w:eastAsiaTheme="majorEastAsia" w:cstheme="majorBidi"/>
          <w:b/>
          <w:bCs/>
          <w:smallCaps/>
          <w:color w:val="4F81BD" w:themeColor="accent1"/>
          <w:sz w:val="26"/>
          <w:szCs w:val="26"/>
        </w:rPr>
      </w:pPr>
      <w:r>
        <w:rPr>
          <w:rFonts w:eastAsiaTheme="majorEastAsia" w:cstheme="majorBidi"/>
          <w:b/>
          <w:bCs/>
          <w:smallCaps/>
          <w:noProof/>
          <w:color w:val="4F81BD" w:themeColor="accent1"/>
          <w:sz w:val="26"/>
          <w:szCs w:val="26"/>
        </w:rPr>
        <w:lastRenderedPageBreak/>
        <w:drawing>
          <wp:inline distT="0" distB="0" distL="0" distR="0" wp14:anchorId="0E370073" wp14:editId="3833794A">
            <wp:extent cx="5943600" cy="5343977"/>
            <wp:effectExtent l="0" t="0" r="0" b="0"/>
            <wp:docPr id="1303990524" name="Imag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5943684" cy="5344052"/>
                    </a:xfrm>
                    <a:prstGeom prst="rect">
                      <a:avLst/>
                    </a:prstGeom>
                    <a:noFill/>
                    <a:ln>
                      <a:noFill/>
                    </a:ln>
                  </pic:spPr>
                </pic:pic>
              </a:graphicData>
            </a:graphic>
          </wp:inline>
        </w:drawing>
      </w:r>
    </w:p>
    <w:p w14:paraId="4662C20D" w14:textId="23464A76" w:rsidR="00DE0431" w:rsidRDefault="00DE0431">
      <w:pPr>
        <w:jc w:val="left"/>
        <w:rPr>
          <w:rFonts w:eastAsiaTheme="majorEastAsia" w:cstheme="majorBidi"/>
          <w:b/>
          <w:bCs/>
          <w:smallCaps/>
          <w:color w:val="4F81BD" w:themeColor="accent1"/>
          <w:sz w:val="26"/>
          <w:szCs w:val="26"/>
        </w:rPr>
      </w:pPr>
      <w:r>
        <w:rPr>
          <w:rFonts w:eastAsiaTheme="majorEastAsia" w:cstheme="majorBidi"/>
          <w:b/>
          <w:bCs/>
          <w:smallCaps/>
          <w:noProof/>
          <w:color w:val="4F81BD" w:themeColor="accent1"/>
          <w:sz w:val="26"/>
          <w:szCs w:val="26"/>
        </w:rPr>
        <w:lastRenderedPageBreak/>
        <w:drawing>
          <wp:inline distT="0" distB="0" distL="0" distR="0" wp14:anchorId="3F96367B" wp14:editId="6358B12B">
            <wp:extent cx="6057900" cy="4567602"/>
            <wp:effectExtent l="0" t="0" r="0" b="4445"/>
            <wp:docPr id="1303990525" name="Imag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6058107" cy="4567758"/>
                    </a:xfrm>
                    <a:prstGeom prst="rect">
                      <a:avLst/>
                    </a:prstGeom>
                    <a:noFill/>
                    <a:ln>
                      <a:noFill/>
                    </a:ln>
                  </pic:spPr>
                </pic:pic>
              </a:graphicData>
            </a:graphic>
          </wp:inline>
        </w:drawing>
      </w:r>
    </w:p>
    <w:p w14:paraId="73985727" w14:textId="1CE69082" w:rsidR="00DE0431" w:rsidRDefault="00DE0431">
      <w:pPr>
        <w:jc w:val="left"/>
        <w:rPr>
          <w:rFonts w:eastAsiaTheme="majorEastAsia" w:cstheme="majorBidi"/>
          <w:b/>
          <w:bCs/>
          <w:smallCaps/>
          <w:color w:val="4F81BD" w:themeColor="accent1"/>
          <w:sz w:val="26"/>
          <w:szCs w:val="26"/>
        </w:rPr>
      </w:pPr>
      <w:r>
        <w:rPr>
          <w:rFonts w:eastAsiaTheme="majorEastAsia" w:cstheme="majorBidi"/>
          <w:b/>
          <w:bCs/>
          <w:smallCaps/>
          <w:noProof/>
          <w:color w:val="4F81BD" w:themeColor="accent1"/>
          <w:sz w:val="26"/>
          <w:szCs w:val="26"/>
        </w:rPr>
        <w:lastRenderedPageBreak/>
        <w:drawing>
          <wp:inline distT="0" distB="0" distL="0" distR="0" wp14:anchorId="5A7AC180" wp14:editId="642B23B7">
            <wp:extent cx="6057900" cy="8392136"/>
            <wp:effectExtent l="0" t="0" r="0" b="0"/>
            <wp:docPr id="1303990526" name="Imag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6058222" cy="8392582"/>
                    </a:xfrm>
                    <a:prstGeom prst="rect">
                      <a:avLst/>
                    </a:prstGeom>
                    <a:noFill/>
                    <a:ln>
                      <a:noFill/>
                    </a:ln>
                  </pic:spPr>
                </pic:pic>
              </a:graphicData>
            </a:graphic>
          </wp:inline>
        </w:drawing>
      </w:r>
    </w:p>
    <w:p w14:paraId="21B8C332" w14:textId="77777777" w:rsidR="00DE0431" w:rsidRDefault="00DE0431">
      <w:pPr>
        <w:jc w:val="left"/>
        <w:rPr>
          <w:rFonts w:eastAsiaTheme="majorEastAsia" w:cstheme="majorBidi"/>
          <w:b/>
          <w:bCs/>
          <w:smallCaps/>
          <w:color w:val="4F81BD" w:themeColor="accent1"/>
          <w:sz w:val="26"/>
          <w:szCs w:val="26"/>
        </w:rPr>
      </w:pPr>
    </w:p>
    <w:p w14:paraId="36546848" w14:textId="7CEFB45B" w:rsidR="00DE0431" w:rsidRDefault="00DE0431">
      <w:pPr>
        <w:jc w:val="left"/>
        <w:rPr>
          <w:rFonts w:eastAsiaTheme="majorEastAsia" w:cstheme="majorBidi"/>
          <w:b/>
          <w:bCs/>
          <w:smallCaps/>
          <w:color w:val="4F81BD" w:themeColor="accent1"/>
          <w:sz w:val="26"/>
          <w:szCs w:val="26"/>
        </w:rPr>
      </w:pPr>
      <w:r>
        <w:rPr>
          <w:rFonts w:eastAsiaTheme="majorEastAsia" w:cstheme="majorBidi"/>
          <w:b/>
          <w:bCs/>
          <w:smallCaps/>
          <w:noProof/>
          <w:color w:val="4F81BD" w:themeColor="accent1"/>
          <w:sz w:val="26"/>
          <w:szCs w:val="26"/>
        </w:rPr>
        <w:lastRenderedPageBreak/>
        <w:drawing>
          <wp:inline distT="0" distB="0" distL="0" distR="0" wp14:anchorId="69B56122" wp14:editId="15CCC48D">
            <wp:extent cx="5486400" cy="3535910"/>
            <wp:effectExtent l="0" t="0" r="0" b="0"/>
            <wp:docPr id="1303990527" name="Imag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5486559" cy="3536012"/>
                    </a:xfrm>
                    <a:prstGeom prst="rect">
                      <a:avLst/>
                    </a:prstGeom>
                    <a:noFill/>
                    <a:ln>
                      <a:noFill/>
                    </a:ln>
                  </pic:spPr>
                </pic:pic>
              </a:graphicData>
            </a:graphic>
          </wp:inline>
        </w:drawing>
      </w:r>
    </w:p>
    <w:p w14:paraId="2D060436" w14:textId="77777777" w:rsidR="00DE0431" w:rsidRDefault="00DE0431">
      <w:pPr>
        <w:jc w:val="left"/>
        <w:rPr>
          <w:rFonts w:eastAsiaTheme="majorEastAsia" w:cstheme="majorBidi"/>
          <w:b/>
          <w:bCs/>
          <w:smallCaps/>
          <w:color w:val="4F81BD" w:themeColor="accent1"/>
          <w:sz w:val="26"/>
          <w:szCs w:val="26"/>
        </w:rPr>
      </w:pPr>
    </w:p>
    <w:p w14:paraId="55BB5120" w14:textId="06FF3767" w:rsidR="00DE0431" w:rsidRDefault="00DE0431">
      <w:pPr>
        <w:jc w:val="left"/>
        <w:rPr>
          <w:rFonts w:eastAsiaTheme="majorEastAsia" w:cstheme="majorBidi"/>
          <w:b/>
          <w:bCs/>
          <w:smallCaps/>
          <w:color w:val="4F81BD" w:themeColor="accent1"/>
          <w:sz w:val="26"/>
          <w:szCs w:val="26"/>
        </w:rPr>
      </w:pPr>
      <w:r>
        <w:rPr>
          <w:rFonts w:eastAsiaTheme="majorEastAsia" w:cstheme="majorBidi"/>
          <w:b/>
          <w:bCs/>
          <w:smallCaps/>
          <w:noProof/>
          <w:color w:val="4F81BD" w:themeColor="accent1"/>
          <w:sz w:val="26"/>
          <w:szCs w:val="26"/>
        </w:rPr>
        <w:drawing>
          <wp:inline distT="0" distB="0" distL="0" distR="0" wp14:anchorId="231A4D38" wp14:editId="48B38F3C">
            <wp:extent cx="5829300" cy="5330155"/>
            <wp:effectExtent l="0" t="0" r="0" b="4445"/>
            <wp:docPr id="892276832" name="Imag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5829884" cy="5330689"/>
                    </a:xfrm>
                    <a:prstGeom prst="rect">
                      <a:avLst/>
                    </a:prstGeom>
                    <a:noFill/>
                    <a:ln>
                      <a:noFill/>
                    </a:ln>
                  </pic:spPr>
                </pic:pic>
              </a:graphicData>
            </a:graphic>
          </wp:inline>
        </w:drawing>
      </w:r>
    </w:p>
    <w:p w14:paraId="0E2421C1" w14:textId="77777777" w:rsidR="00DE0431" w:rsidRDefault="00DE0431">
      <w:pPr>
        <w:jc w:val="left"/>
        <w:rPr>
          <w:rFonts w:eastAsiaTheme="majorEastAsia" w:cstheme="majorBidi"/>
          <w:b/>
          <w:bCs/>
          <w:smallCaps/>
          <w:color w:val="4F81BD" w:themeColor="accent1"/>
          <w:sz w:val="26"/>
          <w:szCs w:val="26"/>
        </w:rPr>
      </w:pPr>
    </w:p>
    <w:p w14:paraId="5E0A326A" w14:textId="279C7921" w:rsidR="007470C7" w:rsidRDefault="007470C7" w:rsidP="007470C7">
      <w:pPr>
        <w:pStyle w:val="Titre2"/>
        <w:ind w:left="567"/>
      </w:pPr>
      <w:bookmarkStart w:id="284" w:name="_Toc475033267"/>
      <w:r>
        <w:lastRenderedPageBreak/>
        <w:t>18.2 Comptes semestriels</w:t>
      </w:r>
      <w:bookmarkEnd w:id="284"/>
      <w:r>
        <w:t xml:space="preserve"> </w:t>
      </w:r>
    </w:p>
    <w:p w14:paraId="483D03B8" w14:textId="77777777" w:rsidR="007470C7" w:rsidRPr="00A247E0" w:rsidRDefault="007470C7" w:rsidP="007470C7">
      <w:pPr>
        <w:ind w:left="567"/>
      </w:pPr>
    </w:p>
    <w:p w14:paraId="67C4834E" w14:textId="77777777" w:rsidR="007470C7" w:rsidRDefault="007470C7" w:rsidP="007470C7">
      <w:pPr>
        <w:ind w:left="567"/>
      </w:pPr>
      <w:r w:rsidRPr="00A247E0">
        <w:t>Non concerné</w:t>
      </w:r>
    </w:p>
    <w:p w14:paraId="78EE42E4" w14:textId="77777777" w:rsidR="007470C7" w:rsidRDefault="007470C7" w:rsidP="009678E1">
      <w:pPr>
        <w:pStyle w:val="Titre2"/>
        <w:ind w:left="567"/>
      </w:pPr>
    </w:p>
    <w:p w14:paraId="0F4BA84E" w14:textId="44F1137C" w:rsidR="00CF0C5B" w:rsidRDefault="00A247E0" w:rsidP="009678E1">
      <w:pPr>
        <w:pStyle w:val="Titre2"/>
        <w:ind w:left="567"/>
      </w:pPr>
      <w:bookmarkStart w:id="285" w:name="_Toc475033268"/>
      <w:r>
        <w:t>18</w:t>
      </w:r>
      <w:r w:rsidR="00C032EC">
        <w:t>.</w:t>
      </w:r>
      <w:r w:rsidR="007470C7">
        <w:t>3</w:t>
      </w:r>
      <w:r w:rsidR="00C032EC">
        <w:t xml:space="preserve"> </w:t>
      </w:r>
      <w:r w:rsidR="00CF0C5B">
        <w:t>Vérification des informations financières historiques annuelles</w:t>
      </w:r>
      <w:bookmarkEnd w:id="285"/>
      <w:r w:rsidR="00CF0C5B">
        <w:t xml:space="preserve"> </w:t>
      </w:r>
      <w:r w:rsidR="00CF0C5B">
        <w:tab/>
      </w:r>
    </w:p>
    <w:p w14:paraId="6484728E" w14:textId="68E67B04" w:rsidR="00CF0C5B" w:rsidRDefault="00A247E0" w:rsidP="009678E1">
      <w:pPr>
        <w:pStyle w:val="Titre3"/>
        <w:ind w:left="567"/>
      </w:pPr>
      <w:bookmarkStart w:id="286" w:name="_Toc475033269"/>
      <w:r>
        <w:t>18</w:t>
      </w:r>
      <w:r w:rsidR="007470C7">
        <w:t>.3</w:t>
      </w:r>
      <w:r w:rsidR="00C032EC">
        <w:t xml:space="preserve">.1 </w:t>
      </w:r>
      <w:r w:rsidR="00CF0C5B">
        <w:t xml:space="preserve">Rapport </w:t>
      </w:r>
      <w:r w:rsidR="0009178C">
        <w:t xml:space="preserve">des commissaires aux comptes sur les comptes </w:t>
      </w:r>
      <w:r>
        <w:t>consolidés</w:t>
      </w:r>
      <w:r w:rsidR="00C6149B">
        <w:t xml:space="preserve"> </w:t>
      </w:r>
      <w:r w:rsidR="0009178C">
        <w:t>de</w:t>
      </w:r>
      <w:r w:rsidR="00CF0C5B">
        <w:t xml:space="preserve"> l’ex</w:t>
      </w:r>
      <w:r w:rsidR="00C032EC">
        <w:t>ercice clos le 31 décembre 20</w:t>
      </w:r>
      <w:r>
        <w:t>20</w:t>
      </w:r>
      <w:bookmarkEnd w:id="286"/>
    </w:p>
    <w:p w14:paraId="098C383E" w14:textId="77777777" w:rsidR="00F65E0C" w:rsidRDefault="00F65E0C" w:rsidP="009678E1">
      <w:pPr>
        <w:ind w:left="567"/>
      </w:pPr>
    </w:p>
    <w:p w14:paraId="79310D84" w14:textId="77777777" w:rsidR="00354271" w:rsidRDefault="00354271" w:rsidP="009678E1">
      <w:pPr>
        <w:ind w:left="567"/>
        <w:rPr>
          <w:color w:val="FF0000"/>
          <w:highlight w:val="yellow"/>
        </w:rPr>
      </w:pPr>
      <w:r w:rsidRPr="005B42F0">
        <w:rPr>
          <w:noProof/>
          <w:color w:val="FF0000"/>
        </w:rPr>
        <w:lastRenderedPageBreak/>
        <w:drawing>
          <wp:inline distT="0" distB="0" distL="0" distR="0" wp14:anchorId="7317293B" wp14:editId="22A4F441">
            <wp:extent cx="5806440" cy="7816823"/>
            <wp:effectExtent l="0" t="0" r="10160" b="6985"/>
            <wp:docPr id="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5807019" cy="7817603"/>
                    </a:xfrm>
                    <a:prstGeom prst="rect">
                      <a:avLst/>
                    </a:prstGeom>
                    <a:noFill/>
                    <a:ln>
                      <a:noFill/>
                    </a:ln>
                  </pic:spPr>
                </pic:pic>
              </a:graphicData>
            </a:graphic>
          </wp:inline>
        </w:drawing>
      </w:r>
    </w:p>
    <w:p w14:paraId="5F918E95" w14:textId="77777777" w:rsidR="00354271" w:rsidRDefault="00354271" w:rsidP="009678E1">
      <w:pPr>
        <w:ind w:left="567"/>
        <w:rPr>
          <w:color w:val="FF0000"/>
          <w:highlight w:val="yellow"/>
        </w:rPr>
      </w:pPr>
      <w:r w:rsidRPr="005B42F0">
        <w:rPr>
          <w:noProof/>
          <w:color w:val="FF0000"/>
        </w:rPr>
        <w:lastRenderedPageBreak/>
        <w:drawing>
          <wp:inline distT="0" distB="0" distL="0" distR="0" wp14:anchorId="4429D212" wp14:editId="4AB9C919">
            <wp:extent cx="6046347" cy="8046297"/>
            <wp:effectExtent l="0" t="0" r="0" b="5715"/>
            <wp:docPr id="892276849"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6046347" cy="8046297"/>
                    </a:xfrm>
                    <a:prstGeom prst="rect">
                      <a:avLst/>
                    </a:prstGeom>
                    <a:noFill/>
                    <a:ln>
                      <a:noFill/>
                    </a:ln>
                  </pic:spPr>
                </pic:pic>
              </a:graphicData>
            </a:graphic>
          </wp:inline>
        </w:drawing>
      </w:r>
      <w:r w:rsidRPr="00354271" w:rsidDel="00354271">
        <w:rPr>
          <w:color w:val="FF0000"/>
          <w:highlight w:val="yellow"/>
        </w:rPr>
        <w:t xml:space="preserve"> </w:t>
      </w:r>
    </w:p>
    <w:p w14:paraId="0BBE68FD" w14:textId="77777777" w:rsidR="00FC0F6D" w:rsidRDefault="00FC0F6D" w:rsidP="009678E1">
      <w:pPr>
        <w:ind w:left="567"/>
        <w:rPr>
          <w:color w:val="FF0000"/>
          <w:highlight w:val="yellow"/>
        </w:rPr>
      </w:pPr>
      <w:r w:rsidRPr="005B42F0">
        <w:rPr>
          <w:noProof/>
          <w:color w:val="FF0000"/>
        </w:rPr>
        <w:lastRenderedPageBreak/>
        <w:drawing>
          <wp:inline distT="0" distB="0" distL="0" distR="0" wp14:anchorId="24BCF619" wp14:editId="7B24A612">
            <wp:extent cx="6138684" cy="8342842"/>
            <wp:effectExtent l="0" t="0" r="8255" b="0"/>
            <wp:docPr id="892276850"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6138684" cy="8342842"/>
                    </a:xfrm>
                    <a:prstGeom prst="rect">
                      <a:avLst/>
                    </a:prstGeom>
                    <a:noFill/>
                    <a:ln>
                      <a:noFill/>
                    </a:ln>
                  </pic:spPr>
                </pic:pic>
              </a:graphicData>
            </a:graphic>
          </wp:inline>
        </w:drawing>
      </w:r>
      <w:r w:rsidRPr="00FC0F6D" w:rsidDel="00354271">
        <w:rPr>
          <w:color w:val="FF0000"/>
          <w:highlight w:val="yellow"/>
        </w:rPr>
        <w:t xml:space="preserve"> </w:t>
      </w:r>
    </w:p>
    <w:p w14:paraId="5B137C90" w14:textId="314F53C4" w:rsidR="00FC0F6D" w:rsidRDefault="00FC0F6D" w:rsidP="009678E1">
      <w:pPr>
        <w:ind w:left="567"/>
        <w:rPr>
          <w:color w:val="FF0000"/>
          <w:highlight w:val="yellow"/>
        </w:rPr>
      </w:pPr>
      <w:r w:rsidRPr="005B42F0">
        <w:rPr>
          <w:noProof/>
          <w:color w:val="FF0000"/>
        </w:rPr>
        <w:lastRenderedPageBreak/>
        <w:drawing>
          <wp:inline distT="0" distB="0" distL="0" distR="0" wp14:anchorId="492ABAAB" wp14:editId="507510A6">
            <wp:extent cx="6192759" cy="7829127"/>
            <wp:effectExtent l="0" t="0" r="5080" b="0"/>
            <wp:docPr id="892276851"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6193005" cy="7829438"/>
                    </a:xfrm>
                    <a:prstGeom prst="rect">
                      <a:avLst/>
                    </a:prstGeom>
                    <a:noFill/>
                    <a:ln>
                      <a:noFill/>
                    </a:ln>
                  </pic:spPr>
                </pic:pic>
              </a:graphicData>
            </a:graphic>
          </wp:inline>
        </w:drawing>
      </w:r>
    </w:p>
    <w:p w14:paraId="360C87D2" w14:textId="77777777" w:rsidR="00FC0F6D" w:rsidRDefault="00FC0F6D" w:rsidP="009678E1">
      <w:pPr>
        <w:ind w:left="567"/>
        <w:rPr>
          <w:color w:val="FF0000"/>
          <w:highlight w:val="yellow"/>
        </w:rPr>
      </w:pPr>
    </w:p>
    <w:p w14:paraId="4E04741A" w14:textId="6F833A53" w:rsidR="0073053E" w:rsidRDefault="00FC0F6D" w:rsidP="009678E1">
      <w:pPr>
        <w:ind w:left="567"/>
        <w:rPr>
          <w:color w:val="FF0000"/>
        </w:rPr>
      </w:pPr>
      <w:r w:rsidRPr="005B42F0">
        <w:rPr>
          <w:noProof/>
          <w:color w:val="FF0000"/>
        </w:rPr>
        <w:lastRenderedPageBreak/>
        <w:drawing>
          <wp:inline distT="0" distB="0" distL="0" distR="0" wp14:anchorId="4DCBE58A" wp14:editId="3EE9644F">
            <wp:extent cx="6092623" cy="7822142"/>
            <wp:effectExtent l="0" t="0" r="3810" b="1270"/>
            <wp:docPr id="892276852"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6092623" cy="7822142"/>
                    </a:xfrm>
                    <a:prstGeom prst="rect">
                      <a:avLst/>
                    </a:prstGeom>
                    <a:noFill/>
                    <a:ln>
                      <a:noFill/>
                    </a:ln>
                  </pic:spPr>
                </pic:pic>
              </a:graphicData>
            </a:graphic>
          </wp:inline>
        </w:drawing>
      </w:r>
      <w:r w:rsidRPr="00FC0F6D" w:rsidDel="00354271">
        <w:rPr>
          <w:color w:val="FF0000"/>
          <w:highlight w:val="yellow"/>
        </w:rPr>
        <w:t xml:space="preserve"> </w:t>
      </w:r>
    </w:p>
    <w:p w14:paraId="16FFBD7D" w14:textId="77777777" w:rsidR="0073053E" w:rsidRDefault="0073053E" w:rsidP="009678E1">
      <w:pPr>
        <w:ind w:left="567"/>
      </w:pPr>
    </w:p>
    <w:p w14:paraId="490BA4AE" w14:textId="77777777" w:rsidR="00F65E0C" w:rsidRDefault="00F65E0C" w:rsidP="00CD7CDB"/>
    <w:p w14:paraId="18617BB0" w14:textId="77777777" w:rsidR="00FC0F6D" w:rsidRDefault="00FC0F6D" w:rsidP="00CD7CDB">
      <w:pPr>
        <w:pStyle w:val="Titre3"/>
        <w:ind w:left="567"/>
      </w:pPr>
    </w:p>
    <w:p w14:paraId="7CF5D84B" w14:textId="77777777" w:rsidR="00FC0F6D" w:rsidRDefault="00FC0F6D" w:rsidP="00FC0F6D">
      <w:pPr>
        <w:pStyle w:val="Titre3"/>
      </w:pPr>
    </w:p>
    <w:p w14:paraId="7E77B718" w14:textId="77777777" w:rsidR="00FC0F6D" w:rsidRDefault="00FC0F6D" w:rsidP="00FC0F6D">
      <w:pPr>
        <w:pStyle w:val="Titre3"/>
      </w:pPr>
    </w:p>
    <w:p w14:paraId="6CD9ABF7" w14:textId="3A08DAF4" w:rsidR="00C032EC" w:rsidRPr="00CD7CDB" w:rsidRDefault="00A247E0" w:rsidP="00FC0F6D">
      <w:pPr>
        <w:pStyle w:val="Titre3"/>
        <w:ind w:firstLine="567"/>
      </w:pPr>
      <w:bookmarkStart w:id="287" w:name="_Toc475033270"/>
      <w:r w:rsidRPr="00CD7CDB">
        <w:t>18</w:t>
      </w:r>
      <w:r w:rsidR="007470C7">
        <w:t>.3</w:t>
      </w:r>
      <w:r w:rsidR="00C032EC" w:rsidRPr="00CD7CDB">
        <w:t>.</w:t>
      </w:r>
      <w:r w:rsidR="00CD7CDB">
        <w:t>2</w:t>
      </w:r>
      <w:r w:rsidR="00C032EC" w:rsidRPr="00CD7CDB">
        <w:t xml:space="preserve"> </w:t>
      </w:r>
      <w:r w:rsidR="0009178C" w:rsidRPr="00CD7CDB">
        <w:t xml:space="preserve">Rapport des commissaires aux comptes sur les comptes </w:t>
      </w:r>
      <w:r w:rsidRPr="00CD7CDB">
        <w:t>consolidés</w:t>
      </w:r>
      <w:r w:rsidR="0009178C" w:rsidRPr="00CD7CDB">
        <w:t xml:space="preserve"> de l’exercice clos </w:t>
      </w:r>
      <w:r w:rsidR="00C032EC" w:rsidRPr="00CD7CDB">
        <w:t>le 31 décembre 201</w:t>
      </w:r>
      <w:r w:rsidRPr="00CD7CDB">
        <w:t>9</w:t>
      </w:r>
      <w:bookmarkEnd w:id="287"/>
    </w:p>
    <w:p w14:paraId="75A70D0D" w14:textId="51B80BAE" w:rsidR="00F97116" w:rsidRDefault="00FC0F6D" w:rsidP="009678E1">
      <w:pPr>
        <w:ind w:left="567"/>
      </w:pPr>
      <w:r>
        <w:tab/>
      </w:r>
      <w:r>
        <w:tab/>
      </w:r>
    </w:p>
    <w:p w14:paraId="61721277" w14:textId="10E4F0F5" w:rsidR="008716E2" w:rsidRDefault="009A012B" w:rsidP="009678E1">
      <w:pPr>
        <w:tabs>
          <w:tab w:val="right" w:leader="dot" w:pos="8505"/>
        </w:tabs>
        <w:ind w:left="567" w:right="844"/>
        <w:rPr>
          <w:szCs w:val="20"/>
        </w:rPr>
      </w:pPr>
      <w:r>
        <w:rPr>
          <w:noProof/>
        </w:rPr>
        <w:drawing>
          <wp:inline distT="0" distB="0" distL="0" distR="0" wp14:anchorId="60BA15D0" wp14:editId="4527BC6D">
            <wp:extent cx="5851524" cy="7904179"/>
            <wp:effectExtent l="0" t="0" r="0" b="0"/>
            <wp:docPr id="9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0"/>
                    <pic:cNvPicPr/>
                  </pic:nvPicPr>
                  <pic:blipFill>
                    <a:blip r:embed="rId216">
                      <a:extLst>
                        <a:ext uri="{28A0092B-C50C-407E-A947-70E740481C1C}">
                          <a14:useLocalDpi xmlns:a14="http://schemas.microsoft.com/office/drawing/2010/main" val="0"/>
                        </a:ext>
                      </a:extLst>
                    </a:blip>
                    <a:stretch>
                      <a:fillRect/>
                    </a:stretch>
                  </pic:blipFill>
                  <pic:spPr>
                    <a:xfrm>
                      <a:off x="0" y="0"/>
                      <a:ext cx="5851524" cy="7904179"/>
                    </a:xfrm>
                    <a:prstGeom prst="rect">
                      <a:avLst/>
                    </a:prstGeom>
                  </pic:spPr>
                </pic:pic>
              </a:graphicData>
            </a:graphic>
          </wp:inline>
        </w:drawing>
      </w:r>
    </w:p>
    <w:p w14:paraId="3A00F52A" w14:textId="77777777" w:rsidR="009A012B" w:rsidRDefault="009A012B" w:rsidP="009678E1">
      <w:pPr>
        <w:tabs>
          <w:tab w:val="right" w:leader="dot" w:pos="8505"/>
        </w:tabs>
        <w:ind w:left="567" w:right="844"/>
        <w:rPr>
          <w:szCs w:val="20"/>
        </w:rPr>
      </w:pPr>
    </w:p>
    <w:p w14:paraId="52B163ED" w14:textId="7787A127" w:rsidR="009A012B" w:rsidRDefault="009A012B" w:rsidP="009678E1">
      <w:pPr>
        <w:tabs>
          <w:tab w:val="right" w:leader="dot" w:pos="8505"/>
        </w:tabs>
        <w:ind w:left="567" w:right="844"/>
        <w:rPr>
          <w:szCs w:val="20"/>
        </w:rPr>
      </w:pPr>
      <w:r>
        <w:rPr>
          <w:noProof/>
        </w:rPr>
        <w:lastRenderedPageBreak/>
        <w:drawing>
          <wp:inline distT="0" distB="0" distL="0" distR="0" wp14:anchorId="5A2FD159" wp14:editId="7CE2A1E1">
            <wp:extent cx="5851524" cy="7686483"/>
            <wp:effectExtent l="0" t="0" r="0" b="10160"/>
            <wp:docPr id="9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1"/>
                    <pic:cNvPicPr/>
                  </pic:nvPicPr>
                  <pic:blipFill>
                    <a:blip r:embed="rId217">
                      <a:extLst>
                        <a:ext uri="{28A0092B-C50C-407E-A947-70E740481C1C}">
                          <a14:useLocalDpi xmlns:a14="http://schemas.microsoft.com/office/drawing/2010/main" val="0"/>
                        </a:ext>
                      </a:extLst>
                    </a:blip>
                    <a:stretch>
                      <a:fillRect/>
                    </a:stretch>
                  </pic:blipFill>
                  <pic:spPr>
                    <a:xfrm>
                      <a:off x="0" y="0"/>
                      <a:ext cx="5851524" cy="7686483"/>
                    </a:xfrm>
                    <a:prstGeom prst="rect">
                      <a:avLst/>
                    </a:prstGeom>
                  </pic:spPr>
                </pic:pic>
              </a:graphicData>
            </a:graphic>
          </wp:inline>
        </w:drawing>
      </w:r>
    </w:p>
    <w:p w14:paraId="4F736213" w14:textId="77777777" w:rsidR="009A012B" w:rsidRDefault="009A012B" w:rsidP="009678E1">
      <w:pPr>
        <w:tabs>
          <w:tab w:val="right" w:leader="dot" w:pos="8505"/>
        </w:tabs>
        <w:ind w:left="567" w:right="844"/>
        <w:rPr>
          <w:szCs w:val="20"/>
        </w:rPr>
      </w:pPr>
    </w:p>
    <w:p w14:paraId="7437DB50" w14:textId="0E17643C" w:rsidR="009A012B" w:rsidRDefault="009A012B" w:rsidP="009678E1">
      <w:pPr>
        <w:tabs>
          <w:tab w:val="right" w:leader="dot" w:pos="8505"/>
        </w:tabs>
        <w:ind w:left="567" w:right="844"/>
        <w:rPr>
          <w:szCs w:val="20"/>
        </w:rPr>
      </w:pPr>
      <w:r>
        <w:rPr>
          <w:noProof/>
        </w:rPr>
        <w:lastRenderedPageBreak/>
        <w:drawing>
          <wp:inline distT="0" distB="0" distL="0" distR="0" wp14:anchorId="3CE65028" wp14:editId="3297FBA9">
            <wp:extent cx="5851524" cy="7742070"/>
            <wp:effectExtent l="0" t="0" r="0" b="5080"/>
            <wp:docPr id="513"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2"/>
                    <pic:cNvPicPr/>
                  </pic:nvPicPr>
                  <pic:blipFill>
                    <a:blip r:embed="rId218">
                      <a:extLst>
                        <a:ext uri="{28A0092B-C50C-407E-A947-70E740481C1C}">
                          <a14:useLocalDpi xmlns:a14="http://schemas.microsoft.com/office/drawing/2010/main" val="0"/>
                        </a:ext>
                      </a:extLst>
                    </a:blip>
                    <a:stretch>
                      <a:fillRect/>
                    </a:stretch>
                  </pic:blipFill>
                  <pic:spPr>
                    <a:xfrm>
                      <a:off x="0" y="0"/>
                      <a:ext cx="5851524" cy="7742070"/>
                    </a:xfrm>
                    <a:prstGeom prst="rect">
                      <a:avLst/>
                    </a:prstGeom>
                  </pic:spPr>
                </pic:pic>
              </a:graphicData>
            </a:graphic>
          </wp:inline>
        </w:drawing>
      </w:r>
    </w:p>
    <w:p w14:paraId="2FA90FCA" w14:textId="63A20A23" w:rsidR="009A012B" w:rsidRDefault="009A012B" w:rsidP="009678E1">
      <w:pPr>
        <w:tabs>
          <w:tab w:val="right" w:leader="dot" w:pos="8505"/>
        </w:tabs>
        <w:ind w:left="567" w:right="844"/>
        <w:rPr>
          <w:szCs w:val="20"/>
        </w:rPr>
      </w:pPr>
      <w:r>
        <w:rPr>
          <w:noProof/>
        </w:rPr>
        <w:lastRenderedPageBreak/>
        <w:drawing>
          <wp:inline distT="0" distB="0" distL="0" distR="0" wp14:anchorId="70495A95" wp14:editId="22DBA805">
            <wp:extent cx="5851524" cy="7595532"/>
            <wp:effectExtent l="0" t="0" r="0" b="0"/>
            <wp:docPr id="514"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3"/>
                    <pic:cNvPicPr/>
                  </pic:nvPicPr>
                  <pic:blipFill>
                    <a:blip r:embed="rId219">
                      <a:extLst>
                        <a:ext uri="{28A0092B-C50C-407E-A947-70E740481C1C}">
                          <a14:useLocalDpi xmlns:a14="http://schemas.microsoft.com/office/drawing/2010/main" val="0"/>
                        </a:ext>
                      </a:extLst>
                    </a:blip>
                    <a:stretch>
                      <a:fillRect/>
                    </a:stretch>
                  </pic:blipFill>
                  <pic:spPr>
                    <a:xfrm>
                      <a:off x="0" y="0"/>
                      <a:ext cx="5851524" cy="7595532"/>
                    </a:xfrm>
                    <a:prstGeom prst="rect">
                      <a:avLst/>
                    </a:prstGeom>
                  </pic:spPr>
                </pic:pic>
              </a:graphicData>
            </a:graphic>
          </wp:inline>
        </w:drawing>
      </w:r>
    </w:p>
    <w:p w14:paraId="619EBA91" w14:textId="7E95B97C" w:rsidR="009A012B" w:rsidRDefault="009A012B" w:rsidP="009678E1">
      <w:pPr>
        <w:tabs>
          <w:tab w:val="right" w:leader="dot" w:pos="8505"/>
        </w:tabs>
        <w:ind w:left="567" w:right="844"/>
        <w:rPr>
          <w:szCs w:val="20"/>
        </w:rPr>
      </w:pPr>
      <w:r>
        <w:rPr>
          <w:noProof/>
        </w:rPr>
        <w:lastRenderedPageBreak/>
        <w:drawing>
          <wp:inline distT="0" distB="0" distL="0" distR="0" wp14:anchorId="32377A30" wp14:editId="5DC54F17">
            <wp:extent cx="5851524" cy="8013614"/>
            <wp:effectExtent l="0" t="0" r="0" b="0"/>
            <wp:docPr id="515"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4"/>
                    <pic:cNvPicPr/>
                  </pic:nvPicPr>
                  <pic:blipFill>
                    <a:blip r:embed="rId220">
                      <a:extLst>
                        <a:ext uri="{28A0092B-C50C-407E-A947-70E740481C1C}">
                          <a14:useLocalDpi xmlns:a14="http://schemas.microsoft.com/office/drawing/2010/main" val="0"/>
                        </a:ext>
                      </a:extLst>
                    </a:blip>
                    <a:stretch>
                      <a:fillRect/>
                    </a:stretch>
                  </pic:blipFill>
                  <pic:spPr>
                    <a:xfrm>
                      <a:off x="0" y="0"/>
                      <a:ext cx="5851524" cy="8013614"/>
                    </a:xfrm>
                    <a:prstGeom prst="rect">
                      <a:avLst/>
                    </a:prstGeom>
                  </pic:spPr>
                </pic:pic>
              </a:graphicData>
            </a:graphic>
          </wp:inline>
        </w:drawing>
      </w:r>
    </w:p>
    <w:p w14:paraId="0A579DA6" w14:textId="77777777" w:rsidR="009A012B" w:rsidRDefault="009A012B" w:rsidP="009678E1">
      <w:pPr>
        <w:tabs>
          <w:tab w:val="right" w:leader="dot" w:pos="8505"/>
        </w:tabs>
        <w:ind w:left="567" w:right="844"/>
        <w:rPr>
          <w:szCs w:val="20"/>
        </w:rPr>
      </w:pPr>
    </w:p>
    <w:p w14:paraId="68ABFBE2" w14:textId="091D8B0F" w:rsidR="00F65E0C" w:rsidRDefault="00F65E0C" w:rsidP="009678E1">
      <w:pPr>
        <w:tabs>
          <w:tab w:val="right" w:leader="dot" w:pos="8505"/>
        </w:tabs>
        <w:ind w:left="567" w:right="844"/>
        <w:rPr>
          <w:szCs w:val="20"/>
        </w:rPr>
      </w:pPr>
    </w:p>
    <w:p w14:paraId="3D55F2CC" w14:textId="77777777" w:rsidR="00FC0F6D" w:rsidRDefault="00FC0F6D">
      <w:pPr>
        <w:jc w:val="left"/>
        <w:rPr>
          <w:rFonts w:eastAsiaTheme="majorEastAsia" w:cstheme="majorBidi"/>
          <w:b/>
          <w:bCs/>
          <w:color w:val="4F81BD" w:themeColor="accent1"/>
        </w:rPr>
      </w:pPr>
      <w:r>
        <w:br w:type="page"/>
      </w:r>
    </w:p>
    <w:p w14:paraId="56887F42" w14:textId="7CE6CD11" w:rsidR="00CD7CDB" w:rsidRDefault="00CD7CDB" w:rsidP="00CD7CDB">
      <w:pPr>
        <w:pStyle w:val="Titre3"/>
        <w:ind w:left="567"/>
      </w:pPr>
      <w:bookmarkStart w:id="288" w:name="_Toc475033271"/>
      <w:r>
        <w:lastRenderedPageBreak/>
        <w:t>18.2.</w:t>
      </w:r>
      <w:r w:rsidR="007470C7">
        <w:t>4</w:t>
      </w:r>
      <w:r>
        <w:t xml:space="preserve"> Rapport des commissaires aux comptes sur les comptes sociaux de l’exercice clos le 31 décembre 2020</w:t>
      </w:r>
      <w:bookmarkEnd w:id="288"/>
    </w:p>
    <w:p w14:paraId="5853949E" w14:textId="77777777" w:rsidR="00CD7CDB" w:rsidRDefault="00CD7CDB" w:rsidP="009678E1">
      <w:pPr>
        <w:ind w:left="567"/>
        <w:jc w:val="left"/>
      </w:pPr>
    </w:p>
    <w:p w14:paraId="11AC68A9" w14:textId="77777777" w:rsidR="00FC0F6D" w:rsidRDefault="00FC0F6D" w:rsidP="009678E1">
      <w:pPr>
        <w:ind w:left="567"/>
        <w:jc w:val="left"/>
        <w:rPr>
          <w:color w:val="FF0000"/>
          <w:highlight w:val="yellow"/>
        </w:rPr>
      </w:pPr>
      <w:r w:rsidRPr="005B42F0">
        <w:rPr>
          <w:noProof/>
          <w:color w:val="FF0000"/>
        </w:rPr>
        <w:drawing>
          <wp:inline distT="0" distB="0" distL="0" distR="0" wp14:anchorId="31497B52" wp14:editId="07E5B063">
            <wp:extent cx="6025793" cy="8126942"/>
            <wp:effectExtent l="0" t="0" r="0" b="1270"/>
            <wp:docPr id="892276853"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6025793" cy="8126942"/>
                    </a:xfrm>
                    <a:prstGeom prst="rect">
                      <a:avLst/>
                    </a:prstGeom>
                    <a:noFill/>
                    <a:ln>
                      <a:noFill/>
                    </a:ln>
                  </pic:spPr>
                </pic:pic>
              </a:graphicData>
            </a:graphic>
          </wp:inline>
        </w:drawing>
      </w:r>
      <w:r w:rsidRPr="00FC0F6D" w:rsidDel="00FC0F6D">
        <w:rPr>
          <w:color w:val="FF0000"/>
          <w:highlight w:val="yellow"/>
        </w:rPr>
        <w:t xml:space="preserve"> </w:t>
      </w:r>
    </w:p>
    <w:p w14:paraId="6EC8B563" w14:textId="07DACE0F" w:rsidR="00FC0F6D" w:rsidRDefault="00FC0F6D" w:rsidP="009678E1">
      <w:pPr>
        <w:ind w:left="567"/>
        <w:jc w:val="left"/>
        <w:rPr>
          <w:color w:val="FF0000"/>
          <w:highlight w:val="yellow"/>
        </w:rPr>
      </w:pPr>
      <w:r w:rsidRPr="005B42F0">
        <w:rPr>
          <w:noProof/>
          <w:color w:val="FF0000"/>
        </w:rPr>
        <w:lastRenderedPageBreak/>
        <w:drawing>
          <wp:inline distT="0" distB="0" distL="0" distR="0" wp14:anchorId="79E6718D" wp14:editId="08632F5F">
            <wp:extent cx="6053108" cy="8185362"/>
            <wp:effectExtent l="0" t="0" r="0" b="0"/>
            <wp:docPr id="892276854"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6053419" cy="8185783"/>
                    </a:xfrm>
                    <a:prstGeom prst="rect">
                      <a:avLst/>
                    </a:prstGeom>
                    <a:noFill/>
                    <a:ln>
                      <a:noFill/>
                    </a:ln>
                  </pic:spPr>
                </pic:pic>
              </a:graphicData>
            </a:graphic>
          </wp:inline>
        </w:drawing>
      </w:r>
    </w:p>
    <w:p w14:paraId="1E51D38C" w14:textId="77777777" w:rsidR="00FC0F6D" w:rsidRDefault="00FC0F6D" w:rsidP="009678E1">
      <w:pPr>
        <w:ind w:left="567"/>
        <w:jc w:val="left"/>
        <w:rPr>
          <w:color w:val="FF0000"/>
          <w:highlight w:val="yellow"/>
        </w:rPr>
      </w:pPr>
    </w:p>
    <w:p w14:paraId="0AE257FC" w14:textId="77777777" w:rsidR="00FC0F6D" w:rsidRDefault="00FC0F6D" w:rsidP="009678E1">
      <w:pPr>
        <w:ind w:left="567"/>
        <w:jc w:val="left"/>
        <w:rPr>
          <w:color w:val="FF0000"/>
          <w:highlight w:val="yellow"/>
        </w:rPr>
      </w:pPr>
      <w:r w:rsidRPr="005B42F0">
        <w:rPr>
          <w:noProof/>
          <w:color w:val="FF0000"/>
        </w:rPr>
        <w:lastRenderedPageBreak/>
        <w:drawing>
          <wp:inline distT="0" distB="0" distL="0" distR="0" wp14:anchorId="70643EAB" wp14:editId="7DC8DFF2">
            <wp:extent cx="6151033" cy="7802786"/>
            <wp:effectExtent l="0" t="0" r="0" b="0"/>
            <wp:docPr id="892276855"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6151967" cy="7803971"/>
                    </a:xfrm>
                    <a:prstGeom prst="rect">
                      <a:avLst/>
                    </a:prstGeom>
                    <a:noFill/>
                    <a:ln>
                      <a:noFill/>
                    </a:ln>
                  </pic:spPr>
                </pic:pic>
              </a:graphicData>
            </a:graphic>
          </wp:inline>
        </w:drawing>
      </w:r>
      <w:r w:rsidRPr="00FC0F6D" w:rsidDel="00FC0F6D">
        <w:rPr>
          <w:color w:val="FF0000"/>
          <w:highlight w:val="yellow"/>
        </w:rPr>
        <w:t xml:space="preserve"> </w:t>
      </w:r>
    </w:p>
    <w:p w14:paraId="2512BF61" w14:textId="77777777" w:rsidR="008E6B52" w:rsidRDefault="008E6B52" w:rsidP="009678E1">
      <w:pPr>
        <w:ind w:left="567"/>
        <w:jc w:val="left"/>
        <w:rPr>
          <w:color w:val="FF0000"/>
          <w:highlight w:val="yellow"/>
        </w:rPr>
      </w:pPr>
      <w:r w:rsidRPr="005B42F0">
        <w:rPr>
          <w:noProof/>
          <w:color w:val="FF0000"/>
        </w:rPr>
        <w:lastRenderedPageBreak/>
        <w:drawing>
          <wp:inline distT="0" distB="0" distL="0" distR="0" wp14:anchorId="6CC2452B" wp14:editId="492E00D3">
            <wp:extent cx="6108905" cy="8057382"/>
            <wp:effectExtent l="0" t="0" r="0" b="0"/>
            <wp:docPr id="892276856"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6109310" cy="8057916"/>
                    </a:xfrm>
                    <a:prstGeom prst="rect">
                      <a:avLst/>
                    </a:prstGeom>
                    <a:noFill/>
                    <a:ln>
                      <a:noFill/>
                    </a:ln>
                  </pic:spPr>
                </pic:pic>
              </a:graphicData>
            </a:graphic>
          </wp:inline>
        </w:drawing>
      </w:r>
      <w:r w:rsidRPr="008E6B52" w:rsidDel="00FC0F6D">
        <w:rPr>
          <w:color w:val="FF0000"/>
          <w:highlight w:val="yellow"/>
        </w:rPr>
        <w:t xml:space="preserve"> </w:t>
      </w:r>
    </w:p>
    <w:p w14:paraId="01FE2B60" w14:textId="0656F976" w:rsidR="008E6B52" w:rsidRDefault="008E6B52" w:rsidP="009678E1">
      <w:pPr>
        <w:ind w:left="567"/>
        <w:jc w:val="left"/>
        <w:rPr>
          <w:color w:val="FF0000"/>
          <w:highlight w:val="yellow"/>
        </w:rPr>
      </w:pPr>
      <w:r w:rsidRPr="005B42F0">
        <w:rPr>
          <w:noProof/>
          <w:color w:val="FF0000"/>
        </w:rPr>
        <w:lastRenderedPageBreak/>
        <w:drawing>
          <wp:inline distT="0" distB="0" distL="0" distR="0" wp14:anchorId="46441A14" wp14:editId="4F579489">
            <wp:extent cx="6243663" cy="5341197"/>
            <wp:effectExtent l="0" t="0" r="5080" b="0"/>
            <wp:docPr id="892276857"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6243826" cy="5341336"/>
                    </a:xfrm>
                    <a:prstGeom prst="rect">
                      <a:avLst/>
                    </a:prstGeom>
                    <a:noFill/>
                    <a:ln>
                      <a:noFill/>
                    </a:ln>
                  </pic:spPr>
                </pic:pic>
              </a:graphicData>
            </a:graphic>
          </wp:inline>
        </w:drawing>
      </w:r>
    </w:p>
    <w:p w14:paraId="5CDE1068" w14:textId="77777777" w:rsidR="008E6B52" w:rsidRDefault="008E6B52" w:rsidP="009678E1">
      <w:pPr>
        <w:ind w:left="567"/>
        <w:jc w:val="left"/>
        <w:rPr>
          <w:color w:val="FF0000"/>
          <w:highlight w:val="yellow"/>
        </w:rPr>
      </w:pPr>
    </w:p>
    <w:p w14:paraId="0561F681" w14:textId="18D553F3" w:rsidR="00F65E0C" w:rsidRPr="00CD7CDB" w:rsidRDefault="00F65E0C" w:rsidP="009678E1">
      <w:pPr>
        <w:ind w:left="567"/>
        <w:jc w:val="left"/>
        <w:rPr>
          <w:rFonts w:eastAsiaTheme="majorEastAsia" w:cstheme="majorBidi"/>
          <w:b/>
          <w:bCs/>
          <w:smallCaps/>
          <w:color w:val="FF0000"/>
          <w:sz w:val="26"/>
          <w:szCs w:val="26"/>
        </w:rPr>
      </w:pPr>
      <w:r w:rsidRPr="00CD7CDB">
        <w:rPr>
          <w:color w:val="FF0000"/>
        </w:rPr>
        <w:br w:type="page"/>
      </w:r>
    </w:p>
    <w:p w14:paraId="2CA3AE3E" w14:textId="619F8FFD" w:rsidR="007470C7" w:rsidRDefault="007470C7" w:rsidP="007470C7">
      <w:pPr>
        <w:pStyle w:val="Titre2"/>
        <w:ind w:left="567"/>
      </w:pPr>
      <w:bookmarkStart w:id="289" w:name="_Toc475033272"/>
      <w:r>
        <w:lastRenderedPageBreak/>
        <w:t>18.4 I</w:t>
      </w:r>
      <w:r w:rsidRPr="00C032EC">
        <w:t xml:space="preserve">nformations financières </w:t>
      </w:r>
      <w:r>
        <w:t>proforma</w:t>
      </w:r>
      <w:bookmarkEnd w:id="289"/>
    </w:p>
    <w:p w14:paraId="4A984BF0" w14:textId="77777777" w:rsidR="007470C7" w:rsidRDefault="007470C7" w:rsidP="007470C7">
      <w:pPr>
        <w:ind w:left="567"/>
      </w:pPr>
    </w:p>
    <w:p w14:paraId="1E604D1A" w14:textId="4FA617E5" w:rsidR="007470C7" w:rsidRDefault="007470C7" w:rsidP="007470C7">
      <w:pPr>
        <w:ind w:left="567"/>
      </w:pPr>
      <w:r w:rsidRPr="00A247E0">
        <w:t>Non concerné</w:t>
      </w:r>
    </w:p>
    <w:p w14:paraId="52022F0D" w14:textId="77777777" w:rsidR="007470C7" w:rsidRDefault="007470C7" w:rsidP="007470C7">
      <w:pPr>
        <w:ind w:left="567"/>
      </w:pPr>
    </w:p>
    <w:p w14:paraId="42D0A0C2" w14:textId="77777777" w:rsidR="007470C7" w:rsidRPr="005345C1" w:rsidRDefault="007470C7" w:rsidP="007470C7">
      <w:pPr>
        <w:pStyle w:val="Titre2"/>
        <w:ind w:left="567"/>
      </w:pPr>
      <w:bookmarkStart w:id="290" w:name="_Toc475033273"/>
      <w:r>
        <w:t>18.5 Politique de distribution de dividendes</w:t>
      </w:r>
      <w:bookmarkEnd w:id="290"/>
      <w:r>
        <w:t xml:space="preserve"> </w:t>
      </w:r>
      <w:r>
        <w:tab/>
      </w:r>
    </w:p>
    <w:p w14:paraId="58B40C50" w14:textId="77777777" w:rsidR="007470C7" w:rsidRDefault="007470C7" w:rsidP="007470C7">
      <w:pPr>
        <w:pStyle w:val="Titre3"/>
        <w:ind w:left="567"/>
      </w:pPr>
      <w:bookmarkStart w:id="291" w:name="_Toc475033274"/>
      <w:r>
        <w:t>18.5.1 Dividendes versés au cours des 3 derniers exercices</w:t>
      </w:r>
      <w:bookmarkEnd w:id="291"/>
      <w:r>
        <w:t xml:space="preserve"> </w:t>
      </w:r>
      <w:r>
        <w:tab/>
      </w:r>
    </w:p>
    <w:p w14:paraId="0E49511A" w14:textId="77777777" w:rsidR="007470C7" w:rsidRDefault="007470C7" w:rsidP="007470C7">
      <w:pPr>
        <w:ind w:left="567"/>
      </w:pPr>
    </w:p>
    <w:p w14:paraId="2DB90579" w14:textId="77777777" w:rsidR="007470C7" w:rsidRPr="00C44391" w:rsidRDefault="007470C7" w:rsidP="007470C7">
      <w:pPr>
        <w:ind w:left="567"/>
      </w:pPr>
      <w:r w:rsidRPr="00C44391">
        <w:t>Aucune distribution de dividendes n’est intervenue au cours des 3 derniers exercices de la Société.</w:t>
      </w:r>
    </w:p>
    <w:p w14:paraId="2E13C12F" w14:textId="77777777" w:rsidR="007470C7" w:rsidRPr="00582200" w:rsidRDefault="007470C7" w:rsidP="007470C7">
      <w:pPr>
        <w:ind w:left="567"/>
        <w:rPr>
          <w:color w:val="FF0000"/>
        </w:rPr>
      </w:pPr>
    </w:p>
    <w:p w14:paraId="46E6F3D4" w14:textId="77777777" w:rsidR="007470C7" w:rsidRDefault="007470C7" w:rsidP="007470C7">
      <w:pPr>
        <w:pStyle w:val="Titre3"/>
        <w:ind w:left="567"/>
      </w:pPr>
      <w:bookmarkStart w:id="292" w:name="_Toc475033275"/>
      <w:r>
        <w:t>18.5.2 Politique de distribution de dividendes</w:t>
      </w:r>
      <w:bookmarkEnd w:id="292"/>
      <w:r>
        <w:t xml:space="preserve"> </w:t>
      </w:r>
      <w:r>
        <w:tab/>
      </w:r>
    </w:p>
    <w:p w14:paraId="2524D7FF" w14:textId="77777777" w:rsidR="007470C7" w:rsidRPr="00582200" w:rsidRDefault="007470C7" w:rsidP="007470C7">
      <w:pPr>
        <w:ind w:left="567"/>
        <w:rPr>
          <w:color w:val="FF0000"/>
        </w:rPr>
      </w:pPr>
    </w:p>
    <w:p w14:paraId="117F0C29" w14:textId="77777777" w:rsidR="007470C7" w:rsidRPr="00410BFC" w:rsidRDefault="007470C7" w:rsidP="007470C7">
      <w:pPr>
        <w:ind w:left="567"/>
      </w:pPr>
      <w:r w:rsidRPr="00410BFC">
        <w:t>A ce jour, la Société n’envisage pas la mise en œuvre d’une politique de versement de dividendes.</w:t>
      </w:r>
    </w:p>
    <w:p w14:paraId="30F1A05D" w14:textId="77777777" w:rsidR="00CF0C5B" w:rsidRPr="00C032EC" w:rsidRDefault="00CF0C5B" w:rsidP="007470C7">
      <w:r w:rsidRPr="00C032EC">
        <w:tab/>
      </w:r>
    </w:p>
    <w:p w14:paraId="56373413" w14:textId="77777777" w:rsidR="00461DF9" w:rsidRPr="00292DF2" w:rsidRDefault="00461DF9" w:rsidP="009678E1">
      <w:pPr>
        <w:ind w:left="567"/>
      </w:pPr>
    </w:p>
    <w:p w14:paraId="1ED5A5CE" w14:textId="680EA6B7" w:rsidR="00461DF9" w:rsidRDefault="00A247E0" w:rsidP="009678E1">
      <w:pPr>
        <w:pStyle w:val="Titre2"/>
        <w:ind w:left="567"/>
      </w:pPr>
      <w:bookmarkStart w:id="293" w:name="_Ref368125754"/>
      <w:bookmarkStart w:id="294" w:name="_Ref368242714"/>
      <w:bookmarkStart w:id="295" w:name="_Ref472870864"/>
      <w:bookmarkStart w:id="296" w:name="_Toc475033276"/>
      <w:r>
        <w:t>18</w:t>
      </w:r>
      <w:r w:rsidR="00C032EC">
        <w:t xml:space="preserve">.6 </w:t>
      </w:r>
      <w:r w:rsidR="00CF0C5B">
        <w:t>Procédures judiciaires et d’arbitrage</w:t>
      </w:r>
      <w:bookmarkEnd w:id="293"/>
      <w:bookmarkEnd w:id="294"/>
      <w:bookmarkEnd w:id="296"/>
      <w:r w:rsidR="00CF0C5B">
        <w:t xml:space="preserve"> </w:t>
      </w:r>
      <w:bookmarkEnd w:id="295"/>
    </w:p>
    <w:p w14:paraId="00D26558" w14:textId="77777777" w:rsidR="00B246B9" w:rsidRDefault="00B246B9" w:rsidP="00B64FB8">
      <w:pPr>
        <w:rPr>
          <w:b/>
          <w:color w:val="FF0000"/>
        </w:rPr>
      </w:pPr>
    </w:p>
    <w:p w14:paraId="68297A1C" w14:textId="3E4E4949" w:rsidR="00120F98" w:rsidRPr="0071166F" w:rsidRDefault="00120F98" w:rsidP="0071166F">
      <w:pPr>
        <w:pStyle w:val="Paragraphedeliste"/>
        <w:numPr>
          <w:ilvl w:val="0"/>
          <w:numId w:val="5"/>
        </w:numPr>
        <w:ind w:left="993" w:firstLine="0"/>
        <w:rPr>
          <w:b/>
        </w:rPr>
      </w:pPr>
      <w:r w:rsidRPr="0071166F">
        <w:rPr>
          <w:b/>
        </w:rPr>
        <w:t xml:space="preserve">Litige </w:t>
      </w:r>
      <w:r w:rsidR="00FA76DA" w:rsidRPr="0071166F">
        <w:rPr>
          <w:b/>
        </w:rPr>
        <w:t xml:space="preserve">IMS / </w:t>
      </w:r>
      <w:r w:rsidRPr="0071166F">
        <w:rPr>
          <w:b/>
        </w:rPr>
        <w:t>Strategos Group LLC :</w:t>
      </w:r>
    </w:p>
    <w:p w14:paraId="359034B6" w14:textId="7AAFEC43" w:rsidR="00120F98" w:rsidRDefault="00120F98" w:rsidP="009678E1">
      <w:pPr>
        <w:ind w:left="567"/>
      </w:pPr>
      <w:r>
        <w:t xml:space="preserve">Spineway a acquis </w:t>
      </w:r>
      <w:r w:rsidR="00CA19F0">
        <w:t xml:space="preserve">des titres auprès de la société Strategos pour un montant de 1.160.000€ dans le cadre de la conclusion d’un contrat de partenariat et de distribution des produits Spineway en Colombie. Contractuellement, à défaut de conclusion effective dudit contrat de partenariat dans les 6 mois suivant la date de promesse, l’achat des parts était </w:t>
      </w:r>
      <w:r w:rsidR="00CD73CF">
        <w:t>résilié</w:t>
      </w:r>
      <w:r w:rsidR="00CA19F0">
        <w:t xml:space="preserve"> et les sommes versées par Spineway restituées sans indemnité de part et d’autre. En raison d’une perte de confiance, le contrat de partenariat n’a pas été signé. Spineway ne parvient toutefois pas à obtenir la restitution</w:t>
      </w:r>
      <w:r w:rsidR="00253C49">
        <w:t xml:space="preserve"> du prix versé.</w:t>
      </w:r>
    </w:p>
    <w:p w14:paraId="76C7D761" w14:textId="6B9E9886" w:rsidR="00FA76DA" w:rsidRDefault="00FA76DA" w:rsidP="009678E1">
      <w:pPr>
        <w:ind w:left="567"/>
      </w:pPr>
      <w:r>
        <w:t xml:space="preserve">Aucun élément de fait n’a été apporté par IMS depuis l’introduction de cette demande d’arbitrage au début du mois d’août 2020.  </w:t>
      </w:r>
    </w:p>
    <w:p w14:paraId="69119BD3" w14:textId="77777777" w:rsidR="00DD06F3" w:rsidRDefault="00DD06F3" w:rsidP="00DD06F3">
      <w:pPr>
        <w:ind w:left="567"/>
      </w:pPr>
      <w:r>
        <w:t xml:space="preserve">A la lecture de l‘analyse juridique réalisée par les conseils juridiques de la Société, une application stricte de l’accord initial « aboutirait logiquement à la résolution du contrat et à la restitution du prix » et les chances de succès de la procédure que Spineway a initié en aout 2020 devant le Tribunal arbitral de la Chambre de Commerce de Genève sont « sérieuses ». </w:t>
      </w:r>
    </w:p>
    <w:p w14:paraId="273DF496" w14:textId="77777777" w:rsidR="00DD06F3" w:rsidRDefault="00DD06F3" w:rsidP="00DD06F3"/>
    <w:p w14:paraId="641FC0A5" w14:textId="5B257C3F" w:rsidR="005B2E52" w:rsidRPr="0071166F" w:rsidRDefault="005B2E52" w:rsidP="0071166F">
      <w:pPr>
        <w:pStyle w:val="Paragraphedeliste"/>
        <w:numPr>
          <w:ilvl w:val="0"/>
          <w:numId w:val="5"/>
        </w:numPr>
        <w:ind w:left="993" w:firstLine="0"/>
        <w:rPr>
          <w:b/>
        </w:rPr>
      </w:pPr>
      <w:r w:rsidRPr="0071166F">
        <w:rPr>
          <w:b/>
        </w:rPr>
        <w:t>Litige administration fiscale :</w:t>
      </w:r>
    </w:p>
    <w:p w14:paraId="3DE3BA8E" w14:textId="0002AC2D" w:rsidR="007D4D33" w:rsidRDefault="245A6EAB" w:rsidP="007D4D33">
      <w:pPr>
        <w:ind w:left="567"/>
      </w:pPr>
      <w:r>
        <w:t xml:space="preserve">Spineway était en litige avec l’administration fiscale suite à un contrôle fiscal intervenu en 2014. Le contrôleur fiscal avait estimé que la Société avait fait le choix d’immobiliser ses dépenses de recherches puisque ses prototypes avaient été inscrits à l’actif. La contestation portait sur un montant de 190.941€. Une inscription de privilège du trésor public avait été passée le 27 octobre 2016. </w:t>
      </w:r>
    </w:p>
    <w:p w14:paraId="0D97BC85" w14:textId="45EEF50A" w:rsidR="00B6124F" w:rsidRPr="007D4D33" w:rsidRDefault="245A6EAB" w:rsidP="007D4D33">
      <w:pPr>
        <w:ind w:left="567"/>
      </w:pPr>
      <w:r>
        <w:t>Aucune provision n’avait été passée dans les comptes Spineway puisque la Société et ses conseils juridiques estiment injustifiée la position de l’administration fiscale.</w:t>
      </w:r>
    </w:p>
    <w:p w14:paraId="47E8E0AE" w14:textId="13F97C1E" w:rsidR="007D4D33" w:rsidRPr="007D4D33" w:rsidRDefault="007D4D33" w:rsidP="007D4D33">
      <w:pPr>
        <w:shd w:val="clear" w:color="auto" w:fill="FFFFFF"/>
        <w:ind w:left="567"/>
      </w:pPr>
      <w:r w:rsidRPr="007D4D33">
        <w:t xml:space="preserve">Le premier jugement au tribunal administratif a été défavorable au </w:t>
      </w:r>
      <w:r w:rsidR="00783001">
        <w:t>G</w:t>
      </w:r>
      <w:r w:rsidR="00783001" w:rsidRPr="007D4D33">
        <w:t>roupe</w:t>
      </w:r>
      <w:r w:rsidR="00783001">
        <w:t xml:space="preserve"> et</w:t>
      </w:r>
      <w:r w:rsidR="00783001" w:rsidRPr="007D4D33">
        <w:t xml:space="preserve"> </w:t>
      </w:r>
      <w:r w:rsidRPr="007D4D33">
        <w:t xml:space="preserve">la </w:t>
      </w:r>
      <w:r w:rsidR="00783001">
        <w:t>S</w:t>
      </w:r>
      <w:r w:rsidR="00783001" w:rsidRPr="007D4D33">
        <w:t xml:space="preserve">ociété </w:t>
      </w:r>
      <w:r w:rsidRPr="007D4D33">
        <w:t xml:space="preserve">a réglé le montant total demandé par l'administration en juillet 2018. </w:t>
      </w:r>
    </w:p>
    <w:p w14:paraId="4802C10A" w14:textId="77777777" w:rsidR="00DD06F3" w:rsidRDefault="00DD06F3" w:rsidP="00DD06F3">
      <w:pPr>
        <w:shd w:val="clear" w:color="auto" w:fill="FFFFFF"/>
        <w:ind w:left="567"/>
      </w:pPr>
      <w:r w:rsidRPr="007D4D33">
        <w:t xml:space="preserve">La </w:t>
      </w:r>
      <w:r>
        <w:t>C</w:t>
      </w:r>
      <w:r w:rsidRPr="007D4D33">
        <w:t>our administrative d’appel de Lyon</w:t>
      </w:r>
      <w:r>
        <w:t>,</w:t>
      </w:r>
      <w:r w:rsidRPr="007D4D33">
        <w:t xml:space="preserve"> par </w:t>
      </w:r>
      <w:r>
        <w:t xml:space="preserve">arrêt en date du </w:t>
      </w:r>
      <w:r w:rsidRPr="007D4D33">
        <w:t>4 juin 2020</w:t>
      </w:r>
      <w:r>
        <w:t>,</w:t>
      </w:r>
      <w:r w:rsidRPr="007D4D33">
        <w:t xml:space="preserve"> a annulé le jugement du tribunal administratif. </w:t>
      </w:r>
    </w:p>
    <w:p w14:paraId="2CB47067" w14:textId="77777777" w:rsidR="00DD06F3" w:rsidRPr="007D4D33" w:rsidRDefault="00DD06F3" w:rsidP="00DD06F3">
      <w:pPr>
        <w:shd w:val="clear" w:color="auto" w:fill="FFFFFF"/>
        <w:ind w:left="567"/>
      </w:pPr>
      <w:r w:rsidRPr="007D4D33">
        <w:t>Ainsi, les comptes 2020 tiennent compte d’un produit exceptionnel sur exercices antérieurs de 199</w:t>
      </w:r>
      <w:r>
        <w:t xml:space="preserve"> </w:t>
      </w:r>
      <w:r w:rsidRPr="007D4D33">
        <w:t>K€, montant perçu en septembre 2020.</w:t>
      </w:r>
    </w:p>
    <w:p w14:paraId="0BDE678C" w14:textId="77777777" w:rsidR="00794520" w:rsidRPr="000C10EB" w:rsidRDefault="00794520" w:rsidP="009678E1">
      <w:pPr>
        <w:ind w:left="567"/>
      </w:pPr>
    </w:p>
    <w:p w14:paraId="081B3AE1" w14:textId="2A92B26D" w:rsidR="00486FD1" w:rsidRPr="00CB5401" w:rsidRDefault="00CB5401" w:rsidP="009678E1">
      <w:pPr>
        <w:ind w:left="567"/>
        <w:rPr>
          <w:szCs w:val="20"/>
        </w:rPr>
      </w:pPr>
      <w:r w:rsidRPr="000C10EB">
        <w:rPr>
          <w:szCs w:val="20"/>
        </w:rPr>
        <w:t>A</w:t>
      </w:r>
      <w:r w:rsidRPr="00CB5401">
        <w:rPr>
          <w:szCs w:val="20"/>
        </w:rPr>
        <w:t xml:space="preserve"> l’exception des procédures réelles ou potentielles évoquées ci-dessus, </w:t>
      </w:r>
      <w:r w:rsidR="00486FD1">
        <w:rPr>
          <w:szCs w:val="20"/>
        </w:rPr>
        <w:t>i</w:t>
      </w:r>
      <w:r w:rsidR="00486FD1" w:rsidRPr="00486FD1">
        <w:rPr>
          <w:szCs w:val="20"/>
        </w:rPr>
        <w:t>l n’existe pas d’autre procédure gouvernementale, judiciaire ou d’arbitrage, y c</w:t>
      </w:r>
      <w:r w:rsidR="00486FD1">
        <w:rPr>
          <w:szCs w:val="20"/>
        </w:rPr>
        <w:t>ompris toute procédure dont la S</w:t>
      </w:r>
      <w:r w:rsidR="00486FD1" w:rsidRPr="00486FD1">
        <w:rPr>
          <w:szCs w:val="20"/>
        </w:rPr>
        <w:t>ociété a connaissance, qui est en suspens ou dont elle est menacée, susceptible d’avoir ou ayant eu au cours des 12 derniers mois des effets significatifs sur la situation financière ou la renta</w:t>
      </w:r>
      <w:r w:rsidR="00486FD1">
        <w:rPr>
          <w:szCs w:val="20"/>
        </w:rPr>
        <w:t>bilité de la Société et/ou du G</w:t>
      </w:r>
      <w:r w:rsidR="00486FD1" w:rsidRPr="00486FD1">
        <w:rPr>
          <w:szCs w:val="20"/>
        </w:rPr>
        <w:t>roupe</w:t>
      </w:r>
      <w:r w:rsidR="00783001">
        <w:rPr>
          <w:szCs w:val="20"/>
        </w:rPr>
        <w:t>.</w:t>
      </w:r>
    </w:p>
    <w:p w14:paraId="04381CF1" w14:textId="77777777" w:rsidR="00FA76DA" w:rsidRDefault="00FA76DA" w:rsidP="007470C7">
      <w:pPr>
        <w:pStyle w:val="Titre2"/>
      </w:pPr>
    </w:p>
    <w:p w14:paraId="7763EB0E" w14:textId="55FB281C" w:rsidR="00CF0C5B" w:rsidRDefault="00A247E0" w:rsidP="009678E1">
      <w:pPr>
        <w:pStyle w:val="Titre2"/>
        <w:ind w:left="567"/>
      </w:pPr>
      <w:bookmarkStart w:id="297" w:name="_Toc475033277"/>
      <w:r>
        <w:t>18</w:t>
      </w:r>
      <w:r w:rsidR="00C032EC">
        <w:t xml:space="preserve">.7 </w:t>
      </w:r>
      <w:r w:rsidR="00CF0C5B">
        <w:t>Changements significatifs de la situation financière ou commerciale</w:t>
      </w:r>
      <w:bookmarkEnd w:id="297"/>
      <w:r w:rsidR="00CF0C5B">
        <w:t xml:space="preserve"> </w:t>
      </w:r>
      <w:r w:rsidR="00CF0C5B">
        <w:tab/>
      </w:r>
    </w:p>
    <w:p w14:paraId="4F3D72F8" w14:textId="77777777" w:rsidR="00CF0C5B" w:rsidRDefault="00CF0C5B" w:rsidP="009678E1">
      <w:pPr>
        <w:pStyle w:val="Paragraphedeliste"/>
        <w:tabs>
          <w:tab w:val="right" w:leader="dot" w:pos="8505"/>
        </w:tabs>
        <w:ind w:left="567" w:right="844"/>
        <w:rPr>
          <w:szCs w:val="20"/>
        </w:rPr>
      </w:pPr>
    </w:p>
    <w:p w14:paraId="66A153FA" w14:textId="69D10CF3" w:rsidR="00DB6BFD" w:rsidRDefault="00B246B9" w:rsidP="009678E1">
      <w:pPr>
        <w:ind w:left="567"/>
      </w:pPr>
      <w:r>
        <w:rPr>
          <w:szCs w:val="20"/>
        </w:rPr>
        <w:t>Néant</w:t>
      </w:r>
    </w:p>
    <w:p w14:paraId="3ED247FC" w14:textId="77777777" w:rsidR="00A247E0" w:rsidRDefault="00A247E0" w:rsidP="009678E1">
      <w:pPr>
        <w:ind w:left="567"/>
        <w:jc w:val="left"/>
        <w:rPr>
          <w:rFonts w:eastAsiaTheme="majorEastAsia" w:cstheme="majorBidi"/>
          <w:b/>
          <w:bCs/>
          <w:color w:val="345A8A" w:themeColor="accent1" w:themeShade="B5"/>
          <w:sz w:val="32"/>
          <w:szCs w:val="32"/>
        </w:rPr>
      </w:pPr>
      <w:r>
        <w:br w:type="page"/>
      </w:r>
    </w:p>
    <w:p w14:paraId="1B2E26A7" w14:textId="7C3D12F2" w:rsidR="00CF0C5B" w:rsidRPr="007B3CBC" w:rsidRDefault="00B43384" w:rsidP="009678E1">
      <w:pPr>
        <w:pStyle w:val="Titre1"/>
        <w:ind w:left="567"/>
      </w:pPr>
      <w:bookmarkStart w:id="298" w:name="_Toc475033278"/>
      <w:r>
        <w:lastRenderedPageBreak/>
        <w:t xml:space="preserve">19. </w:t>
      </w:r>
      <w:r w:rsidRPr="007B3CBC">
        <w:t>INFORMATIONS COMPLEMENTAIRES</w:t>
      </w:r>
      <w:bookmarkEnd w:id="298"/>
      <w:r w:rsidRPr="007B3CBC">
        <w:t xml:space="preserve"> </w:t>
      </w:r>
      <w:r w:rsidR="00CF0C5B" w:rsidRPr="007B3CBC">
        <w:tab/>
      </w:r>
    </w:p>
    <w:p w14:paraId="548D8DEA" w14:textId="4E6CC138" w:rsidR="00CF0C5B" w:rsidRDefault="00A247E0" w:rsidP="009678E1">
      <w:pPr>
        <w:pStyle w:val="Titre2"/>
        <w:ind w:left="567"/>
      </w:pPr>
      <w:bookmarkStart w:id="299" w:name="_Ref337795588"/>
      <w:bookmarkStart w:id="300" w:name="_Toc475033279"/>
      <w:r>
        <w:t>19</w:t>
      </w:r>
      <w:r w:rsidR="00C032EC">
        <w:t xml:space="preserve">.1 </w:t>
      </w:r>
      <w:r w:rsidR="00CF0C5B">
        <w:t>Capital social</w:t>
      </w:r>
      <w:bookmarkEnd w:id="299"/>
      <w:bookmarkEnd w:id="300"/>
      <w:r w:rsidR="00CF0C5B">
        <w:t xml:space="preserve"> </w:t>
      </w:r>
      <w:r w:rsidR="00CF0C5B">
        <w:tab/>
      </w:r>
    </w:p>
    <w:p w14:paraId="558A1B27" w14:textId="21B781A9" w:rsidR="00496F6A" w:rsidRDefault="00A247E0" w:rsidP="009678E1">
      <w:pPr>
        <w:pStyle w:val="Titre3"/>
        <w:ind w:left="567"/>
      </w:pPr>
      <w:bookmarkStart w:id="301" w:name="_Ref474073183"/>
      <w:bookmarkStart w:id="302" w:name="_Toc475033280"/>
      <w:r>
        <w:t>19.</w:t>
      </w:r>
      <w:r w:rsidR="00C032EC">
        <w:t xml:space="preserve">1.1 </w:t>
      </w:r>
      <w:r w:rsidR="00CF0C5B">
        <w:t>Montant du capital social</w:t>
      </w:r>
      <w:bookmarkEnd w:id="301"/>
      <w:bookmarkEnd w:id="302"/>
      <w:r w:rsidR="00CF0C5B">
        <w:t xml:space="preserve"> </w:t>
      </w:r>
      <w:r w:rsidR="00CF0C5B">
        <w:tab/>
      </w:r>
    </w:p>
    <w:p w14:paraId="2E409C82" w14:textId="77777777" w:rsidR="00496F6A" w:rsidRDefault="00496F6A" w:rsidP="009678E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567"/>
      </w:pPr>
    </w:p>
    <w:p w14:paraId="7FC0EBEF" w14:textId="191D38FB" w:rsidR="00496F6A" w:rsidRPr="00C44391" w:rsidRDefault="00496F6A" w:rsidP="009678E1">
      <w:pPr>
        <w:ind w:left="567"/>
        <w:rPr>
          <w:szCs w:val="20"/>
        </w:rPr>
      </w:pPr>
      <w:bookmarkStart w:id="303" w:name="_Ref341200110"/>
      <w:r w:rsidRPr="00C44391">
        <w:rPr>
          <w:szCs w:val="20"/>
        </w:rPr>
        <w:t xml:space="preserve">A la date du présent </w:t>
      </w:r>
      <w:r w:rsidR="00920DEB">
        <w:rPr>
          <w:szCs w:val="20"/>
        </w:rPr>
        <w:t>Document d’enregistrement universel</w:t>
      </w:r>
      <w:r w:rsidRPr="00C44391">
        <w:rPr>
          <w:szCs w:val="20"/>
        </w:rPr>
        <w:t xml:space="preserve">, le capital social s’élève à </w:t>
      </w:r>
      <w:r w:rsidR="006A4C74">
        <w:t>633.161,27</w:t>
      </w:r>
      <w:r w:rsidR="00C44391" w:rsidRPr="00C44391">
        <w:t>€</w:t>
      </w:r>
      <w:r w:rsidRPr="00C44391">
        <w:rPr>
          <w:szCs w:val="20"/>
        </w:rPr>
        <w:t xml:space="preserve">, divisé en </w:t>
      </w:r>
      <w:r w:rsidR="00A6521F">
        <w:rPr>
          <w:szCs w:val="20"/>
        </w:rPr>
        <w:t>6.331.612.656</w:t>
      </w:r>
      <w:r w:rsidR="00C44391" w:rsidRPr="00C44391">
        <w:t xml:space="preserve"> </w:t>
      </w:r>
      <w:r w:rsidRPr="00C44391">
        <w:rPr>
          <w:szCs w:val="20"/>
        </w:rPr>
        <w:t xml:space="preserve">actions d’une valeur nominale de </w:t>
      </w:r>
      <w:r w:rsidR="00C44391" w:rsidRPr="00C44391">
        <w:t>0,</w:t>
      </w:r>
      <w:r w:rsidR="00CA202F">
        <w:t>0</w:t>
      </w:r>
      <w:r w:rsidR="00467964">
        <w:t>0</w:t>
      </w:r>
      <w:r w:rsidR="00A273DA">
        <w:t>01</w:t>
      </w:r>
      <w:r w:rsidR="00663878">
        <w:t xml:space="preserve"> </w:t>
      </w:r>
      <w:r w:rsidR="00C44391" w:rsidRPr="00C44391">
        <w:t xml:space="preserve">€ </w:t>
      </w:r>
      <w:r w:rsidRPr="00C44391">
        <w:rPr>
          <w:szCs w:val="20"/>
        </w:rPr>
        <w:t>intégralement libérées.</w:t>
      </w:r>
      <w:bookmarkEnd w:id="303"/>
      <w:r w:rsidRPr="00C44391">
        <w:rPr>
          <w:szCs w:val="20"/>
        </w:rPr>
        <w:t xml:space="preserve"> </w:t>
      </w:r>
    </w:p>
    <w:p w14:paraId="27281F52" w14:textId="16163DB6" w:rsidR="00496F6A" w:rsidRPr="0032696E" w:rsidRDefault="00496F6A" w:rsidP="009678E1">
      <w:pPr>
        <w:ind w:left="567"/>
        <w:rPr>
          <w:szCs w:val="20"/>
        </w:rPr>
      </w:pPr>
      <w:r w:rsidRPr="0032696E">
        <w:rPr>
          <w:szCs w:val="20"/>
        </w:rPr>
        <w:t>Des titres donnant accès au capital et des délégations de compétence ou de pouvoirs consenties au Conseil d'</w:t>
      </w:r>
      <w:r w:rsidR="00B43384">
        <w:rPr>
          <w:szCs w:val="20"/>
        </w:rPr>
        <w:t>a</w:t>
      </w:r>
      <w:r w:rsidRPr="0032696E">
        <w:rPr>
          <w:szCs w:val="20"/>
        </w:rPr>
        <w:t>dministration par l’</w:t>
      </w:r>
      <w:r w:rsidR="00B43384">
        <w:rPr>
          <w:szCs w:val="20"/>
        </w:rPr>
        <w:t>a</w:t>
      </w:r>
      <w:r w:rsidRPr="0032696E">
        <w:rPr>
          <w:szCs w:val="20"/>
        </w:rPr>
        <w:t xml:space="preserve">ssemblée </w:t>
      </w:r>
      <w:r w:rsidR="00B43384">
        <w:rPr>
          <w:szCs w:val="20"/>
        </w:rPr>
        <w:t>g</w:t>
      </w:r>
      <w:r w:rsidRPr="0032696E">
        <w:rPr>
          <w:szCs w:val="20"/>
        </w:rPr>
        <w:t>énérale sont décrits aux paragraphe</w:t>
      </w:r>
      <w:r w:rsidRPr="00242C24">
        <w:rPr>
          <w:szCs w:val="20"/>
        </w:rPr>
        <w:t>s</w:t>
      </w:r>
      <w:r w:rsidR="00B64FB8" w:rsidRPr="00242C24">
        <w:rPr>
          <w:szCs w:val="20"/>
        </w:rPr>
        <w:t> </w:t>
      </w:r>
      <w:r w:rsidR="00242C24" w:rsidRPr="00242C24">
        <w:rPr>
          <w:szCs w:val="20"/>
        </w:rPr>
        <w:t>« </w:t>
      </w:r>
      <w:r w:rsidR="00242C24">
        <w:rPr>
          <w:color w:val="FF0000"/>
          <w:szCs w:val="20"/>
        </w:rPr>
        <w:fldChar w:fldCharType="begin"/>
      </w:r>
      <w:r w:rsidR="00242C24">
        <w:rPr>
          <w:color w:val="FF0000"/>
          <w:szCs w:val="20"/>
        </w:rPr>
        <w:instrText xml:space="preserve"> REF _Ref471663564 \h </w:instrText>
      </w:r>
      <w:r w:rsidR="00242C24">
        <w:rPr>
          <w:color w:val="FF0000"/>
          <w:szCs w:val="20"/>
        </w:rPr>
      </w:r>
      <w:r w:rsidR="00242C24">
        <w:rPr>
          <w:color w:val="FF0000"/>
          <w:szCs w:val="20"/>
        </w:rPr>
        <w:fldChar w:fldCharType="separate"/>
      </w:r>
      <w:r w:rsidR="003A0AD1">
        <w:t>19.1.4 Valeurs mobilières ouvrant droit à une quote-part de capital</w:t>
      </w:r>
      <w:r w:rsidR="00242C24">
        <w:rPr>
          <w:color w:val="FF0000"/>
          <w:szCs w:val="20"/>
        </w:rPr>
        <w:fldChar w:fldCharType="end"/>
      </w:r>
      <w:r w:rsidR="00242C24">
        <w:rPr>
          <w:szCs w:val="20"/>
        </w:rPr>
        <w:t xml:space="preserve">» </w:t>
      </w:r>
      <w:r w:rsidR="00B64FB8">
        <w:rPr>
          <w:szCs w:val="20"/>
        </w:rPr>
        <w:t>et</w:t>
      </w:r>
      <w:r w:rsidR="00242C24">
        <w:rPr>
          <w:szCs w:val="20"/>
        </w:rPr>
        <w:t> « </w:t>
      </w:r>
      <w:r w:rsidR="00B64FB8">
        <w:rPr>
          <w:szCs w:val="20"/>
        </w:rPr>
        <w:fldChar w:fldCharType="begin"/>
      </w:r>
      <w:r w:rsidR="00B64FB8">
        <w:rPr>
          <w:szCs w:val="20"/>
        </w:rPr>
        <w:instrText xml:space="preserve"> REF _Ref472688433 \h </w:instrText>
      </w:r>
      <w:r w:rsidR="00B64FB8">
        <w:rPr>
          <w:szCs w:val="20"/>
        </w:rPr>
      </w:r>
      <w:r w:rsidR="00B64FB8">
        <w:rPr>
          <w:szCs w:val="20"/>
        </w:rPr>
        <w:fldChar w:fldCharType="separate"/>
      </w:r>
      <w:r w:rsidR="003A0AD1">
        <w:t>19.1.5 Capital autorisé</w:t>
      </w:r>
      <w:r w:rsidR="00B64FB8">
        <w:rPr>
          <w:szCs w:val="20"/>
        </w:rPr>
        <w:fldChar w:fldCharType="end"/>
      </w:r>
      <w:r w:rsidR="00242C24">
        <w:rPr>
          <w:szCs w:val="20"/>
        </w:rPr>
        <w:t xml:space="preserve"> » </w:t>
      </w:r>
      <w:r w:rsidR="00B64FB8">
        <w:rPr>
          <w:szCs w:val="20"/>
        </w:rPr>
        <w:t>du Document d’enregistrement universel</w:t>
      </w:r>
      <w:r w:rsidRPr="0032696E">
        <w:rPr>
          <w:szCs w:val="20"/>
        </w:rPr>
        <w:t xml:space="preserve">. </w:t>
      </w:r>
    </w:p>
    <w:p w14:paraId="0541F8D7" w14:textId="77777777" w:rsidR="00A137AC" w:rsidRDefault="00A137AC" w:rsidP="009678E1">
      <w:pPr>
        <w:ind w:left="567"/>
        <w:rPr>
          <w:szCs w:val="20"/>
        </w:rPr>
      </w:pPr>
    </w:p>
    <w:p w14:paraId="78E27A93" w14:textId="3F16B524" w:rsidR="00C44391" w:rsidRDefault="00DD06F3" w:rsidP="009678E1">
      <w:pPr>
        <w:ind w:left="567"/>
        <w:rPr>
          <w:szCs w:val="20"/>
        </w:rPr>
      </w:pPr>
      <w:r>
        <w:rPr>
          <w:szCs w:val="20"/>
        </w:rPr>
        <w:t>Juridiquement, le</w:t>
      </w:r>
      <w:r w:rsidR="00C44391">
        <w:rPr>
          <w:szCs w:val="20"/>
        </w:rPr>
        <w:t xml:space="preserve"> nombre d’actions composant le capital social de Spineway a évolué comme suit :</w:t>
      </w:r>
    </w:p>
    <w:p w14:paraId="06E0AF7F" w14:textId="1CE68EBE" w:rsidR="00C44391" w:rsidRDefault="00C44391" w:rsidP="009678E1">
      <w:pPr>
        <w:ind w:left="567"/>
        <w:rPr>
          <w:szCs w:val="20"/>
        </w:rPr>
      </w:pPr>
    </w:p>
    <w:p w14:paraId="74B95906" w14:textId="092B31E3" w:rsidR="00C44391" w:rsidRDefault="00A6521F" w:rsidP="009678E1">
      <w:pPr>
        <w:ind w:left="567"/>
      </w:pPr>
      <w:r>
        <w:rPr>
          <w:noProof/>
        </w:rPr>
        <w:drawing>
          <wp:inline distT="0" distB="0" distL="0" distR="0" wp14:anchorId="41CCD459" wp14:editId="13613B2C">
            <wp:extent cx="6379633" cy="1255039"/>
            <wp:effectExtent l="0" t="0" r="0" b="0"/>
            <wp:docPr id="892276833" name="Imag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6382528" cy="1255608"/>
                    </a:xfrm>
                    <a:prstGeom prst="rect">
                      <a:avLst/>
                    </a:prstGeom>
                    <a:noFill/>
                    <a:ln>
                      <a:noFill/>
                    </a:ln>
                  </pic:spPr>
                </pic:pic>
              </a:graphicData>
            </a:graphic>
          </wp:inline>
        </w:drawing>
      </w:r>
    </w:p>
    <w:p w14:paraId="4AD0D48E" w14:textId="77777777" w:rsidR="005B2043" w:rsidRDefault="005B2043" w:rsidP="009678E1">
      <w:pPr>
        <w:ind w:left="567"/>
      </w:pPr>
    </w:p>
    <w:p w14:paraId="4BCFE393" w14:textId="5F9FC9A8" w:rsidR="00B64FB8" w:rsidRDefault="00DD06F3" w:rsidP="001456A3">
      <w:pPr>
        <w:ind w:left="567"/>
        <w:rPr>
          <w:szCs w:val="20"/>
        </w:rPr>
      </w:pPr>
      <w:r>
        <w:rPr>
          <w:szCs w:val="20"/>
        </w:rPr>
        <w:t>Le</w:t>
      </w:r>
      <w:r w:rsidRPr="00DD06F3">
        <w:rPr>
          <w:szCs w:val="20"/>
        </w:rPr>
        <w:t xml:space="preserve"> capital comptable (</w:t>
      </w:r>
      <w:r>
        <w:rPr>
          <w:szCs w:val="20"/>
        </w:rPr>
        <w:t>lequel prend</w:t>
      </w:r>
      <w:r w:rsidRPr="00DD06F3">
        <w:rPr>
          <w:szCs w:val="20"/>
        </w:rPr>
        <w:t xml:space="preserve"> en compte les conversions </w:t>
      </w:r>
      <w:r>
        <w:rPr>
          <w:szCs w:val="20"/>
        </w:rPr>
        <w:t xml:space="preserve">d’obligations </w:t>
      </w:r>
      <w:r w:rsidRPr="00DD06F3">
        <w:rPr>
          <w:szCs w:val="20"/>
        </w:rPr>
        <w:t xml:space="preserve">au fil de l’eau) </w:t>
      </w:r>
      <w:r>
        <w:rPr>
          <w:szCs w:val="20"/>
        </w:rPr>
        <w:t>diffère toutefois du</w:t>
      </w:r>
      <w:r w:rsidRPr="00DD06F3">
        <w:rPr>
          <w:szCs w:val="20"/>
        </w:rPr>
        <w:t xml:space="preserve"> capital juridique (</w:t>
      </w:r>
      <w:r>
        <w:rPr>
          <w:szCs w:val="20"/>
        </w:rPr>
        <w:t xml:space="preserve">lequel est </w:t>
      </w:r>
      <w:r w:rsidRPr="00DD06F3">
        <w:rPr>
          <w:szCs w:val="20"/>
        </w:rPr>
        <w:t>mis à jour après une constatation d’</w:t>
      </w:r>
      <w:r>
        <w:rPr>
          <w:szCs w:val="20"/>
        </w:rPr>
        <w:t>augmentation du capital</w:t>
      </w:r>
      <w:r w:rsidRPr="00DD06F3">
        <w:rPr>
          <w:szCs w:val="20"/>
        </w:rPr>
        <w:t xml:space="preserve"> par le Conseil)</w:t>
      </w:r>
      <w:r w:rsidR="00EF3F18">
        <w:rPr>
          <w:szCs w:val="20"/>
        </w:rPr>
        <w:t xml:space="preserve"> et peut être synthétisé comme suit :</w:t>
      </w:r>
    </w:p>
    <w:p w14:paraId="134A323A" w14:textId="77777777" w:rsidR="001C1414" w:rsidRDefault="001C1414" w:rsidP="001456A3">
      <w:pPr>
        <w:ind w:left="567"/>
        <w:rPr>
          <w:szCs w:val="20"/>
        </w:rPr>
      </w:pPr>
    </w:p>
    <w:p w14:paraId="0D931E8A" w14:textId="1199713B" w:rsidR="001C1414" w:rsidRDefault="005B42F0" w:rsidP="001456A3">
      <w:pPr>
        <w:ind w:left="567"/>
        <w:rPr>
          <w:szCs w:val="20"/>
        </w:rPr>
      </w:pPr>
      <w:r>
        <w:rPr>
          <w:noProof/>
          <w:szCs w:val="20"/>
        </w:rPr>
        <w:drawing>
          <wp:inline distT="0" distB="0" distL="0" distR="0" wp14:anchorId="3DDDB756" wp14:editId="1BF9B8D0">
            <wp:extent cx="6379633" cy="1255039"/>
            <wp:effectExtent l="0" t="0" r="0" b="0"/>
            <wp:docPr id="121437548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6382528" cy="1255608"/>
                    </a:xfrm>
                    <a:prstGeom prst="rect">
                      <a:avLst/>
                    </a:prstGeom>
                    <a:noFill/>
                    <a:ln>
                      <a:noFill/>
                    </a:ln>
                  </pic:spPr>
                </pic:pic>
              </a:graphicData>
            </a:graphic>
          </wp:inline>
        </w:drawing>
      </w:r>
    </w:p>
    <w:p w14:paraId="10080DD2" w14:textId="77777777" w:rsidR="001456A3" w:rsidRPr="001456A3" w:rsidRDefault="001456A3" w:rsidP="001C1414">
      <w:pPr>
        <w:ind w:left="567" w:firstLine="709"/>
        <w:rPr>
          <w:szCs w:val="20"/>
        </w:rPr>
      </w:pPr>
    </w:p>
    <w:p w14:paraId="6DDD00CE" w14:textId="60074E0D" w:rsidR="0083250F" w:rsidRDefault="001C1414" w:rsidP="005B42F0">
      <w:pPr>
        <w:tabs>
          <w:tab w:val="left" w:pos="880"/>
        </w:tabs>
        <w:rPr>
          <w:szCs w:val="20"/>
        </w:rPr>
      </w:pPr>
      <w:r>
        <w:rPr>
          <w:szCs w:val="20"/>
        </w:rPr>
        <w:tab/>
      </w:r>
    </w:p>
    <w:p w14:paraId="09C6C686" w14:textId="78162D11" w:rsidR="00CF0C5B" w:rsidRDefault="00A247E0" w:rsidP="009678E1">
      <w:pPr>
        <w:pStyle w:val="Titre3"/>
        <w:ind w:left="567"/>
      </w:pPr>
      <w:bookmarkStart w:id="304" w:name="_Toc475033281"/>
      <w:r>
        <w:t>19</w:t>
      </w:r>
      <w:r w:rsidR="00C032EC">
        <w:t xml:space="preserve">.1.2 </w:t>
      </w:r>
      <w:r w:rsidR="00CF0C5B">
        <w:t>Titres non représentatifs du capital</w:t>
      </w:r>
      <w:bookmarkEnd w:id="304"/>
      <w:r w:rsidR="00CF0C5B">
        <w:t xml:space="preserve"> </w:t>
      </w:r>
      <w:r w:rsidR="00CF0C5B">
        <w:tab/>
      </w:r>
    </w:p>
    <w:p w14:paraId="29BABA21" w14:textId="77777777" w:rsidR="00496F6A" w:rsidRDefault="00496F6A" w:rsidP="009678E1">
      <w:pPr>
        <w:ind w:left="567"/>
      </w:pPr>
    </w:p>
    <w:p w14:paraId="7B834758" w14:textId="5F24F467" w:rsidR="00496F6A" w:rsidRPr="00313A5D" w:rsidRDefault="000A2925" w:rsidP="009678E1">
      <w:pPr>
        <w:ind w:left="567"/>
        <w:rPr>
          <w:szCs w:val="20"/>
        </w:rPr>
      </w:pPr>
      <w:r w:rsidRPr="00313A5D">
        <w:rPr>
          <w:szCs w:val="20"/>
        </w:rPr>
        <w:t>Néant</w:t>
      </w:r>
    </w:p>
    <w:p w14:paraId="7655067B" w14:textId="77777777" w:rsidR="000A2925" w:rsidRPr="00496F6A" w:rsidRDefault="000A2925" w:rsidP="009678E1">
      <w:pPr>
        <w:ind w:left="567"/>
      </w:pPr>
    </w:p>
    <w:p w14:paraId="36E6A547" w14:textId="76D01293" w:rsidR="00CF0C5B" w:rsidRDefault="00A247E0" w:rsidP="009678E1">
      <w:pPr>
        <w:pStyle w:val="Titre3"/>
        <w:ind w:left="567"/>
      </w:pPr>
      <w:bookmarkStart w:id="305" w:name="_Ref367955790"/>
      <w:bookmarkStart w:id="306" w:name="_Toc475033282"/>
      <w:r>
        <w:t>19</w:t>
      </w:r>
      <w:r w:rsidR="00C032EC">
        <w:t xml:space="preserve">.1.3 </w:t>
      </w:r>
      <w:r w:rsidR="00CF0C5B">
        <w:t>Acquisition par la Société de ses propres actions</w:t>
      </w:r>
      <w:bookmarkEnd w:id="305"/>
      <w:bookmarkEnd w:id="306"/>
      <w:r w:rsidR="00CF0C5B">
        <w:t xml:space="preserve"> </w:t>
      </w:r>
      <w:r w:rsidR="00CF0C5B">
        <w:tab/>
      </w:r>
    </w:p>
    <w:p w14:paraId="495F73BA" w14:textId="77777777" w:rsidR="00301412" w:rsidRDefault="00301412" w:rsidP="009678E1">
      <w:pPr>
        <w:ind w:left="567"/>
      </w:pPr>
      <w:bookmarkStart w:id="307" w:name="_Toc336155853"/>
      <w:bookmarkStart w:id="308" w:name="_Toc336173436"/>
      <w:bookmarkStart w:id="309" w:name="_Toc337114526"/>
    </w:p>
    <w:p w14:paraId="6DE785BA" w14:textId="30B0DF43" w:rsidR="00301412" w:rsidRPr="00313A5D" w:rsidRDefault="00301412" w:rsidP="009678E1">
      <w:pPr>
        <w:ind w:left="567"/>
        <w:rPr>
          <w:b/>
          <w:bCs/>
        </w:rPr>
      </w:pPr>
      <w:r w:rsidRPr="00313A5D">
        <w:t xml:space="preserve">Un contrat de liquidité a été signé avec </w:t>
      </w:r>
      <w:r w:rsidR="00313A5D" w:rsidRPr="00313A5D">
        <w:t>Portzamparc.</w:t>
      </w:r>
    </w:p>
    <w:bookmarkEnd w:id="307"/>
    <w:bookmarkEnd w:id="308"/>
    <w:bookmarkEnd w:id="309"/>
    <w:p w14:paraId="660224A2" w14:textId="77777777" w:rsidR="00FA2560" w:rsidRDefault="00FA2560" w:rsidP="009678E1">
      <w:pPr>
        <w:ind w:left="567"/>
      </w:pPr>
    </w:p>
    <w:p w14:paraId="7B4442A0" w14:textId="0E52B650" w:rsidR="00FA2560" w:rsidRDefault="00FA2560" w:rsidP="009678E1">
      <w:pPr>
        <w:ind w:left="567"/>
      </w:pPr>
      <w:r w:rsidRPr="009B6BFB">
        <w:t>Un programme de rachat d’actions a été autorisé par l’</w:t>
      </w:r>
      <w:r w:rsidR="00466E94">
        <w:t>a</w:t>
      </w:r>
      <w:r w:rsidRPr="009B6BFB">
        <w:t xml:space="preserve">ssemblée </w:t>
      </w:r>
      <w:r w:rsidR="00466E94">
        <w:t>g</w:t>
      </w:r>
      <w:r w:rsidRPr="009B6BFB">
        <w:t xml:space="preserve">énérale </w:t>
      </w:r>
      <w:r w:rsidR="003B339A">
        <w:t>26 mai 2020</w:t>
      </w:r>
      <w:r w:rsidR="00BE512B" w:rsidRPr="009B6BFB">
        <w:t>, conformément aux</w:t>
      </w:r>
      <w:r w:rsidR="00BE512B">
        <w:t xml:space="preserve"> </w:t>
      </w:r>
      <w:r w:rsidR="008716E2">
        <w:t>dispositions</w:t>
      </w:r>
      <w:r w:rsidR="009B6BFB">
        <w:t xml:space="preserve"> de l’article L.</w:t>
      </w:r>
      <w:r>
        <w:t xml:space="preserve">225-209 du Code de commerce et du </w:t>
      </w:r>
      <w:r w:rsidR="00466E94">
        <w:t>r</w:t>
      </w:r>
      <w:r>
        <w:t>èglement général de l’AMF, selon les modalités suivantes</w:t>
      </w:r>
      <w:r w:rsidRPr="007C35E4">
        <w:t> :</w:t>
      </w:r>
    </w:p>
    <w:p w14:paraId="04BCE3EC" w14:textId="77777777" w:rsidR="00FA2560" w:rsidRPr="007C35E4" w:rsidRDefault="00FA2560" w:rsidP="009678E1">
      <w:pPr>
        <w:ind w:left="567"/>
        <w:rPr>
          <w:b/>
          <w:bCs/>
        </w:rPr>
      </w:pPr>
    </w:p>
    <w:p w14:paraId="5D808882" w14:textId="77777777" w:rsidR="00FA2560" w:rsidRPr="00BD0377" w:rsidRDefault="00FA2560" w:rsidP="009678E1">
      <w:pPr>
        <w:ind w:left="567"/>
      </w:pPr>
      <w:r w:rsidRPr="00BD0377">
        <w:rPr>
          <w:b/>
        </w:rPr>
        <w:t>Titres concernés</w:t>
      </w:r>
      <w:r w:rsidRPr="00BD0377">
        <w:t xml:space="preserve"> : actions ordinaires. </w:t>
      </w:r>
    </w:p>
    <w:p w14:paraId="2701D0C6" w14:textId="77777777" w:rsidR="00FA2560" w:rsidRPr="00BD0377" w:rsidRDefault="00FA2560" w:rsidP="009678E1">
      <w:pPr>
        <w:ind w:left="567"/>
      </w:pPr>
    </w:p>
    <w:p w14:paraId="0BB304D7" w14:textId="66A7412E" w:rsidR="00FA2560" w:rsidRPr="00BD0377" w:rsidRDefault="00FA2560" w:rsidP="009678E1">
      <w:pPr>
        <w:ind w:left="567"/>
      </w:pPr>
      <w:r w:rsidRPr="00BD0377">
        <w:rPr>
          <w:b/>
        </w:rPr>
        <w:t>Code Mnémonique / Code ISIN</w:t>
      </w:r>
      <w:r w:rsidRPr="00BD0377">
        <w:t xml:space="preserve"> : </w:t>
      </w:r>
      <w:r w:rsidR="009B6BFB" w:rsidRPr="009B6BFB">
        <w:t xml:space="preserve">ALSPW </w:t>
      </w:r>
      <w:r w:rsidRPr="009B6BFB">
        <w:t>/ FR</w:t>
      </w:r>
      <w:r w:rsidR="009B6BFB" w:rsidRPr="009B6BFB">
        <w:t>0011398874</w:t>
      </w:r>
      <w:r w:rsidR="009B6BFB">
        <w:rPr>
          <w:rFonts w:ascii="Times" w:hAnsi="Times" w:cs="Times"/>
          <w:sz w:val="24"/>
        </w:rPr>
        <w:t xml:space="preserve"> </w:t>
      </w:r>
    </w:p>
    <w:p w14:paraId="6DCD5577" w14:textId="77777777" w:rsidR="00FA2560" w:rsidRPr="00BD0377" w:rsidRDefault="00FA2560" w:rsidP="009678E1">
      <w:pPr>
        <w:ind w:left="567"/>
      </w:pPr>
    </w:p>
    <w:p w14:paraId="79549A42" w14:textId="1333AAA1" w:rsidR="00FA2560" w:rsidRPr="00BD0377" w:rsidRDefault="00FA2560" w:rsidP="009678E1">
      <w:pPr>
        <w:ind w:left="567"/>
      </w:pPr>
      <w:r w:rsidRPr="00BD0377">
        <w:rPr>
          <w:b/>
        </w:rPr>
        <w:t>Autorisation de l’opération</w:t>
      </w:r>
      <w:r w:rsidRPr="00BD0377">
        <w:t xml:space="preserve"> : </w:t>
      </w:r>
      <w:r w:rsidR="00466E94">
        <w:t>a</w:t>
      </w:r>
      <w:r w:rsidRPr="00BD0377">
        <w:t xml:space="preserve">ssemblée </w:t>
      </w:r>
      <w:r w:rsidR="00466E94">
        <w:t>g</w:t>
      </w:r>
      <w:r w:rsidRPr="00BD0377">
        <w:t xml:space="preserve">énérale </w:t>
      </w:r>
      <w:r w:rsidR="00466E94">
        <w:t>m</w:t>
      </w:r>
      <w:r w:rsidR="003B339A">
        <w:t>ixte</w:t>
      </w:r>
      <w:r w:rsidRPr="00BD0377">
        <w:t xml:space="preserve"> du </w:t>
      </w:r>
      <w:r w:rsidR="003B339A">
        <w:t>26 mai 2020</w:t>
      </w:r>
      <w:r w:rsidRPr="00BD0377">
        <w:t>.</w:t>
      </w:r>
    </w:p>
    <w:p w14:paraId="3DAEC2B3" w14:textId="77777777" w:rsidR="00FA2560" w:rsidRPr="00BD0377" w:rsidRDefault="00FA2560" w:rsidP="009678E1">
      <w:pPr>
        <w:ind w:left="567"/>
      </w:pPr>
    </w:p>
    <w:p w14:paraId="669A4FD1" w14:textId="7C5BBD62" w:rsidR="00FA2560" w:rsidRDefault="00FA2560" w:rsidP="009678E1">
      <w:pPr>
        <w:ind w:left="567"/>
        <w:rPr>
          <w:color w:val="FF0000"/>
        </w:rPr>
      </w:pPr>
      <w:r w:rsidRPr="00BD0377">
        <w:rPr>
          <w:b/>
        </w:rPr>
        <w:t>Part maximale du capital dont l’achat a été autorisé par l’</w:t>
      </w:r>
      <w:r w:rsidR="00466E94">
        <w:rPr>
          <w:b/>
        </w:rPr>
        <w:t>a</w:t>
      </w:r>
      <w:r w:rsidRPr="00BD0377">
        <w:rPr>
          <w:b/>
        </w:rPr>
        <w:t xml:space="preserve">ssemblée </w:t>
      </w:r>
      <w:r w:rsidR="00466E94">
        <w:rPr>
          <w:b/>
        </w:rPr>
        <w:t>g</w:t>
      </w:r>
      <w:r w:rsidRPr="00BD0377">
        <w:rPr>
          <w:b/>
        </w:rPr>
        <w:t>énérale</w:t>
      </w:r>
      <w:r w:rsidRPr="00BD0377">
        <w:t xml:space="preserve"> : </w:t>
      </w:r>
      <w:r w:rsidR="009B6BFB">
        <w:t>10% des actions composant le capital social</w:t>
      </w:r>
      <w:r w:rsidR="009B6BFB">
        <w:rPr>
          <w:color w:val="FF0000"/>
        </w:rPr>
        <w:t>.</w:t>
      </w:r>
    </w:p>
    <w:p w14:paraId="653062B3" w14:textId="77777777" w:rsidR="00582200" w:rsidRPr="00BD0377" w:rsidRDefault="00582200" w:rsidP="009678E1">
      <w:pPr>
        <w:ind w:left="567"/>
      </w:pPr>
    </w:p>
    <w:p w14:paraId="48F50042" w14:textId="71C89F0C" w:rsidR="00FA2560" w:rsidRPr="00BD0377" w:rsidRDefault="00FA2560" w:rsidP="009678E1">
      <w:pPr>
        <w:ind w:left="567"/>
      </w:pPr>
      <w:r w:rsidRPr="00BD0377">
        <w:rPr>
          <w:b/>
        </w:rPr>
        <w:lastRenderedPageBreak/>
        <w:t>Prix maximum d’achat</w:t>
      </w:r>
      <w:r w:rsidRPr="00BD0377">
        <w:t xml:space="preserve"> : </w:t>
      </w:r>
      <w:r w:rsidR="003B339A">
        <w:t>5</w:t>
      </w:r>
      <w:r w:rsidR="009B6BFB">
        <w:t>€</w:t>
      </w:r>
      <w:r w:rsidR="00EB1800">
        <w:t xml:space="preserve"> (</w:t>
      </w:r>
      <w:r w:rsidR="003B339A">
        <w:t>cinq</w:t>
      </w:r>
      <w:r w:rsidR="00EB1800">
        <w:t xml:space="preserve"> euros)</w:t>
      </w:r>
      <w:r w:rsidRPr="009B6BFB">
        <w:t>.</w:t>
      </w:r>
    </w:p>
    <w:p w14:paraId="7A17BD10" w14:textId="77777777" w:rsidR="00FA2560" w:rsidRPr="00BD0377" w:rsidRDefault="00FA2560" w:rsidP="009678E1">
      <w:pPr>
        <w:ind w:left="567"/>
      </w:pPr>
    </w:p>
    <w:p w14:paraId="1A56EA77" w14:textId="667D50B6" w:rsidR="00EF3F18" w:rsidRPr="00EB1800" w:rsidRDefault="00EF3F18" w:rsidP="00EF3F18">
      <w:pPr>
        <w:ind w:left="567"/>
      </w:pPr>
      <w:r w:rsidRPr="00BD0377">
        <w:rPr>
          <w:b/>
        </w:rPr>
        <w:t>Montant maximum des fonds disponibles pour les besoins du présent programme </w:t>
      </w:r>
      <w:r w:rsidRPr="00BD0377">
        <w:t xml:space="preserve">: </w:t>
      </w:r>
      <w:r>
        <w:t>227.285.535</w:t>
      </w:r>
      <w:r w:rsidRPr="00EB1800">
        <w:t>€ (</w:t>
      </w:r>
      <w:r w:rsidR="00466E94">
        <w:t>d</w:t>
      </w:r>
      <w:r w:rsidR="009C4380">
        <w:t xml:space="preserve">eux cent </w:t>
      </w:r>
      <w:r>
        <w:t>vingt-sept</w:t>
      </w:r>
      <w:r w:rsidRPr="00EB1800">
        <w:t xml:space="preserve"> millions </w:t>
      </w:r>
      <w:r>
        <w:t>deux cent quatre-vingt-cinq</w:t>
      </w:r>
      <w:r w:rsidRPr="00EB1800">
        <w:t xml:space="preserve"> mille </w:t>
      </w:r>
      <w:r>
        <w:t>cinq cent trente-cinq</w:t>
      </w:r>
      <w:r w:rsidRPr="00EB1800">
        <w:t xml:space="preserve"> euros).</w:t>
      </w:r>
    </w:p>
    <w:p w14:paraId="1ECAC011" w14:textId="77777777" w:rsidR="00FA2560" w:rsidRPr="00BD0377" w:rsidRDefault="00FA2560" w:rsidP="009678E1">
      <w:pPr>
        <w:ind w:left="567"/>
      </w:pPr>
    </w:p>
    <w:p w14:paraId="633716BA" w14:textId="77777777" w:rsidR="00FA2560" w:rsidRPr="00BD0377" w:rsidRDefault="00FA2560" w:rsidP="009678E1">
      <w:pPr>
        <w:ind w:left="567"/>
      </w:pPr>
      <w:r w:rsidRPr="00BD0377">
        <w:rPr>
          <w:b/>
        </w:rPr>
        <w:t>Objectifs par ordre de priorité </w:t>
      </w:r>
      <w:r w:rsidRPr="00BD0377">
        <w:t>:</w:t>
      </w:r>
    </w:p>
    <w:p w14:paraId="2529EE2F" w14:textId="4EABE4F8" w:rsidR="00FA2560" w:rsidRPr="00EB1800" w:rsidRDefault="00EB1800" w:rsidP="00C622C2">
      <w:pPr>
        <w:pStyle w:val="Paragraphedeliste"/>
        <w:numPr>
          <w:ilvl w:val="0"/>
          <w:numId w:val="5"/>
        </w:numPr>
        <w:ind w:left="567" w:firstLine="0"/>
      </w:pPr>
      <w:r w:rsidRPr="00EB1800">
        <w:t xml:space="preserve">Favoriser la liquidité et animer le cours des titres de la Société par l’intermédiaire d’un </w:t>
      </w:r>
      <w:r w:rsidR="00466E94">
        <w:t>p</w:t>
      </w:r>
      <w:r w:rsidRPr="00EB1800">
        <w:t xml:space="preserve">restataire de </w:t>
      </w:r>
      <w:r w:rsidR="00466E94">
        <w:t>s</w:t>
      </w:r>
      <w:r w:rsidRPr="00EB1800">
        <w:t>ervices d’</w:t>
      </w:r>
      <w:r w:rsidR="00466E94">
        <w:t>i</w:t>
      </w:r>
      <w:r w:rsidRPr="00EB1800">
        <w:t xml:space="preserve">nvestissement agissant de manière indépendante dans le cadre d’un contrat de liquidité conforme à la charte de déontologie de </w:t>
      </w:r>
      <w:r w:rsidR="00B6124F">
        <w:t>l’</w:t>
      </w:r>
      <w:r w:rsidRPr="00EB1800">
        <w:t>AMAFI reconnue par l’A</w:t>
      </w:r>
      <w:r w:rsidR="00466E94">
        <w:t>MF ;</w:t>
      </w:r>
    </w:p>
    <w:p w14:paraId="3D04DBA2" w14:textId="4B84C992" w:rsidR="00EB1800" w:rsidRPr="00EB1800" w:rsidRDefault="00EB1800" w:rsidP="00C622C2">
      <w:pPr>
        <w:pStyle w:val="Paragraphedeliste"/>
        <w:numPr>
          <w:ilvl w:val="0"/>
          <w:numId w:val="5"/>
        </w:numPr>
        <w:ind w:left="567" w:firstLine="0"/>
      </w:pPr>
      <w:r w:rsidRPr="00EB1800">
        <w:t>Annuler les titres ainsi rachetés par voie de réduction de capital</w:t>
      </w:r>
      <w:r w:rsidR="003B339A">
        <w:t xml:space="preserve"> </w:t>
      </w:r>
      <w:r w:rsidRPr="00EB1800">
        <w:t xml:space="preserve">; </w:t>
      </w:r>
    </w:p>
    <w:p w14:paraId="1C6DBE68" w14:textId="6B5D496A" w:rsidR="00EB1800" w:rsidRPr="00EB1800" w:rsidRDefault="00EB1800" w:rsidP="00C622C2">
      <w:pPr>
        <w:pStyle w:val="Paragraphedeliste"/>
        <w:numPr>
          <w:ilvl w:val="0"/>
          <w:numId w:val="5"/>
        </w:numPr>
        <w:ind w:left="567" w:firstLine="0"/>
      </w:pPr>
      <w:r w:rsidRPr="00EB1800">
        <w:t>Attribuer des actions aux salariés ou mandataires sociaux de la Société et des sociétés françaises ou étrangères ou groupements qui lui sont liés dans les conditions légales et règlementaires, notamment, dans le cadre de la participation aux fruits de l’expansion de l’entreprise, de plans d’actionnariats salarié ou de plan d’épargne entreprise, du régime des options d’achats d’actions ou par voie d’attribution gratuite d’actions ou dans toute autre condition permise par la réglementation ;</w:t>
      </w:r>
    </w:p>
    <w:p w14:paraId="18E14467" w14:textId="5CAAA710" w:rsidR="00EB1800" w:rsidRPr="00EB1800" w:rsidRDefault="00EB1800" w:rsidP="00C622C2">
      <w:pPr>
        <w:pStyle w:val="Paragraphedeliste"/>
        <w:numPr>
          <w:ilvl w:val="0"/>
          <w:numId w:val="5"/>
        </w:numPr>
        <w:ind w:left="567" w:firstLine="0"/>
      </w:pPr>
      <w:r w:rsidRPr="00EB1800">
        <w:t>Remettre, dans la limite de 5% du capital social les actions en paiement ou en échange notamment dans le cadre d’opérations de croissance externe ;</w:t>
      </w:r>
    </w:p>
    <w:p w14:paraId="19D7E6AF" w14:textId="352BADB5" w:rsidR="00EB1800" w:rsidRPr="00EB1800" w:rsidRDefault="00EB1800" w:rsidP="00C622C2">
      <w:pPr>
        <w:pStyle w:val="Paragraphedeliste"/>
        <w:numPr>
          <w:ilvl w:val="0"/>
          <w:numId w:val="5"/>
        </w:numPr>
        <w:ind w:left="567" w:firstLine="0"/>
      </w:pPr>
      <w:r w:rsidRPr="00EB1800">
        <w:t>Attribuer des actions lors de l’exercice de droits attaché à des valeurs mobilières donnant droit par remboursements, conversion, échange, présentation d’u</w:t>
      </w:r>
      <w:r w:rsidR="00B6124F">
        <w:t>n bon ou de toute autre manière</w:t>
      </w:r>
      <w:r w:rsidRPr="00EB1800">
        <w:t>, à des actions existantes de la Société.</w:t>
      </w:r>
    </w:p>
    <w:p w14:paraId="0909C127" w14:textId="77777777" w:rsidR="00EB1800" w:rsidRPr="00BD0377" w:rsidRDefault="00EB1800" w:rsidP="009678E1">
      <w:pPr>
        <w:ind w:left="567"/>
      </w:pPr>
    </w:p>
    <w:p w14:paraId="18CCC13A" w14:textId="08DEAD52" w:rsidR="00FA2560" w:rsidRDefault="00FA2560" w:rsidP="009678E1">
      <w:pPr>
        <w:ind w:left="567"/>
        <w:rPr>
          <w:color w:val="FF0000"/>
        </w:rPr>
      </w:pPr>
      <w:r w:rsidRPr="00BD0377">
        <w:rPr>
          <w:b/>
        </w:rPr>
        <w:t>Modalité de rachat</w:t>
      </w:r>
      <w:r w:rsidRPr="00BD0377">
        <w:t xml:space="preserve"> : </w:t>
      </w:r>
      <w:r w:rsidR="00633002">
        <w:t>Les achats, cessions ou transferts peuvent être effectués par tous moyens, en une ou plusieurs fois, sur le marché ou hors marché, y compris par des transactions de blocs de titres (la part maximale du programme de rachat pouvant être effectué par voie d’acquisition ou de cession de bloc de titres pouvant atteindre la totalité du programme autorisé.</w:t>
      </w:r>
    </w:p>
    <w:p w14:paraId="5DA0FFAE" w14:textId="77777777" w:rsidR="00582200" w:rsidRPr="00BD0377" w:rsidRDefault="00582200" w:rsidP="009678E1">
      <w:pPr>
        <w:ind w:left="567"/>
      </w:pPr>
    </w:p>
    <w:p w14:paraId="021D9136" w14:textId="423BBE8B" w:rsidR="00FA2560" w:rsidRPr="00EB1800" w:rsidRDefault="00FA2560" w:rsidP="009678E1">
      <w:pPr>
        <w:ind w:left="567"/>
      </w:pPr>
      <w:r w:rsidRPr="00EB1800">
        <w:rPr>
          <w:b/>
        </w:rPr>
        <w:t>Durée du programme</w:t>
      </w:r>
      <w:r w:rsidRPr="00EB1800">
        <w:t xml:space="preserve"> : </w:t>
      </w:r>
      <w:r w:rsidR="00EB1800" w:rsidRPr="00EB1800">
        <w:t>18 mois</w:t>
      </w:r>
    </w:p>
    <w:p w14:paraId="43586E81" w14:textId="77777777" w:rsidR="00FA2560" w:rsidRDefault="00FA2560" w:rsidP="009678E1">
      <w:pPr>
        <w:ind w:left="567"/>
      </w:pPr>
    </w:p>
    <w:p w14:paraId="17F1861E" w14:textId="25576D80" w:rsidR="00EB1800" w:rsidRDefault="00EB1800" w:rsidP="009678E1">
      <w:pPr>
        <w:ind w:left="567"/>
      </w:pPr>
      <w:r w:rsidRPr="00EB1800">
        <w:t>Cf. paragraphe « </w:t>
      </w:r>
      <w:r w:rsidRPr="00EB1800">
        <w:fldChar w:fldCharType="begin"/>
      </w:r>
      <w:r w:rsidRPr="00EB1800">
        <w:instrText xml:space="preserve"> REF _Ref367463967 \h </w:instrText>
      </w:r>
      <w:r w:rsidRPr="00EB1800">
        <w:fldChar w:fldCharType="separate"/>
      </w:r>
      <w:r w:rsidR="003A0AD1">
        <w:t>19.1.5 Capital autorisé</w:t>
      </w:r>
      <w:r w:rsidRPr="00EB1800">
        <w:fldChar w:fldCharType="end"/>
      </w:r>
      <w:r w:rsidRPr="00EB1800">
        <w:t> »</w:t>
      </w:r>
      <w:r w:rsidR="0012290E">
        <w:t xml:space="preserve"> </w:t>
      </w:r>
      <w:r w:rsidR="000C10EB">
        <w:t xml:space="preserve">du </w:t>
      </w:r>
      <w:r w:rsidR="00920DEB">
        <w:t>Document d’enregistrement universel</w:t>
      </w:r>
      <w:r>
        <w:t>.</w:t>
      </w:r>
    </w:p>
    <w:p w14:paraId="5A9D8541" w14:textId="77777777" w:rsidR="00EB1800" w:rsidRDefault="00EB1800" w:rsidP="009678E1">
      <w:pPr>
        <w:ind w:left="567"/>
      </w:pPr>
    </w:p>
    <w:p w14:paraId="06B8F1A7" w14:textId="20EC191F" w:rsidR="00EF3F18" w:rsidRPr="006868D7" w:rsidRDefault="00EF3F18" w:rsidP="00EF3F18">
      <w:pPr>
        <w:ind w:left="567"/>
        <w:rPr>
          <w:rFonts w:ascii="Calibri" w:eastAsia="Times New Roman" w:hAnsi="Calibri" w:cs="Times New Roman"/>
          <w:color w:val="000000"/>
          <w:szCs w:val="20"/>
        </w:rPr>
      </w:pPr>
      <w:r>
        <w:rPr>
          <w:rFonts w:ascii="Calibri" w:eastAsia="Times New Roman" w:hAnsi="Calibri" w:cs="Times New Roman"/>
          <w:color w:val="000000"/>
          <w:szCs w:val="20"/>
        </w:rPr>
        <w:t>Au</w:t>
      </w:r>
      <w:r w:rsidRPr="009C0F51">
        <w:rPr>
          <w:rFonts w:ascii="Calibri" w:eastAsia="Times New Roman" w:hAnsi="Calibri" w:cs="Times New Roman"/>
          <w:color w:val="000000"/>
          <w:szCs w:val="20"/>
        </w:rPr>
        <w:t xml:space="preserve"> 31 décembre </w:t>
      </w:r>
      <w:r>
        <w:rPr>
          <w:rFonts w:ascii="Calibri" w:eastAsia="Times New Roman" w:hAnsi="Calibri" w:cs="Times New Roman"/>
          <w:color w:val="000000"/>
          <w:szCs w:val="20"/>
        </w:rPr>
        <w:t>2020</w:t>
      </w:r>
      <w:r w:rsidRPr="009C0F51">
        <w:rPr>
          <w:rFonts w:ascii="Calibri" w:eastAsia="Times New Roman" w:hAnsi="Calibri" w:cs="Times New Roman"/>
          <w:color w:val="000000"/>
          <w:szCs w:val="20"/>
        </w:rPr>
        <w:t>, la société détenait</w:t>
      </w:r>
      <w:r>
        <w:rPr>
          <w:rFonts w:ascii="Calibri" w:eastAsia="Times New Roman" w:hAnsi="Calibri" w:cs="Times New Roman"/>
          <w:color w:val="000000"/>
          <w:szCs w:val="20"/>
        </w:rPr>
        <w:t xml:space="preserve"> 705</w:t>
      </w:r>
      <w:r w:rsidR="009C4380">
        <w:rPr>
          <w:rFonts w:ascii="Calibri" w:eastAsia="Times New Roman" w:hAnsi="Calibri" w:cs="Times New Roman"/>
          <w:color w:val="000000"/>
          <w:szCs w:val="20"/>
        </w:rPr>
        <w:t>.</w:t>
      </w:r>
      <w:r>
        <w:rPr>
          <w:rFonts w:ascii="Calibri" w:eastAsia="Times New Roman" w:hAnsi="Calibri" w:cs="Times New Roman"/>
          <w:color w:val="000000"/>
          <w:szCs w:val="20"/>
        </w:rPr>
        <w:t xml:space="preserve">496 </w:t>
      </w:r>
      <w:r w:rsidRPr="009C0F51">
        <w:rPr>
          <w:rFonts w:ascii="Calibri" w:eastAsia="Times New Roman" w:hAnsi="Calibri" w:cs="Times New Roman"/>
          <w:color w:val="000000"/>
          <w:szCs w:val="20"/>
        </w:rPr>
        <w:t>de ses propres actions</w:t>
      </w:r>
      <w:r>
        <w:rPr>
          <w:rFonts w:ascii="Calibri" w:eastAsia="Times New Roman" w:hAnsi="Calibri" w:cs="Times New Roman"/>
          <w:color w:val="000000"/>
          <w:szCs w:val="20"/>
        </w:rPr>
        <w:t xml:space="preserve"> (contre 295.361 actions au 31 décembre 2019)</w:t>
      </w:r>
      <w:r w:rsidRPr="006868D7">
        <w:rPr>
          <w:rFonts w:ascii="Calibri" w:eastAsia="Times New Roman" w:hAnsi="Calibri" w:cs="Times New Roman"/>
          <w:color w:val="000000"/>
          <w:szCs w:val="20"/>
        </w:rPr>
        <w:t>.</w:t>
      </w:r>
    </w:p>
    <w:p w14:paraId="001B39D0" w14:textId="6484ECAB" w:rsidR="00EF3F18" w:rsidRPr="006868D7" w:rsidRDefault="00EF3F18" w:rsidP="00EF3F18">
      <w:pPr>
        <w:ind w:left="567"/>
        <w:rPr>
          <w:rFonts w:ascii="Calibri" w:eastAsia="Times New Roman" w:hAnsi="Calibri" w:cs="Times New Roman"/>
          <w:color w:val="000000"/>
          <w:szCs w:val="20"/>
        </w:rPr>
      </w:pPr>
      <w:r w:rsidRPr="006868D7">
        <w:rPr>
          <w:rFonts w:ascii="Calibri" w:eastAsia="Times New Roman" w:hAnsi="Calibri" w:cs="Times New Roman"/>
          <w:color w:val="000000"/>
          <w:szCs w:val="20"/>
        </w:rPr>
        <w:t xml:space="preserve">La valeur comptable des titres </w:t>
      </w:r>
      <w:r w:rsidR="003F1935" w:rsidRPr="006868D7">
        <w:rPr>
          <w:rFonts w:ascii="Calibri" w:eastAsia="Times New Roman" w:hAnsi="Calibri" w:cs="Times New Roman"/>
          <w:color w:val="000000"/>
          <w:szCs w:val="20"/>
        </w:rPr>
        <w:t>auto</w:t>
      </w:r>
      <w:r w:rsidR="003F1935">
        <w:rPr>
          <w:rFonts w:ascii="Calibri" w:eastAsia="Times New Roman" w:hAnsi="Calibri" w:cs="Times New Roman"/>
          <w:color w:val="000000"/>
          <w:szCs w:val="20"/>
        </w:rPr>
        <w:t>-</w:t>
      </w:r>
      <w:r w:rsidRPr="006868D7">
        <w:rPr>
          <w:rFonts w:ascii="Calibri" w:eastAsia="Times New Roman" w:hAnsi="Calibri" w:cs="Times New Roman"/>
          <w:color w:val="000000"/>
          <w:szCs w:val="20"/>
        </w:rPr>
        <w:t xml:space="preserve">détenus au 31 décembre 2020 est de </w:t>
      </w:r>
      <w:r>
        <w:rPr>
          <w:rFonts w:ascii="Calibri" w:eastAsia="Times New Roman" w:hAnsi="Calibri" w:cs="Times New Roman"/>
          <w:color w:val="000000"/>
          <w:szCs w:val="20"/>
        </w:rPr>
        <w:t>144</w:t>
      </w:r>
      <w:r w:rsidR="009C4380">
        <w:rPr>
          <w:rFonts w:ascii="Calibri" w:eastAsia="Times New Roman" w:hAnsi="Calibri" w:cs="Times New Roman"/>
          <w:color w:val="000000"/>
          <w:szCs w:val="20"/>
        </w:rPr>
        <w:t>.</w:t>
      </w:r>
      <w:r>
        <w:rPr>
          <w:rFonts w:ascii="Calibri" w:eastAsia="Times New Roman" w:hAnsi="Calibri" w:cs="Times New Roman"/>
          <w:color w:val="000000"/>
          <w:szCs w:val="20"/>
        </w:rPr>
        <w:t xml:space="preserve">050 </w:t>
      </w:r>
      <w:r w:rsidRPr="006868D7">
        <w:rPr>
          <w:rFonts w:ascii="Calibri" w:eastAsia="Times New Roman" w:hAnsi="Calibri" w:cs="Times New Roman"/>
          <w:color w:val="000000"/>
          <w:szCs w:val="20"/>
        </w:rPr>
        <w:t>€.</w:t>
      </w:r>
    </w:p>
    <w:p w14:paraId="24F47C5D" w14:textId="0E661ECA" w:rsidR="00294954" w:rsidRPr="00055EA2" w:rsidRDefault="00294954" w:rsidP="009678E1">
      <w:pPr>
        <w:ind w:left="567"/>
        <w:rPr>
          <w:rFonts w:ascii="Calibri" w:eastAsia="Times New Roman" w:hAnsi="Calibri" w:cs="Times New Roman"/>
          <w:color w:val="000000"/>
          <w:szCs w:val="20"/>
        </w:rPr>
      </w:pPr>
    </w:p>
    <w:p w14:paraId="70E54F91" w14:textId="311A1779" w:rsidR="00496F6A" w:rsidRDefault="00A247E0" w:rsidP="009678E1">
      <w:pPr>
        <w:pStyle w:val="Titre3"/>
        <w:ind w:left="567"/>
      </w:pPr>
      <w:bookmarkStart w:id="310" w:name="_Ref337397328"/>
      <w:bookmarkStart w:id="311" w:name="_Ref337472253"/>
      <w:bookmarkStart w:id="312" w:name="_Ref337478119"/>
      <w:bookmarkStart w:id="313" w:name="_Ref471663564"/>
      <w:bookmarkStart w:id="314" w:name="_Toc475033283"/>
      <w:r>
        <w:t>19</w:t>
      </w:r>
      <w:r w:rsidR="00C032EC">
        <w:t xml:space="preserve">.1.4 </w:t>
      </w:r>
      <w:r w:rsidR="00CF0C5B">
        <w:t xml:space="preserve">Valeurs mobilières ouvrant droit à une quote-part de </w:t>
      </w:r>
      <w:bookmarkEnd w:id="310"/>
      <w:bookmarkEnd w:id="311"/>
      <w:bookmarkEnd w:id="312"/>
      <w:r w:rsidR="00242C24">
        <w:t>capital</w:t>
      </w:r>
      <w:bookmarkEnd w:id="313"/>
      <w:bookmarkEnd w:id="314"/>
    </w:p>
    <w:p w14:paraId="663949D0" w14:textId="6516944E" w:rsidR="002661A0" w:rsidRPr="00782B86" w:rsidRDefault="00A247E0" w:rsidP="009678E1">
      <w:pPr>
        <w:pStyle w:val="Titre4"/>
        <w:ind w:left="567"/>
      </w:pPr>
      <w:bookmarkStart w:id="315" w:name="_Ref369770939"/>
      <w:bookmarkStart w:id="316" w:name="_Ref472323874"/>
      <w:r>
        <w:t>19</w:t>
      </w:r>
      <w:r w:rsidR="00782B86" w:rsidRPr="00782B86">
        <w:t xml:space="preserve">.1.4.1 </w:t>
      </w:r>
      <w:bookmarkEnd w:id="315"/>
      <w:r w:rsidR="00107773">
        <w:t xml:space="preserve">Les OCABSA </w:t>
      </w:r>
      <w:r w:rsidR="006F1660">
        <w:t>Negma Group L</w:t>
      </w:r>
      <w:r w:rsidR="00DD4B79">
        <w:t>td</w:t>
      </w:r>
      <w:r w:rsidR="006F1660">
        <w:t xml:space="preserve"> (ci-après </w:t>
      </w:r>
      <w:r w:rsidR="00B34229">
        <w:t>« </w:t>
      </w:r>
      <w:r w:rsidR="006F1660">
        <w:t xml:space="preserve">OCABSA </w:t>
      </w:r>
      <w:r w:rsidR="00107773">
        <w:t>Negma</w:t>
      </w:r>
      <w:r w:rsidR="006F1660">
        <w:t> »)</w:t>
      </w:r>
      <w:bookmarkEnd w:id="316"/>
    </w:p>
    <w:p w14:paraId="1B44769F" w14:textId="77777777" w:rsidR="00016CB5" w:rsidRDefault="00016CB5" w:rsidP="009678E1">
      <w:pPr>
        <w:ind w:left="567"/>
        <w:rPr>
          <w:color w:val="FF0000"/>
        </w:rPr>
      </w:pPr>
    </w:p>
    <w:p w14:paraId="0B972F36" w14:textId="6F67B6A3" w:rsidR="00C52AA2" w:rsidRDefault="00C52AA2" w:rsidP="009678E1">
      <w:pPr>
        <w:widowControl w:val="0"/>
        <w:autoSpaceDE w:val="0"/>
        <w:autoSpaceDN w:val="0"/>
        <w:adjustRightInd w:val="0"/>
        <w:ind w:left="567"/>
        <w:rPr>
          <w:rFonts w:ascii="Calibri" w:eastAsia="Times New Roman" w:hAnsi="Calibri" w:cs="Times New Roman"/>
          <w:color w:val="000000"/>
          <w:szCs w:val="20"/>
        </w:rPr>
      </w:pPr>
      <w:r w:rsidRPr="00C52AA2">
        <w:rPr>
          <w:rFonts w:ascii="Calibri" w:eastAsia="Times New Roman" w:hAnsi="Calibri" w:cs="Times New Roman"/>
          <w:color w:val="000000"/>
          <w:szCs w:val="20"/>
        </w:rPr>
        <w:t>Sur délégation de l</w:t>
      </w:r>
      <w:r w:rsidR="00D5172F" w:rsidRPr="00C52AA2">
        <w:rPr>
          <w:rFonts w:ascii="Calibri" w:eastAsia="Times New Roman" w:hAnsi="Calibri" w:cs="Times New Roman"/>
          <w:color w:val="000000"/>
          <w:szCs w:val="20"/>
        </w:rPr>
        <w:t>’</w:t>
      </w:r>
      <w:r w:rsidR="00B34229">
        <w:rPr>
          <w:rFonts w:ascii="Calibri" w:eastAsia="Times New Roman" w:hAnsi="Calibri" w:cs="Times New Roman"/>
          <w:color w:val="000000"/>
          <w:szCs w:val="20"/>
        </w:rPr>
        <w:t>a</w:t>
      </w:r>
      <w:r w:rsidR="00D5172F" w:rsidRPr="00C52AA2">
        <w:rPr>
          <w:rFonts w:ascii="Calibri" w:eastAsia="Times New Roman" w:hAnsi="Calibri" w:cs="Times New Roman"/>
          <w:color w:val="000000"/>
          <w:szCs w:val="20"/>
        </w:rPr>
        <w:t xml:space="preserve">ssemblée </w:t>
      </w:r>
      <w:r w:rsidR="00B34229">
        <w:rPr>
          <w:rFonts w:ascii="Calibri" w:eastAsia="Times New Roman" w:hAnsi="Calibri" w:cs="Times New Roman"/>
          <w:color w:val="000000"/>
          <w:szCs w:val="20"/>
        </w:rPr>
        <w:t>g</w:t>
      </w:r>
      <w:r w:rsidR="00D5172F" w:rsidRPr="00C52AA2">
        <w:rPr>
          <w:rFonts w:ascii="Calibri" w:eastAsia="Times New Roman" w:hAnsi="Calibri" w:cs="Times New Roman"/>
          <w:color w:val="000000"/>
          <w:szCs w:val="20"/>
        </w:rPr>
        <w:t xml:space="preserve">énérale du </w:t>
      </w:r>
      <w:r w:rsidRPr="00C52AA2">
        <w:rPr>
          <w:rFonts w:ascii="Calibri" w:eastAsia="Times New Roman" w:hAnsi="Calibri" w:cs="Times New Roman"/>
          <w:color w:val="000000"/>
          <w:szCs w:val="20"/>
        </w:rPr>
        <w:t>3 octobre 2019, le Conseil d’</w:t>
      </w:r>
      <w:r w:rsidR="00B34229">
        <w:rPr>
          <w:rFonts w:ascii="Calibri" w:eastAsia="Times New Roman" w:hAnsi="Calibri" w:cs="Times New Roman"/>
          <w:color w:val="000000"/>
          <w:szCs w:val="20"/>
        </w:rPr>
        <w:t>a</w:t>
      </w:r>
      <w:r w:rsidRPr="00C52AA2">
        <w:rPr>
          <w:rFonts w:ascii="Calibri" w:eastAsia="Times New Roman" w:hAnsi="Calibri" w:cs="Times New Roman"/>
          <w:color w:val="000000"/>
          <w:szCs w:val="20"/>
        </w:rPr>
        <w:t>dministration du 17 octobre 2019 a décidé une émission de 16.000</w:t>
      </w:r>
      <w:r w:rsidR="00D5172F" w:rsidRPr="00C52AA2">
        <w:rPr>
          <w:rFonts w:ascii="Calibri" w:eastAsia="Times New Roman" w:hAnsi="Calibri" w:cs="Times New Roman"/>
          <w:color w:val="000000"/>
          <w:szCs w:val="20"/>
        </w:rPr>
        <w:t xml:space="preserve"> </w:t>
      </w:r>
      <w:r w:rsidRPr="00C52AA2">
        <w:rPr>
          <w:rFonts w:ascii="Calibri" w:eastAsia="Times New Roman" w:hAnsi="Calibri" w:cs="Times New Roman"/>
          <w:color w:val="000000"/>
          <w:szCs w:val="20"/>
        </w:rPr>
        <w:t xml:space="preserve">bons d’émission (ci-après « Bons d’Emission ») </w:t>
      </w:r>
      <w:r w:rsidR="004A075E">
        <w:rPr>
          <w:rFonts w:ascii="Calibri" w:eastAsia="Times New Roman" w:hAnsi="Calibri" w:cs="Times New Roman"/>
          <w:color w:val="000000"/>
          <w:szCs w:val="20"/>
        </w:rPr>
        <w:t xml:space="preserve">valables 32 mois (jusqu’en juin 2022) et </w:t>
      </w:r>
      <w:r w:rsidRPr="00C52AA2">
        <w:rPr>
          <w:rFonts w:ascii="Calibri" w:eastAsia="Times New Roman" w:hAnsi="Calibri" w:cs="Times New Roman"/>
          <w:color w:val="000000"/>
          <w:szCs w:val="20"/>
        </w:rPr>
        <w:t>donnant lieu, sur exercice,</w:t>
      </w:r>
      <w:r>
        <w:rPr>
          <w:rFonts w:ascii="Calibri" w:eastAsia="Times New Roman" w:hAnsi="Calibri" w:cs="Times New Roman"/>
          <w:color w:val="000000"/>
          <w:szCs w:val="20"/>
        </w:rPr>
        <w:t xml:space="preserve"> </w:t>
      </w:r>
      <w:r w:rsidRPr="00C52AA2">
        <w:rPr>
          <w:rFonts w:ascii="Calibri" w:eastAsia="Times New Roman" w:hAnsi="Calibri" w:cs="Times New Roman"/>
          <w:color w:val="000000"/>
          <w:szCs w:val="20"/>
        </w:rPr>
        <w:t>à l’émission d'un maximum de 16</w:t>
      </w:r>
      <w:r>
        <w:rPr>
          <w:rFonts w:ascii="Calibri" w:eastAsia="Times New Roman" w:hAnsi="Calibri" w:cs="Times New Roman"/>
          <w:color w:val="000000"/>
          <w:szCs w:val="20"/>
        </w:rPr>
        <w:t>.</w:t>
      </w:r>
      <w:r w:rsidRPr="00C52AA2">
        <w:rPr>
          <w:rFonts w:ascii="Calibri" w:eastAsia="Times New Roman" w:hAnsi="Calibri" w:cs="Times New Roman"/>
          <w:color w:val="000000"/>
          <w:szCs w:val="20"/>
        </w:rPr>
        <w:t>000 obligations convertibles en actions ordinaires nouvelles</w:t>
      </w:r>
      <w:r>
        <w:rPr>
          <w:rFonts w:ascii="Calibri" w:eastAsia="Times New Roman" w:hAnsi="Calibri" w:cs="Times New Roman"/>
          <w:color w:val="000000"/>
          <w:szCs w:val="20"/>
        </w:rPr>
        <w:t xml:space="preserve"> </w:t>
      </w:r>
      <w:r w:rsidRPr="00C52AA2">
        <w:rPr>
          <w:rFonts w:ascii="Calibri" w:eastAsia="Times New Roman" w:hAnsi="Calibri" w:cs="Times New Roman"/>
          <w:color w:val="000000"/>
          <w:szCs w:val="20"/>
        </w:rPr>
        <w:t>(ci-après « OCA ») assorties de BSA représentant un emprunt</w:t>
      </w:r>
      <w:r>
        <w:rPr>
          <w:rFonts w:ascii="Calibri" w:eastAsia="Times New Roman" w:hAnsi="Calibri" w:cs="Times New Roman"/>
          <w:color w:val="000000"/>
          <w:szCs w:val="20"/>
        </w:rPr>
        <w:t xml:space="preserve"> </w:t>
      </w:r>
      <w:r w:rsidRPr="00C52AA2">
        <w:rPr>
          <w:rFonts w:ascii="Calibri" w:eastAsia="Times New Roman" w:hAnsi="Calibri" w:cs="Times New Roman"/>
          <w:color w:val="000000"/>
          <w:szCs w:val="20"/>
        </w:rPr>
        <w:t>obligataire d’un montant nominal global maximum de 40</w:t>
      </w:r>
      <w:r>
        <w:rPr>
          <w:rFonts w:ascii="Calibri" w:eastAsia="Times New Roman" w:hAnsi="Calibri" w:cs="Times New Roman"/>
          <w:color w:val="000000"/>
          <w:szCs w:val="20"/>
        </w:rPr>
        <w:t>.</w:t>
      </w:r>
      <w:r w:rsidRPr="00C52AA2">
        <w:rPr>
          <w:rFonts w:ascii="Calibri" w:eastAsia="Times New Roman" w:hAnsi="Calibri" w:cs="Times New Roman"/>
          <w:color w:val="000000"/>
          <w:szCs w:val="20"/>
        </w:rPr>
        <w:t>000</w:t>
      </w:r>
      <w:r>
        <w:rPr>
          <w:rFonts w:ascii="Calibri" w:eastAsia="Times New Roman" w:hAnsi="Calibri" w:cs="Times New Roman"/>
          <w:color w:val="000000"/>
          <w:szCs w:val="20"/>
        </w:rPr>
        <w:t>.</w:t>
      </w:r>
      <w:r w:rsidR="004F3FFB">
        <w:rPr>
          <w:rFonts w:ascii="Calibri" w:eastAsia="Times New Roman" w:hAnsi="Calibri" w:cs="Times New Roman"/>
          <w:color w:val="000000"/>
          <w:szCs w:val="20"/>
        </w:rPr>
        <w:t xml:space="preserve">000 </w:t>
      </w:r>
      <w:r w:rsidR="004A075E">
        <w:rPr>
          <w:rFonts w:ascii="Calibri" w:eastAsia="Times New Roman" w:hAnsi="Calibri" w:cs="Times New Roman"/>
          <w:color w:val="000000"/>
          <w:szCs w:val="20"/>
        </w:rPr>
        <w:t>€</w:t>
      </w:r>
      <w:r w:rsidRPr="00C52AA2">
        <w:rPr>
          <w:rFonts w:ascii="Calibri" w:eastAsia="Times New Roman" w:hAnsi="Calibri" w:cs="Times New Roman"/>
          <w:color w:val="000000"/>
          <w:szCs w:val="20"/>
        </w:rPr>
        <w:t>, avec suppression</w:t>
      </w:r>
      <w:r>
        <w:rPr>
          <w:rFonts w:ascii="Calibri" w:eastAsia="Times New Roman" w:hAnsi="Calibri" w:cs="Times New Roman"/>
          <w:color w:val="000000"/>
          <w:szCs w:val="20"/>
        </w:rPr>
        <w:t xml:space="preserve"> </w:t>
      </w:r>
      <w:r w:rsidRPr="00C52AA2">
        <w:rPr>
          <w:rFonts w:ascii="Calibri" w:eastAsia="Times New Roman" w:hAnsi="Calibri" w:cs="Times New Roman"/>
          <w:color w:val="000000"/>
          <w:szCs w:val="20"/>
        </w:rPr>
        <w:t xml:space="preserve">du droit préférentiel de souscription des actionnaires au profit de </w:t>
      </w:r>
      <w:r w:rsidR="00DA6434">
        <w:rPr>
          <w:rFonts w:ascii="Calibri" w:eastAsia="Times New Roman" w:hAnsi="Calibri" w:cs="Times New Roman"/>
          <w:color w:val="000000"/>
          <w:szCs w:val="20"/>
        </w:rPr>
        <w:t>Negma Group</w:t>
      </w:r>
      <w:r w:rsidRPr="00C52AA2">
        <w:rPr>
          <w:rFonts w:ascii="Calibri" w:eastAsia="Times New Roman" w:hAnsi="Calibri" w:cs="Times New Roman"/>
          <w:color w:val="000000"/>
          <w:szCs w:val="20"/>
        </w:rPr>
        <w:t xml:space="preserve"> </w:t>
      </w:r>
      <w:r w:rsidR="003F1935" w:rsidRPr="00C52AA2">
        <w:rPr>
          <w:rFonts w:ascii="Calibri" w:eastAsia="Times New Roman" w:hAnsi="Calibri" w:cs="Times New Roman"/>
          <w:color w:val="000000"/>
          <w:szCs w:val="20"/>
        </w:rPr>
        <w:t>L</w:t>
      </w:r>
      <w:r w:rsidR="003F1935">
        <w:rPr>
          <w:rFonts w:ascii="Calibri" w:eastAsia="Times New Roman" w:hAnsi="Calibri" w:cs="Times New Roman"/>
          <w:color w:val="000000"/>
          <w:szCs w:val="20"/>
        </w:rPr>
        <w:t>td</w:t>
      </w:r>
      <w:r w:rsidR="003F1935" w:rsidRPr="00C52AA2">
        <w:rPr>
          <w:rFonts w:ascii="Calibri" w:eastAsia="Times New Roman" w:hAnsi="Calibri" w:cs="Times New Roman"/>
          <w:color w:val="000000"/>
          <w:szCs w:val="20"/>
        </w:rPr>
        <w:t xml:space="preserve"> </w:t>
      </w:r>
      <w:r w:rsidRPr="00C52AA2">
        <w:rPr>
          <w:rFonts w:ascii="Calibri" w:eastAsia="Times New Roman" w:hAnsi="Calibri" w:cs="Times New Roman"/>
          <w:color w:val="000000"/>
          <w:szCs w:val="20"/>
        </w:rPr>
        <w:t>(l’« Investisseur »)</w:t>
      </w:r>
      <w:r>
        <w:rPr>
          <w:rFonts w:ascii="Calibri" w:eastAsia="Times New Roman" w:hAnsi="Calibri" w:cs="Times New Roman"/>
          <w:color w:val="000000"/>
          <w:szCs w:val="20"/>
        </w:rPr>
        <w:t xml:space="preserve">. </w:t>
      </w:r>
    </w:p>
    <w:p w14:paraId="1D938153" w14:textId="77777777" w:rsidR="00733071" w:rsidRDefault="00733071" w:rsidP="009678E1">
      <w:pPr>
        <w:widowControl w:val="0"/>
        <w:autoSpaceDE w:val="0"/>
        <w:autoSpaceDN w:val="0"/>
        <w:adjustRightInd w:val="0"/>
        <w:ind w:left="567"/>
        <w:rPr>
          <w:rFonts w:ascii="Calibri" w:eastAsia="Times New Roman" w:hAnsi="Calibri" w:cs="Times New Roman"/>
          <w:color w:val="000000"/>
          <w:szCs w:val="20"/>
        </w:rPr>
      </w:pPr>
    </w:p>
    <w:p w14:paraId="2EBE4802" w14:textId="25E8452B" w:rsidR="00165A52" w:rsidRPr="00515D2E" w:rsidRDefault="006F1660" w:rsidP="00165A52">
      <w:pPr>
        <w:widowControl w:val="0"/>
        <w:autoSpaceDE w:val="0"/>
        <w:autoSpaceDN w:val="0"/>
        <w:adjustRightInd w:val="0"/>
        <w:ind w:left="567"/>
      </w:pPr>
      <w:r>
        <w:t xml:space="preserve">Cette émission a fait </w:t>
      </w:r>
      <w:r w:rsidRPr="00165A52">
        <w:t xml:space="preserve">l’objet d’un protocole d’accord conclu entre la Société et </w:t>
      </w:r>
      <w:r w:rsidR="00B34229">
        <w:t>l’Investisseur</w:t>
      </w:r>
      <w:r w:rsidRPr="00165A52">
        <w:t xml:space="preserve"> par acte sous seing privé en date </w:t>
      </w:r>
      <w:r w:rsidR="00165A52" w:rsidRPr="00165A52">
        <w:t xml:space="preserve">18 octobre 2019 </w:t>
      </w:r>
      <w:r w:rsidR="00165A52">
        <w:t>complété par</w:t>
      </w:r>
      <w:r w:rsidR="00165A52" w:rsidRPr="00165A52">
        <w:t xml:space="preserve"> deux</w:t>
      </w:r>
      <w:r w:rsidR="00733071" w:rsidRPr="00165A52">
        <w:t xml:space="preserve"> avenant</w:t>
      </w:r>
      <w:r w:rsidR="00165A52" w:rsidRPr="00165A52">
        <w:t>s</w:t>
      </w:r>
      <w:r w:rsidR="00733071" w:rsidRPr="00165A52">
        <w:t xml:space="preserve"> </w:t>
      </w:r>
      <w:r w:rsidR="00165A52" w:rsidRPr="00165A52">
        <w:t>signés les 19 mai 202</w:t>
      </w:r>
      <w:r w:rsidR="00165A52">
        <w:t>0 et 6 janvier 2021</w:t>
      </w:r>
      <w:r>
        <w:t xml:space="preserve"> (Cf. paragraphe « </w:t>
      </w:r>
      <w:r w:rsidR="0025074C">
        <w:fldChar w:fldCharType="begin"/>
      </w:r>
      <w:r w:rsidR="0025074C">
        <w:instrText xml:space="preserve"> REF _Ref471635099 \h </w:instrText>
      </w:r>
      <w:r w:rsidR="0025074C">
        <w:fldChar w:fldCharType="separate"/>
      </w:r>
      <w:r w:rsidR="003A0AD1" w:rsidRPr="0067311E">
        <w:t>2</w:t>
      </w:r>
      <w:r w:rsidR="003A0AD1">
        <w:t>0</w:t>
      </w:r>
      <w:r w:rsidR="003A0AD1" w:rsidRPr="0067311E">
        <w:t>.</w:t>
      </w:r>
      <w:r w:rsidR="003A0AD1">
        <w:t>1</w:t>
      </w:r>
      <w:r w:rsidR="003A0AD1" w:rsidRPr="0067311E">
        <w:t xml:space="preserve"> Contrat </w:t>
      </w:r>
      <w:r w:rsidR="003A0AD1">
        <w:t xml:space="preserve">de financement signé le 18 octobre 2019 avec Negma Group Ltd </w:t>
      </w:r>
      <w:r w:rsidR="003A0AD1" w:rsidRPr="0067311E">
        <w:t>(« </w:t>
      </w:r>
      <w:r w:rsidR="003A0AD1">
        <w:t xml:space="preserve">OCABSA Negma </w:t>
      </w:r>
      <w:r w:rsidR="003A0AD1" w:rsidRPr="0067311E">
        <w:t>»)</w:t>
      </w:r>
      <w:r w:rsidR="0025074C">
        <w:fldChar w:fldCharType="end"/>
      </w:r>
      <w:r>
        <w:t>» du Docum</w:t>
      </w:r>
      <w:r w:rsidR="00165A52">
        <w:t>ent d’enregistrement universel)</w:t>
      </w:r>
      <w:r w:rsidR="00165A52" w:rsidRPr="00515D2E">
        <w:t>.</w:t>
      </w:r>
    </w:p>
    <w:p w14:paraId="034CA19E" w14:textId="67641C57" w:rsidR="00D5172F" w:rsidRDefault="00D5172F" w:rsidP="009678E1">
      <w:pPr>
        <w:ind w:left="567"/>
      </w:pPr>
    </w:p>
    <w:p w14:paraId="0ED6B0C9" w14:textId="77777777" w:rsidR="00E7064F" w:rsidRPr="00FD365D" w:rsidRDefault="00D5172F" w:rsidP="00C622C2">
      <w:pPr>
        <w:pStyle w:val="Paragraphedeliste"/>
        <w:widowControl w:val="0"/>
        <w:numPr>
          <w:ilvl w:val="0"/>
          <w:numId w:val="43"/>
        </w:numPr>
        <w:autoSpaceDE w:val="0"/>
        <w:autoSpaceDN w:val="0"/>
        <w:adjustRightInd w:val="0"/>
        <w:ind w:left="567" w:firstLine="0"/>
        <w:rPr>
          <w:rFonts w:ascii="Calibri" w:hAnsi="Calibri" w:cs="Calibri"/>
          <w:szCs w:val="20"/>
        </w:rPr>
      </w:pPr>
      <w:r>
        <w:rPr>
          <w:color w:val="FF0000"/>
        </w:rPr>
        <w:t xml:space="preserve"> </w:t>
      </w:r>
      <w:r w:rsidR="00E7064F" w:rsidRPr="00FD365D">
        <w:rPr>
          <w:rFonts w:ascii="Calibri" w:hAnsi="Calibri" w:cs="Calibri"/>
          <w:b/>
          <w:bCs/>
          <w:szCs w:val="20"/>
        </w:rPr>
        <w:t>Objectifs de l’opération :</w:t>
      </w:r>
    </w:p>
    <w:p w14:paraId="5D48C9B0" w14:textId="77777777" w:rsidR="00E7064F" w:rsidRDefault="00E7064F" w:rsidP="009678E1">
      <w:pPr>
        <w:ind w:left="567"/>
        <w:rPr>
          <w:rFonts w:ascii="Calibri" w:hAnsi="Calibri" w:cs="Calibri"/>
          <w:szCs w:val="20"/>
        </w:rPr>
      </w:pPr>
    </w:p>
    <w:p w14:paraId="1BBE6BCD" w14:textId="0333BEDA" w:rsidR="00A32753" w:rsidRPr="00A32753" w:rsidRDefault="00E7064F" w:rsidP="009678E1">
      <w:pPr>
        <w:ind w:left="567"/>
        <w:rPr>
          <w:rFonts w:ascii="Calibri" w:hAnsi="Calibri" w:cs="Calibri"/>
          <w:szCs w:val="20"/>
        </w:rPr>
      </w:pPr>
      <w:r>
        <w:rPr>
          <w:rFonts w:ascii="Calibri" w:hAnsi="Calibri" w:cs="Calibri"/>
          <w:szCs w:val="20"/>
        </w:rPr>
        <w:t>Cette émission d’OCABSA</w:t>
      </w:r>
      <w:r w:rsidR="000E5F9E">
        <w:rPr>
          <w:rFonts w:ascii="Calibri" w:hAnsi="Calibri" w:cs="Calibri"/>
          <w:szCs w:val="20"/>
        </w:rPr>
        <w:t xml:space="preserve"> </w:t>
      </w:r>
      <w:r w:rsidR="003F1935">
        <w:rPr>
          <w:rFonts w:ascii="Calibri" w:hAnsi="Calibri" w:cs="Calibri"/>
          <w:szCs w:val="20"/>
        </w:rPr>
        <w:t xml:space="preserve">Negma </w:t>
      </w:r>
      <w:r w:rsidR="003F1935">
        <w:rPr>
          <w:rFonts w:ascii="Calibri" w:eastAsia="Times New Roman" w:hAnsi="Calibri" w:cs="Times New Roman"/>
          <w:color w:val="000000"/>
          <w:szCs w:val="20"/>
        </w:rPr>
        <w:t>Group</w:t>
      </w:r>
      <w:r w:rsidR="003F1935" w:rsidRPr="00C52AA2">
        <w:rPr>
          <w:rFonts w:ascii="Calibri" w:eastAsia="Times New Roman" w:hAnsi="Calibri" w:cs="Times New Roman"/>
          <w:color w:val="000000"/>
          <w:szCs w:val="20"/>
        </w:rPr>
        <w:t xml:space="preserve"> L</w:t>
      </w:r>
      <w:r w:rsidR="003F1935">
        <w:rPr>
          <w:rFonts w:ascii="Calibri" w:eastAsia="Times New Roman" w:hAnsi="Calibri" w:cs="Times New Roman"/>
          <w:color w:val="000000"/>
          <w:szCs w:val="20"/>
        </w:rPr>
        <w:t>td</w:t>
      </w:r>
      <w:r w:rsidR="003F1935" w:rsidRPr="00C52AA2">
        <w:rPr>
          <w:rFonts w:ascii="Calibri" w:eastAsia="Times New Roman" w:hAnsi="Calibri" w:cs="Times New Roman"/>
          <w:color w:val="000000"/>
          <w:szCs w:val="20"/>
        </w:rPr>
        <w:t xml:space="preserve"> </w:t>
      </w:r>
      <w:r>
        <w:rPr>
          <w:rFonts w:ascii="Calibri" w:hAnsi="Calibri" w:cs="Calibri"/>
          <w:szCs w:val="20"/>
        </w:rPr>
        <w:t xml:space="preserve">a pour objectif de </w:t>
      </w:r>
      <w:r w:rsidR="00A32753">
        <w:rPr>
          <w:rFonts w:ascii="Calibri" w:hAnsi="Calibri" w:cs="Calibri"/>
          <w:szCs w:val="20"/>
        </w:rPr>
        <w:t>permettre à</w:t>
      </w:r>
      <w:r>
        <w:rPr>
          <w:rFonts w:ascii="Calibri" w:hAnsi="Calibri" w:cs="Calibri"/>
          <w:szCs w:val="20"/>
        </w:rPr>
        <w:t xml:space="preserve"> Spineway </w:t>
      </w:r>
      <w:r w:rsidR="00A32753">
        <w:rPr>
          <w:rFonts w:ascii="Calibri" w:hAnsi="Calibri" w:cs="Calibri"/>
          <w:szCs w:val="20"/>
        </w:rPr>
        <w:t>de</w:t>
      </w:r>
      <w:r>
        <w:rPr>
          <w:rFonts w:ascii="Calibri" w:hAnsi="Calibri" w:cs="Calibri"/>
          <w:szCs w:val="20"/>
        </w:rPr>
        <w:t xml:space="preserve"> </w:t>
      </w:r>
      <w:r w:rsidR="00A32753">
        <w:rPr>
          <w:rFonts w:ascii="Calibri" w:hAnsi="Calibri" w:cs="Calibri"/>
          <w:szCs w:val="20"/>
        </w:rPr>
        <w:t xml:space="preserve">financer </w:t>
      </w:r>
      <w:r w:rsidR="00A32753" w:rsidRPr="00A32753">
        <w:rPr>
          <w:rFonts w:ascii="Calibri" w:hAnsi="Calibri" w:cs="Calibri"/>
          <w:szCs w:val="20"/>
        </w:rPr>
        <w:t>des projets de rapprochement capitalistique et accompagner sa stratégie.</w:t>
      </w:r>
    </w:p>
    <w:p w14:paraId="21007F6E" w14:textId="77777777" w:rsidR="00A32753" w:rsidRDefault="00A32753" w:rsidP="009678E1">
      <w:pPr>
        <w:ind w:left="567"/>
        <w:rPr>
          <w:rFonts w:ascii="Times New Roman" w:hAnsi="Times New Roman" w:cs="Times New Roman"/>
          <w:sz w:val="22"/>
          <w:szCs w:val="22"/>
        </w:rPr>
      </w:pPr>
    </w:p>
    <w:p w14:paraId="15070109" w14:textId="73DB03F3" w:rsidR="00FD0EB6" w:rsidRPr="00FD365D" w:rsidRDefault="00FD0EB6" w:rsidP="00C622C2">
      <w:pPr>
        <w:pStyle w:val="Paragraphedeliste"/>
        <w:widowControl w:val="0"/>
        <w:numPr>
          <w:ilvl w:val="0"/>
          <w:numId w:val="43"/>
        </w:numPr>
        <w:autoSpaceDE w:val="0"/>
        <w:autoSpaceDN w:val="0"/>
        <w:adjustRightInd w:val="0"/>
        <w:ind w:left="567" w:firstLine="0"/>
        <w:rPr>
          <w:rFonts w:ascii="Calibri" w:hAnsi="Calibri" w:cs="Calibri"/>
          <w:szCs w:val="20"/>
        </w:rPr>
      </w:pPr>
      <w:r>
        <w:rPr>
          <w:rFonts w:ascii="Calibri" w:hAnsi="Calibri" w:cs="Calibri"/>
          <w:b/>
          <w:bCs/>
          <w:szCs w:val="20"/>
        </w:rPr>
        <w:t xml:space="preserve">Caractéristiques des OCA </w:t>
      </w:r>
      <w:r w:rsidRPr="00FD365D">
        <w:rPr>
          <w:rFonts w:ascii="Calibri" w:hAnsi="Calibri" w:cs="Calibri"/>
          <w:b/>
          <w:bCs/>
          <w:szCs w:val="20"/>
        </w:rPr>
        <w:t>:</w:t>
      </w:r>
    </w:p>
    <w:p w14:paraId="1E914F82" w14:textId="77777777" w:rsidR="00FD0EB6" w:rsidRDefault="00FD0EB6" w:rsidP="009678E1">
      <w:pPr>
        <w:ind w:left="567"/>
        <w:rPr>
          <w:rFonts w:ascii="Times New Roman" w:hAnsi="Times New Roman" w:cs="Times New Roman"/>
          <w:sz w:val="22"/>
          <w:szCs w:val="22"/>
        </w:rPr>
      </w:pPr>
    </w:p>
    <w:p w14:paraId="5A4C8F7D" w14:textId="43B8959D" w:rsidR="00FD0EB6" w:rsidRPr="001117C6" w:rsidRDefault="00FD0EB6" w:rsidP="00C622C2">
      <w:pPr>
        <w:pStyle w:val="Paragraphedeliste"/>
        <w:numPr>
          <w:ilvl w:val="0"/>
          <w:numId w:val="54"/>
        </w:numPr>
        <w:ind w:left="993"/>
        <w:rPr>
          <w:rFonts w:ascii="Calibri" w:eastAsia="Times New Roman" w:hAnsi="Calibri" w:cs="Times New Roman"/>
          <w:bCs/>
          <w:color w:val="000000"/>
          <w:szCs w:val="20"/>
        </w:rPr>
      </w:pPr>
      <w:r w:rsidRPr="001117C6">
        <w:rPr>
          <w:rFonts w:ascii="Calibri" w:eastAsia="Times New Roman" w:hAnsi="Calibri" w:cs="Times New Roman"/>
          <w:bCs/>
          <w:color w:val="000000"/>
          <w:szCs w:val="20"/>
        </w:rPr>
        <w:t>Valeur nominale de 2</w:t>
      </w:r>
      <w:r w:rsidR="001117C6">
        <w:rPr>
          <w:rFonts w:ascii="Calibri" w:eastAsia="Times New Roman" w:hAnsi="Calibri" w:cs="Times New Roman"/>
          <w:bCs/>
          <w:color w:val="000000"/>
          <w:szCs w:val="20"/>
        </w:rPr>
        <w:t>.</w:t>
      </w:r>
      <w:r w:rsidRPr="001117C6">
        <w:rPr>
          <w:rFonts w:ascii="Calibri" w:eastAsia="Times New Roman" w:hAnsi="Calibri" w:cs="Times New Roman"/>
          <w:bCs/>
          <w:color w:val="000000"/>
          <w:szCs w:val="20"/>
        </w:rPr>
        <w:t xml:space="preserve">500 </w:t>
      </w:r>
      <w:r w:rsidR="001117C6">
        <w:rPr>
          <w:rFonts w:ascii="Calibri" w:eastAsia="Times New Roman" w:hAnsi="Calibri" w:cs="Times New Roman"/>
          <w:bCs/>
          <w:color w:val="000000"/>
          <w:szCs w:val="20"/>
        </w:rPr>
        <w:t>€</w:t>
      </w:r>
      <w:r w:rsidRPr="001117C6">
        <w:rPr>
          <w:rFonts w:ascii="Calibri" w:eastAsia="Times New Roman" w:hAnsi="Calibri" w:cs="Times New Roman"/>
          <w:bCs/>
          <w:color w:val="000000"/>
          <w:szCs w:val="20"/>
        </w:rPr>
        <w:t xml:space="preserve"> chacune souscrite à 100% de leur valeur nominale.</w:t>
      </w:r>
    </w:p>
    <w:p w14:paraId="2C7302D5" w14:textId="77777777" w:rsidR="00FD0EB6" w:rsidRPr="001117C6" w:rsidRDefault="00FD0EB6" w:rsidP="00C622C2">
      <w:pPr>
        <w:pStyle w:val="Paragraphedeliste"/>
        <w:numPr>
          <w:ilvl w:val="0"/>
          <w:numId w:val="54"/>
        </w:numPr>
        <w:ind w:left="993"/>
        <w:rPr>
          <w:rFonts w:ascii="Calibri" w:eastAsia="Times New Roman" w:hAnsi="Calibri" w:cs="Times New Roman"/>
          <w:bCs/>
          <w:color w:val="000000"/>
          <w:szCs w:val="20"/>
        </w:rPr>
      </w:pPr>
      <w:r w:rsidRPr="001117C6">
        <w:rPr>
          <w:rFonts w:ascii="Calibri" w:eastAsia="Times New Roman" w:hAnsi="Calibri" w:cs="Times New Roman"/>
          <w:bCs/>
          <w:color w:val="000000"/>
          <w:szCs w:val="20"/>
        </w:rPr>
        <w:t xml:space="preserve">Maturité de 12 mois à compter de leur émission. </w:t>
      </w:r>
    </w:p>
    <w:p w14:paraId="6BE1BE93" w14:textId="5E9F9B2C" w:rsidR="00FD0EB6" w:rsidRPr="001117C6" w:rsidRDefault="00FD0EB6" w:rsidP="00C622C2">
      <w:pPr>
        <w:pStyle w:val="Paragraphedeliste"/>
        <w:numPr>
          <w:ilvl w:val="0"/>
          <w:numId w:val="54"/>
        </w:numPr>
        <w:ind w:left="993"/>
        <w:rPr>
          <w:rFonts w:ascii="Calibri" w:eastAsia="Times New Roman" w:hAnsi="Calibri" w:cs="Times New Roman"/>
          <w:color w:val="000000"/>
        </w:rPr>
      </w:pPr>
      <w:r w:rsidRPr="5F1F329D">
        <w:rPr>
          <w:rFonts w:ascii="Calibri" w:eastAsia="Times New Roman" w:hAnsi="Calibri" w:cs="Times New Roman"/>
          <w:color w:val="000000"/>
        </w:rPr>
        <w:lastRenderedPageBreak/>
        <w:t>En cas de survenance d’un cas de défaut</w:t>
      </w:r>
      <w:r w:rsidRPr="5F1F329D">
        <w:rPr>
          <w:rFonts w:ascii="Calibri" w:eastAsia="Times New Roman" w:hAnsi="Calibri" w:cs="Times New Roman"/>
          <w:color w:val="000000"/>
          <w:vertAlign w:val="superscript"/>
        </w:rPr>
        <w:footnoteReference w:id="9"/>
      </w:r>
      <w:r w:rsidR="001117C6" w:rsidRPr="5F1F329D">
        <w:rPr>
          <w:rFonts w:ascii="Calibri" w:eastAsia="Times New Roman" w:hAnsi="Calibri" w:cs="Times New Roman"/>
          <w:color w:val="000000"/>
        </w:rPr>
        <w:t xml:space="preserve">, </w:t>
      </w:r>
      <w:r w:rsidRPr="5F1F329D">
        <w:rPr>
          <w:rFonts w:ascii="Calibri" w:eastAsia="Times New Roman" w:hAnsi="Calibri" w:cs="Times New Roman"/>
          <w:color w:val="000000"/>
        </w:rPr>
        <w:t>d’un événement significatif défavorable</w:t>
      </w:r>
      <w:r w:rsidRPr="5F1F329D">
        <w:rPr>
          <w:rFonts w:ascii="Calibri" w:eastAsia="Times New Roman" w:hAnsi="Calibri" w:cs="Times New Roman"/>
          <w:color w:val="000000"/>
          <w:vertAlign w:val="superscript"/>
        </w:rPr>
        <w:footnoteReference w:id="10"/>
      </w:r>
      <w:r w:rsidR="001117C6" w:rsidRPr="5F1F329D">
        <w:rPr>
          <w:rFonts w:ascii="Calibri" w:eastAsia="Times New Roman" w:hAnsi="Calibri" w:cs="Times New Roman"/>
          <w:color w:val="000000"/>
          <w:vertAlign w:val="superscript"/>
        </w:rPr>
        <w:t xml:space="preserve"> </w:t>
      </w:r>
      <w:r w:rsidR="001117C6" w:rsidRPr="5F1F329D">
        <w:rPr>
          <w:rFonts w:ascii="Calibri" w:eastAsia="Times New Roman" w:hAnsi="Calibri" w:cs="Times New Roman"/>
          <w:color w:val="000000"/>
        </w:rPr>
        <w:t xml:space="preserve">, </w:t>
      </w:r>
      <w:r w:rsidRPr="5F1F329D">
        <w:rPr>
          <w:rFonts w:ascii="Calibri" w:eastAsia="Times New Roman" w:hAnsi="Calibri" w:cs="Times New Roman"/>
          <w:color w:val="000000"/>
        </w:rPr>
        <w:t xml:space="preserve">d’un changement de contrôle ou en cas de défaut de livraison des actions nouvelles conformément au </w:t>
      </w:r>
      <w:r w:rsidR="000E5F9E">
        <w:rPr>
          <w:rFonts w:ascii="Calibri" w:eastAsia="Times New Roman" w:hAnsi="Calibri" w:cs="Times New Roman"/>
          <w:color w:val="000000"/>
        </w:rPr>
        <w:t>c</w:t>
      </w:r>
      <w:r w:rsidRPr="5F1F329D">
        <w:rPr>
          <w:rFonts w:ascii="Calibri" w:eastAsia="Times New Roman" w:hAnsi="Calibri" w:cs="Times New Roman"/>
          <w:color w:val="000000"/>
        </w:rPr>
        <w:t>ontrat d’</w:t>
      </w:r>
      <w:r w:rsidR="000E5F9E">
        <w:rPr>
          <w:rFonts w:ascii="Calibri" w:eastAsia="Times New Roman" w:hAnsi="Calibri" w:cs="Times New Roman"/>
          <w:color w:val="000000"/>
        </w:rPr>
        <w:t>é</w:t>
      </w:r>
      <w:r w:rsidRPr="5F1F329D">
        <w:rPr>
          <w:rFonts w:ascii="Calibri" w:eastAsia="Times New Roman" w:hAnsi="Calibri" w:cs="Times New Roman"/>
          <w:color w:val="000000"/>
        </w:rPr>
        <w:t xml:space="preserve">mission, les OCA non converties devront être remboursées par la Société à leur valeur nominale. </w:t>
      </w:r>
    </w:p>
    <w:p w14:paraId="3AD35B03" w14:textId="1B1C880C" w:rsidR="00FD0EB6" w:rsidRPr="001117C6" w:rsidRDefault="00FD0EB6" w:rsidP="00C622C2">
      <w:pPr>
        <w:pStyle w:val="Paragraphedeliste"/>
        <w:numPr>
          <w:ilvl w:val="0"/>
          <w:numId w:val="54"/>
        </w:numPr>
        <w:ind w:left="993"/>
        <w:rPr>
          <w:rFonts w:ascii="Calibri" w:eastAsia="Times New Roman" w:hAnsi="Calibri" w:cs="Times New Roman"/>
          <w:bCs/>
          <w:color w:val="000000"/>
          <w:szCs w:val="20"/>
        </w:rPr>
      </w:pPr>
      <w:r w:rsidRPr="001117C6">
        <w:rPr>
          <w:rFonts w:ascii="Calibri" w:eastAsia="Times New Roman" w:hAnsi="Calibri" w:cs="Times New Roman"/>
          <w:bCs/>
          <w:color w:val="000000"/>
          <w:szCs w:val="20"/>
        </w:rPr>
        <w:t>Arrivée</w:t>
      </w:r>
      <w:r w:rsidR="0029312C" w:rsidRPr="001117C6">
        <w:rPr>
          <w:rFonts w:ascii="Calibri" w:eastAsia="Times New Roman" w:hAnsi="Calibri" w:cs="Times New Roman"/>
          <w:bCs/>
          <w:color w:val="000000"/>
          <w:szCs w:val="20"/>
        </w:rPr>
        <w:t>s</w:t>
      </w:r>
      <w:r w:rsidRPr="001117C6">
        <w:rPr>
          <w:rFonts w:ascii="Calibri" w:eastAsia="Times New Roman" w:hAnsi="Calibri" w:cs="Times New Roman"/>
          <w:bCs/>
          <w:color w:val="000000"/>
          <w:szCs w:val="20"/>
        </w:rPr>
        <w:t xml:space="preserve"> à échéance, les OCA seront converties par leur porteur en actions </w:t>
      </w:r>
      <w:r w:rsidR="0029312C" w:rsidRPr="001117C6">
        <w:rPr>
          <w:rFonts w:ascii="Calibri" w:eastAsia="Times New Roman" w:hAnsi="Calibri" w:cs="Times New Roman"/>
          <w:bCs/>
          <w:color w:val="000000"/>
          <w:szCs w:val="20"/>
        </w:rPr>
        <w:t>Spineway</w:t>
      </w:r>
      <w:r w:rsidRPr="001117C6">
        <w:rPr>
          <w:rFonts w:ascii="Calibri" w:eastAsia="Times New Roman" w:hAnsi="Calibri" w:cs="Times New Roman"/>
          <w:bCs/>
          <w:color w:val="000000"/>
          <w:szCs w:val="20"/>
        </w:rPr>
        <w:t xml:space="preserve">. </w:t>
      </w:r>
    </w:p>
    <w:p w14:paraId="5E675FE8" w14:textId="595754F6" w:rsidR="00FD0EB6" w:rsidRPr="001117C6" w:rsidRDefault="00FD0EB6" w:rsidP="00C622C2">
      <w:pPr>
        <w:pStyle w:val="Paragraphedeliste"/>
        <w:numPr>
          <w:ilvl w:val="0"/>
          <w:numId w:val="54"/>
        </w:numPr>
        <w:ind w:left="993"/>
        <w:rPr>
          <w:rFonts w:ascii="Calibri" w:eastAsia="Times New Roman" w:hAnsi="Calibri" w:cs="Times New Roman"/>
          <w:bCs/>
          <w:color w:val="000000"/>
          <w:szCs w:val="20"/>
        </w:rPr>
      </w:pPr>
      <w:r w:rsidRPr="001117C6">
        <w:rPr>
          <w:rFonts w:ascii="Calibri" w:eastAsia="Times New Roman" w:hAnsi="Calibri" w:cs="Times New Roman"/>
          <w:bCs/>
          <w:color w:val="000000"/>
          <w:szCs w:val="20"/>
        </w:rPr>
        <w:t>Les OCA ne porteront pas intérêt.</w:t>
      </w:r>
    </w:p>
    <w:p w14:paraId="6591D854" w14:textId="2C10CE9D" w:rsidR="00FB75BE" w:rsidRPr="001117C6" w:rsidRDefault="00FD0EB6" w:rsidP="00C622C2">
      <w:pPr>
        <w:pStyle w:val="Paragraphedeliste"/>
        <w:numPr>
          <w:ilvl w:val="0"/>
          <w:numId w:val="54"/>
        </w:numPr>
        <w:ind w:left="993"/>
        <w:rPr>
          <w:rFonts w:ascii="Calibri" w:eastAsia="Times New Roman" w:hAnsi="Calibri" w:cs="Times New Roman"/>
          <w:bCs/>
          <w:color w:val="000000"/>
          <w:szCs w:val="20"/>
        </w:rPr>
      </w:pPr>
      <w:r w:rsidRPr="001117C6">
        <w:rPr>
          <w:rFonts w:ascii="Calibri" w:eastAsia="Times New Roman" w:hAnsi="Calibri" w:cs="Times New Roman"/>
          <w:bCs/>
          <w:color w:val="000000"/>
          <w:szCs w:val="20"/>
        </w:rPr>
        <w:t xml:space="preserve">A sa discrétion, l’Investisseur pourra, à tout moment, convertir tout ou partie des OCA en actions nouvelles ordinaires. Lors d’une </w:t>
      </w:r>
      <w:r w:rsidR="000E5F9E">
        <w:rPr>
          <w:rFonts w:ascii="Calibri" w:eastAsia="Times New Roman" w:hAnsi="Calibri" w:cs="Times New Roman"/>
          <w:bCs/>
          <w:color w:val="000000"/>
          <w:szCs w:val="20"/>
        </w:rPr>
        <w:t>c</w:t>
      </w:r>
      <w:r w:rsidRPr="001117C6">
        <w:rPr>
          <w:rFonts w:ascii="Calibri" w:eastAsia="Times New Roman" w:hAnsi="Calibri" w:cs="Times New Roman"/>
          <w:bCs/>
          <w:color w:val="000000"/>
          <w:szCs w:val="20"/>
        </w:rPr>
        <w:t>onversion, l’Investisseur déterminera le nombre d’OCA à convertir et le montant total nominal à convertir</w:t>
      </w:r>
      <w:r w:rsidR="0029312C" w:rsidRPr="001117C6">
        <w:rPr>
          <w:rFonts w:ascii="Calibri" w:eastAsia="Times New Roman" w:hAnsi="Calibri" w:cs="Times New Roman"/>
          <w:bCs/>
          <w:color w:val="000000"/>
          <w:szCs w:val="20"/>
        </w:rPr>
        <w:t>.</w:t>
      </w:r>
    </w:p>
    <w:p w14:paraId="3A4CB925" w14:textId="6D45D38C" w:rsidR="00FB75BE" w:rsidRPr="001117C6" w:rsidRDefault="00FB75BE" w:rsidP="00C622C2">
      <w:pPr>
        <w:pStyle w:val="Paragraphedeliste"/>
        <w:numPr>
          <w:ilvl w:val="0"/>
          <w:numId w:val="54"/>
        </w:numPr>
        <w:ind w:left="993"/>
        <w:rPr>
          <w:rFonts w:ascii="Calibri" w:eastAsia="Times New Roman" w:hAnsi="Calibri" w:cs="Times New Roman"/>
          <w:bCs/>
          <w:color w:val="000000"/>
          <w:szCs w:val="20"/>
        </w:rPr>
      </w:pPr>
      <w:r w:rsidRPr="001117C6">
        <w:rPr>
          <w:rFonts w:ascii="Calibri" w:eastAsia="Times New Roman" w:hAnsi="Calibri" w:cs="Times New Roman"/>
          <w:bCs/>
          <w:color w:val="000000"/>
          <w:szCs w:val="20"/>
        </w:rPr>
        <w:t xml:space="preserve">Détermination du prix de conversion des obligations en actions : 91% du </w:t>
      </w:r>
      <w:r w:rsidRPr="006734B3">
        <w:rPr>
          <w:rFonts w:ascii="Calibri" w:eastAsia="Times New Roman" w:hAnsi="Calibri" w:cs="Times New Roman"/>
          <w:bCs/>
          <w:color w:val="000000"/>
          <w:szCs w:val="20"/>
        </w:rPr>
        <w:t xml:space="preserve">prix moyen pondéré par le volume de </w:t>
      </w:r>
      <w:r w:rsidRPr="001117C6">
        <w:rPr>
          <w:rFonts w:ascii="Calibri" w:eastAsia="Times New Roman" w:hAnsi="Calibri" w:cs="Times New Roman"/>
          <w:bCs/>
          <w:color w:val="000000"/>
          <w:szCs w:val="20"/>
        </w:rPr>
        <w:t>l'action le plus bas sur les 13 jours de bourse précédant la date de conversion, arrondi inférieur au 10</w:t>
      </w:r>
      <w:r w:rsidR="001117C6">
        <w:rPr>
          <w:rFonts w:ascii="Calibri" w:eastAsia="Times New Roman" w:hAnsi="Calibri" w:cs="Times New Roman"/>
          <w:bCs/>
          <w:color w:val="000000"/>
          <w:szCs w:val="20"/>
        </w:rPr>
        <w:t>.</w:t>
      </w:r>
      <w:r w:rsidRPr="001117C6">
        <w:rPr>
          <w:rFonts w:ascii="Calibri" w:eastAsia="Times New Roman" w:hAnsi="Calibri" w:cs="Times New Roman"/>
          <w:bCs/>
          <w:color w:val="000000"/>
          <w:szCs w:val="20"/>
        </w:rPr>
        <w:t>000</w:t>
      </w:r>
      <w:r w:rsidR="001117C6" w:rsidRPr="001117C6">
        <w:rPr>
          <w:rFonts w:ascii="Calibri" w:eastAsia="Times New Roman" w:hAnsi="Calibri" w:cs="Times New Roman"/>
          <w:color w:val="000000"/>
          <w:szCs w:val="20"/>
          <w:vertAlign w:val="superscript"/>
        </w:rPr>
        <w:t>ème</w:t>
      </w:r>
      <w:r w:rsidRPr="001117C6">
        <w:rPr>
          <w:rFonts w:ascii="Calibri" w:eastAsia="Times New Roman" w:hAnsi="Calibri" w:cs="Times New Roman"/>
          <w:bCs/>
          <w:color w:val="000000"/>
          <w:szCs w:val="20"/>
        </w:rPr>
        <w:t xml:space="preserve"> (sous condition que sur aucun de ces 13 jours Negma </w:t>
      </w:r>
      <w:r w:rsidR="003F1935">
        <w:rPr>
          <w:rFonts w:ascii="Calibri" w:eastAsia="Times New Roman" w:hAnsi="Calibri" w:cs="Times New Roman"/>
          <w:color w:val="000000"/>
          <w:szCs w:val="20"/>
        </w:rPr>
        <w:t>Group</w:t>
      </w:r>
      <w:r w:rsidR="003F1935" w:rsidRPr="00C52AA2">
        <w:rPr>
          <w:rFonts w:ascii="Calibri" w:eastAsia="Times New Roman" w:hAnsi="Calibri" w:cs="Times New Roman"/>
          <w:color w:val="000000"/>
          <w:szCs w:val="20"/>
        </w:rPr>
        <w:t xml:space="preserve"> L</w:t>
      </w:r>
      <w:r w:rsidR="003F1935">
        <w:rPr>
          <w:rFonts w:ascii="Calibri" w:eastAsia="Times New Roman" w:hAnsi="Calibri" w:cs="Times New Roman"/>
          <w:color w:val="000000"/>
          <w:szCs w:val="20"/>
        </w:rPr>
        <w:t>td</w:t>
      </w:r>
      <w:r w:rsidR="003F1935" w:rsidRPr="00C52AA2">
        <w:rPr>
          <w:rFonts w:ascii="Calibri" w:eastAsia="Times New Roman" w:hAnsi="Calibri" w:cs="Times New Roman"/>
          <w:color w:val="000000"/>
          <w:szCs w:val="20"/>
        </w:rPr>
        <w:t xml:space="preserve"> </w:t>
      </w:r>
      <w:r w:rsidRPr="001117C6">
        <w:rPr>
          <w:rFonts w:ascii="Calibri" w:eastAsia="Times New Roman" w:hAnsi="Calibri" w:cs="Times New Roman"/>
          <w:bCs/>
          <w:color w:val="000000"/>
          <w:szCs w:val="20"/>
        </w:rPr>
        <w:t xml:space="preserve">et ses </w:t>
      </w:r>
      <w:r w:rsidR="000E5F9E">
        <w:rPr>
          <w:rFonts w:ascii="Calibri" w:eastAsia="Times New Roman" w:hAnsi="Calibri" w:cs="Times New Roman"/>
          <w:bCs/>
          <w:color w:val="000000"/>
          <w:szCs w:val="20"/>
        </w:rPr>
        <w:t>affiliés</w:t>
      </w:r>
      <w:r w:rsidRPr="001117C6">
        <w:rPr>
          <w:rFonts w:ascii="Calibri" w:eastAsia="Times New Roman" w:hAnsi="Calibri" w:cs="Times New Roman"/>
          <w:bCs/>
          <w:color w:val="000000"/>
          <w:szCs w:val="20"/>
        </w:rPr>
        <w:t xml:space="preserve"> n'ai</w:t>
      </w:r>
      <w:r w:rsidR="000E5F9E">
        <w:rPr>
          <w:rFonts w:ascii="Calibri" w:eastAsia="Times New Roman" w:hAnsi="Calibri" w:cs="Times New Roman"/>
          <w:bCs/>
          <w:color w:val="000000"/>
          <w:szCs w:val="20"/>
        </w:rPr>
        <w:t>ent</w:t>
      </w:r>
      <w:r w:rsidRPr="001117C6">
        <w:rPr>
          <w:rFonts w:ascii="Calibri" w:eastAsia="Times New Roman" w:hAnsi="Calibri" w:cs="Times New Roman"/>
          <w:bCs/>
          <w:color w:val="000000"/>
          <w:szCs w:val="20"/>
        </w:rPr>
        <w:t xml:space="preserve"> échangé d'action pour plus de 25% du volume). </w:t>
      </w:r>
    </w:p>
    <w:p w14:paraId="7307B931" w14:textId="732D5C0D" w:rsidR="00FB75BE" w:rsidRPr="001117C6" w:rsidRDefault="00FB75BE" w:rsidP="00C622C2">
      <w:pPr>
        <w:pStyle w:val="Paragraphedeliste"/>
        <w:numPr>
          <w:ilvl w:val="0"/>
          <w:numId w:val="54"/>
        </w:numPr>
        <w:ind w:left="993"/>
        <w:rPr>
          <w:rFonts w:ascii="Calibri" w:eastAsia="Times New Roman" w:hAnsi="Calibri" w:cs="Times New Roman"/>
          <w:bCs/>
          <w:color w:val="000000"/>
          <w:szCs w:val="20"/>
        </w:rPr>
      </w:pPr>
      <w:r w:rsidRPr="001117C6">
        <w:rPr>
          <w:rFonts w:ascii="Calibri" w:eastAsia="Times New Roman" w:hAnsi="Calibri" w:cs="Times New Roman"/>
          <w:bCs/>
          <w:color w:val="000000"/>
          <w:szCs w:val="20"/>
        </w:rPr>
        <w:t>Si le prix de conversion ainsi déterminé est inférieur au nominal, alors le prix de conversion effectif sera égal à la valeur nominale de l’action. Le détenteur des OC</w:t>
      </w:r>
      <w:r w:rsidR="000E5F9E">
        <w:rPr>
          <w:rFonts w:ascii="Calibri" w:eastAsia="Times New Roman" w:hAnsi="Calibri" w:cs="Times New Roman"/>
          <w:bCs/>
          <w:color w:val="000000"/>
          <w:szCs w:val="20"/>
        </w:rPr>
        <w:t>A</w:t>
      </w:r>
      <w:r w:rsidRPr="001117C6">
        <w:rPr>
          <w:rFonts w:ascii="Calibri" w:eastAsia="Times New Roman" w:hAnsi="Calibri" w:cs="Times New Roman"/>
          <w:bCs/>
          <w:color w:val="000000"/>
          <w:szCs w:val="20"/>
        </w:rPr>
        <w:t xml:space="preserve"> recevra alors </w:t>
      </w:r>
      <w:r w:rsidR="003F1935" w:rsidRPr="001117C6">
        <w:rPr>
          <w:rFonts w:ascii="Calibri" w:eastAsia="Times New Roman" w:hAnsi="Calibri" w:cs="Times New Roman"/>
          <w:bCs/>
          <w:color w:val="000000"/>
          <w:szCs w:val="20"/>
        </w:rPr>
        <w:t>l</w:t>
      </w:r>
      <w:r w:rsidR="003F1935">
        <w:rPr>
          <w:rFonts w:ascii="Calibri" w:eastAsia="Times New Roman" w:hAnsi="Calibri" w:cs="Times New Roman"/>
          <w:bCs/>
          <w:color w:val="000000"/>
          <w:szCs w:val="20"/>
        </w:rPr>
        <w:t>e</w:t>
      </w:r>
      <w:r w:rsidR="003F1935" w:rsidRPr="001117C6">
        <w:rPr>
          <w:rFonts w:ascii="Calibri" w:eastAsia="Times New Roman" w:hAnsi="Calibri" w:cs="Times New Roman"/>
          <w:bCs/>
          <w:color w:val="000000"/>
          <w:szCs w:val="20"/>
        </w:rPr>
        <w:t xml:space="preserve"> </w:t>
      </w:r>
      <w:r w:rsidRPr="001117C6">
        <w:rPr>
          <w:rFonts w:ascii="Calibri" w:eastAsia="Times New Roman" w:hAnsi="Calibri" w:cs="Times New Roman"/>
          <w:bCs/>
          <w:color w:val="000000"/>
          <w:szCs w:val="20"/>
        </w:rPr>
        <w:t xml:space="preserve">paiement d’une pénalité d'un montant déterminé comme suit : (Prix de clôture de la veille de la date de conversion) *  </w:t>
      </w:r>
      <w:r w:rsidR="00B251AC" w:rsidRPr="001117C6">
        <w:rPr>
          <w:rFonts w:ascii="Calibri" w:eastAsia="Times New Roman" w:hAnsi="Calibri" w:cs="Times New Roman"/>
          <w:bCs/>
          <w:color w:val="000000"/>
          <w:szCs w:val="20"/>
        </w:rPr>
        <w:t>(Montant</w:t>
      </w:r>
      <w:r w:rsidRPr="001117C6">
        <w:rPr>
          <w:rFonts w:ascii="Calibri" w:eastAsia="Times New Roman" w:hAnsi="Calibri" w:cs="Times New Roman"/>
          <w:bCs/>
          <w:color w:val="000000"/>
          <w:szCs w:val="20"/>
        </w:rPr>
        <w:t xml:space="preserve"> converti / prix de </w:t>
      </w:r>
      <w:r w:rsidR="00B251AC" w:rsidRPr="001117C6">
        <w:rPr>
          <w:rFonts w:ascii="Calibri" w:eastAsia="Times New Roman" w:hAnsi="Calibri" w:cs="Times New Roman"/>
          <w:bCs/>
          <w:color w:val="000000"/>
          <w:szCs w:val="20"/>
        </w:rPr>
        <w:t>conversion)</w:t>
      </w:r>
      <w:r w:rsidRPr="001117C6">
        <w:rPr>
          <w:rFonts w:ascii="Calibri" w:eastAsia="Times New Roman" w:hAnsi="Calibri" w:cs="Times New Roman"/>
          <w:bCs/>
          <w:color w:val="000000"/>
          <w:szCs w:val="20"/>
        </w:rPr>
        <w:t xml:space="preserve"> - (Montant converti / valeur </w:t>
      </w:r>
      <w:r w:rsidR="00B251AC" w:rsidRPr="001117C6">
        <w:rPr>
          <w:rFonts w:ascii="Calibri" w:eastAsia="Times New Roman" w:hAnsi="Calibri" w:cs="Times New Roman"/>
          <w:bCs/>
          <w:color w:val="000000"/>
          <w:szCs w:val="20"/>
        </w:rPr>
        <w:t>nominale)</w:t>
      </w:r>
      <w:r w:rsidRPr="001117C6">
        <w:rPr>
          <w:rFonts w:ascii="Calibri" w:eastAsia="Times New Roman" w:hAnsi="Calibri" w:cs="Times New Roman"/>
          <w:bCs/>
          <w:color w:val="000000"/>
          <w:szCs w:val="20"/>
        </w:rPr>
        <w:t xml:space="preserve"> </w:t>
      </w:r>
    </w:p>
    <w:p w14:paraId="1B33B840" w14:textId="77777777" w:rsidR="007D2011" w:rsidRDefault="007D2011" w:rsidP="007D2011">
      <w:pPr>
        <w:widowControl w:val="0"/>
        <w:autoSpaceDE w:val="0"/>
        <w:autoSpaceDN w:val="0"/>
        <w:adjustRightInd w:val="0"/>
        <w:rPr>
          <w:rFonts w:ascii="Calibri" w:hAnsi="Calibri" w:cs="Calibri"/>
          <w:bCs/>
          <w:i/>
          <w:szCs w:val="20"/>
          <w:u w:val="single"/>
        </w:rPr>
      </w:pPr>
    </w:p>
    <w:p w14:paraId="49CAFBC3" w14:textId="0DCAF9CF" w:rsidR="001117C6" w:rsidRPr="001117C6" w:rsidRDefault="001117C6" w:rsidP="007D2011">
      <w:pPr>
        <w:widowControl w:val="0"/>
        <w:autoSpaceDE w:val="0"/>
        <w:autoSpaceDN w:val="0"/>
        <w:adjustRightInd w:val="0"/>
        <w:ind w:left="567"/>
        <w:rPr>
          <w:rFonts w:ascii="Calibri" w:hAnsi="Calibri" w:cs="Calibri"/>
          <w:i/>
          <w:szCs w:val="20"/>
        </w:rPr>
      </w:pPr>
      <w:r w:rsidRPr="001117C6">
        <w:rPr>
          <w:rFonts w:ascii="Calibri" w:hAnsi="Calibri" w:cs="Calibri"/>
          <w:bCs/>
          <w:i/>
          <w:szCs w:val="20"/>
          <w:u w:val="single"/>
        </w:rPr>
        <w:t>Compensations</w:t>
      </w:r>
      <w:r w:rsidRPr="001117C6">
        <w:rPr>
          <w:rFonts w:ascii="Calibri" w:hAnsi="Calibri" w:cs="Calibri"/>
          <w:b/>
          <w:bCs/>
          <w:i/>
          <w:szCs w:val="20"/>
        </w:rPr>
        <w:t xml:space="preserve"> :</w:t>
      </w:r>
    </w:p>
    <w:p w14:paraId="5D6BD5B0" w14:textId="63B28C20" w:rsidR="001117C6" w:rsidRDefault="001117C6" w:rsidP="007D2011">
      <w:pPr>
        <w:ind w:left="567"/>
        <w:rPr>
          <w:rFonts w:ascii="Calibri" w:hAnsi="Calibri" w:cs="Calibri"/>
          <w:szCs w:val="20"/>
        </w:rPr>
      </w:pPr>
      <w:r w:rsidRPr="00173EEE">
        <w:rPr>
          <w:rFonts w:ascii="Calibri" w:hAnsi="Calibri" w:cs="Calibri"/>
          <w:szCs w:val="20"/>
        </w:rPr>
        <w:t xml:space="preserve">L’ensemble des compensations </w:t>
      </w:r>
      <w:r>
        <w:rPr>
          <w:rFonts w:ascii="Calibri" w:hAnsi="Calibri" w:cs="Calibri"/>
          <w:szCs w:val="20"/>
        </w:rPr>
        <w:t xml:space="preserve">ont </w:t>
      </w:r>
      <w:r w:rsidRPr="00173EEE">
        <w:rPr>
          <w:rFonts w:ascii="Calibri" w:hAnsi="Calibri" w:cs="Calibri"/>
          <w:szCs w:val="20"/>
        </w:rPr>
        <w:t xml:space="preserve">débouché tant sur des </w:t>
      </w:r>
      <w:r>
        <w:rPr>
          <w:rFonts w:ascii="Calibri" w:hAnsi="Calibri" w:cs="Calibri"/>
          <w:szCs w:val="20"/>
        </w:rPr>
        <w:t xml:space="preserve">émissions d’obligations </w:t>
      </w:r>
      <w:r w:rsidRPr="00173EEE">
        <w:rPr>
          <w:rFonts w:ascii="Calibri" w:hAnsi="Calibri" w:cs="Calibri"/>
          <w:szCs w:val="20"/>
        </w:rPr>
        <w:t>que sur</w:t>
      </w:r>
      <w:r>
        <w:rPr>
          <w:rFonts w:ascii="Calibri" w:hAnsi="Calibri" w:cs="Calibri"/>
          <w:szCs w:val="20"/>
        </w:rPr>
        <w:t xml:space="preserve"> </w:t>
      </w:r>
      <w:r w:rsidRPr="00173EEE">
        <w:rPr>
          <w:rFonts w:ascii="Calibri" w:hAnsi="Calibri" w:cs="Calibri"/>
          <w:szCs w:val="20"/>
        </w:rPr>
        <w:t xml:space="preserve">une </w:t>
      </w:r>
      <w:r>
        <w:rPr>
          <w:rFonts w:ascii="Calibri" w:hAnsi="Calibri" w:cs="Calibri"/>
          <w:szCs w:val="20"/>
        </w:rPr>
        <w:t>a</w:t>
      </w:r>
      <w:r w:rsidRPr="00173EEE">
        <w:rPr>
          <w:rFonts w:ascii="Calibri" w:hAnsi="Calibri" w:cs="Calibri"/>
          <w:szCs w:val="20"/>
        </w:rPr>
        <w:t>ugmentation de capital réservée sont en effet la conséque</w:t>
      </w:r>
      <w:r>
        <w:rPr>
          <w:rFonts w:ascii="Calibri" w:hAnsi="Calibri" w:cs="Calibri"/>
          <w:szCs w:val="20"/>
        </w:rPr>
        <w:t xml:space="preserve">nce du contrat liant Spineway à </w:t>
      </w:r>
      <w:r w:rsidR="000E5F9E">
        <w:rPr>
          <w:rFonts w:ascii="Calibri" w:hAnsi="Calibri" w:cs="Calibri"/>
          <w:szCs w:val="20"/>
        </w:rPr>
        <w:t>l’Investisseur</w:t>
      </w:r>
      <w:r w:rsidR="000E5F9E" w:rsidRPr="00173EEE">
        <w:rPr>
          <w:rFonts w:ascii="Calibri" w:hAnsi="Calibri" w:cs="Calibri"/>
          <w:szCs w:val="20"/>
        </w:rPr>
        <w:t xml:space="preserve"> </w:t>
      </w:r>
      <w:r w:rsidRPr="00173EEE">
        <w:rPr>
          <w:rFonts w:ascii="Calibri" w:hAnsi="Calibri" w:cs="Calibri"/>
          <w:szCs w:val="20"/>
        </w:rPr>
        <w:t xml:space="preserve">qui prévoit une indemnisation en cas de cours de bourse inférieur au nominal de l’action. </w:t>
      </w:r>
    </w:p>
    <w:p w14:paraId="2B24DD78" w14:textId="77777777" w:rsidR="001117C6" w:rsidRDefault="001117C6" w:rsidP="007D2011">
      <w:pPr>
        <w:ind w:left="567"/>
        <w:rPr>
          <w:rFonts w:ascii="Calibri" w:hAnsi="Calibri" w:cs="Calibri"/>
          <w:szCs w:val="20"/>
        </w:rPr>
      </w:pPr>
      <w:r w:rsidRPr="00173EEE">
        <w:rPr>
          <w:rFonts w:ascii="Calibri" w:hAnsi="Calibri" w:cs="Calibri"/>
          <w:szCs w:val="20"/>
        </w:rPr>
        <w:t xml:space="preserve">L’évolution boursière sur 2020 ayant été très défavorable au cours de l’action Spineway, les levées de tranches se sont accompagnées de très fortes compensations. </w:t>
      </w:r>
    </w:p>
    <w:p w14:paraId="1D867F53" w14:textId="06AC6413" w:rsidR="00BD7551" w:rsidRPr="00BD7551" w:rsidRDefault="001117C6" w:rsidP="00BD7551">
      <w:pPr>
        <w:tabs>
          <w:tab w:val="left" w:pos="567"/>
        </w:tabs>
        <w:ind w:left="567"/>
        <w:rPr>
          <w:rFonts w:ascii="Calibri" w:hAnsi="Calibri" w:cs="Calibri"/>
          <w:szCs w:val="20"/>
        </w:rPr>
      </w:pPr>
      <w:r w:rsidRPr="00173EEE">
        <w:rPr>
          <w:rFonts w:ascii="Calibri" w:hAnsi="Calibri" w:cs="Calibri"/>
          <w:szCs w:val="20"/>
        </w:rPr>
        <w:t>Afin de se protéger de ce mécanisme, Spineway a procédé à deux réductions du nominal de l’action sur l’exercice</w:t>
      </w:r>
      <w:r w:rsidR="00BD7551">
        <w:rPr>
          <w:rFonts w:ascii="Calibri" w:hAnsi="Calibri" w:cs="Calibri"/>
          <w:szCs w:val="20"/>
        </w:rPr>
        <w:t xml:space="preserve"> </w:t>
      </w:r>
      <w:r w:rsidR="003F1935">
        <w:rPr>
          <w:rFonts w:ascii="Calibri" w:hAnsi="Calibri" w:cs="Calibri"/>
          <w:szCs w:val="20"/>
        </w:rPr>
        <w:t xml:space="preserve">et </w:t>
      </w:r>
      <w:r w:rsidR="00BD7551">
        <w:rPr>
          <w:rFonts w:ascii="Calibri" w:hAnsi="Calibri" w:cs="Calibri"/>
          <w:szCs w:val="20"/>
        </w:rPr>
        <w:t xml:space="preserve">signé, le </w:t>
      </w:r>
      <w:r w:rsidR="00BD7551" w:rsidRPr="00BD7551">
        <w:rPr>
          <w:rFonts w:ascii="Calibri" w:hAnsi="Calibri" w:cs="Calibri"/>
          <w:szCs w:val="20"/>
        </w:rPr>
        <w:t xml:space="preserve">19 mai 2020, </w:t>
      </w:r>
      <w:r w:rsidR="003F1935">
        <w:rPr>
          <w:rFonts w:ascii="Calibri" w:hAnsi="Calibri" w:cs="Calibri"/>
          <w:szCs w:val="20"/>
        </w:rPr>
        <w:t>cet</w:t>
      </w:r>
      <w:r w:rsidR="00BD7551" w:rsidRPr="00BD7551">
        <w:rPr>
          <w:rFonts w:ascii="Calibri" w:hAnsi="Calibri" w:cs="Calibri"/>
          <w:szCs w:val="20"/>
        </w:rPr>
        <w:t xml:space="preserve"> avenant </w:t>
      </w:r>
      <w:r w:rsidR="00BD7551">
        <w:rPr>
          <w:rFonts w:ascii="Calibri" w:hAnsi="Calibri" w:cs="Calibri"/>
          <w:szCs w:val="20"/>
        </w:rPr>
        <w:t>qui modifie</w:t>
      </w:r>
      <w:r w:rsidR="00BD7551" w:rsidRPr="00BD7551">
        <w:rPr>
          <w:rFonts w:ascii="Calibri" w:hAnsi="Calibri" w:cs="Calibri"/>
          <w:szCs w:val="20"/>
        </w:rPr>
        <w:t xml:space="preserve"> la règle de calcul des compensations.</w:t>
      </w:r>
    </w:p>
    <w:p w14:paraId="4BCF5251" w14:textId="77777777" w:rsidR="00BD7551" w:rsidRPr="006B3490" w:rsidRDefault="00BD7551" w:rsidP="00BD7551">
      <w:pPr>
        <w:rPr>
          <w:rFonts w:ascii="Calibri" w:hAnsi="Calibri" w:cs="Calibri"/>
          <w:szCs w:val="20"/>
        </w:rPr>
      </w:pPr>
    </w:p>
    <w:p w14:paraId="7E8B8DB9" w14:textId="32B9E488" w:rsidR="001117C6" w:rsidRDefault="001117C6" w:rsidP="007D2011">
      <w:pPr>
        <w:ind w:left="567"/>
        <w:rPr>
          <w:rFonts w:ascii="Calibri" w:hAnsi="Calibri" w:cs="Calibri"/>
          <w:szCs w:val="20"/>
        </w:rPr>
      </w:pPr>
      <w:r w:rsidRPr="00173EEE">
        <w:rPr>
          <w:rFonts w:ascii="Calibri" w:hAnsi="Calibri" w:cs="Calibri"/>
          <w:szCs w:val="20"/>
        </w:rPr>
        <w:t>Au total, l’ensemble de ces compensations ont abouti à une</w:t>
      </w:r>
      <w:r w:rsidR="00242C24">
        <w:rPr>
          <w:rFonts w:ascii="Calibri" w:hAnsi="Calibri" w:cs="Calibri"/>
          <w:szCs w:val="20"/>
        </w:rPr>
        <w:t xml:space="preserve"> charge financière qui s’élève</w:t>
      </w:r>
      <w:r w:rsidRPr="00173EEE">
        <w:rPr>
          <w:rFonts w:ascii="Calibri" w:hAnsi="Calibri" w:cs="Calibri"/>
          <w:szCs w:val="20"/>
        </w:rPr>
        <w:t xml:space="preserve"> pour 2020 à 12 M</w:t>
      </w:r>
      <w:r w:rsidR="00242C24">
        <w:rPr>
          <w:rFonts w:ascii="Calibri" w:hAnsi="Calibri" w:cs="Calibri"/>
          <w:szCs w:val="20"/>
        </w:rPr>
        <w:t>€</w:t>
      </w:r>
      <w:r w:rsidRPr="00173EEE">
        <w:rPr>
          <w:rFonts w:ascii="Calibri" w:hAnsi="Calibri" w:cs="Calibri"/>
          <w:szCs w:val="20"/>
        </w:rPr>
        <w:t xml:space="preserve">. </w:t>
      </w:r>
    </w:p>
    <w:p w14:paraId="48790581" w14:textId="4AC8F0C3" w:rsidR="001117C6" w:rsidRDefault="001117C6" w:rsidP="007D2011">
      <w:pPr>
        <w:ind w:left="567"/>
        <w:rPr>
          <w:rFonts w:ascii="Calibri" w:hAnsi="Calibri" w:cs="Calibri"/>
          <w:szCs w:val="20"/>
        </w:rPr>
      </w:pPr>
      <w:r w:rsidRPr="00173EEE">
        <w:rPr>
          <w:rFonts w:ascii="Calibri" w:hAnsi="Calibri" w:cs="Calibri"/>
          <w:szCs w:val="20"/>
        </w:rPr>
        <w:t xml:space="preserve">Cette charge financière n’a fait l’objet d’aucune sortie de trésorerie pour le Groupe et a été intégralement financée en titres Spineway. </w:t>
      </w:r>
    </w:p>
    <w:p w14:paraId="19C93ABD" w14:textId="77777777" w:rsidR="001117C6" w:rsidRPr="00173EEE" w:rsidRDefault="001117C6" w:rsidP="001117C6">
      <w:pPr>
        <w:ind w:left="993"/>
        <w:rPr>
          <w:rFonts w:ascii="Calibri" w:hAnsi="Calibri" w:cs="Calibri"/>
          <w:szCs w:val="20"/>
        </w:rPr>
      </w:pPr>
    </w:p>
    <w:p w14:paraId="4D17F7D4" w14:textId="77777777" w:rsidR="00805041" w:rsidRDefault="00805041" w:rsidP="009678E1">
      <w:pPr>
        <w:ind w:left="567"/>
      </w:pPr>
    </w:p>
    <w:p w14:paraId="03542F90" w14:textId="61708F01" w:rsidR="0029312C" w:rsidRPr="00FD365D" w:rsidRDefault="0029312C" w:rsidP="00C622C2">
      <w:pPr>
        <w:pStyle w:val="Paragraphedeliste"/>
        <w:widowControl w:val="0"/>
        <w:numPr>
          <w:ilvl w:val="0"/>
          <w:numId w:val="43"/>
        </w:numPr>
        <w:autoSpaceDE w:val="0"/>
        <w:autoSpaceDN w:val="0"/>
        <w:adjustRightInd w:val="0"/>
        <w:ind w:left="567" w:firstLine="0"/>
        <w:rPr>
          <w:rFonts w:ascii="Calibri" w:hAnsi="Calibri" w:cs="Calibri"/>
          <w:szCs w:val="20"/>
        </w:rPr>
      </w:pPr>
      <w:r>
        <w:rPr>
          <w:rFonts w:ascii="Calibri" w:hAnsi="Calibri" w:cs="Calibri"/>
          <w:b/>
          <w:bCs/>
          <w:szCs w:val="20"/>
        </w:rPr>
        <w:t xml:space="preserve">Caractéristiques des BSA </w:t>
      </w:r>
      <w:r w:rsidRPr="00FD365D">
        <w:rPr>
          <w:rFonts w:ascii="Calibri" w:hAnsi="Calibri" w:cs="Calibri"/>
          <w:b/>
          <w:bCs/>
          <w:szCs w:val="20"/>
        </w:rPr>
        <w:t>:</w:t>
      </w:r>
    </w:p>
    <w:p w14:paraId="1C76740F" w14:textId="77777777" w:rsidR="0029312C" w:rsidRDefault="0029312C" w:rsidP="009678E1">
      <w:pPr>
        <w:ind w:left="567"/>
        <w:rPr>
          <w:b/>
        </w:rPr>
      </w:pPr>
    </w:p>
    <w:p w14:paraId="362B0782" w14:textId="3876B771" w:rsidR="0029312C" w:rsidRDefault="006734B3" w:rsidP="009678E1">
      <w:pPr>
        <w:ind w:left="567"/>
      </w:pPr>
      <w:r>
        <w:t>1 BSA donne droit à une action.</w:t>
      </w:r>
    </w:p>
    <w:p w14:paraId="1204CEC5" w14:textId="155ACAD8" w:rsidR="006734B3" w:rsidRDefault="006734B3" w:rsidP="009678E1">
      <w:pPr>
        <w:ind w:left="567"/>
        <w:rPr>
          <w:rFonts w:ascii="Calibri" w:eastAsia="Times New Roman" w:hAnsi="Calibri" w:cs="Times New Roman"/>
          <w:bCs/>
          <w:color w:val="000000"/>
          <w:szCs w:val="20"/>
        </w:rPr>
      </w:pPr>
      <w:r>
        <w:t>Le prix d’exercice du BSA est fixé comme suit </w:t>
      </w:r>
      <w:r w:rsidR="00B65825" w:rsidRPr="00B65825">
        <w:rPr>
          <w:rFonts w:ascii="Calibri" w:eastAsia="Times New Roman" w:hAnsi="Calibri" w:cs="Times New Roman"/>
          <w:iCs/>
          <w:color w:val="000000"/>
          <w:szCs w:val="20"/>
        </w:rPr>
        <w:t>(</w:t>
      </w:r>
      <w:r w:rsidR="00B65825">
        <w:rPr>
          <w:rFonts w:ascii="Calibri" w:eastAsia="Times New Roman" w:hAnsi="Calibri" w:cs="Times New Roman"/>
          <w:iCs/>
          <w:color w:val="000000"/>
          <w:szCs w:val="20"/>
        </w:rPr>
        <w:t>s</w:t>
      </w:r>
      <w:r w:rsidR="00B65825" w:rsidRPr="00B65825">
        <w:rPr>
          <w:rFonts w:ascii="Calibri" w:eastAsia="Times New Roman" w:hAnsi="Calibri" w:cs="Times New Roman"/>
          <w:iCs/>
          <w:color w:val="000000"/>
          <w:szCs w:val="20"/>
        </w:rPr>
        <w:t xml:space="preserve">ous condition que sur aucun de ces 15 jours </w:t>
      </w:r>
      <w:r w:rsidR="000E5F9E">
        <w:rPr>
          <w:rFonts w:ascii="Calibri" w:eastAsia="Times New Roman" w:hAnsi="Calibri" w:cs="Times New Roman"/>
          <w:iCs/>
          <w:color w:val="000000"/>
          <w:szCs w:val="20"/>
        </w:rPr>
        <w:t>l’Investisseur et ses affiliés</w:t>
      </w:r>
      <w:r w:rsidR="00B65825" w:rsidRPr="00B65825">
        <w:rPr>
          <w:rFonts w:ascii="Calibri" w:eastAsia="Times New Roman" w:hAnsi="Calibri" w:cs="Times New Roman"/>
          <w:iCs/>
          <w:color w:val="000000"/>
          <w:szCs w:val="20"/>
        </w:rPr>
        <w:t xml:space="preserve"> n'ai</w:t>
      </w:r>
      <w:r w:rsidR="000E5F9E">
        <w:rPr>
          <w:rFonts w:ascii="Calibri" w:eastAsia="Times New Roman" w:hAnsi="Calibri" w:cs="Times New Roman"/>
          <w:iCs/>
          <w:color w:val="000000"/>
          <w:szCs w:val="20"/>
        </w:rPr>
        <w:t>ent</w:t>
      </w:r>
      <w:r w:rsidR="00B65825" w:rsidRPr="00B65825">
        <w:rPr>
          <w:rFonts w:ascii="Calibri" w:eastAsia="Times New Roman" w:hAnsi="Calibri" w:cs="Times New Roman"/>
          <w:iCs/>
          <w:color w:val="000000"/>
          <w:szCs w:val="20"/>
        </w:rPr>
        <w:t xml:space="preserve"> </w:t>
      </w:r>
      <w:r w:rsidR="00B65825" w:rsidRPr="001117C6">
        <w:rPr>
          <w:rFonts w:ascii="Calibri" w:eastAsia="Times New Roman" w:hAnsi="Calibri" w:cs="Times New Roman"/>
          <w:bCs/>
          <w:color w:val="000000"/>
          <w:szCs w:val="20"/>
        </w:rPr>
        <w:t>échangé d'action pour plus de 25% du volume</w:t>
      </w:r>
      <w:r w:rsidR="00F11A5A" w:rsidRPr="001117C6">
        <w:rPr>
          <w:rFonts w:ascii="Calibri" w:eastAsia="Times New Roman" w:hAnsi="Calibri" w:cs="Times New Roman"/>
          <w:bCs/>
          <w:color w:val="000000"/>
          <w:szCs w:val="20"/>
        </w:rPr>
        <w:t>) :</w:t>
      </w:r>
      <w:r w:rsidRPr="001117C6">
        <w:rPr>
          <w:rFonts w:ascii="Calibri" w:eastAsia="Times New Roman" w:hAnsi="Calibri" w:cs="Times New Roman"/>
          <w:bCs/>
          <w:color w:val="000000"/>
          <w:szCs w:val="20"/>
        </w:rPr>
        <w:t xml:space="preserve"> </w:t>
      </w:r>
      <w:r w:rsidRPr="006734B3">
        <w:rPr>
          <w:rFonts w:ascii="Calibri" w:eastAsia="Times New Roman" w:hAnsi="Calibri" w:cs="Times New Roman"/>
          <w:bCs/>
          <w:color w:val="000000"/>
          <w:szCs w:val="20"/>
        </w:rPr>
        <w:t xml:space="preserve">140% (arrondi au </w:t>
      </w:r>
      <w:r w:rsidR="001117C6" w:rsidRPr="001117C6">
        <w:rPr>
          <w:rFonts w:ascii="Calibri" w:eastAsia="Times New Roman" w:hAnsi="Calibri" w:cs="Times New Roman"/>
          <w:bCs/>
          <w:color w:val="000000"/>
          <w:szCs w:val="20"/>
        </w:rPr>
        <w:t>10</w:t>
      </w:r>
      <w:r w:rsidR="001117C6">
        <w:rPr>
          <w:rFonts w:ascii="Calibri" w:eastAsia="Times New Roman" w:hAnsi="Calibri" w:cs="Times New Roman"/>
          <w:bCs/>
          <w:color w:val="000000"/>
          <w:szCs w:val="20"/>
        </w:rPr>
        <w:t>.</w:t>
      </w:r>
      <w:r w:rsidR="001117C6" w:rsidRPr="001117C6">
        <w:rPr>
          <w:rFonts w:ascii="Calibri" w:eastAsia="Times New Roman" w:hAnsi="Calibri" w:cs="Times New Roman"/>
          <w:bCs/>
          <w:color w:val="000000"/>
          <w:szCs w:val="20"/>
        </w:rPr>
        <w:t>000ème</w:t>
      </w:r>
      <w:r w:rsidRPr="006734B3">
        <w:rPr>
          <w:rFonts w:ascii="Calibri" w:eastAsia="Times New Roman" w:hAnsi="Calibri" w:cs="Times New Roman"/>
          <w:bCs/>
          <w:color w:val="000000"/>
          <w:szCs w:val="20"/>
        </w:rPr>
        <w:t>) du plus bas entre</w:t>
      </w:r>
      <w:r>
        <w:rPr>
          <w:rFonts w:ascii="Calibri" w:eastAsia="Times New Roman" w:hAnsi="Calibri" w:cs="Times New Roman"/>
          <w:bCs/>
          <w:color w:val="000000"/>
          <w:szCs w:val="20"/>
        </w:rPr>
        <w:t> :</w:t>
      </w:r>
    </w:p>
    <w:p w14:paraId="14762A80" w14:textId="57248015" w:rsidR="006734B3" w:rsidRPr="001117C6" w:rsidRDefault="006734B3" w:rsidP="00C622C2">
      <w:pPr>
        <w:pStyle w:val="Paragraphedeliste"/>
        <w:numPr>
          <w:ilvl w:val="0"/>
          <w:numId w:val="54"/>
        </w:numPr>
        <w:ind w:left="993"/>
        <w:rPr>
          <w:rFonts w:ascii="Calibri" w:eastAsia="Times New Roman" w:hAnsi="Calibri" w:cs="Times New Roman"/>
          <w:bCs/>
          <w:color w:val="000000"/>
          <w:szCs w:val="20"/>
        </w:rPr>
      </w:pPr>
      <w:r w:rsidRPr="006734B3">
        <w:rPr>
          <w:rFonts w:ascii="Calibri" w:eastAsia="Times New Roman" w:hAnsi="Calibri" w:cs="Times New Roman"/>
          <w:bCs/>
          <w:color w:val="000000"/>
          <w:szCs w:val="20"/>
        </w:rPr>
        <w:t xml:space="preserve">le prix moyen pondéré par le volume de </w:t>
      </w:r>
      <w:r w:rsidRPr="001117C6">
        <w:rPr>
          <w:rFonts w:ascii="Calibri" w:eastAsia="Times New Roman" w:hAnsi="Calibri" w:cs="Times New Roman"/>
          <w:bCs/>
          <w:color w:val="000000"/>
          <w:szCs w:val="20"/>
        </w:rPr>
        <w:t xml:space="preserve">l'action sur les 15 jours de bourse précédant la date </w:t>
      </w:r>
      <w:r w:rsidR="000E5F9E">
        <w:rPr>
          <w:rFonts w:ascii="Calibri" w:eastAsia="Times New Roman" w:hAnsi="Calibri" w:cs="Times New Roman"/>
          <w:bCs/>
          <w:color w:val="000000"/>
          <w:szCs w:val="20"/>
        </w:rPr>
        <w:t xml:space="preserve">du contrat ; </w:t>
      </w:r>
      <w:r w:rsidRPr="001117C6">
        <w:rPr>
          <w:rFonts w:ascii="Calibri" w:eastAsia="Times New Roman" w:hAnsi="Calibri" w:cs="Times New Roman"/>
          <w:bCs/>
          <w:color w:val="000000"/>
          <w:szCs w:val="20"/>
        </w:rPr>
        <w:t xml:space="preserve"> </w:t>
      </w:r>
    </w:p>
    <w:p w14:paraId="65B64533" w14:textId="0AFE7F46" w:rsidR="006734B3" w:rsidRPr="001117C6" w:rsidRDefault="006734B3" w:rsidP="00C622C2">
      <w:pPr>
        <w:pStyle w:val="Paragraphedeliste"/>
        <w:numPr>
          <w:ilvl w:val="0"/>
          <w:numId w:val="54"/>
        </w:numPr>
        <w:ind w:left="993"/>
        <w:rPr>
          <w:rFonts w:ascii="Calibri" w:eastAsia="Times New Roman" w:hAnsi="Calibri" w:cs="Times New Roman"/>
          <w:bCs/>
          <w:color w:val="000000"/>
          <w:szCs w:val="20"/>
        </w:rPr>
      </w:pPr>
      <w:r w:rsidRPr="006734B3">
        <w:rPr>
          <w:rFonts w:ascii="Calibri" w:eastAsia="Times New Roman" w:hAnsi="Calibri" w:cs="Times New Roman"/>
          <w:bCs/>
          <w:color w:val="000000"/>
          <w:szCs w:val="20"/>
        </w:rPr>
        <w:t xml:space="preserve">le prix moyen pondéré par le volume de </w:t>
      </w:r>
      <w:r w:rsidRPr="001117C6">
        <w:rPr>
          <w:rFonts w:ascii="Calibri" w:eastAsia="Times New Roman" w:hAnsi="Calibri" w:cs="Times New Roman"/>
          <w:bCs/>
          <w:color w:val="000000"/>
          <w:szCs w:val="20"/>
        </w:rPr>
        <w:t xml:space="preserve">l'action sur les 15 jours de bourses précédant la requête d'émission de la </w:t>
      </w:r>
      <w:r w:rsidR="00B732EA" w:rsidRPr="001117C6">
        <w:rPr>
          <w:rFonts w:ascii="Calibri" w:eastAsia="Times New Roman" w:hAnsi="Calibri" w:cs="Times New Roman"/>
          <w:bCs/>
          <w:color w:val="000000"/>
          <w:szCs w:val="20"/>
        </w:rPr>
        <w:t>t</w:t>
      </w:r>
      <w:r w:rsidRPr="001117C6">
        <w:rPr>
          <w:rFonts w:ascii="Calibri" w:eastAsia="Times New Roman" w:hAnsi="Calibri" w:cs="Times New Roman"/>
          <w:bCs/>
          <w:color w:val="000000"/>
          <w:szCs w:val="20"/>
        </w:rPr>
        <w:t>ranche</w:t>
      </w:r>
      <w:r w:rsidR="00B732EA" w:rsidRPr="001117C6">
        <w:rPr>
          <w:rFonts w:ascii="Calibri" w:eastAsia="Times New Roman" w:hAnsi="Calibri" w:cs="Times New Roman"/>
          <w:bCs/>
          <w:color w:val="000000"/>
          <w:szCs w:val="20"/>
        </w:rPr>
        <w:t>.</w:t>
      </w:r>
    </w:p>
    <w:p w14:paraId="60655015" w14:textId="77777777" w:rsidR="00B732EA" w:rsidRPr="0029312C" w:rsidRDefault="00B732EA" w:rsidP="009678E1">
      <w:pPr>
        <w:pStyle w:val="Paragraphedeliste"/>
        <w:ind w:left="567"/>
      </w:pPr>
    </w:p>
    <w:p w14:paraId="26BE0B1C" w14:textId="77777777" w:rsidR="00173EEE" w:rsidRPr="00173EEE" w:rsidRDefault="00173EEE" w:rsidP="009678E1">
      <w:pPr>
        <w:ind w:left="567"/>
        <w:rPr>
          <w:rFonts w:ascii="Calibri" w:hAnsi="Calibri" w:cs="Calibri"/>
          <w:szCs w:val="20"/>
        </w:rPr>
        <w:sectPr w:rsidR="00173EEE" w:rsidRPr="00173EEE" w:rsidSect="003255D7">
          <w:pgSz w:w="11906" w:h="16838"/>
          <w:pgMar w:top="1135" w:right="720" w:bottom="720" w:left="720" w:header="708" w:footer="708" w:gutter="0"/>
          <w:cols w:space="720"/>
        </w:sectPr>
      </w:pPr>
    </w:p>
    <w:p w14:paraId="0A197A15" w14:textId="77777777" w:rsidR="00173EEE" w:rsidRDefault="00173EEE" w:rsidP="009678E1"/>
    <w:p w14:paraId="0E6D38BF" w14:textId="77777777" w:rsidR="00173EEE" w:rsidRDefault="00173EEE" w:rsidP="009678E1"/>
    <w:p w14:paraId="0F26A4F2" w14:textId="77777777" w:rsidR="00173EEE" w:rsidRDefault="00173EEE" w:rsidP="009678E1"/>
    <w:p w14:paraId="48F0FCDA" w14:textId="0E325002" w:rsidR="00B6580F" w:rsidRPr="00B6580F" w:rsidRDefault="00B6580F" w:rsidP="00C622C2">
      <w:pPr>
        <w:pStyle w:val="Paragraphedeliste"/>
        <w:widowControl w:val="0"/>
        <w:numPr>
          <w:ilvl w:val="0"/>
          <w:numId w:val="43"/>
        </w:numPr>
        <w:autoSpaceDE w:val="0"/>
        <w:autoSpaceDN w:val="0"/>
        <w:adjustRightInd w:val="0"/>
        <w:ind w:left="0" w:firstLine="0"/>
        <w:rPr>
          <w:rFonts w:ascii="Calibri" w:hAnsi="Calibri" w:cs="Calibri"/>
          <w:szCs w:val="20"/>
        </w:rPr>
      </w:pPr>
      <w:r>
        <w:rPr>
          <w:rFonts w:ascii="Calibri" w:hAnsi="Calibri" w:cs="Calibri"/>
          <w:b/>
          <w:bCs/>
          <w:szCs w:val="20"/>
        </w:rPr>
        <w:t>Point de situation sur le contrat de financement Negma</w:t>
      </w:r>
      <w:r w:rsidR="0047154F">
        <w:rPr>
          <w:rFonts w:ascii="Calibri" w:hAnsi="Calibri" w:cs="Calibri"/>
          <w:b/>
          <w:bCs/>
          <w:szCs w:val="20"/>
        </w:rPr>
        <w:t xml:space="preserve"> Group LTD.</w:t>
      </w:r>
      <w:r>
        <w:rPr>
          <w:rFonts w:ascii="Calibri" w:hAnsi="Calibri" w:cs="Calibri"/>
          <w:b/>
          <w:bCs/>
          <w:szCs w:val="20"/>
        </w:rPr>
        <w:t xml:space="preserve"> </w:t>
      </w:r>
      <w:r w:rsidRPr="00FD365D">
        <w:rPr>
          <w:rFonts w:ascii="Calibri" w:hAnsi="Calibri" w:cs="Calibri"/>
          <w:b/>
          <w:bCs/>
          <w:szCs w:val="20"/>
        </w:rPr>
        <w:t>:</w:t>
      </w:r>
    </w:p>
    <w:p w14:paraId="397B7DA4" w14:textId="77777777" w:rsidR="00B6580F" w:rsidRPr="00B6580F" w:rsidRDefault="00B6580F" w:rsidP="009678E1">
      <w:pPr>
        <w:widowControl w:val="0"/>
        <w:autoSpaceDE w:val="0"/>
        <w:autoSpaceDN w:val="0"/>
        <w:adjustRightInd w:val="0"/>
        <w:rPr>
          <w:rFonts w:ascii="Calibri" w:hAnsi="Calibri" w:cs="Calibri"/>
          <w:szCs w:val="20"/>
        </w:rPr>
      </w:pPr>
    </w:p>
    <w:p w14:paraId="18E39B79" w14:textId="367E1980" w:rsidR="004F3FFB" w:rsidRDefault="004F3FFB" w:rsidP="009678E1">
      <w:pPr>
        <w:rPr>
          <w:rFonts w:ascii="Times New Roman" w:hAnsi="Times New Roman" w:cs="Times New Roman"/>
          <w:sz w:val="22"/>
          <w:szCs w:val="22"/>
        </w:rPr>
      </w:pPr>
    </w:p>
    <w:p w14:paraId="0DD603CE" w14:textId="51E5144B" w:rsidR="004F3FFB" w:rsidRDefault="00F011AB" w:rsidP="009678E1">
      <w:pPr>
        <w:rPr>
          <w:rFonts w:ascii="Times New Roman" w:hAnsi="Times New Roman" w:cs="Times New Roman"/>
          <w:sz w:val="22"/>
          <w:szCs w:val="22"/>
        </w:rPr>
      </w:pPr>
      <w:r w:rsidRPr="005B42F0">
        <w:rPr>
          <w:rFonts w:ascii="Times New Roman" w:hAnsi="Times New Roman" w:cs="Times New Roman"/>
          <w:noProof/>
          <w:sz w:val="22"/>
          <w:szCs w:val="22"/>
        </w:rPr>
        <w:drawing>
          <wp:inline distT="0" distB="0" distL="0" distR="0" wp14:anchorId="7408DE56" wp14:editId="5CF86473">
            <wp:extent cx="5851525" cy="5029877"/>
            <wp:effectExtent l="0" t="0" r="0" b="0"/>
            <wp:docPr id="84"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5851525" cy="5029877"/>
                    </a:xfrm>
                    <a:prstGeom prst="rect">
                      <a:avLst/>
                    </a:prstGeom>
                    <a:noFill/>
                    <a:ln>
                      <a:noFill/>
                    </a:ln>
                  </pic:spPr>
                </pic:pic>
              </a:graphicData>
            </a:graphic>
          </wp:inline>
        </w:drawing>
      </w:r>
    </w:p>
    <w:p w14:paraId="665C9CDF" w14:textId="7D9A6BBA" w:rsidR="004F3FFB" w:rsidRDefault="00D2456F" w:rsidP="009678E1">
      <w:pPr>
        <w:rPr>
          <w:rFonts w:ascii="Times New Roman" w:hAnsi="Times New Roman" w:cs="Times New Roman"/>
          <w:sz w:val="22"/>
          <w:szCs w:val="22"/>
        </w:rPr>
      </w:pPr>
      <w:r>
        <w:rPr>
          <w:rFonts w:ascii="Times New Roman" w:hAnsi="Times New Roman" w:cs="Times New Roman"/>
          <w:noProof/>
          <w:sz w:val="22"/>
          <w:szCs w:val="22"/>
        </w:rPr>
        <w:lastRenderedPageBreak/>
        <w:drawing>
          <wp:inline distT="0" distB="0" distL="0" distR="0" wp14:anchorId="03205555" wp14:editId="1A206D2E">
            <wp:extent cx="5851525" cy="7130710"/>
            <wp:effectExtent l="0" t="0" r="0" b="6985"/>
            <wp:docPr id="547"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5851525" cy="7130710"/>
                    </a:xfrm>
                    <a:prstGeom prst="rect">
                      <a:avLst/>
                    </a:prstGeom>
                    <a:noFill/>
                    <a:ln>
                      <a:noFill/>
                    </a:ln>
                  </pic:spPr>
                </pic:pic>
              </a:graphicData>
            </a:graphic>
          </wp:inline>
        </w:drawing>
      </w:r>
    </w:p>
    <w:p w14:paraId="0D5F2347" w14:textId="77777777" w:rsidR="00246BC8" w:rsidRDefault="00246BC8" w:rsidP="009678E1">
      <w:pPr>
        <w:jc w:val="left"/>
        <w:rPr>
          <w:noProof/>
        </w:rPr>
      </w:pPr>
    </w:p>
    <w:p w14:paraId="23FACC07" w14:textId="75600652" w:rsidR="00173EEE" w:rsidRPr="00173EEE" w:rsidRDefault="00173EEE" w:rsidP="009678E1">
      <w:pPr>
        <w:jc w:val="left"/>
        <w:rPr>
          <w:noProof/>
          <w:spacing w:val="27"/>
        </w:rPr>
      </w:pPr>
      <w:r>
        <w:rPr>
          <w:noProof/>
        </w:rPr>
        <w:t xml:space="preserve">Le risque de compensation ayant été sécurisé par la </w:t>
      </w:r>
      <w:r>
        <w:rPr>
          <w:noProof/>
          <w:spacing w:val="1"/>
        </w:rPr>
        <w:t xml:space="preserve">réduction du nominal, Spineway a lancé </w:t>
      </w:r>
      <w:r>
        <w:rPr>
          <w:noProof/>
          <w:spacing w:val="3"/>
        </w:rPr>
        <w:t>une 3</w:t>
      </w:r>
      <w:r>
        <w:rPr>
          <w:noProof/>
          <w:spacing w:val="5"/>
          <w:vertAlign w:val="superscript"/>
        </w:rPr>
        <w:t>ème</w:t>
      </w:r>
      <w:r>
        <w:rPr>
          <w:noProof/>
          <w:spacing w:val="15"/>
        </w:rPr>
        <w:t xml:space="preserve"> </w:t>
      </w:r>
      <w:r>
        <w:rPr>
          <w:noProof/>
          <w:spacing w:val="-1"/>
        </w:rPr>
        <w:t>tranche</w:t>
      </w:r>
      <w:r>
        <w:rPr>
          <w:noProof/>
          <w:spacing w:val="15"/>
        </w:rPr>
        <w:t xml:space="preserve"> </w:t>
      </w:r>
      <w:r>
        <w:rPr>
          <w:noProof/>
        </w:rPr>
        <w:t>de souscription d’OCA en décembre 2020.</w:t>
      </w:r>
    </w:p>
    <w:p w14:paraId="6771DCFE" w14:textId="77777777" w:rsidR="00173EEE" w:rsidRDefault="00173EEE" w:rsidP="009678E1">
      <w:pPr>
        <w:jc w:val="left"/>
      </w:pPr>
    </w:p>
    <w:p w14:paraId="6EA4BC8E" w14:textId="1EA503F1" w:rsidR="0085439B" w:rsidRDefault="0085439B" w:rsidP="009678E1">
      <w:pPr>
        <w:pStyle w:val="Paragraphedeliste"/>
        <w:widowControl w:val="0"/>
        <w:autoSpaceDE w:val="0"/>
        <w:autoSpaceDN w:val="0"/>
        <w:adjustRightInd w:val="0"/>
        <w:ind w:left="0"/>
        <w:rPr>
          <w:rFonts w:ascii="Calibri" w:hAnsi="Calibri" w:cs="Calibri"/>
          <w:szCs w:val="20"/>
        </w:rPr>
      </w:pPr>
    </w:p>
    <w:p w14:paraId="128E5F36" w14:textId="745B93F7" w:rsidR="0085439B" w:rsidRPr="0085439B" w:rsidRDefault="002D7816" w:rsidP="009678E1">
      <w:pPr>
        <w:pStyle w:val="Paragraphedeliste"/>
        <w:widowControl w:val="0"/>
        <w:autoSpaceDE w:val="0"/>
        <w:autoSpaceDN w:val="0"/>
        <w:adjustRightInd w:val="0"/>
        <w:ind w:left="0"/>
        <w:rPr>
          <w:rFonts w:ascii="Calibri" w:hAnsi="Calibri" w:cs="Calibri"/>
          <w:szCs w:val="20"/>
        </w:rPr>
      </w:pPr>
      <w:r>
        <w:rPr>
          <w:rFonts w:ascii="Calibri" w:hAnsi="Calibri" w:cs="Calibri"/>
          <w:noProof/>
          <w:szCs w:val="20"/>
        </w:rPr>
        <w:lastRenderedPageBreak/>
        <w:drawing>
          <wp:inline distT="0" distB="0" distL="0" distR="0" wp14:anchorId="52B12EF7" wp14:editId="46767AB2">
            <wp:extent cx="5851525" cy="7134466"/>
            <wp:effectExtent l="0" t="0" r="0" b="3175"/>
            <wp:docPr id="1214375495"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5851525" cy="7134466"/>
                    </a:xfrm>
                    <a:prstGeom prst="rect">
                      <a:avLst/>
                    </a:prstGeom>
                    <a:noFill/>
                    <a:ln>
                      <a:noFill/>
                    </a:ln>
                  </pic:spPr>
                </pic:pic>
              </a:graphicData>
            </a:graphic>
          </wp:inline>
        </w:drawing>
      </w:r>
    </w:p>
    <w:p w14:paraId="484427C0" w14:textId="77777777" w:rsidR="00F011AB" w:rsidRPr="005B42F0" w:rsidRDefault="00F011AB" w:rsidP="005B42F0">
      <w:pPr>
        <w:pStyle w:val="Paragraphedeliste"/>
        <w:widowControl w:val="0"/>
        <w:autoSpaceDE w:val="0"/>
        <w:autoSpaceDN w:val="0"/>
        <w:adjustRightInd w:val="0"/>
        <w:ind w:left="0"/>
        <w:rPr>
          <w:rFonts w:ascii="Calibri" w:hAnsi="Calibri" w:cs="Calibri"/>
          <w:szCs w:val="20"/>
        </w:rPr>
      </w:pPr>
    </w:p>
    <w:p w14:paraId="4F2C66E3" w14:textId="4D9E2537" w:rsidR="00A32753" w:rsidRPr="00FD365D" w:rsidRDefault="00A32753" w:rsidP="00C622C2">
      <w:pPr>
        <w:pStyle w:val="Paragraphedeliste"/>
        <w:widowControl w:val="0"/>
        <w:numPr>
          <w:ilvl w:val="0"/>
          <w:numId w:val="43"/>
        </w:numPr>
        <w:autoSpaceDE w:val="0"/>
        <w:autoSpaceDN w:val="0"/>
        <w:adjustRightInd w:val="0"/>
        <w:ind w:left="0" w:firstLine="0"/>
        <w:rPr>
          <w:rFonts w:ascii="Calibri" w:hAnsi="Calibri" w:cs="Calibri"/>
          <w:szCs w:val="20"/>
        </w:rPr>
      </w:pPr>
      <w:r>
        <w:rPr>
          <w:rFonts w:ascii="Calibri" w:hAnsi="Calibri" w:cs="Calibri"/>
          <w:b/>
          <w:bCs/>
          <w:szCs w:val="20"/>
        </w:rPr>
        <w:t>Impact dilutif</w:t>
      </w:r>
      <w:r w:rsidRPr="00FD365D">
        <w:rPr>
          <w:rFonts w:ascii="Calibri" w:hAnsi="Calibri" w:cs="Calibri"/>
          <w:b/>
          <w:bCs/>
          <w:szCs w:val="20"/>
        </w:rPr>
        <w:t xml:space="preserve"> de l’opération :</w:t>
      </w:r>
    </w:p>
    <w:p w14:paraId="01E70394" w14:textId="77777777" w:rsidR="00FD2FDC" w:rsidRDefault="00FD2FDC" w:rsidP="00FD2FDC"/>
    <w:p w14:paraId="59F43424" w14:textId="77777777" w:rsidR="00FD2FDC" w:rsidRPr="005B2043" w:rsidRDefault="00FD2FDC" w:rsidP="00FD2FDC">
      <w:pPr>
        <w:rPr>
          <w:rFonts w:ascii="Calibri" w:hAnsi="Calibri" w:cs="Calibri"/>
          <w:szCs w:val="20"/>
        </w:rPr>
      </w:pPr>
      <w:r w:rsidRPr="005B2043">
        <w:rPr>
          <w:rFonts w:ascii="Calibri" w:hAnsi="Calibri" w:cs="Calibri"/>
          <w:szCs w:val="20"/>
        </w:rPr>
        <w:t>A la date du Document d’enregistrement universel :</w:t>
      </w:r>
    </w:p>
    <w:p w14:paraId="1107BBB1" w14:textId="77777777" w:rsidR="00FD2FDC" w:rsidRPr="005B2043" w:rsidRDefault="00FD2FDC" w:rsidP="00FD2FDC">
      <w:pPr>
        <w:rPr>
          <w:rFonts w:ascii="Calibri" w:hAnsi="Calibri" w:cs="Calibri"/>
          <w:szCs w:val="20"/>
        </w:rPr>
      </w:pPr>
    </w:p>
    <w:p w14:paraId="1680FEFD" w14:textId="2C4AFCE2" w:rsidR="00FD2FDC" w:rsidRPr="005B2043" w:rsidRDefault="005B42F0" w:rsidP="00C622C2">
      <w:pPr>
        <w:pStyle w:val="Paragraphedeliste"/>
        <w:numPr>
          <w:ilvl w:val="0"/>
          <w:numId w:val="63"/>
        </w:numPr>
        <w:rPr>
          <w:rFonts w:ascii="Calibri" w:hAnsi="Calibri" w:cs="Calibri"/>
        </w:rPr>
      </w:pPr>
      <w:r>
        <w:rPr>
          <w:rFonts w:ascii="Calibri" w:hAnsi="Calibri" w:cs="Calibri"/>
        </w:rPr>
        <w:t>5.940</w:t>
      </w:r>
      <w:r w:rsidR="001C1414" w:rsidRPr="005B2043">
        <w:rPr>
          <w:rFonts w:ascii="Calibri" w:hAnsi="Calibri" w:cs="Calibri"/>
        </w:rPr>
        <w:t xml:space="preserve"> </w:t>
      </w:r>
      <w:r w:rsidR="5F1F329D" w:rsidRPr="005B2043">
        <w:rPr>
          <w:rFonts w:ascii="Calibri" w:hAnsi="Calibri" w:cs="Calibri"/>
        </w:rPr>
        <w:t>obligations ont été émises.</w:t>
      </w:r>
    </w:p>
    <w:p w14:paraId="7F40FA69" w14:textId="77777777" w:rsidR="00FD2FDC" w:rsidRPr="005B2043" w:rsidRDefault="00FD2FDC" w:rsidP="00FD2FDC"/>
    <w:p w14:paraId="4C6786EB" w14:textId="06CC0563" w:rsidR="00EF3F18" w:rsidRPr="00FD2FDC" w:rsidRDefault="004E48EF" w:rsidP="00C622C2">
      <w:pPr>
        <w:pStyle w:val="Paragraphedeliste"/>
        <w:numPr>
          <w:ilvl w:val="0"/>
          <w:numId w:val="63"/>
        </w:numPr>
        <w:rPr>
          <w:rFonts w:ascii="Calibri" w:hAnsi="Calibri" w:cs="Calibri"/>
          <w:szCs w:val="20"/>
        </w:rPr>
      </w:pPr>
      <w:r>
        <w:rPr>
          <w:rFonts w:ascii="Calibri" w:hAnsi="Calibri" w:cs="Calibri"/>
          <w:szCs w:val="20"/>
        </w:rPr>
        <w:t>L’Investisseur</w:t>
      </w:r>
      <w:r w:rsidR="00EF3F18" w:rsidRPr="00FD2FDC">
        <w:rPr>
          <w:rFonts w:ascii="Calibri" w:hAnsi="Calibri" w:cs="Calibri"/>
          <w:szCs w:val="20"/>
        </w:rPr>
        <w:t xml:space="preserve"> dispose de </w:t>
      </w:r>
      <w:r w:rsidR="002D7816">
        <w:rPr>
          <w:rFonts w:ascii="Calibri" w:hAnsi="Calibri"/>
          <w:color w:val="000000"/>
        </w:rPr>
        <w:t>865.</w:t>
      </w:r>
      <w:r w:rsidR="00F011AB" w:rsidRPr="00B44CFB">
        <w:rPr>
          <w:rFonts w:ascii="Calibri" w:hAnsi="Calibri"/>
          <w:color w:val="000000"/>
        </w:rPr>
        <w:t>113</w:t>
      </w:r>
      <w:r w:rsidR="002D7816">
        <w:rPr>
          <w:rFonts w:ascii="Calibri" w:hAnsi="Calibri"/>
          <w:color w:val="000000"/>
        </w:rPr>
        <w:t>.</w:t>
      </w:r>
      <w:r w:rsidR="00F011AB" w:rsidRPr="00B44CFB">
        <w:rPr>
          <w:rFonts w:ascii="Calibri" w:hAnsi="Calibri"/>
          <w:color w:val="000000"/>
        </w:rPr>
        <w:t xml:space="preserve">821 </w:t>
      </w:r>
      <w:r w:rsidR="00EF3F18" w:rsidRPr="00FD2FDC">
        <w:rPr>
          <w:rFonts w:ascii="Calibri" w:hAnsi="Calibri" w:cs="Calibri"/>
          <w:szCs w:val="20"/>
        </w:rPr>
        <w:t>BSA non exercés</w:t>
      </w:r>
      <w:r w:rsidR="002D6F35">
        <w:rPr>
          <w:rFonts w:ascii="Calibri" w:hAnsi="Calibri" w:cs="Calibri"/>
          <w:szCs w:val="20"/>
        </w:rPr>
        <w:t xml:space="preserve"> (</w:t>
      </w:r>
      <w:r w:rsidR="005261F9">
        <w:rPr>
          <w:rFonts w:ascii="Calibri" w:hAnsi="Calibri" w:cs="Calibri"/>
          <w:szCs w:val="20"/>
        </w:rPr>
        <w:t xml:space="preserve">étant précisé que </w:t>
      </w:r>
      <w:r w:rsidR="001C1414">
        <w:rPr>
          <w:rFonts w:ascii="Calibri" w:hAnsi="Calibri" w:cs="Calibri"/>
          <w:szCs w:val="20"/>
        </w:rPr>
        <w:t>1.205.227.636</w:t>
      </w:r>
      <w:r w:rsidR="002D6F35">
        <w:rPr>
          <w:rFonts w:ascii="Calibri" w:hAnsi="Calibri" w:cs="Calibri"/>
          <w:szCs w:val="20"/>
        </w:rPr>
        <w:t xml:space="preserve"> BSA </w:t>
      </w:r>
      <w:r w:rsidR="005261F9">
        <w:rPr>
          <w:rFonts w:ascii="Calibri" w:hAnsi="Calibri" w:cs="Calibri"/>
          <w:szCs w:val="20"/>
        </w:rPr>
        <w:t xml:space="preserve">ont été émis mais que </w:t>
      </w:r>
      <w:r w:rsidR="005261F9" w:rsidRPr="005261F9">
        <w:rPr>
          <w:rFonts w:ascii="Calibri" w:hAnsi="Calibri" w:cs="Calibri"/>
          <w:szCs w:val="20"/>
        </w:rPr>
        <w:t>340</w:t>
      </w:r>
      <w:r w:rsidR="005261F9">
        <w:rPr>
          <w:rFonts w:ascii="Calibri" w:hAnsi="Calibri" w:cs="Calibri"/>
          <w:szCs w:val="20"/>
        </w:rPr>
        <w:t>.</w:t>
      </w:r>
      <w:r w:rsidR="005261F9" w:rsidRPr="005261F9">
        <w:rPr>
          <w:rFonts w:ascii="Calibri" w:hAnsi="Calibri" w:cs="Calibri"/>
          <w:szCs w:val="20"/>
        </w:rPr>
        <w:t>113</w:t>
      </w:r>
      <w:r w:rsidR="005261F9">
        <w:rPr>
          <w:rFonts w:ascii="Calibri" w:hAnsi="Calibri" w:cs="Calibri"/>
          <w:szCs w:val="20"/>
        </w:rPr>
        <w:t>.</w:t>
      </w:r>
      <w:r w:rsidR="005261F9" w:rsidRPr="005261F9">
        <w:rPr>
          <w:rFonts w:ascii="Calibri" w:hAnsi="Calibri" w:cs="Calibri"/>
          <w:szCs w:val="20"/>
        </w:rPr>
        <w:t>815</w:t>
      </w:r>
      <w:r w:rsidR="005261F9">
        <w:rPr>
          <w:rFonts w:ascii="Calibri" w:hAnsi="Calibri" w:cs="Calibri"/>
          <w:szCs w:val="20"/>
        </w:rPr>
        <w:t xml:space="preserve"> BSA ont été cédés à Spineway par accord du 6 janvier 2021 : Cf. paragraphe « </w:t>
      </w:r>
      <w:r w:rsidR="005261F9">
        <w:rPr>
          <w:rFonts w:ascii="Calibri" w:hAnsi="Calibri" w:cs="Calibri"/>
          <w:szCs w:val="20"/>
        </w:rPr>
        <w:fldChar w:fldCharType="begin"/>
      </w:r>
      <w:r w:rsidR="005261F9">
        <w:rPr>
          <w:rFonts w:ascii="Calibri" w:hAnsi="Calibri" w:cs="Calibri"/>
          <w:szCs w:val="20"/>
        </w:rPr>
        <w:instrText xml:space="preserve"> REF _Ref473483974 \h </w:instrText>
      </w:r>
      <w:r w:rsidR="005261F9">
        <w:rPr>
          <w:rFonts w:ascii="Calibri" w:hAnsi="Calibri" w:cs="Calibri"/>
          <w:szCs w:val="20"/>
        </w:rPr>
      </w:r>
      <w:r w:rsidR="005261F9">
        <w:rPr>
          <w:rFonts w:ascii="Calibri" w:hAnsi="Calibri" w:cs="Calibri"/>
          <w:szCs w:val="20"/>
        </w:rPr>
        <w:fldChar w:fldCharType="separate"/>
      </w:r>
      <w:r w:rsidR="003A0AD1">
        <w:t>19</w:t>
      </w:r>
      <w:r w:rsidR="003A0AD1" w:rsidRPr="00782B86">
        <w:t>.1.4.</w:t>
      </w:r>
      <w:r w:rsidR="003A0AD1">
        <w:t>4</w:t>
      </w:r>
      <w:r w:rsidR="003A0AD1" w:rsidRPr="00782B86">
        <w:t xml:space="preserve"> </w:t>
      </w:r>
      <w:r w:rsidR="003A0AD1">
        <w:t>Les BSA Spineway</w:t>
      </w:r>
      <w:r w:rsidR="005261F9">
        <w:rPr>
          <w:rFonts w:ascii="Calibri" w:hAnsi="Calibri" w:cs="Calibri"/>
          <w:szCs w:val="20"/>
        </w:rPr>
        <w:fldChar w:fldCharType="end"/>
      </w:r>
      <w:r w:rsidR="005261F9">
        <w:rPr>
          <w:rFonts w:ascii="Calibri" w:hAnsi="Calibri" w:cs="Calibri"/>
          <w:szCs w:val="20"/>
        </w:rPr>
        <w:t> » du Document d’enregistrement universel)</w:t>
      </w:r>
      <w:r w:rsidR="00EF3F18" w:rsidRPr="00FD2FDC">
        <w:rPr>
          <w:rFonts w:ascii="Calibri" w:hAnsi="Calibri" w:cs="Calibri"/>
          <w:szCs w:val="20"/>
        </w:rPr>
        <w:t xml:space="preserve">. </w:t>
      </w:r>
    </w:p>
    <w:p w14:paraId="411691D2" w14:textId="77777777" w:rsidR="005B2043" w:rsidRPr="005B2043" w:rsidRDefault="005B2043" w:rsidP="009678E1">
      <w:pPr>
        <w:rPr>
          <w:rFonts w:ascii="Calibri" w:hAnsi="Calibri" w:cs="Calibri"/>
        </w:rPr>
      </w:pPr>
    </w:p>
    <w:p w14:paraId="0DC4FDF1" w14:textId="1C2A565F" w:rsidR="00FD2FDC" w:rsidRPr="005B2043" w:rsidRDefault="5F1F329D" w:rsidP="00AF00B1">
      <w:r w:rsidRPr="005B2043">
        <w:rPr>
          <w:rFonts w:ascii="Calibri" w:hAnsi="Calibri" w:cs="Calibri"/>
        </w:rPr>
        <w:lastRenderedPageBreak/>
        <w:t xml:space="preserve">L’exercice de ces BSA peut amener à la création d’au maximum </w:t>
      </w:r>
      <w:r w:rsidR="002D7816">
        <w:rPr>
          <w:rFonts w:ascii="Calibri" w:hAnsi="Calibri"/>
          <w:color w:val="000000"/>
        </w:rPr>
        <w:t>865.</w:t>
      </w:r>
      <w:r w:rsidR="002D7816" w:rsidRPr="00B44CFB">
        <w:rPr>
          <w:rFonts w:ascii="Calibri" w:hAnsi="Calibri"/>
          <w:color w:val="000000"/>
        </w:rPr>
        <w:t>113</w:t>
      </w:r>
      <w:r w:rsidR="002D7816">
        <w:rPr>
          <w:rFonts w:ascii="Calibri" w:hAnsi="Calibri"/>
          <w:color w:val="000000"/>
        </w:rPr>
        <w:t>.</w:t>
      </w:r>
      <w:r w:rsidR="002D7816" w:rsidRPr="00B44CFB">
        <w:rPr>
          <w:rFonts w:ascii="Calibri" w:hAnsi="Calibri"/>
          <w:color w:val="000000"/>
        </w:rPr>
        <w:t xml:space="preserve">821 </w:t>
      </w:r>
      <w:r w:rsidRPr="005B2043">
        <w:rPr>
          <w:rFonts w:ascii="Calibri" w:hAnsi="Calibri" w:cs="Calibri"/>
        </w:rPr>
        <w:t>actions nouvelles</w:t>
      </w:r>
      <w:r w:rsidR="009950DC">
        <w:rPr>
          <w:rFonts w:ascii="Calibri" w:hAnsi="Calibri" w:cs="Calibri"/>
        </w:rPr>
        <w:t xml:space="preserve"> </w:t>
      </w:r>
      <w:r w:rsidRPr="005B2043">
        <w:rPr>
          <w:rFonts w:ascii="Calibri" w:hAnsi="Calibri" w:cs="Calibri"/>
        </w:rPr>
        <w:t>en circulation. Ces BSA peuvent être exercés jusqu’au 18 septembre 2023 pour les BSA émis en janvier 2021.</w:t>
      </w:r>
    </w:p>
    <w:p w14:paraId="43298654" w14:textId="5B10041D" w:rsidR="00FD2FDC" w:rsidRPr="005B2043" w:rsidRDefault="00FD2FDC">
      <w:pPr>
        <w:jc w:val="left"/>
        <w:rPr>
          <w:rFonts w:eastAsiaTheme="majorEastAsia" w:cstheme="majorBidi"/>
          <w:b/>
          <w:bCs/>
          <w:i/>
          <w:iCs/>
        </w:rPr>
      </w:pPr>
    </w:p>
    <w:p w14:paraId="56779602" w14:textId="454D57AE" w:rsidR="00782B86" w:rsidRPr="00782B86" w:rsidRDefault="003102C0" w:rsidP="009678E1">
      <w:pPr>
        <w:pStyle w:val="Titre4"/>
      </w:pPr>
      <w:r>
        <w:t xml:space="preserve">19.1.4.2 </w:t>
      </w:r>
      <w:bookmarkStart w:id="317" w:name="_Ref369770317"/>
      <w:r w:rsidR="00782B86">
        <w:t>Les ORNANE</w:t>
      </w:r>
      <w:bookmarkEnd w:id="317"/>
      <w:r w:rsidR="00782B86">
        <w:t> </w:t>
      </w:r>
      <w:r w:rsidR="004A075E" w:rsidRPr="00CB5401">
        <w:t>Yorkville</w:t>
      </w:r>
      <w:r w:rsidR="004A075E" w:rsidRPr="004A075E">
        <w:t xml:space="preserve"> </w:t>
      </w:r>
      <w:r w:rsidR="004A075E" w:rsidRPr="00CB5401">
        <w:t>SPV Ltd</w:t>
      </w:r>
    </w:p>
    <w:p w14:paraId="44C2B653" w14:textId="77777777" w:rsidR="00782B86" w:rsidRDefault="00782B86" w:rsidP="009678E1"/>
    <w:p w14:paraId="735948C7" w14:textId="3FE7136C" w:rsidR="0051679A" w:rsidRDefault="003F1935" w:rsidP="009678E1">
      <w:r w:rsidRPr="00CB5401">
        <w:t xml:space="preserve">Spineway </w:t>
      </w:r>
      <w:r>
        <w:t>a mis en place</w:t>
      </w:r>
      <w:r w:rsidRPr="00CB5401">
        <w:t xml:space="preserve"> un financement par ORNANE</w:t>
      </w:r>
      <w:r>
        <w:t> </w:t>
      </w:r>
      <w:r w:rsidRPr="00CB5401">
        <w:t xml:space="preserve"> au profit de la société Yorkville SPV Ltd</w:t>
      </w:r>
      <w:r>
        <w:t xml:space="preserve"> (ci-après « l’Investisseur »)</w:t>
      </w:r>
      <w:r w:rsidRPr="00CB5401">
        <w:t>.</w:t>
      </w:r>
      <w:r>
        <w:t xml:space="preserve"> Cette émission a fait l’objet d’un protocole d’accord conclu entre la Société et l’Investisseur</w:t>
      </w:r>
      <w:r w:rsidRPr="00CB5401">
        <w:t xml:space="preserve"> </w:t>
      </w:r>
      <w:r>
        <w:t>par acte sous seing privé en date du 28 juillet 2017 (Cf. paragraphe « </w:t>
      </w:r>
      <w:r>
        <w:fldChar w:fldCharType="begin"/>
      </w:r>
      <w:r>
        <w:instrText xml:space="preserve"> REF _Ref337968423 \h </w:instrText>
      </w:r>
      <w:r>
        <w:fldChar w:fldCharType="separate"/>
      </w:r>
      <w:r>
        <w:t xml:space="preserve">20. </w:t>
      </w:r>
      <w:r w:rsidRPr="0045432D">
        <w:t>Contrats importants</w:t>
      </w:r>
      <w:r>
        <w:fldChar w:fldCharType="end"/>
      </w:r>
      <w:r>
        <w:t> » du Document d’enregistrement universel).</w:t>
      </w:r>
    </w:p>
    <w:p w14:paraId="3A85D7CF" w14:textId="77777777" w:rsidR="00782B86" w:rsidRDefault="00782B86" w:rsidP="009678E1"/>
    <w:p w14:paraId="5D5E170A" w14:textId="55EA3777" w:rsidR="00782B86" w:rsidRPr="00263F89" w:rsidRDefault="00782B86" w:rsidP="009678E1">
      <w:pPr>
        <w:widowControl w:val="0"/>
        <w:autoSpaceDE w:val="0"/>
        <w:autoSpaceDN w:val="0"/>
        <w:adjustRightInd w:val="0"/>
        <w:rPr>
          <w:rFonts w:ascii="Calibri" w:hAnsi="Calibri" w:cs="Calibri"/>
          <w:szCs w:val="20"/>
        </w:rPr>
      </w:pPr>
      <w:r w:rsidRPr="00263F89">
        <w:rPr>
          <w:rFonts w:ascii="Calibri" w:hAnsi="Calibri" w:cs="Calibri"/>
          <w:szCs w:val="20"/>
        </w:rPr>
        <w:t xml:space="preserve">Aux termes du contrat d’émission, l’Investisseur </w:t>
      </w:r>
      <w:r w:rsidR="004A075E">
        <w:rPr>
          <w:rFonts w:ascii="Calibri" w:hAnsi="Calibri" w:cs="Calibri"/>
          <w:szCs w:val="20"/>
        </w:rPr>
        <w:t>s’était</w:t>
      </w:r>
      <w:r w:rsidRPr="00263F89">
        <w:rPr>
          <w:rFonts w:ascii="Calibri" w:hAnsi="Calibri" w:cs="Calibri"/>
          <w:szCs w:val="20"/>
        </w:rPr>
        <w:t xml:space="preserve"> engagé à souscrire pendant une période de 36 mois à compter de la date d’émission des Bons d’Emission jusqu’à 200 ORNANE avec BSA attachés, représentant 2 M€ de valeur nominale totale, en plusieurs tranches successives.</w:t>
      </w:r>
    </w:p>
    <w:p w14:paraId="7DA6D1C4" w14:textId="7E134418" w:rsidR="00782B86" w:rsidRPr="0025022E" w:rsidRDefault="00782B86" w:rsidP="009678E1">
      <w:pPr>
        <w:widowControl w:val="0"/>
        <w:autoSpaceDE w:val="0"/>
        <w:autoSpaceDN w:val="0"/>
        <w:adjustRightInd w:val="0"/>
        <w:rPr>
          <w:rFonts w:ascii="Calibri" w:hAnsi="Calibri" w:cs="Calibri"/>
          <w:szCs w:val="20"/>
        </w:rPr>
      </w:pPr>
      <w:r w:rsidRPr="0025022E">
        <w:rPr>
          <w:rFonts w:ascii="Calibri" w:hAnsi="Calibri" w:cs="Calibri"/>
          <w:bCs/>
          <w:szCs w:val="20"/>
        </w:rPr>
        <w:t xml:space="preserve">Cette émission </w:t>
      </w:r>
      <w:r w:rsidR="004A075E" w:rsidRPr="0025022E">
        <w:rPr>
          <w:rFonts w:ascii="Calibri" w:hAnsi="Calibri" w:cs="Calibri"/>
          <w:bCs/>
          <w:szCs w:val="20"/>
        </w:rPr>
        <w:t>était</w:t>
      </w:r>
      <w:r w:rsidRPr="0025022E">
        <w:rPr>
          <w:rFonts w:ascii="Calibri" w:hAnsi="Calibri" w:cs="Calibri"/>
          <w:bCs/>
          <w:szCs w:val="20"/>
        </w:rPr>
        <w:t xml:space="preserve"> conditionnée au transfert des actions de Spineway sur le</w:t>
      </w:r>
      <w:r w:rsidR="004A075E" w:rsidRPr="0025022E">
        <w:rPr>
          <w:rFonts w:ascii="Calibri" w:hAnsi="Calibri" w:cs="Calibri"/>
          <w:bCs/>
          <w:szCs w:val="20"/>
        </w:rPr>
        <w:t xml:space="preserve"> compartiment « Offre au </w:t>
      </w:r>
      <w:r w:rsidR="009950DC" w:rsidRPr="0025022E">
        <w:rPr>
          <w:rFonts w:ascii="Calibri" w:hAnsi="Calibri" w:cs="Calibri"/>
          <w:bCs/>
          <w:szCs w:val="20"/>
        </w:rPr>
        <w:t>public »</w:t>
      </w:r>
      <w:r w:rsidRPr="0025022E">
        <w:rPr>
          <w:rFonts w:ascii="Calibri" w:hAnsi="Calibri" w:cs="Calibri"/>
          <w:bCs/>
          <w:szCs w:val="20"/>
        </w:rPr>
        <w:t xml:space="preserve"> d’Euronext Growth</w:t>
      </w:r>
      <w:r w:rsidR="0025022E">
        <w:rPr>
          <w:rFonts w:ascii="Calibri" w:hAnsi="Calibri" w:cs="Calibri"/>
          <w:bCs/>
          <w:szCs w:val="20"/>
        </w:rPr>
        <w:t>, effectivement réalisé</w:t>
      </w:r>
      <w:r w:rsidR="004A075E" w:rsidRPr="0025022E">
        <w:rPr>
          <w:rFonts w:ascii="Calibri" w:hAnsi="Calibri" w:cs="Calibri"/>
          <w:bCs/>
          <w:szCs w:val="20"/>
        </w:rPr>
        <w:t xml:space="preserve"> en décembre 2017</w:t>
      </w:r>
      <w:r w:rsidRPr="0025022E">
        <w:rPr>
          <w:rFonts w:ascii="Calibri" w:hAnsi="Calibri" w:cs="Calibri"/>
          <w:szCs w:val="20"/>
        </w:rPr>
        <w:t xml:space="preserve">. </w:t>
      </w:r>
    </w:p>
    <w:p w14:paraId="2B5C082A" w14:textId="77777777" w:rsidR="004A075E" w:rsidRDefault="004A075E" w:rsidP="009678E1">
      <w:pPr>
        <w:widowControl w:val="0"/>
        <w:autoSpaceDE w:val="0"/>
        <w:autoSpaceDN w:val="0"/>
        <w:adjustRightInd w:val="0"/>
        <w:rPr>
          <w:rFonts w:ascii="Calibri" w:hAnsi="Calibri" w:cs="Calibri"/>
          <w:szCs w:val="20"/>
        </w:rPr>
      </w:pPr>
    </w:p>
    <w:p w14:paraId="04B20B4D" w14:textId="23ACA227" w:rsidR="004A075E" w:rsidRDefault="00816E37" w:rsidP="009678E1">
      <w:pPr>
        <w:widowControl w:val="0"/>
        <w:autoSpaceDE w:val="0"/>
        <w:autoSpaceDN w:val="0"/>
        <w:adjustRightInd w:val="0"/>
      </w:pPr>
      <w:r>
        <w:rPr>
          <w:rFonts w:ascii="Calibri" w:hAnsi="Calibri" w:cs="Calibri"/>
          <w:szCs w:val="20"/>
        </w:rPr>
        <w:t xml:space="preserve">Spineway a, le 19 septembre 2019, annoncé la fin de ce financement obligataire et a </w:t>
      </w:r>
      <w:r w:rsidR="004A075E">
        <w:rPr>
          <w:rFonts w:ascii="Calibri" w:hAnsi="Calibri" w:cs="Calibri"/>
          <w:szCs w:val="20"/>
        </w:rPr>
        <w:t xml:space="preserve">procédé au remboursement anticipé de 22 ORNANE qui restaient en possession de </w:t>
      </w:r>
      <w:r w:rsidRPr="00CB5401">
        <w:t>Yorkville SPV Ltd</w:t>
      </w:r>
      <w:r w:rsidR="0025022E">
        <w:t xml:space="preserve"> (soit la moitié des 44 ORNANE qui restaient en possession de </w:t>
      </w:r>
      <w:r w:rsidR="0025022E" w:rsidRPr="00CB5401">
        <w:t>Yorkville SPV Ltd</w:t>
      </w:r>
      <w:r w:rsidR="0025022E">
        <w:t>, les 22 autres ORNANE ayant été converties en octobre 2018).</w:t>
      </w:r>
    </w:p>
    <w:p w14:paraId="254D5B19" w14:textId="2714AB69" w:rsidR="0025022E" w:rsidRPr="00263F89" w:rsidRDefault="0025022E" w:rsidP="009678E1">
      <w:pPr>
        <w:widowControl w:val="0"/>
        <w:autoSpaceDE w:val="0"/>
        <w:autoSpaceDN w:val="0"/>
        <w:adjustRightInd w:val="0"/>
        <w:rPr>
          <w:rFonts w:ascii="Calibri" w:hAnsi="Calibri" w:cs="Calibri"/>
          <w:szCs w:val="20"/>
        </w:rPr>
      </w:pPr>
      <w:r w:rsidRPr="00CB5401">
        <w:t>Yorkville SPV Ltd</w:t>
      </w:r>
      <w:r>
        <w:t xml:space="preserve"> conserve la possibilité d’exercer ses BSA pour 1 M€</w:t>
      </w:r>
      <w:r w:rsidR="00A51F3D">
        <w:t xml:space="preserve"> au plus tard le 31 décembre 2022</w:t>
      </w:r>
      <w:r>
        <w:t>.</w:t>
      </w:r>
    </w:p>
    <w:p w14:paraId="01C85035" w14:textId="77777777" w:rsidR="00782B86" w:rsidRDefault="00782B86" w:rsidP="009678E1">
      <w:pPr>
        <w:rPr>
          <w:rFonts w:ascii="Calibri" w:hAnsi="Calibri" w:cs="Calibri"/>
          <w:b/>
          <w:bCs/>
          <w:szCs w:val="20"/>
        </w:rPr>
      </w:pPr>
    </w:p>
    <w:p w14:paraId="3D34C4B0" w14:textId="77777777" w:rsidR="0025022E" w:rsidRPr="00263F89" w:rsidRDefault="0025022E" w:rsidP="009678E1">
      <w:pPr>
        <w:rPr>
          <w:rFonts w:ascii="Calibri" w:hAnsi="Calibri" w:cs="Calibri"/>
          <w:b/>
          <w:bCs/>
          <w:szCs w:val="20"/>
        </w:rPr>
      </w:pPr>
    </w:p>
    <w:p w14:paraId="7CB9A91D" w14:textId="01B2305C" w:rsidR="00782B86" w:rsidRPr="00FD365D" w:rsidRDefault="00782B86" w:rsidP="00C622C2">
      <w:pPr>
        <w:pStyle w:val="Paragraphedeliste"/>
        <w:numPr>
          <w:ilvl w:val="0"/>
          <w:numId w:val="41"/>
        </w:numPr>
        <w:ind w:left="0" w:firstLine="0"/>
        <w:rPr>
          <w:szCs w:val="20"/>
        </w:rPr>
      </w:pPr>
      <w:r w:rsidRPr="00FD365D">
        <w:rPr>
          <w:rFonts w:ascii="Calibri" w:hAnsi="Calibri" w:cs="Calibri"/>
          <w:b/>
          <w:bCs/>
          <w:szCs w:val="20"/>
        </w:rPr>
        <w:t>Caract</w:t>
      </w:r>
      <w:r w:rsidR="00816E37">
        <w:rPr>
          <w:rFonts w:ascii="Calibri" w:hAnsi="Calibri" w:cs="Calibri"/>
          <w:b/>
          <w:bCs/>
          <w:szCs w:val="20"/>
        </w:rPr>
        <w:t xml:space="preserve">éristiques des </w:t>
      </w:r>
      <w:r w:rsidRPr="00FD365D">
        <w:rPr>
          <w:rFonts w:ascii="Calibri" w:hAnsi="Calibri" w:cs="Calibri"/>
          <w:b/>
          <w:bCs/>
          <w:szCs w:val="20"/>
        </w:rPr>
        <w:t>BSA attachés :</w:t>
      </w:r>
    </w:p>
    <w:p w14:paraId="613EEBCB" w14:textId="77777777" w:rsidR="00782B86" w:rsidRDefault="00782B86" w:rsidP="009678E1">
      <w:pPr>
        <w:rPr>
          <w:b/>
          <w:i/>
          <w:color w:val="FF0000"/>
        </w:rPr>
      </w:pPr>
    </w:p>
    <w:p w14:paraId="45E8A88E" w14:textId="31B30116" w:rsidR="00782B86" w:rsidRPr="00FD365D" w:rsidRDefault="00782B86" w:rsidP="009678E1">
      <w:pPr>
        <w:widowControl w:val="0"/>
        <w:autoSpaceDE w:val="0"/>
        <w:autoSpaceDN w:val="0"/>
        <w:adjustRightInd w:val="0"/>
        <w:rPr>
          <w:rFonts w:cs="Calibri"/>
          <w:szCs w:val="20"/>
        </w:rPr>
      </w:pPr>
      <w:r w:rsidRPr="00FD365D">
        <w:rPr>
          <w:rFonts w:cs="Calibri"/>
          <w:szCs w:val="20"/>
        </w:rPr>
        <w:t xml:space="preserve">Chaque ORNANE </w:t>
      </w:r>
      <w:r w:rsidR="0025022E">
        <w:rPr>
          <w:rFonts w:cs="Calibri"/>
          <w:szCs w:val="20"/>
        </w:rPr>
        <w:t>a été</w:t>
      </w:r>
      <w:r w:rsidRPr="00FD365D">
        <w:rPr>
          <w:rFonts w:cs="Calibri"/>
          <w:szCs w:val="20"/>
        </w:rPr>
        <w:t xml:space="preserve"> émise avec un nombre de BSA égal à la valeur nominale d’une ORNANE divisée par le prix d’exercice des BSA concernés</w:t>
      </w:r>
      <w:r w:rsidR="0025022E">
        <w:rPr>
          <w:rFonts w:cs="Calibri"/>
          <w:szCs w:val="20"/>
        </w:rPr>
        <w:t>. Les BSA s</w:t>
      </w:r>
      <w:r w:rsidRPr="00FD365D">
        <w:rPr>
          <w:rFonts w:cs="Calibri"/>
          <w:szCs w:val="20"/>
        </w:rPr>
        <w:t>ont immédiatement détachés d</w:t>
      </w:r>
      <w:r w:rsidR="0025022E">
        <w:rPr>
          <w:rFonts w:cs="Calibri"/>
          <w:szCs w:val="20"/>
        </w:rPr>
        <w:t>es ORNANE, et chaque BSA donne</w:t>
      </w:r>
      <w:r w:rsidRPr="00FD365D">
        <w:rPr>
          <w:rFonts w:cs="Calibri"/>
          <w:szCs w:val="20"/>
        </w:rPr>
        <w:t xml:space="preserve"> droit à son porteur de souscrire à une (1) action nouvelle de la Société, sous réserve d’ajustements éventuels. </w:t>
      </w:r>
    </w:p>
    <w:p w14:paraId="21F6D062" w14:textId="77777777" w:rsidR="003F1935" w:rsidRDefault="003F1935" w:rsidP="003F1935">
      <w:pPr>
        <w:widowControl w:val="0"/>
        <w:autoSpaceDE w:val="0"/>
        <w:autoSpaceDN w:val="0"/>
        <w:adjustRightInd w:val="0"/>
        <w:rPr>
          <w:rFonts w:cs="Calibri"/>
          <w:szCs w:val="20"/>
        </w:rPr>
      </w:pPr>
      <w:r w:rsidRPr="00FD365D">
        <w:rPr>
          <w:rFonts w:cs="Calibri"/>
          <w:szCs w:val="20"/>
        </w:rPr>
        <w:t xml:space="preserve">Le </w:t>
      </w:r>
      <w:r>
        <w:rPr>
          <w:rFonts w:cs="Calibri"/>
          <w:szCs w:val="20"/>
        </w:rPr>
        <w:t>p</w:t>
      </w:r>
      <w:r w:rsidRPr="00FD365D">
        <w:rPr>
          <w:rFonts w:cs="Calibri"/>
          <w:szCs w:val="20"/>
        </w:rPr>
        <w:t>rix d’</w:t>
      </w:r>
      <w:r>
        <w:rPr>
          <w:rFonts w:cs="Calibri"/>
          <w:szCs w:val="20"/>
        </w:rPr>
        <w:t>e</w:t>
      </w:r>
      <w:r w:rsidRPr="00FD365D">
        <w:rPr>
          <w:rFonts w:cs="Calibri"/>
          <w:szCs w:val="20"/>
        </w:rPr>
        <w:t xml:space="preserve">xercice des BSA attachés aux ORNANE </w:t>
      </w:r>
      <w:r>
        <w:rPr>
          <w:rFonts w:cs="Calibri"/>
          <w:szCs w:val="20"/>
        </w:rPr>
        <w:t>est</w:t>
      </w:r>
      <w:r w:rsidRPr="00FD365D">
        <w:rPr>
          <w:rFonts w:cs="Calibri"/>
          <w:szCs w:val="20"/>
        </w:rPr>
        <w:t xml:space="preserve"> égal à 115% du </w:t>
      </w:r>
      <w:r>
        <w:rPr>
          <w:rFonts w:cs="Calibri"/>
          <w:szCs w:val="20"/>
        </w:rPr>
        <w:t>c</w:t>
      </w:r>
      <w:r w:rsidRPr="00FD365D">
        <w:rPr>
          <w:rFonts w:cs="Calibri"/>
          <w:szCs w:val="20"/>
        </w:rPr>
        <w:t xml:space="preserve">ours de </w:t>
      </w:r>
      <w:r>
        <w:rPr>
          <w:rFonts w:cs="Calibri"/>
          <w:szCs w:val="20"/>
        </w:rPr>
        <w:t>r</w:t>
      </w:r>
      <w:r w:rsidRPr="00FD365D">
        <w:rPr>
          <w:rFonts w:cs="Calibri"/>
          <w:szCs w:val="20"/>
        </w:rPr>
        <w:t xml:space="preserve">éférence à la date de la </w:t>
      </w:r>
      <w:r>
        <w:rPr>
          <w:rFonts w:cs="Calibri"/>
          <w:szCs w:val="20"/>
        </w:rPr>
        <w:t>r</w:t>
      </w:r>
      <w:r w:rsidRPr="00FD365D">
        <w:rPr>
          <w:rFonts w:cs="Calibri"/>
          <w:szCs w:val="20"/>
        </w:rPr>
        <w:t xml:space="preserve">equête concernée (ou à la </w:t>
      </w:r>
      <w:r>
        <w:rPr>
          <w:rFonts w:cs="Calibri"/>
          <w:szCs w:val="20"/>
        </w:rPr>
        <w:t>d</w:t>
      </w:r>
      <w:r w:rsidRPr="00FD365D">
        <w:rPr>
          <w:rFonts w:cs="Calibri"/>
          <w:szCs w:val="20"/>
        </w:rPr>
        <w:t>ate d’</w:t>
      </w:r>
      <w:r>
        <w:rPr>
          <w:rFonts w:cs="Calibri"/>
          <w:szCs w:val="20"/>
        </w:rPr>
        <w:t>e</w:t>
      </w:r>
      <w:r w:rsidRPr="00FD365D">
        <w:rPr>
          <w:rFonts w:cs="Calibri"/>
          <w:szCs w:val="20"/>
        </w:rPr>
        <w:t xml:space="preserve">xercice de </w:t>
      </w:r>
      <w:r>
        <w:rPr>
          <w:rFonts w:cs="Calibri"/>
          <w:szCs w:val="20"/>
        </w:rPr>
        <w:t>b</w:t>
      </w:r>
      <w:r w:rsidRPr="00FD365D">
        <w:rPr>
          <w:rFonts w:cs="Calibri"/>
          <w:szCs w:val="20"/>
        </w:rPr>
        <w:t>ons d’</w:t>
      </w:r>
      <w:r>
        <w:rPr>
          <w:rFonts w:cs="Calibri"/>
          <w:szCs w:val="20"/>
        </w:rPr>
        <w:t>é</w:t>
      </w:r>
      <w:r w:rsidRPr="00FD365D">
        <w:rPr>
          <w:rFonts w:cs="Calibri"/>
          <w:szCs w:val="20"/>
        </w:rPr>
        <w:t>mission dans le cas d’un exercice de Bons d’Emission à l’initiative de l’Investisseur). </w:t>
      </w:r>
    </w:p>
    <w:p w14:paraId="1D9A6A0C" w14:textId="4E3261EC" w:rsidR="00782B86" w:rsidRDefault="00782B86" w:rsidP="009678E1">
      <w:pPr>
        <w:widowControl w:val="0"/>
        <w:autoSpaceDE w:val="0"/>
        <w:autoSpaceDN w:val="0"/>
        <w:adjustRightInd w:val="0"/>
        <w:rPr>
          <w:rFonts w:cs="Calibri"/>
          <w:szCs w:val="20"/>
        </w:rPr>
      </w:pPr>
      <w:r w:rsidRPr="00FD365D">
        <w:rPr>
          <w:rFonts w:cs="Calibri"/>
          <w:szCs w:val="20"/>
        </w:rPr>
        <w:t xml:space="preserve">Les BSA </w:t>
      </w:r>
      <w:r w:rsidR="0025022E">
        <w:rPr>
          <w:rFonts w:cs="Calibri"/>
          <w:szCs w:val="20"/>
        </w:rPr>
        <w:t>sont</w:t>
      </w:r>
      <w:r w:rsidRPr="00FD365D">
        <w:rPr>
          <w:rFonts w:cs="Calibri"/>
          <w:szCs w:val="20"/>
        </w:rPr>
        <w:t xml:space="preserve"> exerçables en actions nouvelles pendant une période de 5 ans à compter de leur date d’émission respective. </w:t>
      </w:r>
    </w:p>
    <w:p w14:paraId="47E3171D" w14:textId="4428474D" w:rsidR="00782B86" w:rsidRDefault="00782B86" w:rsidP="009678E1">
      <w:pPr>
        <w:widowControl w:val="0"/>
        <w:autoSpaceDE w:val="0"/>
        <w:autoSpaceDN w:val="0"/>
        <w:adjustRightInd w:val="0"/>
        <w:rPr>
          <w:rFonts w:cs="Calibri"/>
          <w:szCs w:val="20"/>
        </w:rPr>
      </w:pPr>
      <w:r w:rsidRPr="00FD365D">
        <w:rPr>
          <w:rFonts w:cs="Calibri"/>
          <w:szCs w:val="20"/>
        </w:rPr>
        <w:t xml:space="preserve">Les BSA, qui </w:t>
      </w:r>
      <w:r w:rsidR="0025022E">
        <w:rPr>
          <w:rFonts w:cs="Calibri"/>
          <w:szCs w:val="20"/>
        </w:rPr>
        <w:t>sont</w:t>
      </w:r>
      <w:r w:rsidRPr="00FD365D">
        <w:rPr>
          <w:rFonts w:cs="Calibri"/>
          <w:szCs w:val="20"/>
        </w:rPr>
        <w:t xml:space="preserve"> librement cessibles à tout autre fonds géré par </w:t>
      </w:r>
      <w:r w:rsidR="00E9214F">
        <w:rPr>
          <w:rFonts w:cs="Calibri"/>
          <w:szCs w:val="20"/>
        </w:rPr>
        <w:t>l’Investisseur</w:t>
      </w:r>
      <w:r w:rsidRPr="00FD365D">
        <w:rPr>
          <w:rFonts w:cs="Calibri"/>
          <w:szCs w:val="20"/>
        </w:rPr>
        <w:t xml:space="preserve"> mais ne </w:t>
      </w:r>
      <w:r w:rsidR="0025022E">
        <w:rPr>
          <w:rFonts w:cs="Calibri"/>
          <w:szCs w:val="20"/>
        </w:rPr>
        <w:t>peuvent</w:t>
      </w:r>
      <w:r w:rsidRPr="00FD365D">
        <w:rPr>
          <w:rFonts w:cs="Calibri"/>
          <w:szCs w:val="20"/>
        </w:rPr>
        <w:t xml:space="preserve"> être cédés à un tiers sans l’accord préalable de la Société, ne </w:t>
      </w:r>
      <w:r w:rsidR="0025022E">
        <w:rPr>
          <w:rFonts w:cs="Calibri"/>
          <w:szCs w:val="20"/>
        </w:rPr>
        <w:t>peuvent pas faire</w:t>
      </w:r>
      <w:r w:rsidRPr="00FD365D">
        <w:rPr>
          <w:rFonts w:cs="Calibri"/>
          <w:szCs w:val="20"/>
        </w:rPr>
        <w:t xml:space="preserve"> l’objet d’une demande d’admission aux négociations sur le marché Euronext Growth et ne </w:t>
      </w:r>
      <w:r w:rsidR="0025022E">
        <w:rPr>
          <w:rFonts w:cs="Calibri"/>
          <w:szCs w:val="20"/>
        </w:rPr>
        <w:t>sont</w:t>
      </w:r>
      <w:r w:rsidRPr="00FD365D">
        <w:rPr>
          <w:rFonts w:cs="Calibri"/>
          <w:szCs w:val="20"/>
        </w:rPr>
        <w:t xml:space="preserve"> par conséquent pas cotés, sauf accord contraire de la Société et de l’Investisseur. </w:t>
      </w:r>
    </w:p>
    <w:p w14:paraId="6DFA9BAF" w14:textId="77777777" w:rsidR="00782B86" w:rsidRPr="00FD365D" w:rsidRDefault="00782B86" w:rsidP="009678E1">
      <w:pPr>
        <w:widowControl w:val="0"/>
        <w:autoSpaceDE w:val="0"/>
        <w:autoSpaceDN w:val="0"/>
        <w:adjustRightInd w:val="0"/>
        <w:rPr>
          <w:rFonts w:cs="Calibri"/>
          <w:szCs w:val="20"/>
        </w:rPr>
      </w:pPr>
    </w:p>
    <w:p w14:paraId="423374D9" w14:textId="77777777" w:rsidR="00782B86" w:rsidRPr="00FD365D" w:rsidRDefault="00782B86" w:rsidP="00C622C2">
      <w:pPr>
        <w:pStyle w:val="Paragraphedeliste"/>
        <w:widowControl w:val="0"/>
        <w:numPr>
          <w:ilvl w:val="0"/>
          <w:numId w:val="42"/>
        </w:numPr>
        <w:autoSpaceDE w:val="0"/>
        <w:autoSpaceDN w:val="0"/>
        <w:adjustRightInd w:val="0"/>
        <w:ind w:left="0" w:firstLine="0"/>
        <w:rPr>
          <w:rFonts w:ascii="Calibri" w:hAnsi="Calibri" w:cs="Calibri"/>
          <w:szCs w:val="20"/>
        </w:rPr>
      </w:pPr>
      <w:r w:rsidRPr="00FD365D">
        <w:rPr>
          <w:rFonts w:ascii="Calibri" w:hAnsi="Calibri" w:cs="Calibri"/>
          <w:b/>
          <w:bCs/>
          <w:szCs w:val="20"/>
        </w:rPr>
        <w:t>Actions nouvelles résultant de la Conversion des ORNANE ou de l’exercice des BSA </w:t>
      </w:r>
    </w:p>
    <w:p w14:paraId="4B166E71" w14:textId="77777777" w:rsidR="00782B86" w:rsidRDefault="00782B86" w:rsidP="009678E1">
      <w:pPr>
        <w:widowControl w:val="0"/>
        <w:autoSpaceDE w:val="0"/>
        <w:autoSpaceDN w:val="0"/>
        <w:adjustRightInd w:val="0"/>
        <w:rPr>
          <w:rFonts w:ascii="Calibri" w:hAnsi="Calibri" w:cs="Calibri"/>
          <w:szCs w:val="20"/>
        </w:rPr>
      </w:pPr>
    </w:p>
    <w:p w14:paraId="3697B513" w14:textId="22967423" w:rsidR="00782B86" w:rsidRDefault="00782B86" w:rsidP="009678E1">
      <w:pPr>
        <w:widowControl w:val="0"/>
        <w:autoSpaceDE w:val="0"/>
        <w:autoSpaceDN w:val="0"/>
        <w:adjustRightInd w:val="0"/>
        <w:rPr>
          <w:rFonts w:ascii="Calibri" w:hAnsi="Calibri" w:cs="Calibri"/>
          <w:szCs w:val="20"/>
        </w:rPr>
      </w:pPr>
      <w:r>
        <w:rPr>
          <w:rFonts w:ascii="Calibri" w:hAnsi="Calibri" w:cs="Calibri"/>
          <w:szCs w:val="20"/>
        </w:rPr>
        <w:t xml:space="preserve">Les actions nouvelles émises sur conversion des ORNANE et/ou sur exercice des BSA </w:t>
      </w:r>
      <w:r w:rsidR="00816E37">
        <w:rPr>
          <w:rFonts w:ascii="Calibri" w:hAnsi="Calibri" w:cs="Calibri"/>
          <w:szCs w:val="20"/>
        </w:rPr>
        <w:t>sont</w:t>
      </w:r>
      <w:r>
        <w:rPr>
          <w:rFonts w:ascii="Calibri" w:hAnsi="Calibri" w:cs="Calibri"/>
          <w:szCs w:val="20"/>
        </w:rPr>
        <w:t xml:space="preserve"> admises aux négociations sur Euronext Growth dès leur émission, </w:t>
      </w:r>
      <w:r w:rsidR="00816E37">
        <w:rPr>
          <w:rFonts w:ascii="Calibri" w:hAnsi="Calibri" w:cs="Calibri"/>
          <w:szCs w:val="20"/>
        </w:rPr>
        <w:t>portent jouissance courante et s</w:t>
      </w:r>
      <w:r>
        <w:rPr>
          <w:rFonts w:ascii="Calibri" w:hAnsi="Calibri" w:cs="Calibri"/>
          <w:szCs w:val="20"/>
        </w:rPr>
        <w:t>ont entièrement assimilées et fongibles avec les actions existantes. </w:t>
      </w:r>
    </w:p>
    <w:p w14:paraId="22D2F099" w14:textId="77777777" w:rsidR="00816E37" w:rsidRDefault="00816E37" w:rsidP="009678E1">
      <w:pPr>
        <w:rPr>
          <w:rFonts w:ascii="Calibri" w:hAnsi="Calibri" w:cs="Calibri"/>
          <w:szCs w:val="20"/>
        </w:rPr>
      </w:pPr>
    </w:p>
    <w:p w14:paraId="750A7370" w14:textId="6CB625BF" w:rsidR="00782B86" w:rsidRDefault="00782B86" w:rsidP="009678E1">
      <w:pPr>
        <w:rPr>
          <w:rFonts w:ascii="Calibri" w:hAnsi="Calibri" w:cs="Calibri"/>
          <w:szCs w:val="20"/>
        </w:rPr>
      </w:pPr>
      <w:r>
        <w:rPr>
          <w:rFonts w:ascii="Calibri" w:hAnsi="Calibri" w:cs="Calibri"/>
          <w:szCs w:val="20"/>
        </w:rPr>
        <w:t xml:space="preserve">La Société </w:t>
      </w:r>
      <w:r w:rsidR="00816E37">
        <w:rPr>
          <w:rFonts w:ascii="Calibri" w:hAnsi="Calibri" w:cs="Calibri"/>
          <w:szCs w:val="20"/>
        </w:rPr>
        <w:t>tient</w:t>
      </w:r>
      <w:r>
        <w:rPr>
          <w:rFonts w:ascii="Calibri" w:hAnsi="Calibri" w:cs="Calibri"/>
          <w:szCs w:val="20"/>
        </w:rPr>
        <w:t xml:space="preserve"> à jour sur son site </w:t>
      </w:r>
      <w:r w:rsidR="00816E37">
        <w:rPr>
          <w:rFonts w:ascii="Calibri" w:hAnsi="Calibri" w:cs="Calibri"/>
          <w:szCs w:val="20"/>
        </w:rPr>
        <w:t xml:space="preserve">internet </w:t>
      </w:r>
      <w:r>
        <w:rPr>
          <w:rFonts w:ascii="Calibri" w:hAnsi="Calibri" w:cs="Calibri"/>
          <w:szCs w:val="20"/>
        </w:rPr>
        <w:t xml:space="preserve">un tableau récapitulatif des BSA </w:t>
      </w:r>
      <w:r w:rsidR="00816E37" w:rsidRPr="00CB5401">
        <w:t>Yorkville SPV Ltd</w:t>
      </w:r>
      <w:r w:rsidR="00816E37">
        <w:t xml:space="preserve"> </w:t>
      </w:r>
      <w:r>
        <w:rPr>
          <w:rFonts w:ascii="Calibri" w:hAnsi="Calibri" w:cs="Calibri"/>
          <w:szCs w:val="20"/>
        </w:rPr>
        <w:t>et du nombre d’actions en circulation. </w:t>
      </w:r>
    </w:p>
    <w:p w14:paraId="2CFB9237" w14:textId="77777777" w:rsidR="00782B86" w:rsidRDefault="00782B86" w:rsidP="009678E1">
      <w:pPr>
        <w:rPr>
          <w:color w:val="FF0000"/>
        </w:rPr>
      </w:pPr>
    </w:p>
    <w:p w14:paraId="29C03214" w14:textId="6712BEF5" w:rsidR="009335E2" w:rsidRPr="00FD365D" w:rsidRDefault="002D3EE7" w:rsidP="00C622C2">
      <w:pPr>
        <w:pStyle w:val="Paragraphedeliste"/>
        <w:widowControl w:val="0"/>
        <w:numPr>
          <w:ilvl w:val="0"/>
          <w:numId w:val="43"/>
        </w:numPr>
        <w:autoSpaceDE w:val="0"/>
        <w:autoSpaceDN w:val="0"/>
        <w:adjustRightInd w:val="0"/>
        <w:ind w:left="0" w:firstLine="0"/>
        <w:rPr>
          <w:rFonts w:ascii="Calibri" w:hAnsi="Calibri" w:cs="Calibri"/>
          <w:szCs w:val="20"/>
        </w:rPr>
      </w:pPr>
      <w:r>
        <w:rPr>
          <w:rFonts w:ascii="Calibri" w:hAnsi="Calibri" w:cs="Calibri"/>
          <w:b/>
          <w:bCs/>
          <w:szCs w:val="20"/>
        </w:rPr>
        <w:t xml:space="preserve">Point de situation </w:t>
      </w:r>
      <w:r w:rsidR="00AC2DB5">
        <w:rPr>
          <w:rFonts w:ascii="Calibri" w:hAnsi="Calibri" w:cs="Calibri"/>
          <w:b/>
          <w:bCs/>
          <w:szCs w:val="20"/>
        </w:rPr>
        <w:t xml:space="preserve">sur le contrat d’émission </w:t>
      </w:r>
      <w:r>
        <w:rPr>
          <w:rFonts w:ascii="Calibri" w:hAnsi="Calibri" w:cs="Calibri"/>
          <w:b/>
          <w:bCs/>
          <w:szCs w:val="20"/>
        </w:rPr>
        <w:t>et i</w:t>
      </w:r>
      <w:r w:rsidR="009335E2">
        <w:rPr>
          <w:rFonts w:ascii="Calibri" w:hAnsi="Calibri" w:cs="Calibri"/>
          <w:b/>
          <w:bCs/>
          <w:szCs w:val="20"/>
        </w:rPr>
        <w:t>mpact dilutif</w:t>
      </w:r>
      <w:r w:rsidR="009335E2" w:rsidRPr="00FD365D">
        <w:rPr>
          <w:rFonts w:ascii="Calibri" w:hAnsi="Calibri" w:cs="Calibri"/>
          <w:b/>
          <w:bCs/>
          <w:szCs w:val="20"/>
        </w:rPr>
        <w:t xml:space="preserve"> </w:t>
      </w:r>
      <w:r>
        <w:rPr>
          <w:rFonts w:ascii="Calibri" w:hAnsi="Calibri" w:cs="Calibri"/>
          <w:b/>
          <w:bCs/>
          <w:szCs w:val="20"/>
        </w:rPr>
        <w:t>des instruments</w:t>
      </w:r>
      <w:r w:rsidR="00A234AF">
        <w:rPr>
          <w:rFonts w:ascii="Calibri" w:hAnsi="Calibri" w:cs="Calibri"/>
          <w:b/>
          <w:bCs/>
          <w:szCs w:val="20"/>
        </w:rPr>
        <w:t xml:space="preserve"> </w:t>
      </w:r>
      <w:r w:rsidR="009335E2" w:rsidRPr="00FD365D">
        <w:rPr>
          <w:rFonts w:ascii="Calibri" w:hAnsi="Calibri" w:cs="Calibri"/>
          <w:b/>
          <w:bCs/>
          <w:szCs w:val="20"/>
        </w:rPr>
        <w:t>:</w:t>
      </w:r>
    </w:p>
    <w:p w14:paraId="4D4DF265" w14:textId="77777777" w:rsidR="009335E2" w:rsidRDefault="009335E2" w:rsidP="009335E2"/>
    <w:p w14:paraId="10BFD0F6" w14:textId="255FA9AE" w:rsidR="009335E2" w:rsidRDefault="002D3EE7" w:rsidP="009678E1">
      <w:pPr>
        <w:rPr>
          <w:rFonts w:ascii="Calibri" w:hAnsi="Calibri" w:cs="Calibri"/>
          <w:szCs w:val="20"/>
        </w:rPr>
      </w:pPr>
      <w:r>
        <w:rPr>
          <w:rFonts w:ascii="Calibri" w:hAnsi="Calibri" w:cs="Calibri"/>
          <w:szCs w:val="20"/>
        </w:rPr>
        <w:t>Les 100 obligations convertibles émises ont toutes été converties.</w:t>
      </w:r>
    </w:p>
    <w:p w14:paraId="508BFC6C" w14:textId="77777777" w:rsidR="002D3EE7" w:rsidRDefault="002D3EE7" w:rsidP="009678E1">
      <w:pPr>
        <w:rPr>
          <w:rFonts w:ascii="Calibri" w:hAnsi="Calibri" w:cs="Calibri"/>
          <w:szCs w:val="20"/>
        </w:rPr>
      </w:pPr>
    </w:p>
    <w:p w14:paraId="2AFF02AF" w14:textId="77777777" w:rsidR="002D3EE7" w:rsidRDefault="002D3EE7" w:rsidP="009678E1">
      <w:pPr>
        <w:rPr>
          <w:rFonts w:ascii="Calibri" w:hAnsi="Calibri" w:cs="Calibri"/>
          <w:szCs w:val="20"/>
        </w:rPr>
      </w:pPr>
      <w:r>
        <w:rPr>
          <w:rFonts w:ascii="Calibri" w:hAnsi="Calibri" w:cs="Calibri"/>
          <w:szCs w:val="20"/>
        </w:rPr>
        <w:t xml:space="preserve">A la date du Document d’enregistrement universel, 129.574 BSA ont été exercés. </w:t>
      </w:r>
    </w:p>
    <w:p w14:paraId="6A78917F" w14:textId="77777777" w:rsidR="00EF3F18" w:rsidRPr="00EF3F18" w:rsidRDefault="00EF3F18" w:rsidP="00EF3F18">
      <w:r w:rsidRPr="00EF3F18">
        <w:rPr>
          <w:rFonts w:ascii="Calibri" w:hAnsi="Calibri" w:cs="Calibri"/>
          <w:szCs w:val="20"/>
        </w:rPr>
        <w:t>Subsistent 137.805 BSA en circulation. Ces BSA peuvent être exercés jusqu’au 20 décembre 2022.</w:t>
      </w:r>
    </w:p>
    <w:p w14:paraId="236FD48C" w14:textId="77777777" w:rsidR="00782B86" w:rsidRDefault="00782B86" w:rsidP="009678E1"/>
    <w:p w14:paraId="222F9C36" w14:textId="77777777" w:rsidR="002D3EE7" w:rsidRDefault="002D3EE7" w:rsidP="009678E1"/>
    <w:p w14:paraId="15417499" w14:textId="77777777" w:rsidR="00FD2FDC" w:rsidRDefault="00FD2FDC">
      <w:pPr>
        <w:jc w:val="left"/>
        <w:rPr>
          <w:rFonts w:eastAsiaTheme="majorEastAsia" w:cstheme="majorBidi"/>
          <w:b/>
          <w:bCs/>
          <w:i/>
          <w:iCs/>
          <w:color w:val="4F81BD" w:themeColor="accent1"/>
        </w:rPr>
      </w:pPr>
      <w:bookmarkStart w:id="318" w:name="_Ref369936021"/>
      <w:r>
        <w:br w:type="page"/>
      </w:r>
    </w:p>
    <w:p w14:paraId="598DCCE5" w14:textId="2B130F5F" w:rsidR="00107773" w:rsidRDefault="00107773" w:rsidP="001B4A2F">
      <w:pPr>
        <w:pStyle w:val="Titre4"/>
      </w:pPr>
      <w:r>
        <w:lastRenderedPageBreak/>
        <w:t>19.1.4.</w:t>
      </w:r>
      <w:r w:rsidR="00FD2FDC">
        <w:t>3</w:t>
      </w:r>
      <w:r>
        <w:t xml:space="preserve"> </w:t>
      </w:r>
      <w:bookmarkEnd w:id="318"/>
      <w:r w:rsidR="00420935">
        <w:t>Les OCEANE</w:t>
      </w:r>
      <w:r w:rsidR="004568B5">
        <w:t xml:space="preserve"> Alpha Blue Ocean</w:t>
      </w:r>
      <w:r w:rsidR="001B4A2F">
        <w:t xml:space="preserve"> attribuées à </w:t>
      </w:r>
      <w:r w:rsidR="001B4A2F" w:rsidRPr="001B4A2F">
        <w:t>European High Growth Opportunities Securitization Fund</w:t>
      </w:r>
      <w:r w:rsidR="00420935">
        <w:t xml:space="preserve"> </w:t>
      </w:r>
      <w:r w:rsidR="004568B5">
        <w:t>(ci-après OCEANE « </w:t>
      </w:r>
      <w:r w:rsidR="00420935">
        <w:t>ABO</w:t>
      </w:r>
      <w:r w:rsidR="004568B5">
        <w:t> »)</w:t>
      </w:r>
    </w:p>
    <w:p w14:paraId="2FFA4E13" w14:textId="77777777" w:rsidR="00107773" w:rsidRDefault="00107773" w:rsidP="009678E1">
      <w:pPr>
        <w:rPr>
          <w:b/>
          <w:color w:val="FF0000"/>
          <w:highlight w:val="yellow"/>
        </w:rPr>
      </w:pPr>
    </w:p>
    <w:p w14:paraId="180B1250" w14:textId="77777777" w:rsidR="003F1935" w:rsidRDefault="003F1935" w:rsidP="003F1935">
      <w:pPr>
        <w:widowControl w:val="0"/>
        <w:autoSpaceDE w:val="0"/>
        <w:autoSpaceDN w:val="0"/>
        <w:adjustRightInd w:val="0"/>
        <w:rPr>
          <w:rFonts w:ascii="Calibri" w:eastAsia="Times New Roman" w:hAnsi="Calibri" w:cs="Times New Roman"/>
          <w:color w:val="000000"/>
          <w:szCs w:val="20"/>
        </w:rPr>
      </w:pPr>
      <w:r w:rsidRPr="00C52AA2">
        <w:rPr>
          <w:rFonts w:ascii="Calibri" w:eastAsia="Times New Roman" w:hAnsi="Calibri" w:cs="Times New Roman"/>
          <w:color w:val="000000"/>
          <w:szCs w:val="20"/>
        </w:rPr>
        <w:t>Sur délégation de l’</w:t>
      </w:r>
      <w:r>
        <w:rPr>
          <w:rFonts w:ascii="Calibri" w:eastAsia="Times New Roman" w:hAnsi="Calibri" w:cs="Times New Roman"/>
          <w:color w:val="000000"/>
          <w:szCs w:val="20"/>
        </w:rPr>
        <w:t>a</w:t>
      </w:r>
      <w:r w:rsidRPr="00C52AA2">
        <w:rPr>
          <w:rFonts w:ascii="Calibri" w:eastAsia="Times New Roman" w:hAnsi="Calibri" w:cs="Times New Roman"/>
          <w:color w:val="000000"/>
          <w:szCs w:val="20"/>
        </w:rPr>
        <w:t xml:space="preserve">ssemblée </w:t>
      </w:r>
      <w:r>
        <w:rPr>
          <w:rFonts w:ascii="Calibri" w:eastAsia="Times New Roman" w:hAnsi="Calibri" w:cs="Times New Roman"/>
          <w:color w:val="000000"/>
          <w:szCs w:val="20"/>
        </w:rPr>
        <w:t>g</w:t>
      </w:r>
      <w:r w:rsidRPr="00C52AA2">
        <w:rPr>
          <w:rFonts w:ascii="Calibri" w:eastAsia="Times New Roman" w:hAnsi="Calibri" w:cs="Times New Roman"/>
          <w:color w:val="000000"/>
          <w:szCs w:val="20"/>
        </w:rPr>
        <w:t xml:space="preserve">énérale du </w:t>
      </w:r>
      <w:r>
        <w:rPr>
          <w:rFonts w:ascii="Calibri" w:eastAsia="Times New Roman" w:hAnsi="Calibri" w:cs="Times New Roman"/>
          <w:color w:val="000000"/>
          <w:szCs w:val="20"/>
        </w:rPr>
        <w:t>25 juin 2018</w:t>
      </w:r>
      <w:r w:rsidRPr="00C52AA2">
        <w:rPr>
          <w:rFonts w:ascii="Calibri" w:eastAsia="Times New Roman" w:hAnsi="Calibri" w:cs="Times New Roman"/>
          <w:color w:val="000000"/>
          <w:szCs w:val="20"/>
        </w:rPr>
        <w:t>, le Conseil d’</w:t>
      </w:r>
      <w:r>
        <w:rPr>
          <w:rFonts w:ascii="Calibri" w:eastAsia="Times New Roman" w:hAnsi="Calibri" w:cs="Times New Roman"/>
          <w:color w:val="000000"/>
          <w:szCs w:val="20"/>
        </w:rPr>
        <w:t>a</w:t>
      </w:r>
      <w:r w:rsidRPr="00C52AA2">
        <w:rPr>
          <w:rFonts w:ascii="Calibri" w:eastAsia="Times New Roman" w:hAnsi="Calibri" w:cs="Times New Roman"/>
          <w:color w:val="000000"/>
          <w:szCs w:val="20"/>
        </w:rPr>
        <w:t xml:space="preserve">dministration du </w:t>
      </w:r>
      <w:r>
        <w:rPr>
          <w:rFonts w:ascii="Calibri" w:eastAsia="Times New Roman" w:hAnsi="Calibri" w:cs="Times New Roman"/>
          <w:color w:val="000000"/>
          <w:szCs w:val="20"/>
        </w:rPr>
        <w:t>4 juillet 2018</w:t>
      </w:r>
      <w:r w:rsidRPr="00C52AA2">
        <w:rPr>
          <w:rFonts w:ascii="Calibri" w:eastAsia="Times New Roman" w:hAnsi="Calibri" w:cs="Times New Roman"/>
          <w:color w:val="000000"/>
          <w:szCs w:val="20"/>
        </w:rPr>
        <w:t xml:space="preserve"> a </w:t>
      </w:r>
      <w:r>
        <w:rPr>
          <w:rFonts w:ascii="Calibri" w:eastAsia="Times New Roman" w:hAnsi="Calibri" w:cs="Times New Roman"/>
          <w:color w:val="000000"/>
          <w:szCs w:val="20"/>
        </w:rPr>
        <w:t>approuvé le principe d’</w:t>
      </w:r>
      <w:r w:rsidRPr="00C52AA2">
        <w:rPr>
          <w:rFonts w:ascii="Calibri" w:eastAsia="Times New Roman" w:hAnsi="Calibri" w:cs="Times New Roman"/>
          <w:color w:val="000000"/>
          <w:szCs w:val="20"/>
        </w:rPr>
        <w:t xml:space="preserve">une émission de </w:t>
      </w:r>
      <w:r>
        <w:rPr>
          <w:rFonts w:ascii="Calibri" w:eastAsia="Times New Roman" w:hAnsi="Calibri" w:cs="Times New Roman"/>
          <w:color w:val="000000"/>
          <w:szCs w:val="20"/>
        </w:rPr>
        <w:t>200</w:t>
      </w:r>
      <w:r w:rsidRPr="00C52AA2">
        <w:rPr>
          <w:rFonts w:ascii="Calibri" w:eastAsia="Times New Roman" w:hAnsi="Calibri" w:cs="Times New Roman"/>
          <w:color w:val="000000"/>
          <w:szCs w:val="20"/>
        </w:rPr>
        <w:t xml:space="preserve"> bons d’émission </w:t>
      </w:r>
      <w:r>
        <w:rPr>
          <w:rFonts w:ascii="Calibri" w:eastAsia="Times New Roman" w:hAnsi="Calibri" w:cs="Times New Roman"/>
          <w:color w:val="000000"/>
          <w:szCs w:val="20"/>
        </w:rPr>
        <w:t xml:space="preserve">et </w:t>
      </w:r>
      <w:r w:rsidRPr="00C52AA2">
        <w:rPr>
          <w:rFonts w:ascii="Calibri" w:eastAsia="Times New Roman" w:hAnsi="Calibri" w:cs="Times New Roman"/>
          <w:color w:val="000000"/>
          <w:szCs w:val="20"/>
        </w:rPr>
        <w:t>donnant lieu, sur exercice,</w:t>
      </w:r>
      <w:r>
        <w:rPr>
          <w:rFonts w:ascii="Calibri" w:eastAsia="Times New Roman" w:hAnsi="Calibri" w:cs="Times New Roman"/>
          <w:color w:val="000000"/>
          <w:szCs w:val="20"/>
        </w:rPr>
        <w:t xml:space="preserve"> </w:t>
      </w:r>
      <w:r w:rsidRPr="00C52AA2">
        <w:rPr>
          <w:rFonts w:ascii="Calibri" w:eastAsia="Times New Roman" w:hAnsi="Calibri" w:cs="Times New Roman"/>
          <w:color w:val="000000"/>
          <w:szCs w:val="20"/>
        </w:rPr>
        <w:t xml:space="preserve">à l’émission d'un maximum de </w:t>
      </w:r>
      <w:r>
        <w:rPr>
          <w:rFonts w:ascii="Calibri" w:eastAsia="Times New Roman" w:hAnsi="Calibri" w:cs="Times New Roman"/>
          <w:color w:val="000000"/>
          <w:szCs w:val="20"/>
        </w:rPr>
        <w:t>200</w:t>
      </w:r>
      <w:r w:rsidRPr="00C52AA2">
        <w:rPr>
          <w:rFonts w:ascii="Calibri" w:eastAsia="Times New Roman" w:hAnsi="Calibri" w:cs="Times New Roman"/>
          <w:color w:val="000000"/>
          <w:szCs w:val="20"/>
        </w:rPr>
        <w:t xml:space="preserve"> OC</w:t>
      </w:r>
      <w:r>
        <w:rPr>
          <w:rFonts w:ascii="Calibri" w:eastAsia="Times New Roman" w:hAnsi="Calibri" w:cs="Times New Roman"/>
          <w:color w:val="000000"/>
          <w:szCs w:val="20"/>
        </w:rPr>
        <w:t>EANE</w:t>
      </w:r>
      <w:r w:rsidRPr="00C52AA2">
        <w:rPr>
          <w:rFonts w:ascii="Calibri" w:eastAsia="Times New Roman" w:hAnsi="Calibri" w:cs="Times New Roman"/>
          <w:color w:val="000000"/>
          <w:szCs w:val="20"/>
        </w:rPr>
        <w:t xml:space="preserve"> assorties de BSA représentant un emprunt</w:t>
      </w:r>
      <w:r>
        <w:rPr>
          <w:rFonts w:ascii="Calibri" w:eastAsia="Times New Roman" w:hAnsi="Calibri" w:cs="Times New Roman"/>
          <w:color w:val="000000"/>
          <w:szCs w:val="20"/>
        </w:rPr>
        <w:t xml:space="preserve"> </w:t>
      </w:r>
      <w:r w:rsidRPr="00C52AA2">
        <w:rPr>
          <w:rFonts w:ascii="Calibri" w:eastAsia="Times New Roman" w:hAnsi="Calibri" w:cs="Times New Roman"/>
          <w:color w:val="000000"/>
          <w:szCs w:val="20"/>
        </w:rPr>
        <w:t xml:space="preserve">obligataire d’un montant nominal global maximum de </w:t>
      </w:r>
      <w:r>
        <w:rPr>
          <w:rFonts w:ascii="Calibri" w:eastAsia="Times New Roman" w:hAnsi="Calibri" w:cs="Times New Roman"/>
          <w:color w:val="000000"/>
          <w:szCs w:val="20"/>
        </w:rPr>
        <w:t>2.</w:t>
      </w:r>
      <w:r w:rsidRPr="00C52AA2">
        <w:rPr>
          <w:rFonts w:ascii="Calibri" w:eastAsia="Times New Roman" w:hAnsi="Calibri" w:cs="Times New Roman"/>
          <w:color w:val="000000"/>
          <w:szCs w:val="20"/>
        </w:rPr>
        <w:t>000</w:t>
      </w:r>
      <w:r>
        <w:rPr>
          <w:rFonts w:ascii="Calibri" w:eastAsia="Times New Roman" w:hAnsi="Calibri" w:cs="Times New Roman"/>
          <w:color w:val="000000"/>
          <w:szCs w:val="20"/>
        </w:rPr>
        <w:t>.000 €</w:t>
      </w:r>
      <w:r w:rsidRPr="00C52AA2">
        <w:rPr>
          <w:rFonts w:ascii="Calibri" w:eastAsia="Times New Roman" w:hAnsi="Calibri" w:cs="Times New Roman"/>
          <w:color w:val="000000"/>
          <w:szCs w:val="20"/>
        </w:rPr>
        <w:t>, avec suppression</w:t>
      </w:r>
      <w:r>
        <w:rPr>
          <w:rFonts w:ascii="Calibri" w:eastAsia="Times New Roman" w:hAnsi="Calibri" w:cs="Times New Roman"/>
          <w:color w:val="000000"/>
          <w:szCs w:val="20"/>
        </w:rPr>
        <w:t xml:space="preserve"> </w:t>
      </w:r>
      <w:r w:rsidRPr="00C52AA2">
        <w:rPr>
          <w:rFonts w:ascii="Calibri" w:eastAsia="Times New Roman" w:hAnsi="Calibri" w:cs="Times New Roman"/>
          <w:color w:val="000000"/>
          <w:szCs w:val="20"/>
        </w:rPr>
        <w:t>du droit préférentiel de souscription des actionnaires</w:t>
      </w:r>
      <w:r>
        <w:rPr>
          <w:rFonts w:ascii="Calibri" w:eastAsia="Times New Roman" w:hAnsi="Calibri" w:cs="Times New Roman"/>
          <w:color w:val="000000"/>
          <w:szCs w:val="20"/>
        </w:rPr>
        <w:t>,</w:t>
      </w:r>
      <w:r w:rsidRPr="00C52AA2">
        <w:rPr>
          <w:rFonts w:ascii="Calibri" w:eastAsia="Times New Roman" w:hAnsi="Calibri" w:cs="Times New Roman"/>
          <w:color w:val="000000"/>
          <w:szCs w:val="20"/>
        </w:rPr>
        <w:t xml:space="preserve"> au profit </w:t>
      </w:r>
      <w:r>
        <w:rPr>
          <w:rFonts w:ascii="Calibri" w:eastAsia="Times New Roman" w:hAnsi="Calibri" w:cs="Times New Roman"/>
          <w:color w:val="000000"/>
          <w:szCs w:val="20"/>
        </w:rPr>
        <w:t>du fonds d’investissement European High Growth Opportunities Securitization Fund</w:t>
      </w:r>
      <w:r w:rsidRPr="00C52AA2">
        <w:rPr>
          <w:rFonts w:ascii="Calibri" w:eastAsia="Times New Roman" w:hAnsi="Calibri" w:cs="Times New Roman"/>
          <w:color w:val="000000"/>
          <w:szCs w:val="20"/>
        </w:rPr>
        <w:t xml:space="preserve"> (l’« Investisseur »)</w:t>
      </w:r>
      <w:r>
        <w:rPr>
          <w:rFonts w:ascii="Calibri" w:eastAsia="Times New Roman" w:hAnsi="Calibri" w:cs="Times New Roman"/>
          <w:color w:val="000000"/>
          <w:szCs w:val="20"/>
        </w:rPr>
        <w:t xml:space="preserve">, fonds géré par la société de gestion luxembourgeoise European High Growth Opportunities Manco SA. </w:t>
      </w:r>
    </w:p>
    <w:p w14:paraId="7BCA445A" w14:textId="77777777" w:rsidR="003F1935" w:rsidRDefault="003F1935" w:rsidP="003F1935">
      <w:pPr>
        <w:widowControl w:val="0"/>
        <w:autoSpaceDE w:val="0"/>
        <w:autoSpaceDN w:val="0"/>
        <w:adjustRightInd w:val="0"/>
        <w:rPr>
          <w:rFonts w:ascii="Calibri" w:eastAsia="Times New Roman" w:hAnsi="Calibri" w:cs="Times New Roman"/>
          <w:color w:val="000000"/>
          <w:szCs w:val="20"/>
        </w:rPr>
      </w:pPr>
      <w:r>
        <w:rPr>
          <w:rFonts w:ascii="Calibri" w:eastAsia="Times New Roman" w:hAnsi="Calibri" w:cs="Times New Roman"/>
          <w:color w:val="000000"/>
          <w:szCs w:val="20"/>
        </w:rPr>
        <w:t>Le pouvoir de lancement de cette opération a alors été délégué au Président Directeur Général.</w:t>
      </w:r>
    </w:p>
    <w:p w14:paraId="19AD20DE" w14:textId="77777777" w:rsidR="003F1935" w:rsidRDefault="003F1935" w:rsidP="003F1935">
      <w:pPr>
        <w:widowControl w:val="0"/>
        <w:autoSpaceDE w:val="0"/>
        <w:autoSpaceDN w:val="0"/>
        <w:adjustRightInd w:val="0"/>
        <w:ind w:left="567"/>
        <w:rPr>
          <w:rFonts w:ascii="Calibri" w:eastAsia="Times New Roman" w:hAnsi="Calibri" w:cs="Times New Roman"/>
          <w:color w:val="000000"/>
          <w:szCs w:val="20"/>
        </w:rPr>
      </w:pPr>
      <w:r>
        <w:rPr>
          <w:rFonts w:ascii="Calibri" w:eastAsia="Times New Roman" w:hAnsi="Calibri" w:cs="Times New Roman"/>
          <w:color w:val="000000"/>
          <w:szCs w:val="20"/>
        </w:rPr>
        <w:t xml:space="preserve"> </w:t>
      </w:r>
    </w:p>
    <w:p w14:paraId="21D294FB" w14:textId="77777777" w:rsidR="003F1935" w:rsidRDefault="003F1935" w:rsidP="003F1935">
      <w:pPr>
        <w:widowControl w:val="0"/>
        <w:autoSpaceDE w:val="0"/>
        <w:autoSpaceDN w:val="0"/>
        <w:adjustRightInd w:val="0"/>
      </w:pPr>
      <w:r>
        <w:t>Cette émission a fait l’objet d’un contrat d’émission signé entre la Société et l’Investisseur par acte sous seing privé en date du 10 juillet 2018 (Cf. paragraphe « </w:t>
      </w:r>
      <w:r>
        <w:fldChar w:fldCharType="begin"/>
      </w:r>
      <w:r>
        <w:instrText xml:space="preserve"> REF _Ref471635460 \h </w:instrText>
      </w:r>
      <w:r>
        <w:fldChar w:fldCharType="separate"/>
      </w:r>
      <w:r w:rsidRPr="0071166F">
        <w:rPr>
          <w:lang w:val="en-US"/>
        </w:rPr>
        <w:t>20.3 Contrat d’émission d’OCEANE</w:t>
      </w:r>
      <w:r>
        <w:fldChar w:fldCharType="end"/>
      </w:r>
      <w:r>
        <w:t xml:space="preserve"> » du Document d’enregistrement universel).</w:t>
      </w:r>
    </w:p>
    <w:p w14:paraId="26AA1ABB" w14:textId="77777777" w:rsidR="003F1935" w:rsidRDefault="003F1935" w:rsidP="003F1935">
      <w:pPr>
        <w:widowControl w:val="0"/>
        <w:autoSpaceDE w:val="0"/>
        <w:autoSpaceDN w:val="0"/>
        <w:adjustRightInd w:val="0"/>
      </w:pPr>
    </w:p>
    <w:p w14:paraId="66D03E97" w14:textId="77777777" w:rsidR="003F1935" w:rsidRDefault="003F1935" w:rsidP="003F1935">
      <w:r>
        <w:t>L’Investisseur s’est engagé à souscrire, pendant une durée maximale de 36 mois :</w:t>
      </w:r>
    </w:p>
    <w:p w14:paraId="5DFE0BB5" w14:textId="77777777" w:rsidR="003F1935" w:rsidRPr="000D4703" w:rsidRDefault="003F1935" w:rsidP="003F1935">
      <w:pPr>
        <w:pStyle w:val="Paragraphedeliste"/>
        <w:numPr>
          <w:ilvl w:val="0"/>
          <w:numId w:val="54"/>
        </w:numPr>
      </w:pPr>
      <w:r>
        <w:t>d</w:t>
      </w:r>
      <w:r w:rsidRPr="000D4703">
        <w:t>ans un premier temps, jusqu'au 15 septembre 2018, jusqu</w:t>
      </w:r>
      <w:r>
        <w:t>’à</w:t>
      </w:r>
      <w:r w:rsidRPr="000D4703">
        <w:t xml:space="preserve"> 200 OCEANE avec BSA</w:t>
      </w:r>
      <w:r>
        <w:t xml:space="preserve"> </w:t>
      </w:r>
      <w:r w:rsidRPr="000D4703">
        <w:t>attach</w:t>
      </w:r>
      <w:r>
        <w:t>é</w:t>
      </w:r>
      <w:r w:rsidRPr="000D4703">
        <w:t>s, repr</w:t>
      </w:r>
      <w:r>
        <w:t>ésentant 2</w:t>
      </w:r>
      <w:r w:rsidRPr="000D4703">
        <w:t>M€ de valeur nominale totale, en deux tranches successives de 1</w:t>
      </w:r>
      <w:r>
        <w:t xml:space="preserve">M€. </w:t>
      </w:r>
      <w:r w:rsidRPr="000D4703">
        <w:t>Les deux tranches de l'</w:t>
      </w:r>
      <w:r>
        <w:t>e</w:t>
      </w:r>
      <w:r w:rsidRPr="000D4703">
        <w:t>ngagement</w:t>
      </w:r>
      <w:r>
        <w:t xml:space="preserve"> i</w:t>
      </w:r>
      <w:r w:rsidRPr="000D4703">
        <w:t>nitial ont fait l'objet d'une souscription de 200 OCEANE en date du 9 juillet et du 15</w:t>
      </w:r>
      <w:r>
        <w:t xml:space="preserve"> </w:t>
      </w:r>
      <w:r w:rsidRPr="000D4703">
        <w:t>septembre 2018 pour un montant nominal global de 2 M€.</w:t>
      </w:r>
    </w:p>
    <w:p w14:paraId="202B62DE" w14:textId="377A0922" w:rsidR="000D4703" w:rsidRDefault="003F1935" w:rsidP="005B42F0">
      <w:pPr>
        <w:pStyle w:val="Paragraphedeliste"/>
      </w:pPr>
      <w:r>
        <w:t>d</w:t>
      </w:r>
      <w:r w:rsidRPr="000D4703">
        <w:t xml:space="preserve">ans un second temps, conformément au </w:t>
      </w:r>
      <w:r>
        <w:t>c</w:t>
      </w:r>
      <w:r w:rsidRPr="000D4703">
        <w:t>ontrat d'</w:t>
      </w:r>
      <w:r>
        <w:t>é</w:t>
      </w:r>
      <w:r w:rsidRPr="000D4703">
        <w:t>mission</w:t>
      </w:r>
      <w:r>
        <w:t xml:space="preserve"> et au</w:t>
      </w:r>
      <w:r w:rsidRPr="000D4703">
        <w:t xml:space="preserve"> vote</w:t>
      </w:r>
      <w:r>
        <w:t xml:space="preserve"> </w:t>
      </w:r>
      <w:r w:rsidRPr="000D4703">
        <w:t>favorable par l'</w:t>
      </w:r>
      <w:r>
        <w:t>a</w:t>
      </w:r>
      <w:r w:rsidRPr="000D4703">
        <w:t xml:space="preserve">ssemblée </w:t>
      </w:r>
      <w:r>
        <w:t>géné</w:t>
      </w:r>
      <w:r w:rsidRPr="000D4703">
        <w:t xml:space="preserve">rale </w:t>
      </w:r>
      <w:r>
        <w:t>e</w:t>
      </w:r>
      <w:r w:rsidRPr="000D4703">
        <w:t xml:space="preserve">xtraordinaire des actionnaires de Spineway </w:t>
      </w:r>
      <w:r>
        <w:t xml:space="preserve">du 13 septembre 2018 qui a </w:t>
      </w:r>
      <w:r w:rsidRPr="000D4703">
        <w:t>approuv</w:t>
      </w:r>
      <w:r>
        <w:t xml:space="preserve">é une délégation de compétence </w:t>
      </w:r>
      <w:r w:rsidRPr="000D4703">
        <w:t>au Conseil d'</w:t>
      </w:r>
      <w:r>
        <w:t>a</w:t>
      </w:r>
      <w:r w:rsidRPr="000D4703">
        <w:t>dministration permettant de poursuivre ce programme de</w:t>
      </w:r>
      <w:r>
        <w:t xml:space="preserve"> </w:t>
      </w:r>
      <w:r w:rsidRPr="000D4703">
        <w:t>financement jusqu'</w:t>
      </w:r>
      <w:r>
        <w:t xml:space="preserve">à </w:t>
      </w:r>
      <w:r w:rsidRPr="000D4703">
        <w:t>son terme, l'Investisseur s'est engagé</w:t>
      </w:r>
      <w:r>
        <w:t xml:space="preserve"> à</w:t>
      </w:r>
      <w:r w:rsidRPr="000D4703">
        <w:t xml:space="preserve"> souscrire, sur exercice de 800</w:t>
      </w:r>
      <w:r>
        <w:t xml:space="preserve"> </w:t>
      </w:r>
      <w:r w:rsidRPr="000D4703">
        <w:t>Bons d'</w:t>
      </w:r>
      <w:r>
        <w:t>é</w:t>
      </w:r>
      <w:r w:rsidRPr="000D4703">
        <w:t xml:space="preserve">mission, </w:t>
      </w:r>
      <w:r>
        <w:t xml:space="preserve">à compter de </w:t>
      </w:r>
      <w:r w:rsidRPr="000D4703">
        <w:t xml:space="preserve">ladite </w:t>
      </w:r>
      <w:r>
        <w:t>a</w:t>
      </w:r>
      <w:r w:rsidRPr="000D4703">
        <w:t xml:space="preserve">ssemblée </w:t>
      </w:r>
      <w:r>
        <w:t>géné</w:t>
      </w:r>
      <w:r w:rsidRPr="000D4703">
        <w:t xml:space="preserve">rale </w:t>
      </w:r>
      <w:r>
        <w:t>e</w:t>
      </w:r>
      <w:r w:rsidRPr="000D4703">
        <w:t>xtraordinaire, 800 OCEANE</w:t>
      </w:r>
      <w:r>
        <w:t xml:space="preserve"> </w:t>
      </w:r>
      <w:r w:rsidRPr="000D4703">
        <w:t>avec BSA attach</w:t>
      </w:r>
      <w:r>
        <w:t>é</w:t>
      </w:r>
      <w:r w:rsidRPr="000D4703">
        <w:t>s, représentant</w:t>
      </w:r>
      <w:r>
        <w:t xml:space="preserve"> 8 M€ de valeur </w:t>
      </w:r>
      <w:r w:rsidRPr="000D4703">
        <w:t xml:space="preserve">nominale totale, en deux </w:t>
      </w:r>
      <w:r>
        <w:t>t</w:t>
      </w:r>
      <w:r w:rsidRPr="000D4703">
        <w:t>ranches</w:t>
      </w:r>
      <w:r>
        <w:t xml:space="preserve"> </w:t>
      </w:r>
      <w:r w:rsidRPr="000D4703">
        <w:t xml:space="preserve">successives de 1 M€, puis en douze </w:t>
      </w:r>
      <w:r>
        <w:t>t</w:t>
      </w:r>
      <w:r w:rsidRPr="000D4703">
        <w:t>ran</w:t>
      </w:r>
      <w:r>
        <w:t>ches de 0,5 M€</w:t>
      </w:r>
      <w:r w:rsidRPr="000D4703">
        <w:t>.</w:t>
      </w:r>
    </w:p>
    <w:p w14:paraId="372402A7" w14:textId="77777777" w:rsidR="00F453EC" w:rsidRDefault="00F453EC" w:rsidP="00414C2A">
      <w:pPr>
        <w:rPr>
          <w:rFonts w:ascii="Calibri" w:hAnsi="Calibri" w:cs="Calibri"/>
          <w:szCs w:val="20"/>
        </w:rPr>
      </w:pPr>
    </w:p>
    <w:p w14:paraId="17418786" w14:textId="63B7C688" w:rsidR="00AC693A" w:rsidRDefault="00AC693A" w:rsidP="00414C2A">
      <w:pPr>
        <w:rPr>
          <w:rFonts w:ascii="Calibri" w:hAnsi="Calibri" w:cs="Calibri"/>
          <w:szCs w:val="20"/>
        </w:rPr>
      </w:pPr>
      <w:r>
        <w:rPr>
          <w:rFonts w:ascii="Calibri" w:hAnsi="Calibri" w:cs="Calibri"/>
          <w:szCs w:val="20"/>
        </w:rPr>
        <w:t>Le prix d’exercice des BSA est égal à 115% de la moyenne des cours quotidiens moyens pondérés par les volumes de l’action au cours des 15 séances de bourse précédant leur exercice.</w:t>
      </w:r>
    </w:p>
    <w:p w14:paraId="036BCF29" w14:textId="77777777" w:rsidR="00414C2A" w:rsidRPr="00414C2A" w:rsidRDefault="00414C2A" w:rsidP="00414C2A">
      <w:pPr>
        <w:pStyle w:val="Paragraphedeliste"/>
        <w:widowControl w:val="0"/>
        <w:autoSpaceDE w:val="0"/>
        <w:autoSpaceDN w:val="0"/>
        <w:adjustRightInd w:val="0"/>
        <w:ind w:left="567"/>
        <w:rPr>
          <w:rFonts w:ascii="Calibri" w:hAnsi="Calibri" w:cs="Calibri"/>
          <w:szCs w:val="20"/>
        </w:rPr>
      </w:pPr>
    </w:p>
    <w:p w14:paraId="3A2A273A" w14:textId="77777777" w:rsidR="00414C2A" w:rsidRPr="00FD365D" w:rsidRDefault="00414C2A" w:rsidP="00C622C2">
      <w:pPr>
        <w:pStyle w:val="Paragraphedeliste"/>
        <w:widowControl w:val="0"/>
        <w:numPr>
          <w:ilvl w:val="0"/>
          <w:numId w:val="43"/>
        </w:numPr>
        <w:autoSpaceDE w:val="0"/>
        <w:autoSpaceDN w:val="0"/>
        <w:adjustRightInd w:val="0"/>
        <w:ind w:left="567" w:firstLine="0"/>
        <w:rPr>
          <w:rFonts w:ascii="Calibri" w:hAnsi="Calibri" w:cs="Calibri"/>
          <w:szCs w:val="20"/>
        </w:rPr>
      </w:pPr>
      <w:r w:rsidRPr="00FD365D">
        <w:rPr>
          <w:rFonts w:ascii="Calibri" w:hAnsi="Calibri" w:cs="Calibri"/>
          <w:b/>
          <w:bCs/>
          <w:szCs w:val="20"/>
        </w:rPr>
        <w:t>Objectifs de l’opération :</w:t>
      </w:r>
    </w:p>
    <w:p w14:paraId="7E2FAE6A" w14:textId="77777777" w:rsidR="00414C2A" w:rsidRDefault="00414C2A" w:rsidP="00414C2A">
      <w:pPr>
        <w:ind w:left="567"/>
        <w:rPr>
          <w:rFonts w:ascii="Calibri" w:hAnsi="Calibri" w:cs="Calibri"/>
          <w:szCs w:val="20"/>
        </w:rPr>
      </w:pPr>
    </w:p>
    <w:p w14:paraId="06430A41" w14:textId="2BD7861E" w:rsidR="00414C2A" w:rsidRPr="0040037C" w:rsidRDefault="5F1F329D" w:rsidP="0040037C">
      <w:r w:rsidRPr="0040037C">
        <w:t>Cette émission d’OCEANE avait pour objectif de permettre à Spineway à conduire son nouveau plan stratégique notamment initialement d’intégration verticale et financer ses besoins opérationnels</w:t>
      </w:r>
      <w:r w:rsidR="00A73776" w:rsidRPr="0040037C">
        <w:t xml:space="preserve"> </w:t>
      </w:r>
      <w:r w:rsidRPr="0040037C">
        <w:t>à compter de 2018 jusqu’à la rupture du contrat à l’automne 2019.</w:t>
      </w:r>
    </w:p>
    <w:p w14:paraId="6C55FF25" w14:textId="2006F853" w:rsidR="001456A3" w:rsidRDefault="001456A3">
      <w:pPr>
        <w:jc w:val="left"/>
        <w:rPr>
          <w:rFonts w:ascii="Calibri" w:eastAsia="Times New Roman" w:hAnsi="Calibri" w:cs="Times New Roman"/>
          <w:color w:val="000000"/>
          <w:szCs w:val="20"/>
        </w:rPr>
      </w:pPr>
      <w:r>
        <w:rPr>
          <w:rFonts w:ascii="Calibri" w:eastAsia="Times New Roman" w:hAnsi="Calibri" w:cs="Times New Roman"/>
          <w:color w:val="000000"/>
          <w:szCs w:val="20"/>
        </w:rPr>
        <w:br w:type="page"/>
      </w:r>
    </w:p>
    <w:p w14:paraId="4671431F" w14:textId="77777777" w:rsidR="00414C2A" w:rsidRDefault="00414C2A" w:rsidP="00AB15B0">
      <w:pPr>
        <w:widowControl w:val="0"/>
        <w:autoSpaceDE w:val="0"/>
        <w:autoSpaceDN w:val="0"/>
        <w:adjustRightInd w:val="0"/>
        <w:rPr>
          <w:rFonts w:ascii="Calibri" w:eastAsia="Times New Roman" w:hAnsi="Calibri" w:cs="Times New Roman"/>
          <w:color w:val="000000"/>
          <w:szCs w:val="20"/>
        </w:rPr>
      </w:pPr>
    </w:p>
    <w:p w14:paraId="56F9FD4C" w14:textId="77777777" w:rsidR="000D3DD5" w:rsidRDefault="000D3DD5" w:rsidP="00AB15B0">
      <w:pPr>
        <w:widowControl w:val="0"/>
        <w:autoSpaceDE w:val="0"/>
        <w:autoSpaceDN w:val="0"/>
        <w:adjustRightInd w:val="0"/>
        <w:rPr>
          <w:rFonts w:ascii="Calibri" w:eastAsia="Times New Roman" w:hAnsi="Calibri" w:cs="Times New Roman"/>
          <w:color w:val="000000"/>
          <w:szCs w:val="20"/>
        </w:rPr>
      </w:pPr>
    </w:p>
    <w:p w14:paraId="2B88FEBE" w14:textId="505B8D4D" w:rsidR="000D3DD5" w:rsidRPr="00FD365D" w:rsidRDefault="000D3DD5" w:rsidP="00C622C2">
      <w:pPr>
        <w:pStyle w:val="Paragraphedeliste"/>
        <w:widowControl w:val="0"/>
        <w:numPr>
          <w:ilvl w:val="0"/>
          <w:numId w:val="43"/>
        </w:numPr>
        <w:autoSpaceDE w:val="0"/>
        <w:autoSpaceDN w:val="0"/>
        <w:adjustRightInd w:val="0"/>
        <w:ind w:left="567" w:firstLine="0"/>
        <w:rPr>
          <w:rFonts w:ascii="Calibri" w:hAnsi="Calibri" w:cs="Calibri"/>
          <w:szCs w:val="20"/>
        </w:rPr>
      </w:pPr>
      <w:r>
        <w:rPr>
          <w:rFonts w:ascii="Calibri" w:hAnsi="Calibri" w:cs="Calibri"/>
          <w:b/>
          <w:bCs/>
          <w:szCs w:val="20"/>
        </w:rPr>
        <w:t xml:space="preserve">Point de situation sur le Contrat d’Emission </w:t>
      </w:r>
      <w:r w:rsidR="00022FDF">
        <w:rPr>
          <w:rFonts w:ascii="Calibri" w:hAnsi="Calibri" w:cs="Calibri"/>
          <w:b/>
          <w:bCs/>
          <w:szCs w:val="20"/>
        </w:rPr>
        <w:t xml:space="preserve">OCEANE </w:t>
      </w:r>
      <w:r>
        <w:rPr>
          <w:rFonts w:ascii="Calibri" w:hAnsi="Calibri" w:cs="Calibri"/>
          <w:b/>
          <w:bCs/>
          <w:szCs w:val="20"/>
        </w:rPr>
        <w:t xml:space="preserve">ABO </w:t>
      </w:r>
      <w:r w:rsidRPr="00FD365D">
        <w:rPr>
          <w:rFonts w:ascii="Calibri" w:hAnsi="Calibri" w:cs="Calibri"/>
          <w:b/>
          <w:bCs/>
          <w:szCs w:val="20"/>
        </w:rPr>
        <w:t>:</w:t>
      </w:r>
    </w:p>
    <w:p w14:paraId="14FEA2BA" w14:textId="078D8BE6" w:rsidR="00107773" w:rsidRPr="0058762D" w:rsidRDefault="00107773" w:rsidP="009678E1">
      <w:pPr>
        <w:rPr>
          <w:color w:val="FF0000"/>
        </w:rPr>
      </w:pPr>
    </w:p>
    <w:p w14:paraId="2ECBBFE7" w14:textId="6FF62DB7" w:rsidR="00022FDF" w:rsidRDefault="00022FDF" w:rsidP="009678E1">
      <w:r>
        <w:rPr>
          <w:noProof/>
        </w:rPr>
        <w:drawing>
          <wp:inline distT="0" distB="0" distL="0" distR="0" wp14:anchorId="2329E20B" wp14:editId="78898026">
            <wp:extent cx="5851525" cy="2483601"/>
            <wp:effectExtent l="0" t="0" r="0" b="5715"/>
            <wp:docPr id="546" name="Imag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5851525" cy="2483601"/>
                    </a:xfrm>
                    <a:prstGeom prst="rect">
                      <a:avLst/>
                    </a:prstGeom>
                    <a:noFill/>
                    <a:ln>
                      <a:noFill/>
                    </a:ln>
                  </pic:spPr>
                </pic:pic>
              </a:graphicData>
            </a:graphic>
          </wp:inline>
        </w:drawing>
      </w:r>
    </w:p>
    <w:p w14:paraId="27AA24C9" w14:textId="77777777" w:rsidR="00FF1ACB" w:rsidRDefault="00FF1ACB" w:rsidP="00022FDF"/>
    <w:p w14:paraId="76CA10D8" w14:textId="77777777" w:rsidR="00FF1ACB" w:rsidRPr="00022FDF" w:rsidRDefault="00FF1ACB" w:rsidP="00022FDF"/>
    <w:p w14:paraId="427D41D6" w14:textId="77777777" w:rsidR="00EF3F18" w:rsidRPr="00FD365D" w:rsidRDefault="00EF3F18" w:rsidP="00C622C2">
      <w:pPr>
        <w:pStyle w:val="Paragraphedeliste"/>
        <w:widowControl w:val="0"/>
        <w:numPr>
          <w:ilvl w:val="0"/>
          <w:numId w:val="43"/>
        </w:numPr>
        <w:autoSpaceDE w:val="0"/>
        <w:autoSpaceDN w:val="0"/>
        <w:adjustRightInd w:val="0"/>
        <w:ind w:left="0" w:firstLine="0"/>
        <w:rPr>
          <w:rFonts w:ascii="Calibri" w:hAnsi="Calibri" w:cs="Calibri"/>
          <w:szCs w:val="20"/>
        </w:rPr>
      </w:pPr>
      <w:r>
        <w:rPr>
          <w:rFonts w:ascii="Calibri" w:hAnsi="Calibri" w:cs="Calibri"/>
          <w:b/>
          <w:bCs/>
          <w:szCs w:val="20"/>
        </w:rPr>
        <w:t>Impact dilutif</w:t>
      </w:r>
      <w:r w:rsidRPr="00FD365D">
        <w:rPr>
          <w:rFonts w:ascii="Calibri" w:hAnsi="Calibri" w:cs="Calibri"/>
          <w:b/>
          <w:bCs/>
          <w:szCs w:val="20"/>
        </w:rPr>
        <w:t xml:space="preserve"> de l’opération :</w:t>
      </w:r>
    </w:p>
    <w:p w14:paraId="5A53777F" w14:textId="77777777" w:rsidR="00EF3F18" w:rsidRDefault="00EF3F18" w:rsidP="00EF3F18"/>
    <w:p w14:paraId="601F5333" w14:textId="20E63B1E" w:rsidR="00AC2DB5" w:rsidRPr="0040037C" w:rsidRDefault="5F1F329D" w:rsidP="5F1F329D">
      <w:pPr>
        <w:rPr>
          <w:rFonts w:ascii="Calibri" w:hAnsi="Calibri" w:cs="Calibri"/>
        </w:rPr>
      </w:pPr>
      <w:r w:rsidRPr="0040037C">
        <w:rPr>
          <w:rFonts w:ascii="Calibri" w:hAnsi="Calibri" w:cs="Calibri"/>
        </w:rPr>
        <w:t>Les 1.039 obligations ont été converties sur les 1.040 obligations émises. 1 obligation est arrivée à échéance sans être convertie et a été annulée sur l’exercice 2020.</w:t>
      </w:r>
    </w:p>
    <w:p w14:paraId="67968A49" w14:textId="77777777" w:rsidR="00EE0DAE" w:rsidRDefault="00EE0DAE" w:rsidP="00AC2DB5">
      <w:pPr>
        <w:rPr>
          <w:rFonts w:ascii="Calibri" w:hAnsi="Calibri" w:cs="Calibri"/>
          <w:szCs w:val="20"/>
        </w:rPr>
      </w:pPr>
    </w:p>
    <w:p w14:paraId="6478E0B7" w14:textId="303CCECF" w:rsidR="00AC2DB5" w:rsidRPr="0040037C" w:rsidRDefault="00AC2DB5" w:rsidP="00AC2DB5">
      <w:pPr>
        <w:rPr>
          <w:rFonts w:ascii="Calibri" w:hAnsi="Calibri" w:cs="Calibri"/>
          <w:szCs w:val="20"/>
        </w:rPr>
      </w:pPr>
      <w:r w:rsidRPr="0040037C">
        <w:rPr>
          <w:rFonts w:ascii="Calibri" w:hAnsi="Calibri" w:cs="Calibri"/>
          <w:szCs w:val="20"/>
        </w:rPr>
        <w:t xml:space="preserve">A la date du Document d’enregistrement universel, 333.333 BSA ont été exercés sur les 81.249.999 BSA attachés aux OCEANE ABO. </w:t>
      </w:r>
    </w:p>
    <w:p w14:paraId="315A00AD" w14:textId="77777777" w:rsidR="00EE0DAE" w:rsidRDefault="5F1F329D" w:rsidP="00AC2DB5">
      <w:pPr>
        <w:rPr>
          <w:rFonts w:ascii="Calibri" w:hAnsi="Calibri" w:cs="Calibri"/>
        </w:rPr>
      </w:pPr>
      <w:r w:rsidRPr="0040037C">
        <w:rPr>
          <w:rFonts w:ascii="Calibri" w:hAnsi="Calibri" w:cs="Calibri"/>
        </w:rPr>
        <w:t xml:space="preserve">80.916.666 BSA restent en circulation et peuvent engendrer la création d’au maximum 80.916.666 actions nouvelles en circulation. </w:t>
      </w:r>
    </w:p>
    <w:p w14:paraId="0C51BC21" w14:textId="64D8ADF5" w:rsidR="00AC2DB5" w:rsidRPr="0040037C" w:rsidRDefault="5F1F329D" w:rsidP="00AC2DB5">
      <w:r w:rsidRPr="0040037C">
        <w:rPr>
          <w:rFonts w:ascii="Calibri" w:hAnsi="Calibri" w:cs="Calibri"/>
        </w:rPr>
        <w:t xml:space="preserve">Ces BSA peuvent être exercés 5 années à compter de leur détachement des OCEANE. </w:t>
      </w:r>
    </w:p>
    <w:p w14:paraId="54F30B70" w14:textId="77777777" w:rsidR="00AC2DB5" w:rsidRDefault="00AC2DB5" w:rsidP="00AC2DB5">
      <w:pPr>
        <w:rPr>
          <w:b/>
          <w:color w:val="FF0000"/>
          <w:highlight w:val="yellow"/>
        </w:rPr>
      </w:pPr>
      <w:r w:rsidRPr="00A8181C">
        <w:rPr>
          <w:b/>
          <w:color w:val="FF0000"/>
          <w:highlight w:val="yellow"/>
        </w:rPr>
        <w:t xml:space="preserve"> </w:t>
      </w:r>
    </w:p>
    <w:p w14:paraId="406A7D73" w14:textId="77777777" w:rsidR="00022FDF" w:rsidRDefault="00022FDF" w:rsidP="00022FDF">
      <w:pPr>
        <w:rPr>
          <w:color w:val="FF0000"/>
        </w:rPr>
      </w:pPr>
    </w:p>
    <w:p w14:paraId="510CF376" w14:textId="24DDDD94" w:rsidR="000C343B" w:rsidRDefault="000C343B" w:rsidP="000C343B">
      <w:pPr>
        <w:pStyle w:val="Titre4"/>
      </w:pPr>
      <w:bookmarkStart w:id="319" w:name="_Ref473483974"/>
      <w:r>
        <w:t>19</w:t>
      </w:r>
      <w:r w:rsidRPr="00782B86">
        <w:t>.1.4.</w:t>
      </w:r>
      <w:r>
        <w:t>4</w:t>
      </w:r>
      <w:r w:rsidRPr="00782B86">
        <w:t xml:space="preserve"> </w:t>
      </w:r>
      <w:r>
        <w:t>Les BSA Spineway</w:t>
      </w:r>
      <w:bookmarkEnd w:id="319"/>
    </w:p>
    <w:p w14:paraId="6E8A3A20" w14:textId="77777777" w:rsidR="000C343B" w:rsidRDefault="000C343B" w:rsidP="000C343B"/>
    <w:p w14:paraId="3EDC7D1D" w14:textId="518EF2D5" w:rsidR="009E19B6" w:rsidRDefault="009E19B6" w:rsidP="009E19B6">
      <w:pPr>
        <w:rPr>
          <w:noProof/>
        </w:rPr>
      </w:pPr>
      <w:r w:rsidRPr="54FDD3F0">
        <w:rPr>
          <w:noProof/>
        </w:rPr>
        <w:t>En date du 6 janvier 2021, un cont</w:t>
      </w:r>
      <w:r>
        <w:rPr>
          <w:noProof/>
        </w:rPr>
        <w:t>rat</w:t>
      </w:r>
      <w:r w:rsidRPr="54FDD3F0">
        <w:rPr>
          <w:noProof/>
        </w:rPr>
        <w:t xml:space="preserve"> de cession rétrocédant 340</w:t>
      </w:r>
      <w:r>
        <w:rPr>
          <w:noProof/>
        </w:rPr>
        <w:t>.</w:t>
      </w:r>
      <w:r w:rsidRPr="54FDD3F0">
        <w:rPr>
          <w:noProof/>
        </w:rPr>
        <w:t>113</w:t>
      </w:r>
      <w:r>
        <w:rPr>
          <w:noProof/>
        </w:rPr>
        <w:t>.</w:t>
      </w:r>
      <w:r w:rsidRPr="54FDD3F0">
        <w:rPr>
          <w:noProof/>
        </w:rPr>
        <w:t xml:space="preserve">815 BSA à Spineway </w:t>
      </w:r>
      <w:r>
        <w:rPr>
          <w:noProof/>
        </w:rPr>
        <w:t>a</w:t>
      </w:r>
      <w:r w:rsidRPr="54FDD3F0">
        <w:rPr>
          <w:noProof/>
        </w:rPr>
        <w:t xml:space="preserve"> été signé</w:t>
      </w:r>
      <w:r>
        <w:rPr>
          <w:noProof/>
        </w:rPr>
        <w:t xml:space="preserve"> entre </w:t>
      </w:r>
      <w:r w:rsidRPr="54FDD3F0">
        <w:rPr>
          <w:noProof/>
        </w:rPr>
        <w:t xml:space="preserve"> Negma </w:t>
      </w:r>
      <w:r w:rsidR="004D03AE">
        <w:rPr>
          <w:noProof/>
        </w:rPr>
        <w:t xml:space="preserve">Group LTD. </w:t>
      </w:r>
      <w:r>
        <w:rPr>
          <w:noProof/>
        </w:rPr>
        <w:t>et Spineway.</w:t>
      </w:r>
    </w:p>
    <w:p w14:paraId="31B10875" w14:textId="3EDC5C37" w:rsidR="000D4DCF" w:rsidRDefault="000D4DCF" w:rsidP="000D4DCF">
      <w:pPr>
        <w:widowControl w:val="0"/>
        <w:autoSpaceDE w:val="0"/>
        <w:autoSpaceDN w:val="0"/>
        <w:adjustRightInd w:val="0"/>
      </w:pPr>
      <w:r>
        <w:rPr>
          <w:noProof/>
        </w:rPr>
        <w:t xml:space="preserve">Cf. </w:t>
      </w:r>
      <w:r>
        <w:t>paragraphe « </w:t>
      </w:r>
      <w:r>
        <w:fldChar w:fldCharType="begin"/>
      </w:r>
      <w:r>
        <w:instrText xml:space="preserve"> REF _Ref471635099 \h </w:instrText>
      </w:r>
      <w:r>
        <w:fldChar w:fldCharType="separate"/>
      </w:r>
      <w:r w:rsidR="003A0AD1" w:rsidRPr="0067311E">
        <w:t>2</w:t>
      </w:r>
      <w:r w:rsidR="003A0AD1">
        <w:t>0</w:t>
      </w:r>
      <w:r w:rsidR="003A0AD1" w:rsidRPr="0067311E">
        <w:t>.</w:t>
      </w:r>
      <w:r w:rsidR="003A0AD1">
        <w:t>1</w:t>
      </w:r>
      <w:r w:rsidR="003A0AD1" w:rsidRPr="0067311E">
        <w:t xml:space="preserve"> Contrat </w:t>
      </w:r>
      <w:r w:rsidR="003A0AD1">
        <w:t xml:space="preserve">de financement signé le 18 octobre 2019 avec Negma Group Ltd </w:t>
      </w:r>
      <w:r w:rsidR="003A0AD1" w:rsidRPr="0067311E">
        <w:t>(« </w:t>
      </w:r>
      <w:r w:rsidR="003A0AD1">
        <w:t xml:space="preserve">OCABSA Negma </w:t>
      </w:r>
      <w:r w:rsidR="003A0AD1" w:rsidRPr="0067311E">
        <w:t>»)</w:t>
      </w:r>
      <w:r>
        <w:fldChar w:fldCharType="end"/>
      </w:r>
      <w:r>
        <w:t xml:space="preserve"> » du Document d’enregistrem</w:t>
      </w:r>
      <w:r w:rsidR="00283632">
        <w:t>ent universel</w:t>
      </w:r>
      <w:r>
        <w:t>.</w:t>
      </w:r>
    </w:p>
    <w:p w14:paraId="3654B117" w14:textId="6A1A942C" w:rsidR="000D4DCF" w:rsidRDefault="000D4DCF" w:rsidP="009E19B6">
      <w:pPr>
        <w:rPr>
          <w:noProof/>
        </w:rPr>
      </w:pPr>
    </w:p>
    <w:p w14:paraId="0BFB4FCD" w14:textId="77777777" w:rsidR="009E19B6" w:rsidRDefault="009E19B6" w:rsidP="000C343B"/>
    <w:p w14:paraId="39C18B62" w14:textId="77777777" w:rsidR="000C343B" w:rsidRDefault="000C343B" w:rsidP="00022FDF">
      <w:pPr>
        <w:rPr>
          <w:color w:val="FF0000"/>
        </w:rPr>
      </w:pPr>
    </w:p>
    <w:p w14:paraId="7D28A2C2" w14:textId="1AF8DC46" w:rsidR="00022FDF" w:rsidRDefault="00022FDF" w:rsidP="00022FDF"/>
    <w:p w14:paraId="58271D34" w14:textId="77777777" w:rsidR="00107773" w:rsidRPr="00022FDF" w:rsidRDefault="00107773" w:rsidP="00022FDF">
      <w:pPr>
        <w:sectPr w:rsidR="00107773" w:rsidRPr="00022FDF" w:rsidSect="00A26900">
          <w:headerReference w:type="default" r:id="rId232"/>
          <w:footerReference w:type="even" r:id="rId233"/>
          <w:headerReference w:type="first" r:id="rId234"/>
          <w:pgSz w:w="11900" w:h="16840"/>
          <w:pgMar w:top="1417" w:right="1268" w:bottom="1417" w:left="1417" w:header="708" w:footer="708" w:gutter="0"/>
          <w:cols w:space="708"/>
          <w:docGrid w:linePitch="360"/>
        </w:sectPr>
      </w:pPr>
    </w:p>
    <w:p w14:paraId="38BEF0A4" w14:textId="6C5F6E81" w:rsidR="00CF0C5B" w:rsidRDefault="00A247E0" w:rsidP="00496F6A">
      <w:pPr>
        <w:pStyle w:val="Titre3"/>
      </w:pPr>
      <w:bookmarkStart w:id="320" w:name="_Ref367463929"/>
      <w:bookmarkStart w:id="321" w:name="_Ref367463930"/>
      <w:bookmarkStart w:id="322" w:name="_Ref367463938"/>
      <w:bookmarkStart w:id="323" w:name="_Ref367463957"/>
      <w:bookmarkStart w:id="324" w:name="_Ref367463967"/>
      <w:bookmarkStart w:id="325" w:name="_Ref472688433"/>
      <w:bookmarkStart w:id="326" w:name="_Toc475033284"/>
      <w:r>
        <w:lastRenderedPageBreak/>
        <w:t>19</w:t>
      </w:r>
      <w:r w:rsidR="00C032EC">
        <w:t xml:space="preserve">.1.5 </w:t>
      </w:r>
      <w:r w:rsidR="00CF0C5B">
        <w:t>Capital autorisé</w:t>
      </w:r>
      <w:bookmarkEnd w:id="320"/>
      <w:bookmarkEnd w:id="321"/>
      <w:bookmarkEnd w:id="322"/>
      <w:bookmarkEnd w:id="323"/>
      <w:bookmarkEnd w:id="324"/>
      <w:bookmarkEnd w:id="325"/>
      <w:bookmarkEnd w:id="326"/>
    </w:p>
    <w:p w14:paraId="58E7D9C1" w14:textId="77777777" w:rsidR="001D31AC" w:rsidRPr="001D31AC" w:rsidRDefault="001D31AC" w:rsidP="001D31AC"/>
    <w:p w14:paraId="10229BC6" w14:textId="01AB812E" w:rsidR="00496F6A" w:rsidRDefault="001D31AC" w:rsidP="00496F6A">
      <w:r>
        <w:rPr>
          <w:noProof/>
        </w:rPr>
        <w:drawing>
          <wp:inline distT="0" distB="0" distL="0" distR="0" wp14:anchorId="1F9166E4" wp14:editId="28287B59">
            <wp:extent cx="8893810" cy="5273077"/>
            <wp:effectExtent l="0" t="0" r="0" b="10160"/>
            <wp:docPr id="20213187"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8893810" cy="5273077"/>
                    </a:xfrm>
                    <a:prstGeom prst="rect">
                      <a:avLst/>
                    </a:prstGeom>
                    <a:noFill/>
                    <a:ln>
                      <a:noFill/>
                    </a:ln>
                  </pic:spPr>
                </pic:pic>
              </a:graphicData>
            </a:graphic>
          </wp:inline>
        </w:drawing>
      </w:r>
    </w:p>
    <w:p w14:paraId="0E52E360" w14:textId="77777777" w:rsidR="001D31AC" w:rsidRDefault="001D31AC" w:rsidP="00496F6A"/>
    <w:p w14:paraId="1CE98A22" w14:textId="173BDE9B" w:rsidR="001D31AC" w:rsidRDefault="001D31AC" w:rsidP="00496F6A">
      <w:r>
        <w:rPr>
          <w:noProof/>
        </w:rPr>
        <w:drawing>
          <wp:inline distT="0" distB="0" distL="0" distR="0" wp14:anchorId="1288712E" wp14:editId="49FF282F">
            <wp:extent cx="8893810" cy="4657321"/>
            <wp:effectExtent l="0" t="0" r="0" b="0"/>
            <wp:docPr id="20213188"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8893810" cy="4657321"/>
                    </a:xfrm>
                    <a:prstGeom prst="rect">
                      <a:avLst/>
                    </a:prstGeom>
                    <a:noFill/>
                    <a:ln>
                      <a:noFill/>
                    </a:ln>
                  </pic:spPr>
                </pic:pic>
              </a:graphicData>
            </a:graphic>
          </wp:inline>
        </w:drawing>
      </w:r>
    </w:p>
    <w:p w14:paraId="5CB57C0C" w14:textId="77777777" w:rsidR="001D31AC" w:rsidRDefault="001D31AC" w:rsidP="00496F6A"/>
    <w:p w14:paraId="3964C48E" w14:textId="77777777" w:rsidR="001D31AC" w:rsidRDefault="001D31AC" w:rsidP="00496F6A"/>
    <w:p w14:paraId="5199A4C4" w14:textId="6CD6A353" w:rsidR="001D31AC" w:rsidRDefault="001D31AC" w:rsidP="00496F6A">
      <w:r>
        <w:rPr>
          <w:noProof/>
        </w:rPr>
        <w:lastRenderedPageBreak/>
        <w:drawing>
          <wp:inline distT="0" distB="0" distL="0" distR="0" wp14:anchorId="7C2FA041" wp14:editId="68DDED18">
            <wp:extent cx="8893810" cy="3891148"/>
            <wp:effectExtent l="0" t="0" r="0" b="0"/>
            <wp:docPr id="20213189"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8893810" cy="3891148"/>
                    </a:xfrm>
                    <a:prstGeom prst="rect">
                      <a:avLst/>
                    </a:prstGeom>
                    <a:noFill/>
                    <a:ln>
                      <a:noFill/>
                    </a:ln>
                  </pic:spPr>
                </pic:pic>
              </a:graphicData>
            </a:graphic>
          </wp:inline>
        </w:drawing>
      </w:r>
    </w:p>
    <w:p w14:paraId="73D4001E" w14:textId="363C67BC" w:rsidR="000C40FA" w:rsidRDefault="000C40FA" w:rsidP="00496F6A">
      <w:r>
        <w:t>Cf. paragraphe « </w:t>
      </w:r>
      <w:r>
        <w:fldChar w:fldCharType="begin"/>
      </w:r>
      <w:r>
        <w:instrText xml:space="preserve"> REF _Ref367955790 \h </w:instrText>
      </w:r>
      <w:r>
        <w:fldChar w:fldCharType="separate"/>
      </w:r>
      <w:r w:rsidR="003A0AD1">
        <w:t>19.1.3 Acquisition par la Société de ses propres actions</w:t>
      </w:r>
      <w:r>
        <w:fldChar w:fldCharType="end"/>
      </w:r>
      <w:r>
        <w:t xml:space="preserve"> » </w:t>
      </w:r>
      <w:r w:rsidR="000C10EB">
        <w:t xml:space="preserve">du </w:t>
      </w:r>
      <w:r w:rsidR="00920DEB">
        <w:t>Document d’enregistrement universel</w:t>
      </w:r>
      <w:r>
        <w:t xml:space="preserve"> concernant les programmes de rachat d’actions.</w:t>
      </w:r>
    </w:p>
    <w:p w14:paraId="503490A4" w14:textId="77777777" w:rsidR="000C40FA" w:rsidRPr="00496F6A" w:rsidRDefault="000C40FA" w:rsidP="00496F6A"/>
    <w:p w14:paraId="12BEFA4F" w14:textId="4474A505" w:rsidR="0030320A" w:rsidRDefault="00A247E0" w:rsidP="0030320A">
      <w:pPr>
        <w:pStyle w:val="Titre3"/>
      </w:pPr>
      <w:bookmarkStart w:id="327" w:name="_Toc475033285"/>
      <w:r>
        <w:t>19</w:t>
      </w:r>
      <w:r w:rsidR="0030320A">
        <w:t>.1.6 Informations sur le capital de tout membre du Groupe faisant l’objet d’une option ou d’un accord conditionnel ou inconditionnel prévoyant de le placer sous option</w:t>
      </w:r>
      <w:bookmarkEnd w:id="327"/>
      <w:r w:rsidR="0030320A">
        <w:t xml:space="preserve"> </w:t>
      </w:r>
      <w:r w:rsidR="0030320A">
        <w:tab/>
      </w:r>
    </w:p>
    <w:p w14:paraId="5FD1CFCA" w14:textId="77777777" w:rsidR="00283632" w:rsidRDefault="00283632" w:rsidP="0030320A">
      <w:pPr>
        <w:rPr>
          <w:color w:val="FF0000"/>
          <w:szCs w:val="20"/>
          <w:highlight w:val="yellow"/>
        </w:rPr>
      </w:pPr>
    </w:p>
    <w:p w14:paraId="43955FC6" w14:textId="58447084" w:rsidR="0030320A" w:rsidRPr="0071166F" w:rsidRDefault="0044426D" w:rsidP="0030320A">
      <w:pPr>
        <w:rPr>
          <w:szCs w:val="20"/>
        </w:rPr>
      </w:pPr>
      <w:r w:rsidRPr="0071166F">
        <w:rPr>
          <w:szCs w:val="20"/>
        </w:rPr>
        <w:t>Néant.</w:t>
      </w:r>
    </w:p>
    <w:p w14:paraId="33E58819" w14:textId="77777777" w:rsidR="00F90D74" w:rsidRPr="00F90D74" w:rsidRDefault="00F90D74" w:rsidP="00F90D74">
      <w:bookmarkStart w:id="328" w:name="_Ref337471380"/>
      <w:bookmarkStart w:id="329" w:name="_Ref367712199"/>
      <w:bookmarkStart w:id="330" w:name="_Ref368075990"/>
      <w:bookmarkStart w:id="331" w:name="_Ref368229613"/>
    </w:p>
    <w:p w14:paraId="32F5914B" w14:textId="77777777" w:rsidR="00D20AB7" w:rsidRDefault="00D20AB7" w:rsidP="004878AF">
      <w:pPr>
        <w:pStyle w:val="Titre3"/>
        <w:spacing w:before="0"/>
      </w:pPr>
      <w:bookmarkStart w:id="332" w:name="_Ref372468994"/>
    </w:p>
    <w:p w14:paraId="6C273A66" w14:textId="24DDB093" w:rsidR="0030320A" w:rsidRDefault="00A247E0" w:rsidP="004878AF">
      <w:pPr>
        <w:pStyle w:val="Titre3"/>
        <w:spacing w:before="0"/>
      </w:pPr>
      <w:bookmarkStart w:id="333" w:name="_Ref472618033"/>
      <w:bookmarkStart w:id="334" w:name="_Toc475033286"/>
      <w:r>
        <w:t>19</w:t>
      </w:r>
      <w:r w:rsidR="0030320A">
        <w:t>.1.7 Historique du capital social</w:t>
      </w:r>
      <w:bookmarkEnd w:id="328"/>
      <w:bookmarkEnd w:id="329"/>
      <w:bookmarkEnd w:id="330"/>
      <w:bookmarkEnd w:id="331"/>
      <w:bookmarkEnd w:id="332"/>
      <w:bookmarkEnd w:id="333"/>
      <w:bookmarkEnd w:id="334"/>
    </w:p>
    <w:p w14:paraId="37F83F76" w14:textId="77777777" w:rsidR="0030320A" w:rsidRDefault="0030320A" w:rsidP="0030320A"/>
    <w:p w14:paraId="49A754A1" w14:textId="66D97259" w:rsidR="0030320A" w:rsidRPr="00D62B04" w:rsidRDefault="0030320A" w:rsidP="0030320A">
      <w:pPr>
        <w:rPr>
          <w:szCs w:val="20"/>
        </w:rPr>
      </w:pPr>
      <w:r w:rsidRPr="00D62B04">
        <w:rPr>
          <w:szCs w:val="20"/>
        </w:rPr>
        <w:t>Le tableau ci-après présent</w:t>
      </w:r>
      <w:r>
        <w:rPr>
          <w:szCs w:val="20"/>
        </w:rPr>
        <w:t>e</w:t>
      </w:r>
      <w:r w:rsidRPr="00D62B04">
        <w:rPr>
          <w:szCs w:val="20"/>
        </w:rPr>
        <w:t xml:space="preserve"> l’évolution du capital social depuis la création de la Société, en 2005</w:t>
      </w:r>
      <w:r w:rsidR="00DD0E83">
        <w:rPr>
          <w:szCs w:val="20"/>
        </w:rPr>
        <w:t xml:space="preserve"> </w:t>
      </w:r>
      <w:r w:rsidRPr="00D62B04">
        <w:rPr>
          <w:szCs w:val="20"/>
        </w:rPr>
        <w:t>:</w:t>
      </w:r>
    </w:p>
    <w:p w14:paraId="33667842" w14:textId="77777777" w:rsidR="0030320A" w:rsidRPr="0030320A" w:rsidRDefault="0030320A" w:rsidP="0030320A">
      <w:pPr>
        <w:rPr>
          <w:sz w:val="16"/>
          <w:szCs w:val="16"/>
        </w:rPr>
      </w:pPr>
    </w:p>
    <w:p w14:paraId="7520D33D" w14:textId="7DF39AA6" w:rsidR="00A310CD" w:rsidRDefault="0013446D">
      <w:pPr>
        <w:jc w:val="left"/>
        <w:rPr>
          <w:color w:val="FF0000"/>
        </w:rPr>
      </w:pPr>
      <w:r w:rsidRPr="0013446D">
        <w:lastRenderedPageBreak/>
        <w:t xml:space="preserve"> </w:t>
      </w:r>
      <w:r w:rsidR="00A310CD" w:rsidRPr="00A310CD">
        <w:rPr>
          <w:noProof/>
        </w:rPr>
        <w:drawing>
          <wp:inline distT="0" distB="0" distL="0" distR="0" wp14:anchorId="0580C6BF" wp14:editId="38554B5A">
            <wp:extent cx="7941945" cy="5831628"/>
            <wp:effectExtent l="0" t="0" r="8255" b="10795"/>
            <wp:docPr id="892276848"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7941945" cy="5831628"/>
                    </a:xfrm>
                    <a:prstGeom prst="rect">
                      <a:avLst/>
                    </a:prstGeom>
                    <a:noFill/>
                    <a:ln>
                      <a:noFill/>
                    </a:ln>
                  </pic:spPr>
                </pic:pic>
              </a:graphicData>
            </a:graphic>
          </wp:inline>
        </w:drawing>
      </w:r>
    </w:p>
    <w:p w14:paraId="25514A40" w14:textId="2A3CEA41" w:rsidR="00A310CD" w:rsidRDefault="00A310CD" w:rsidP="00A310CD"/>
    <w:p w14:paraId="3A151634" w14:textId="77777777" w:rsidR="00A310CD" w:rsidRPr="00A310CD" w:rsidRDefault="00A310CD" w:rsidP="00A310CD">
      <w:pPr>
        <w:ind w:firstLine="709"/>
      </w:pPr>
    </w:p>
    <w:p w14:paraId="0754AF1E" w14:textId="1C7295A1" w:rsidR="00A310CD" w:rsidRDefault="00A310CD" w:rsidP="00DA0DEF">
      <w:r w:rsidRPr="00A310CD">
        <w:t xml:space="preserve"> </w:t>
      </w:r>
      <w:r>
        <w:rPr>
          <w:noProof/>
        </w:rPr>
        <w:drawing>
          <wp:inline distT="0" distB="0" distL="0" distR="0" wp14:anchorId="72E2FFE7" wp14:editId="47AE9E81">
            <wp:extent cx="7941945" cy="5374428"/>
            <wp:effectExtent l="0" t="0" r="8255" b="10795"/>
            <wp:docPr id="892276846"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7941945" cy="5374428"/>
                    </a:xfrm>
                    <a:prstGeom prst="rect">
                      <a:avLst/>
                    </a:prstGeom>
                    <a:noFill/>
                    <a:ln>
                      <a:noFill/>
                    </a:ln>
                  </pic:spPr>
                </pic:pic>
              </a:graphicData>
            </a:graphic>
          </wp:inline>
        </w:drawing>
      </w:r>
    </w:p>
    <w:p w14:paraId="5742B0DB" w14:textId="77777777" w:rsidR="00A310CD" w:rsidRDefault="00A310CD" w:rsidP="00DA0DEF"/>
    <w:p w14:paraId="3EFF8B57" w14:textId="419B11FA" w:rsidR="0013446D" w:rsidRPr="00DA0DEF" w:rsidRDefault="0013446D" w:rsidP="00DA0DEF">
      <w:pPr>
        <w:sectPr w:rsidR="0013446D" w:rsidRPr="00DA0DEF" w:rsidSect="009B6BFB">
          <w:pgSz w:w="16840" w:h="11900" w:orient="landscape"/>
          <w:pgMar w:top="1417" w:right="1417" w:bottom="1268" w:left="1417" w:header="708" w:footer="708" w:gutter="0"/>
          <w:cols w:space="708"/>
          <w:docGrid w:linePitch="360"/>
        </w:sectPr>
      </w:pPr>
    </w:p>
    <w:p w14:paraId="2502E1BB" w14:textId="1F9D7C2F" w:rsidR="00CF0C5B" w:rsidRDefault="00A247E0" w:rsidP="00C032EC">
      <w:pPr>
        <w:pStyle w:val="Titre2"/>
      </w:pPr>
      <w:bookmarkStart w:id="335" w:name="_Toc475033287"/>
      <w:r>
        <w:lastRenderedPageBreak/>
        <w:t>19</w:t>
      </w:r>
      <w:r w:rsidR="00C032EC">
        <w:t xml:space="preserve">.2 </w:t>
      </w:r>
      <w:r w:rsidR="00CF0C5B">
        <w:t>Acte constitutif et statuts</w:t>
      </w:r>
      <w:bookmarkEnd w:id="335"/>
      <w:r w:rsidR="00CF0C5B">
        <w:t xml:space="preserve"> </w:t>
      </w:r>
      <w:r w:rsidR="00CF0C5B">
        <w:tab/>
      </w:r>
    </w:p>
    <w:p w14:paraId="7A9A92E1" w14:textId="7C216477" w:rsidR="003B5293" w:rsidRDefault="00A247E0" w:rsidP="00C032EC">
      <w:pPr>
        <w:pStyle w:val="Titre3"/>
      </w:pPr>
      <w:bookmarkStart w:id="336" w:name="_Toc475033288"/>
      <w:r>
        <w:t>19</w:t>
      </w:r>
      <w:r w:rsidR="00C032EC">
        <w:t xml:space="preserve">.2.1 </w:t>
      </w:r>
      <w:r w:rsidR="00CF0C5B">
        <w:t>Objet social</w:t>
      </w:r>
      <w:bookmarkEnd w:id="336"/>
      <w:r w:rsidR="00CF0C5B">
        <w:t xml:space="preserve"> </w:t>
      </w:r>
      <w:r w:rsidR="003B5293">
        <w:t xml:space="preserve"> </w:t>
      </w:r>
    </w:p>
    <w:p w14:paraId="344AD606" w14:textId="77777777" w:rsidR="00BE512B" w:rsidRPr="00A00B06" w:rsidRDefault="00BE512B" w:rsidP="00BE512B">
      <w:pPr>
        <w:rPr>
          <w:color w:val="FF0000"/>
          <w:szCs w:val="20"/>
        </w:rPr>
      </w:pPr>
    </w:p>
    <w:p w14:paraId="6EF8F3AB" w14:textId="241842B4" w:rsidR="00983264" w:rsidRPr="00A00B06" w:rsidRDefault="00983264" w:rsidP="00983264">
      <w:pPr>
        <w:rPr>
          <w:snapToGrid w:val="0"/>
          <w:szCs w:val="20"/>
        </w:rPr>
      </w:pPr>
      <w:r w:rsidRPr="00A00B06">
        <w:rPr>
          <w:snapToGrid w:val="0"/>
          <w:szCs w:val="20"/>
        </w:rPr>
        <w:t>« La société a pour objet, en France et à l’étranger, pour son compte ou pour le compte de tiers, soit seule, soit en participation ou société avec toutes autres sociétés ou personnes, sous quelque forme que ce soit :</w:t>
      </w:r>
    </w:p>
    <w:p w14:paraId="5FA8D1F8" w14:textId="77777777" w:rsidR="00983264" w:rsidRPr="00A00B06" w:rsidRDefault="00983264" w:rsidP="00983264">
      <w:pPr>
        <w:rPr>
          <w:snapToGrid w:val="0"/>
          <w:szCs w:val="20"/>
        </w:rPr>
      </w:pPr>
    </w:p>
    <w:p w14:paraId="6A8BF1D4" w14:textId="549D5576" w:rsidR="00983264" w:rsidRPr="00A00B06" w:rsidRDefault="00983264" w:rsidP="00983264">
      <w:pPr>
        <w:rPr>
          <w:snapToGrid w:val="0"/>
          <w:szCs w:val="20"/>
        </w:rPr>
      </w:pPr>
      <w:r w:rsidRPr="00A00B06">
        <w:rPr>
          <w:snapToGrid w:val="0"/>
          <w:szCs w:val="20"/>
        </w:rPr>
        <w:t xml:space="preserve">. l’achat, la vente sous toutes ses formes, l’import, l’export, la représentation, le courtage et le conditionnement, la distribution de tous produits, accessoires, </w:t>
      </w:r>
      <w:r w:rsidR="00C05678" w:rsidRPr="00A00B06">
        <w:rPr>
          <w:snapToGrid w:val="0"/>
          <w:szCs w:val="20"/>
        </w:rPr>
        <w:t>matériels médico chirurgicaux</w:t>
      </w:r>
      <w:r w:rsidRPr="00A00B06">
        <w:rPr>
          <w:snapToGrid w:val="0"/>
          <w:szCs w:val="20"/>
        </w:rPr>
        <w:t xml:space="preserve"> et, notamment, des dispositifs médicaux implantables et, plus généralement, de tous instruments de chirurgie, </w:t>
      </w:r>
    </w:p>
    <w:p w14:paraId="15C950F2" w14:textId="77777777" w:rsidR="00983264" w:rsidRPr="00A00B06" w:rsidRDefault="00983264" w:rsidP="00983264">
      <w:pPr>
        <w:rPr>
          <w:snapToGrid w:val="0"/>
          <w:szCs w:val="20"/>
        </w:rPr>
      </w:pPr>
    </w:p>
    <w:p w14:paraId="67332236" w14:textId="2479B6CD" w:rsidR="00983264" w:rsidRPr="00A00B06" w:rsidRDefault="00983264" w:rsidP="00983264">
      <w:pPr>
        <w:rPr>
          <w:snapToGrid w:val="0"/>
          <w:szCs w:val="20"/>
        </w:rPr>
      </w:pPr>
      <w:r w:rsidRPr="00A00B06">
        <w:rPr>
          <w:snapToGrid w:val="0"/>
          <w:szCs w:val="20"/>
        </w:rPr>
        <w:t xml:space="preserve">. le conseil, la réalisation de toutes études pour toute personne physique ou morale du domaine de la santé, </w:t>
      </w:r>
    </w:p>
    <w:p w14:paraId="2FB46AB4" w14:textId="77777777" w:rsidR="00983264" w:rsidRPr="00A00B06" w:rsidRDefault="00983264" w:rsidP="00983264">
      <w:pPr>
        <w:rPr>
          <w:snapToGrid w:val="0"/>
          <w:szCs w:val="20"/>
        </w:rPr>
      </w:pPr>
    </w:p>
    <w:p w14:paraId="376E433F" w14:textId="739E8C4F" w:rsidR="00983264" w:rsidRPr="00A00B06" w:rsidRDefault="00983264" w:rsidP="00983264">
      <w:pPr>
        <w:rPr>
          <w:snapToGrid w:val="0"/>
          <w:szCs w:val="20"/>
        </w:rPr>
      </w:pPr>
      <w:r w:rsidRPr="00A00B06">
        <w:rPr>
          <w:snapToGrid w:val="0"/>
          <w:szCs w:val="20"/>
        </w:rPr>
        <w:t xml:space="preserve">. la transformation, la production, le négoce sous toutes ses formes de tout matériel médical et paramédical, </w:t>
      </w:r>
    </w:p>
    <w:p w14:paraId="1C16A925" w14:textId="77777777" w:rsidR="00983264" w:rsidRPr="00A00B06" w:rsidRDefault="00983264" w:rsidP="00983264">
      <w:pPr>
        <w:rPr>
          <w:snapToGrid w:val="0"/>
          <w:szCs w:val="20"/>
        </w:rPr>
      </w:pPr>
    </w:p>
    <w:p w14:paraId="2C63C171" w14:textId="361FF16E" w:rsidR="00983264" w:rsidRPr="00A00B06" w:rsidRDefault="00983264" w:rsidP="00983264">
      <w:pPr>
        <w:rPr>
          <w:snapToGrid w:val="0"/>
          <w:szCs w:val="20"/>
        </w:rPr>
      </w:pPr>
      <w:r w:rsidRPr="00A00B06">
        <w:rPr>
          <w:snapToGrid w:val="0"/>
          <w:szCs w:val="20"/>
        </w:rPr>
        <w:t>. et, plus généralement, toutes opérations industrielles, commerciales ou financières, mobilières ou immobilières, pouvant se rattacher directement ou indirectement à l’objet social ou à tous objets similaires ou connexes. »</w:t>
      </w:r>
    </w:p>
    <w:p w14:paraId="0A00CD18" w14:textId="77777777" w:rsidR="00983264" w:rsidRPr="00A00B06" w:rsidRDefault="00983264" w:rsidP="00983264">
      <w:pPr>
        <w:ind w:right="-24"/>
        <w:rPr>
          <w:rFonts w:cs="Segoe UI"/>
          <w:szCs w:val="20"/>
        </w:rPr>
      </w:pPr>
    </w:p>
    <w:p w14:paraId="02BA99BD" w14:textId="5F3E4D65" w:rsidR="00983264" w:rsidRPr="00A00B06" w:rsidRDefault="00983264" w:rsidP="00983264">
      <w:pPr>
        <w:ind w:right="-24"/>
        <w:rPr>
          <w:rFonts w:cs="Segoe UI"/>
          <w:b/>
          <w:i/>
          <w:szCs w:val="20"/>
        </w:rPr>
      </w:pPr>
      <w:r w:rsidRPr="00A00B06">
        <w:rPr>
          <w:rFonts w:cs="Segoe UI"/>
          <w:b/>
          <w:i/>
          <w:szCs w:val="20"/>
        </w:rPr>
        <w:t>(Article 2 des statuts)</w:t>
      </w:r>
    </w:p>
    <w:p w14:paraId="5BC8B84E" w14:textId="77777777" w:rsidR="00983264" w:rsidRPr="00A00B06" w:rsidRDefault="00983264" w:rsidP="00983264">
      <w:pPr>
        <w:tabs>
          <w:tab w:val="left" w:pos="480"/>
          <w:tab w:val="left" w:pos="1080"/>
          <w:tab w:val="left" w:pos="1680"/>
          <w:tab w:val="left" w:pos="2280"/>
          <w:tab w:val="left" w:pos="2880"/>
          <w:tab w:val="left" w:pos="3480"/>
          <w:tab w:val="left" w:pos="4080"/>
          <w:tab w:val="left" w:pos="4680"/>
          <w:tab w:val="left" w:pos="5280"/>
          <w:tab w:val="left" w:pos="5880"/>
          <w:tab w:val="left" w:pos="6480"/>
          <w:tab w:val="left" w:pos="7080"/>
          <w:tab w:val="left" w:pos="7680"/>
        </w:tabs>
        <w:ind w:right="-24"/>
        <w:rPr>
          <w:rFonts w:cs="Segoe UI"/>
          <w:szCs w:val="20"/>
        </w:rPr>
      </w:pPr>
    </w:p>
    <w:p w14:paraId="0484C0D3" w14:textId="43FA020D" w:rsidR="00CF0C5B" w:rsidRPr="00A00B06" w:rsidRDefault="00A247E0" w:rsidP="00C032EC">
      <w:pPr>
        <w:pStyle w:val="Titre3"/>
        <w:rPr>
          <w:szCs w:val="20"/>
        </w:rPr>
      </w:pPr>
      <w:bookmarkStart w:id="337" w:name="_Toc475033289"/>
      <w:r>
        <w:rPr>
          <w:szCs w:val="20"/>
        </w:rPr>
        <w:t>19</w:t>
      </w:r>
      <w:r w:rsidR="00C032EC" w:rsidRPr="00A00B06">
        <w:rPr>
          <w:szCs w:val="20"/>
        </w:rPr>
        <w:t xml:space="preserve">.2.2 </w:t>
      </w:r>
      <w:r w:rsidR="00CF0C5B" w:rsidRPr="00A00B06">
        <w:rPr>
          <w:szCs w:val="20"/>
        </w:rPr>
        <w:t>Dispositions statutaires ou autres relatives aux membres des organes d’administration et de direction</w:t>
      </w:r>
      <w:bookmarkEnd w:id="337"/>
      <w:r w:rsidR="00BC2487" w:rsidRPr="00A00B06">
        <w:rPr>
          <w:szCs w:val="20"/>
        </w:rPr>
        <w:t xml:space="preserve"> </w:t>
      </w:r>
    </w:p>
    <w:p w14:paraId="73E619B1" w14:textId="77777777" w:rsidR="001079CA" w:rsidRPr="00A00B06" w:rsidRDefault="001079CA" w:rsidP="001079CA">
      <w:pPr>
        <w:rPr>
          <w:rFonts w:cs="Segoe UI"/>
          <w:szCs w:val="20"/>
        </w:rPr>
      </w:pPr>
    </w:p>
    <w:p w14:paraId="5D74A099" w14:textId="77777777" w:rsidR="001079CA" w:rsidRPr="00A00B06" w:rsidRDefault="001079CA" w:rsidP="001079CA">
      <w:pPr>
        <w:rPr>
          <w:rFonts w:cs="Segoe UI"/>
          <w:b/>
          <w:szCs w:val="20"/>
          <w:u w:val="single"/>
        </w:rPr>
      </w:pPr>
      <w:r w:rsidRPr="00A00B06">
        <w:rPr>
          <w:rFonts w:cs="Segoe UI"/>
          <w:b/>
          <w:szCs w:val="20"/>
          <w:u w:val="single"/>
        </w:rPr>
        <w:t>- Conseil d’Administration :</w:t>
      </w:r>
    </w:p>
    <w:p w14:paraId="5E41ECD0" w14:textId="77777777" w:rsidR="001079CA" w:rsidRPr="00A00B06" w:rsidRDefault="001079CA" w:rsidP="001079CA">
      <w:pPr>
        <w:rPr>
          <w:rFonts w:cs="Segoe UI"/>
          <w:szCs w:val="20"/>
        </w:rPr>
      </w:pPr>
    </w:p>
    <w:p w14:paraId="2CFC5E90" w14:textId="1DD81AAF" w:rsidR="00983264" w:rsidRPr="00A00B06" w:rsidRDefault="00983264" w:rsidP="00983264">
      <w:pPr>
        <w:rPr>
          <w:rFonts w:cs="Segoe UI"/>
          <w:szCs w:val="20"/>
          <w:u w:val="single"/>
        </w:rPr>
      </w:pPr>
      <w:bookmarkStart w:id="338" w:name="_Ref338424161"/>
      <w:r w:rsidRPr="00A00B06">
        <w:rPr>
          <w:rFonts w:cs="Segoe UI"/>
          <w:szCs w:val="20"/>
          <w:u w:val="single"/>
        </w:rPr>
        <w:t>.  Conseil d’Administration :</w:t>
      </w:r>
    </w:p>
    <w:p w14:paraId="06847229" w14:textId="77777777" w:rsidR="00983264" w:rsidRPr="00A00B06" w:rsidRDefault="00983264" w:rsidP="00983264">
      <w:pPr>
        <w:rPr>
          <w:rFonts w:cs="Segoe UI"/>
          <w:szCs w:val="20"/>
          <w:u w:val="single"/>
        </w:rPr>
      </w:pPr>
    </w:p>
    <w:p w14:paraId="75B31B56" w14:textId="68C47DBA" w:rsidR="00983264" w:rsidRPr="00A00B06" w:rsidRDefault="00983264" w:rsidP="00983264">
      <w:pPr>
        <w:rPr>
          <w:rFonts w:cs="Segoe UI"/>
          <w:szCs w:val="20"/>
        </w:rPr>
      </w:pPr>
      <w:r w:rsidRPr="00A00B06">
        <w:rPr>
          <w:rFonts w:cs="Segoe UI"/>
          <w:szCs w:val="20"/>
        </w:rPr>
        <w:t xml:space="preserve"> « La société est administrée par un Conseil d'Administration composé de trois (3) membres au moins et de dix-huit (18) membres au plus, sous réserver de la dérogation prévue par la loi en cas de fusion.</w:t>
      </w:r>
    </w:p>
    <w:p w14:paraId="732CAB06" w14:textId="77777777" w:rsidR="00983264" w:rsidRPr="00A00B06" w:rsidRDefault="00983264" w:rsidP="00983264">
      <w:pPr>
        <w:rPr>
          <w:rFonts w:cs="Segoe UI"/>
          <w:szCs w:val="20"/>
        </w:rPr>
      </w:pPr>
    </w:p>
    <w:p w14:paraId="13A9FDE4" w14:textId="77777777" w:rsidR="00983264" w:rsidRPr="00A00B06" w:rsidRDefault="00983264" w:rsidP="00983264">
      <w:pPr>
        <w:rPr>
          <w:rFonts w:cs="Segoe UI"/>
          <w:szCs w:val="20"/>
        </w:rPr>
      </w:pPr>
      <w:r w:rsidRPr="00A00B06">
        <w:rPr>
          <w:rFonts w:cs="Segoe UI"/>
          <w:szCs w:val="20"/>
        </w:rPr>
        <w:t>En cours de vie sociale, les administrateurs sont nommés, renouvelés ou révoqués par l'Assemblée Générale Ordinaire. Ils sont toujours rééligibles.</w:t>
      </w:r>
    </w:p>
    <w:p w14:paraId="7B7DDF47" w14:textId="77777777" w:rsidR="00983264" w:rsidRPr="00A00B06" w:rsidRDefault="00983264" w:rsidP="00983264">
      <w:pPr>
        <w:rPr>
          <w:rFonts w:cs="Segoe UI"/>
          <w:szCs w:val="20"/>
        </w:rPr>
      </w:pPr>
    </w:p>
    <w:p w14:paraId="26EBA3A0" w14:textId="77777777" w:rsidR="00983264" w:rsidRPr="00A00B06" w:rsidRDefault="00983264" w:rsidP="00983264">
      <w:pPr>
        <w:rPr>
          <w:rFonts w:cs="Segoe UI"/>
          <w:szCs w:val="20"/>
        </w:rPr>
      </w:pPr>
      <w:r w:rsidRPr="00A00B06">
        <w:rPr>
          <w:rFonts w:cs="Segoe UI"/>
          <w:szCs w:val="20"/>
        </w:rPr>
        <w:t>La durée des fonctions des administrateurs est de six (6) ans ; elles prennent fin à l'issue de la réunion de l'Assemblée Générale Ordinaire Annuelle appelée à statuer sur les comptes de l'exercice écoulé et tenue dans l'année au cours de laquelle expire leur mandat.</w:t>
      </w:r>
    </w:p>
    <w:p w14:paraId="38F0FC47" w14:textId="77777777" w:rsidR="00983264" w:rsidRPr="00A00B06" w:rsidRDefault="00983264" w:rsidP="00983264">
      <w:pPr>
        <w:rPr>
          <w:rFonts w:cs="Segoe UI"/>
          <w:szCs w:val="20"/>
        </w:rPr>
      </w:pPr>
    </w:p>
    <w:p w14:paraId="100B10C1" w14:textId="29942FF9" w:rsidR="00983264" w:rsidRPr="00A00B06" w:rsidRDefault="00983264" w:rsidP="00983264">
      <w:pPr>
        <w:rPr>
          <w:rFonts w:cs="Segoe UI"/>
          <w:szCs w:val="20"/>
        </w:rPr>
      </w:pPr>
      <w:r w:rsidRPr="00A00B06">
        <w:rPr>
          <w:rFonts w:cs="Segoe UI"/>
          <w:szCs w:val="20"/>
        </w:rPr>
        <w:t>Nul ne peut être nommé administrateur si, ayant dépassé l'âge de quatre-vingt</w:t>
      </w:r>
      <w:r w:rsidR="008B20DC">
        <w:rPr>
          <w:rFonts w:cs="Segoe UI"/>
          <w:szCs w:val="20"/>
        </w:rPr>
        <w:t>s</w:t>
      </w:r>
      <w:r w:rsidRPr="00A00B06">
        <w:rPr>
          <w:rFonts w:cs="Segoe UI"/>
          <w:szCs w:val="20"/>
        </w:rPr>
        <w:t xml:space="preserve"> (80) ans, sa nomination a pour effet de porter à plus du tiers des membres du Conseil le nombre d'administrateurs ayant dépassé cet âge. Lorsque cette limite est dépassée, l'administrateur le plus âgé est réputé démissionnaire d'office.</w:t>
      </w:r>
    </w:p>
    <w:p w14:paraId="138E713E" w14:textId="77777777" w:rsidR="00983264" w:rsidRPr="00A00B06" w:rsidRDefault="00983264" w:rsidP="00983264">
      <w:pPr>
        <w:rPr>
          <w:rFonts w:cs="Segoe UI"/>
          <w:szCs w:val="20"/>
        </w:rPr>
      </w:pPr>
    </w:p>
    <w:p w14:paraId="5A9B02AE" w14:textId="77777777" w:rsidR="00983264" w:rsidRPr="00A00B06" w:rsidRDefault="00983264" w:rsidP="00983264">
      <w:pPr>
        <w:rPr>
          <w:rFonts w:cs="Segoe UI"/>
          <w:szCs w:val="20"/>
        </w:rPr>
      </w:pPr>
      <w:r w:rsidRPr="00A00B06">
        <w:rPr>
          <w:rFonts w:cs="Segoe UI"/>
          <w:szCs w:val="20"/>
        </w:rPr>
        <w:t>Les administrateurs peuvent être des personnes physiques ou des personnes morales. Dans ce dernier cas, celles-ci doivent, lors de leur nomination, désigner un représentant permanent, soumis aux mêmes conditions et obligations et qui encourt les mêmes responsabilités que s'il était administrateur en son nom propre, sans préjudice de la responsabilité solidaire de la personne morale qu'il représente.</w:t>
      </w:r>
    </w:p>
    <w:p w14:paraId="07C2BF08" w14:textId="77777777" w:rsidR="00983264" w:rsidRPr="00A00B06" w:rsidRDefault="00983264" w:rsidP="00983264">
      <w:pPr>
        <w:rPr>
          <w:rFonts w:cs="Segoe UI"/>
          <w:szCs w:val="20"/>
        </w:rPr>
      </w:pPr>
    </w:p>
    <w:p w14:paraId="55274602" w14:textId="77777777" w:rsidR="00983264" w:rsidRPr="00A00B06" w:rsidRDefault="00983264" w:rsidP="00983264">
      <w:pPr>
        <w:rPr>
          <w:rFonts w:cs="Segoe UI"/>
          <w:szCs w:val="20"/>
        </w:rPr>
      </w:pPr>
      <w:r w:rsidRPr="00A00B06">
        <w:rPr>
          <w:rFonts w:cs="Segoe UI"/>
          <w:szCs w:val="20"/>
        </w:rPr>
        <w:t>En cas de vacance d'un ou plusieurs sièges d'administrateur et sauf le cas où le nombre des administrateurs est devenu inférieur au minimum légal, le Conseil d'Administration peut, entre deux Assemblées Générales, procéder à des nominations à titre provisoire dans les conditions prévues par l'article L. 225-24 du Code de commerce. L'administrateur nommé en remplacement d'un autre exerce ses fonctions pour le temps restant à courir du mandat de son prédécesseur.</w:t>
      </w:r>
    </w:p>
    <w:p w14:paraId="5EB5AC17" w14:textId="77777777" w:rsidR="00983264" w:rsidRPr="00A00B06" w:rsidRDefault="00983264" w:rsidP="00983264">
      <w:pPr>
        <w:rPr>
          <w:rFonts w:cs="Segoe UI"/>
          <w:szCs w:val="20"/>
        </w:rPr>
      </w:pPr>
    </w:p>
    <w:p w14:paraId="7A97E7BC" w14:textId="77777777" w:rsidR="00983264" w:rsidRPr="00A00B06" w:rsidRDefault="00983264" w:rsidP="00983264">
      <w:pPr>
        <w:rPr>
          <w:rFonts w:cs="Segoe UI"/>
          <w:szCs w:val="20"/>
        </w:rPr>
      </w:pPr>
      <w:r w:rsidRPr="00A00B06">
        <w:rPr>
          <w:rFonts w:cs="Segoe UI"/>
          <w:szCs w:val="20"/>
        </w:rPr>
        <w:t>Un salarié de la société ne peut être nommé administrateur que si son contrat de travail correspond à un emploi effectif. Le nombre d'administrateurs liés à la société par un contrat de travail ne peut dépasser le tiers des administrateurs en fonction.</w:t>
      </w:r>
    </w:p>
    <w:p w14:paraId="30A22164" w14:textId="77777777" w:rsidR="00983264" w:rsidRPr="00A00B06" w:rsidRDefault="00983264" w:rsidP="00983264">
      <w:pPr>
        <w:rPr>
          <w:rFonts w:cs="Segoe UI"/>
          <w:szCs w:val="20"/>
        </w:rPr>
      </w:pPr>
    </w:p>
    <w:p w14:paraId="1543F9D1" w14:textId="2625FA5F" w:rsidR="00983264" w:rsidRPr="00A00B06" w:rsidRDefault="00983264" w:rsidP="00983264">
      <w:pPr>
        <w:rPr>
          <w:rFonts w:cs="Segoe UI"/>
          <w:szCs w:val="20"/>
        </w:rPr>
      </w:pPr>
      <w:r w:rsidRPr="00A00B06">
        <w:rPr>
          <w:rFonts w:cs="Segoe UI"/>
          <w:szCs w:val="20"/>
        </w:rPr>
        <w:t>Les administrateurs peuvent être ou non actionnaires de la société. »</w:t>
      </w:r>
    </w:p>
    <w:p w14:paraId="6BD375C1" w14:textId="77777777" w:rsidR="00983264" w:rsidRPr="00A00B06" w:rsidRDefault="00983264" w:rsidP="00983264">
      <w:pPr>
        <w:rPr>
          <w:rFonts w:cs="Segoe UI"/>
          <w:szCs w:val="20"/>
        </w:rPr>
      </w:pPr>
    </w:p>
    <w:p w14:paraId="41090D86" w14:textId="74BC7374" w:rsidR="00983264" w:rsidRPr="00A00B06" w:rsidRDefault="00983264" w:rsidP="00983264">
      <w:pPr>
        <w:autoSpaceDE w:val="0"/>
        <w:autoSpaceDN w:val="0"/>
        <w:adjustRightInd w:val="0"/>
        <w:jc w:val="left"/>
        <w:rPr>
          <w:rFonts w:cs="Segoe UI"/>
          <w:bCs/>
          <w:szCs w:val="20"/>
          <w:u w:val="single"/>
        </w:rPr>
      </w:pPr>
      <w:r w:rsidRPr="00A00B06">
        <w:rPr>
          <w:rFonts w:cs="Segoe UI"/>
          <w:bCs/>
          <w:szCs w:val="20"/>
          <w:u w:val="single"/>
        </w:rPr>
        <w:t>. Organisation du Conseil d’Administration :</w:t>
      </w:r>
    </w:p>
    <w:p w14:paraId="1358AB0B" w14:textId="77777777" w:rsidR="00983264" w:rsidRPr="00A00B06" w:rsidRDefault="00983264" w:rsidP="00983264">
      <w:pPr>
        <w:rPr>
          <w:rFonts w:cs="Segoe UI"/>
          <w:szCs w:val="20"/>
        </w:rPr>
      </w:pPr>
    </w:p>
    <w:p w14:paraId="4BA684E9" w14:textId="308C30FD" w:rsidR="00983264" w:rsidRPr="00A00B06" w:rsidRDefault="00983264" w:rsidP="00983264">
      <w:pPr>
        <w:rPr>
          <w:rFonts w:cs="Segoe UI"/>
          <w:szCs w:val="20"/>
        </w:rPr>
      </w:pPr>
      <w:r w:rsidRPr="00A00B06">
        <w:rPr>
          <w:rFonts w:cs="Segoe UI"/>
          <w:szCs w:val="20"/>
        </w:rPr>
        <w:t>« Le Conseil d'Administration élit parmi ses membres un Président qui est, à peine de nullité de la nomination, une personne physique. Il détermine sa rémunération et ses éventuels avantages.</w:t>
      </w:r>
    </w:p>
    <w:p w14:paraId="4E45B629" w14:textId="77777777" w:rsidR="00983264" w:rsidRPr="00A00B06" w:rsidRDefault="00983264" w:rsidP="00983264">
      <w:pPr>
        <w:rPr>
          <w:rFonts w:cs="Segoe UI"/>
          <w:szCs w:val="20"/>
        </w:rPr>
      </w:pPr>
    </w:p>
    <w:p w14:paraId="636A22BA" w14:textId="77777777" w:rsidR="00983264" w:rsidRPr="00A00B06" w:rsidRDefault="00983264" w:rsidP="00983264">
      <w:pPr>
        <w:rPr>
          <w:rFonts w:cs="Segoe UI"/>
          <w:szCs w:val="20"/>
        </w:rPr>
      </w:pPr>
      <w:r w:rsidRPr="00A00B06">
        <w:rPr>
          <w:rFonts w:cs="Segoe UI"/>
          <w:szCs w:val="20"/>
        </w:rPr>
        <w:t>Le Président est nommé pour une durée qui ne peut excéder celle de son mandat d'administrateur. Il est rééligible. Le Conseil peut le révoquer à tout moment.</w:t>
      </w:r>
    </w:p>
    <w:p w14:paraId="79C31F9F" w14:textId="77777777" w:rsidR="00983264" w:rsidRPr="00A00B06" w:rsidRDefault="00983264" w:rsidP="00983264">
      <w:pPr>
        <w:rPr>
          <w:rFonts w:cs="Segoe UI"/>
          <w:szCs w:val="20"/>
        </w:rPr>
      </w:pPr>
    </w:p>
    <w:p w14:paraId="4DA0FFBC" w14:textId="77777777" w:rsidR="00983264" w:rsidRPr="00A00B06" w:rsidRDefault="00983264" w:rsidP="00983264">
      <w:pPr>
        <w:rPr>
          <w:rFonts w:cs="Segoe UI"/>
          <w:szCs w:val="20"/>
        </w:rPr>
      </w:pPr>
      <w:r w:rsidRPr="00A00B06">
        <w:rPr>
          <w:rFonts w:cs="Segoe UI"/>
          <w:szCs w:val="20"/>
        </w:rPr>
        <w:t>Nul ne peut être nommé Président s'il est âgé de plus de soixante-dix (70) ans. Si le Président en fonction vient à dépasser cet âge, il est réputé démissionnaire d'office.</w:t>
      </w:r>
    </w:p>
    <w:p w14:paraId="347FBB92" w14:textId="77777777" w:rsidR="00983264" w:rsidRPr="00A00B06" w:rsidRDefault="00983264" w:rsidP="00983264">
      <w:pPr>
        <w:rPr>
          <w:rFonts w:cs="Segoe UI"/>
          <w:szCs w:val="20"/>
        </w:rPr>
      </w:pPr>
    </w:p>
    <w:p w14:paraId="234B9593" w14:textId="77777777" w:rsidR="00983264" w:rsidRPr="00A00B06" w:rsidRDefault="00983264" w:rsidP="00983264">
      <w:pPr>
        <w:rPr>
          <w:rFonts w:cs="Segoe UI"/>
          <w:szCs w:val="20"/>
        </w:rPr>
      </w:pPr>
      <w:r w:rsidRPr="00A00B06">
        <w:rPr>
          <w:rFonts w:cs="Segoe UI"/>
          <w:szCs w:val="20"/>
        </w:rPr>
        <w:t>Le Conseil peut également désigner un ou deux vice-présidents et un secrétaire qui peut être choisi en dehors des administrateurs et des actionnaires.</w:t>
      </w:r>
    </w:p>
    <w:p w14:paraId="25B5F176" w14:textId="77777777" w:rsidR="00983264" w:rsidRPr="00A00B06" w:rsidRDefault="00983264" w:rsidP="00983264">
      <w:pPr>
        <w:rPr>
          <w:rFonts w:cs="Segoe UI"/>
          <w:szCs w:val="20"/>
        </w:rPr>
      </w:pPr>
    </w:p>
    <w:p w14:paraId="4FFCF32A" w14:textId="77777777" w:rsidR="00983264" w:rsidRPr="00A00B06" w:rsidRDefault="00983264" w:rsidP="00983264">
      <w:pPr>
        <w:rPr>
          <w:rFonts w:cs="Segoe UI"/>
          <w:szCs w:val="20"/>
        </w:rPr>
      </w:pPr>
      <w:r w:rsidRPr="00A00B06">
        <w:rPr>
          <w:rFonts w:cs="Segoe UI"/>
          <w:szCs w:val="20"/>
        </w:rPr>
        <w:t>En cas d'absence du Président, la séance du Conseil est présidée par un membre du Conseil, désigné à la majorité des voix des membres présents ou représentés.</w:t>
      </w:r>
    </w:p>
    <w:p w14:paraId="36096E0C" w14:textId="77777777" w:rsidR="00983264" w:rsidRPr="00A00B06" w:rsidRDefault="00983264" w:rsidP="00983264">
      <w:pPr>
        <w:rPr>
          <w:rFonts w:cs="Segoe UI"/>
          <w:szCs w:val="20"/>
        </w:rPr>
      </w:pPr>
    </w:p>
    <w:p w14:paraId="22CF8965" w14:textId="77777777" w:rsidR="00983264" w:rsidRPr="00A00B06" w:rsidRDefault="00983264" w:rsidP="00983264">
      <w:pPr>
        <w:autoSpaceDE w:val="0"/>
        <w:autoSpaceDN w:val="0"/>
        <w:adjustRightInd w:val="0"/>
        <w:rPr>
          <w:rFonts w:cs="Segoe UI"/>
          <w:szCs w:val="20"/>
        </w:rPr>
      </w:pPr>
      <w:r w:rsidRPr="00A00B06">
        <w:rPr>
          <w:rFonts w:cs="Segoe UI"/>
          <w:szCs w:val="20"/>
        </w:rPr>
        <w:t>Un ou deux censeurs, personne physique ou morale, peuvent être désignés par le Conseil d’Administration pour une durée de six (6) ans renouvelable. Les censeurs remplissent un rôle purement consultatif.</w:t>
      </w:r>
    </w:p>
    <w:p w14:paraId="0ED6A2AA" w14:textId="77777777" w:rsidR="00983264" w:rsidRPr="00A00B06" w:rsidRDefault="00983264" w:rsidP="00983264">
      <w:pPr>
        <w:autoSpaceDE w:val="0"/>
        <w:autoSpaceDN w:val="0"/>
        <w:adjustRightInd w:val="0"/>
        <w:rPr>
          <w:rFonts w:cs="Segoe UI"/>
          <w:szCs w:val="20"/>
        </w:rPr>
      </w:pPr>
    </w:p>
    <w:p w14:paraId="5B2B055C" w14:textId="7528EFEA" w:rsidR="00983264" w:rsidRPr="00A00B06" w:rsidRDefault="00983264" w:rsidP="00983264">
      <w:pPr>
        <w:autoSpaceDE w:val="0"/>
        <w:autoSpaceDN w:val="0"/>
        <w:adjustRightInd w:val="0"/>
        <w:rPr>
          <w:rFonts w:cs="Segoe UI"/>
          <w:szCs w:val="20"/>
        </w:rPr>
      </w:pPr>
      <w:r w:rsidRPr="00A00B06">
        <w:rPr>
          <w:rFonts w:cs="Segoe UI"/>
          <w:szCs w:val="20"/>
        </w:rPr>
        <w:t>Les censeurs seront invités à participer aux réunions du Conseil d’Administration et seront convoqués dans le même délai et selon la même forme que les membres du Conseil d’Administration. Les censeurs pourront participer à toutes les réunions du Conseil d’Administration et disposeront des mêmes informations que les membres du Conseil d’Administration. En toute hypothèse, les censeurs ne disposeront pas de droit de vote et, à ce titre, ne participeront pas au vote des décisions du Conseil d’Administration et leur présence ne sera pas prise en compte dans le calcul du quorum. »</w:t>
      </w:r>
    </w:p>
    <w:p w14:paraId="1C797DB4" w14:textId="77777777" w:rsidR="00983264" w:rsidRPr="00A00B06" w:rsidRDefault="00983264" w:rsidP="00983264">
      <w:pPr>
        <w:rPr>
          <w:rFonts w:cs="Segoe UI"/>
          <w:szCs w:val="20"/>
        </w:rPr>
      </w:pPr>
    </w:p>
    <w:p w14:paraId="7BD82FB7" w14:textId="77777777" w:rsidR="00983264" w:rsidRPr="00A00B06" w:rsidRDefault="00983264" w:rsidP="00983264">
      <w:pPr>
        <w:rPr>
          <w:rFonts w:cs="Segoe UI"/>
          <w:szCs w:val="20"/>
        </w:rPr>
      </w:pPr>
    </w:p>
    <w:p w14:paraId="2FAB6AB4" w14:textId="595ECF14" w:rsidR="00983264" w:rsidRPr="00A00B06" w:rsidRDefault="00983264" w:rsidP="00983264">
      <w:pPr>
        <w:autoSpaceDE w:val="0"/>
        <w:autoSpaceDN w:val="0"/>
        <w:adjustRightInd w:val="0"/>
        <w:jc w:val="left"/>
        <w:rPr>
          <w:rFonts w:cs="Segoe UI"/>
          <w:bCs/>
          <w:szCs w:val="20"/>
          <w:u w:val="single"/>
        </w:rPr>
      </w:pPr>
      <w:r w:rsidRPr="00A00B06">
        <w:rPr>
          <w:rFonts w:cs="Segoe UI"/>
          <w:bCs/>
          <w:szCs w:val="20"/>
          <w:u w:val="single"/>
        </w:rPr>
        <w:t>Délibérations du Conseil d’administration :</w:t>
      </w:r>
    </w:p>
    <w:p w14:paraId="72500EC2" w14:textId="77777777" w:rsidR="00983264" w:rsidRPr="00A00B06" w:rsidRDefault="00983264" w:rsidP="00983264">
      <w:pPr>
        <w:rPr>
          <w:rFonts w:cs="Segoe UI"/>
          <w:szCs w:val="20"/>
        </w:rPr>
      </w:pPr>
    </w:p>
    <w:p w14:paraId="04532323" w14:textId="733D7FCC" w:rsidR="00983264" w:rsidRPr="00A00B06" w:rsidRDefault="00983264" w:rsidP="00983264">
      <w:pPr>
        <w:rPr>
          <w:rFonts w:cs="Segoe UI"/>
          <w:szCs w:val="20"/>
        </w:rPr>
      </w:pPr>
      <w:r w:rsidRPr="00A00B06">
        <w:rPr>
          <w:rFonts w:cs="Segoe UI"/>
          <w:szCs w:val="20"/>
        </w:rPr>
        <w:t>« Le Conseil d'Administration se réunit aussi souvent que l'intérêt de la société (ou de ses filiales) l'exige, sur la convocation de son Président ou de trois (3) au moins de ses membres. En outre, le Directeur Général, ou, lorsque le Conseil ne s'est pas réuni depuis plus de deux (2) mois, le tiers au moins de ses membres, peuvent demander au Président, qui est lié par cette demande, de convoquer le Conseil d'Administration sur un ordre du jour déterminé.</w:t>
      </w:r>
    </w:p>
    <w:p w14:paraId="0477B688" w14:textId="77777777" w:rsidR="00983264" w:rsidRPr="00A00B06" w:rsidRDefault="00983264" w:rsidP="00983264">
      <w:pPr>
        <w:rPr>
          <w:rFonts w:cs="Segoe UI"/>
          <w:szCs w:val="20"/>
        </w:rPr>
      </w:pPr>
    </w:p>
    <w:p w14:paraId="7FA23773" w14:textId="77777777" w:rsidR="00983264" w:rsidRPr="00A00B06" w:rsidRDefault="00983264" w:rsidP="00983264">
      <w:pPr>
        <w:rPr>
          <w:rFonts w:cs="Segoe UI"/>
          <w:szCs w:val="20"/>
        </w:rPr>
      </w:pPr>
      <w:r w:rsidRPr="00A00B06">
        <w:rPr>
          <w:rFonts w:cs="Segoe UI"/>
          <w:szCs w:val="20"/>
        </w:rPr>
        <w:t xml:space="preserve">Les convocations sont faites par tous moyens et même verbalement, moyennant un préavis de huit (8) jours, sauf cas d’urgence. </w:t>
      </w:r>
    </w:p>
    <w:p w14:paraId="0D3631E3" w14:textId="77777777" w:rsidR="00983264" w:rsidRPr="00A00B06" w:rsidRDefault="00983264" w:rsidP="00983264">
      <w:pPr>
        <w:rPr>
          <w:rFonts w:cs="Segoe UI"/>
          <w:szCs w:val="20"/>
        </w:rPr>
      </w:pPr>
    </w:p>
    <w:p w14:paraId="732495B9" w14:textId="77777777" w:rsidR="00983264" w:rsidRPr="00A00B06" w:rsidRDefault="00983264" w:rsidP="00983264">
      <w:pPr>
        <w:rPr>
          <w:rFonts w:cs="Segoe UI"/>
          <w:szCs w:val="20"/>
        </w:rPr>
      </w:pPr>
      <w:r w:rsidRPr="00A00B06">
        <w:rPr>
          <w:rFonts w:cs="Segoe UI"/>
          <w:szCs w:val="20"/>
        </w:rPr>
        <w:t>La réunion a lieu soit au siège social, soit en tout autre endroit indiqué dans la convocation.</w:t>
      </w:r>
    </w:p>
    <w:p w14:paraId="5D90C641" w14:textId="77777777" w:rsidR="00983264" w:rsidRPr="00A00B06" w:rsidRDefault="00983264" w:rsidP="00983264">
      <w:pPr>
        <w:rPr>
          <w:rFonts w:cs="Segoe UI"/>
          <w:szCs w:val="20"/>
        </w:rPr>
      </w:pPr>
    </w:p>
    <w:p w14:paraId="161282C2" w14:textId="77777777" w:rsidR="00983264" w:rsidRPr="00A00B06" w:rsidRDefault="00983264" w:rsidP="00983264">
      <w:pPr>
        <w:rPr>
          <w:rFonts w:cs="Segoe UI"/>
          <w:szCs w:val="20"/>
        </w:rPr>
      </w:pPr>
      <w:r w:rsidRPr="00A00B06">
        <w:rPr>
          <w:rFonts w:cs="Segoe UI"/>
          <w:szCs w:val="20"/>
        </w:rPr>
        <w:t xml:space="preserve">Le Conseil ne délibère valablement que si la moitié au moins des administrateurs sont présents. Les administrateurs peuvent se faire représenter aux réunions du Conseil dans les conditions légales et réglementaires, mais les administrateurs représentés ne sont pas pris en compte dans le calcul du quorum. </w:t>
      </w:r>
    </w:p>
    <w:p w14:paraId="5F2F0977" w14:textId="77777777" w:rsidR="00983264" w:rsidRPr="00A00B06" w:rsidRDefault="00983264" w:rsidP="00983264">
      <w:pPr>
        <w:rPr>
          <w:rFonts w:cs="Segoe UI"/>
          <w:szCs w:val="20"/>
        </w:rPr>
      </w:pPr>
    </w:p>
    <w:p w14:paraId="2A8B14E4" w14:textId="77777777" w:rsidR="00983264" w:rsidRPr="00A00B06" w:rsidRDefault="00983264" w:rsidP="00983264">
      <w:pPr>
        <w:rPr>
          <w:rFonts w:cs="Segoe UI"/>
          <w:szCs w:val="20"/>
        </w:rPr>
      </w:pPr>
      <w:r w:rsidRPr="00A00B06">
        <w:rPr>
          <w:rFonts w:cs="Segoe UI"/>
          <w:szCs w:val="20"/>
        </w:rPr>
        <w:t>Les décisions sont prises à la majorité des voix des membres présents ou représentés.</w:t>
      </w:r>
    </w:p>
    <w:p w14:paraId="34AD2F91" w14:textId="77777777" w:rsidR="00983264" w:rsidRPr="00A00B06" w:rsidRDefault="00983264" w:rsidP="00983264">
      <w:pPr>
        <w:rPr>
          <w:rFonts w:cs="Segoe UI"/>
          <w:szCs w:val="20"/>
        </w:rPr>
      </w:pPr>
    </w:p>
    <w:p w14:paraId="7306A51D" w14:textId="77777777" w:rsidR="00983264" w:rsidRPr="00A00B06" w:rsidRDefault="00983264" w:rsidP="00983264">
      <w:pPr>
        <w:rPr>
          <w:rFonts w:cs="Segoe UI"/>
          <w:szCs w:val="20"/>
        </w:rPr>
      </w:pPr>
      <w:r w:rsidRPr="00A00B06">
        <w:rPr>
          <w:rFonts w:cs="Segoe UI"/>
          <w:szCs w:val="20"/>
        </w:rPr>
        <w:t>En cas de partage, la voix du Président de séance est prépondérante.</w:t>
      </w:r>
    </w:p>
    <w:p w14:paraId="60F948C3" w14:textId="77777777" w:rsidR="00983264" w:rsidRPr="00A00B06" w:rsidRDefault="00983264" w:rsidP="00983264">
      <w:pPr>
        <w:rPr>
          <w:rFonts w:cs="Segoe UI"/>
          <w:szCs w:val="20"/>
        </w:rPr>
      </w:pPr>
    </w:p>
    <w:p w14:paraId="56694B29" w14:textId="77777777" w:rsidR="00983264" w:rsidRPr="00A00B06" w:rsidRDefault="00983264" w:rsidP="00983264">
      <w:pPr>
        <w:rPr>
          <w:rFonts w:cs="Segoe UI"/>
          <w:szCs w:val="20"/>
        </w:rPr>
      </w:pPr>
      <w:r w:rsidRPr="00A00B06">
        <w:rPr>
          <w:rFonts w:cs="Segoe UI"/>
          <w:szCs w:val="20"/>
        </w:rPr>
        <w:t>Il est tenu un registre de présence qui est signé par les administrateurs participant à la séance du Conseil tant en leur nom personnel que comme mandataire.</w:t>
      </w:r>
    </w:p>
    <w:p w14:paraId="20755A6F" w14:textId="77777777" w:rsidR="00983264" w:rsidRPr="00A00B06" w:rsidRDefault="00983264" w:rsidP="00983264">
      <w:pPr>
        <w:rPr>
          <w:rFonts w:cs="Segoe UI"/>
          <w:szCs w:val="20"/>
        </w:rPr>
      </w:pPr>
    </w:p>
    <w:p w14:paraId="511B1570" w14:textId="6D64E85B" w:rsidR="00983264" w:rsidRPr="00A00B06" w:rsidRDefault="00983264" w:rsidP="00983264">
      <w:pPr>
        <w:rPr>
          <w:rFonts w:cs="Segoe UI"/>
          <w:szCs w:val="20"/>
        </w:rPr>
      </w:pPr>
      <w:r w:rsidRPr="00A00B06">
        <w:rPr>
          <w:rFonts w:cs="Segoe UI"/>
          <w:szCs w:val="20"/>
        </w:rPr>
        <w:t xml:space="preserve">Conformément aux dispositions du règlement intérieur établi par le Conseil d’Administration, sont réputés présents pour le calcul du quorum et de la majorité, les administrateurs qui participent à la réunion du Conseil </w:t>
      </w:r>
      <w:r w:rsidRPr="00A00B06">
        <w:rPr>
          <w:rFonts w:cs="Segoe UI"/>
          <w:szCs w:val="20"/>
        </w:rPr>
        <w:lastRenderedPageBreak/>
        <w:t>par des moyens de visioconférence ou de télécommunication conformes à la réglementation en vigueur, étant précisé que cette disposition n'est pas applicable pour l'adoption des décisions suivantes : arrêté des comptes annuels, des comptes consolidés et établissement du rapport de gestion e</w:t>
      </w:r>
      <w:r w:rsidR="00527642">
        <w:rPr>
          <w:rFonts w:cs="Segoe UI"/>
          <w:szCs w:val="20"/>
        </w:rPr>
        <w:t>t du rapport sur la gestion du G</w:t>
      </w:r>
      <w:r w:rsidRPr="00A00B06">
        <w:rPr>
          <w:rFonts w:cs="Segoe UI"/>
          <w:szCs w:val="20"/>
        </w:rPr>
        <w:t>roupe.</w:t>
      </w:r>
    </w:p>
    <w:p w14:paraId="17123D9C" w14:textId="77777777" w:rsidR="00983264" w:rsidRPr="00A00B06" w:rsidRDefault="00983264" w:rsidP="00983264">
      <w:pPr>
        <w:rPr>
          <w:rFonts w:cs="Segoe UI"/>
          <w:szCs w:val="20"/>
        </w:rPr>
      </w:pPr>
    </w:p>
    <w:p w14:paraId="31D24DEF" w14:textId="77777777" w:rsidR="00983264" w:rsidRPr="00A00B06" w:rsidRDefault="00983264" w:rsidP="00983264">
      <w:pPr>
        <w:rPr>
          <w:rFonts w:cs="Segoe UI"/>
          <w:szCs w:val="20"/>
        </w:rPr>
      </w:pPr>
      <w:r w:rsidRPr="00A00B06">
        <w:rPr>
          <w:rFonts w:cs="Segoe UI"/>
          <w:szCs w:val="20"/>
        </w:rPr>
        <w:t xml:space="preserve">En outre, deux membres du Comité d'Entreprise, désignés par le Comité d’Entreprise dans les conditions fixées par la loi, peuvent assister aux réunions du Conseil d’Administration avec voix consultative. </w:t>
      </w:r>
    </w:p>
    <w:p w14:paraId="6C048F81" w14:textId="77777777" w:rsidR="00983264" w:rsidRPr="00A00B06" w:rsidRDefault="00983264" w:rsidP="00983264">
      <w:pPr>
        <w:rPr>
          <w:rFonts w:cs="Segoe UI"/>
          <w:szCs w:val="20"/>
        </w:rPr>
      </w:pPr>
    </w:p>
    <w:p w14:paraId="06024539" w14:textId="77777777" w:rsidR="00983264" w:rsidRPr="00A00B06" w:rsidRDefault="00983264" w:rsidP="00983264">
      <w:pPr>
        <w:rPr>
          <w:rFonts w:cs="Segoe UI"/>
          <w:szCs w:val="20"/>
        </w:rPr>
      </w:pPr>
      <w:r w:rsidRPr="00A00B06">
        <w:rPr>
          <w:rFonts w:cs="Segoe UI"/>
          <w:szCs w:val="20"/>
        </w:rPr>
        <w:t>Les délibérations du Conseil d'Administration sont constatées dans des procès-verbaux établis conformément aux dispositions légales en vigueur et signés du Président de séance et d'au moins un administrateur. En cas d'empêchement du Président de séance, il est signé par deux administrateurs au moins.</w:t>
      </w:r>
    </w:p>
    <w:p w14:paraId="20264AD7" w14:textId="77777777" w:rsidR="00983264" w:rsidRPr="00A00B06" w:rsidRDefault="00983264" w:rsidP="00983264">
      <w:pPr>
        <w:rPr>
          <w:rFonts w:cs="Segoe UI"/>
          <w:szCs w:val="20"/>
        </w:rPr>
      </w:pPr>
    </w:p>
    <w:p w14:paraId="7811D73E" w14:textId="0C1303EA" w:rsidR="00983264" w:rsidRPr="00A00B06" w:rsidRDefault="00983264" w:rsidP="00983264">
      <w:pPr>
        <w:rPr>
          <w:rFonts w:cs="Segoe UI"/>
          <w:szCs w:val="20"/>
        </w:rPr>
      </w:pPr>
      <w:r w:rsidRPr="00A00B06">
        <w:rPr>
          <w:rFonts w:cs="Segoe UI"/>
          <w:szCs w:val="20"/>
        </w:rPr>
        <w:t>Les copies ou extraits de ces procès-verbaux sont certifiés conformes par le Président du Conseil d'Administration, le Directeur Général, les Directeurs Généraux Délégués, l'administrateur délégué temporairement dans les fonctions de Président ou un fondé de pouvoirs habilité à cet effet. »</w:t>
      </w:r>
    </w:p>
    <w:p w14:paraId="5F7B6E1E" w14:textId="77777777" w:rsidR="00983264" w:rsidRPr="00A00B06" w:rsidRDefault="00983264" w:rsidP="00983264">
      <w:pPr>
        <w:rPr>
          <w:rFonts w:cs="Segoe UI"/>
          <w:szCs w:val="20"/>
        </w:rPr>
      </w:pPr>
    </w:p>
    <w:p w14:paraId="1D3C53D6" w14:textId="77777777" w:rsidR="00983264" w:rsidRPr="00A00B06" w:rsidRDefault="00983264" w:rsidP="00983264">
      <w:pPr>
        <w:rPr>
          <w:rFonts w:cs="Segoe UI"/>
          <w:szCs w:val="20"/>
        </w:rPr>
      </w:pPr>
    </w:p>
    <w:p w14:paraId="0B0708D6" w14:textId="08877F50" w:rsidR="00983264" w:rsidRPr="00A00B06" w:rsidRDefault="00983264" w:rsidP="00983264">
      <w:pPr>
        <w:autoSpaceDE w:val="0"/>
        <w:autoSpaceDN w:val="0"/>
        <w:adjustRightInd w:val="0"/>
        <w:jc w:val="left"/>
        <w:rPr>
          <w:rFonts w:cs="Segoe UI"/>
          <w:szCs w:val="20"/>
        </w:rPr>
      </w:pPr>
      <w:r w:rsidRPr="00A00B06">
        <w:rPr>
          <w:rFonts w:cs="Segoe UI"/>
          <w:b/>
          <w:bCs/>
          <w:szCs w:val="20"/>
          <w:u w:val="single"/>
        </w:rPr>
        <w:t>Pouvoirs du Conseil d’Administration :</w:t>
      </w:r>
    </w:p>
    <w:p w14:paraId="27EABB15" w14:textId="77777777" w:rsidR="00983264" w:rsidRPr="00A00B06" w:rsidRDefault="00983264" w:rsidP="00983264">
      <w:pPr>
        <w:rPr>
          <w:rFonts w:cs="Segoe UI"/>
          <w:szCs w:val="20"/>
        </w:rPr>
      </w:pPr>
    </w:p>
    <w:p w14:paraId="7317D716" w14:textId="4F4E8CA0" w:rsidR="00983264" w:rsidRPr="00A00B06" w:rsidRDefault="00983264" w:rsidP="0061422C">
      <w:pPr>
        <w:rPr>
          <w:szCs w:val="20"/>
        </w:rPr>
      </w:pPr>
      <w:r w:rsidRPr="00A00B06">
        <w:rPr>
          <w:szCs w:val="20"/>
        </w:rPr>
        <w:t>« Outre les pouvoirs propres qui lui sont réservés par la loi, le Conseil d'Administration détermine les orientations de l'activité de la société et veille à leur mise en œuvre. Sous réserve des pouvoirs expressément attribués par la loi aux Assemblées Générales d'actionnaires et dans la limite de l'objet social, il se saisit de toute question intéressant la bonne marche de la société et règle par ses délibérations les affaires qui la concernent.</w:t>
      </w:r>
    </w:p>
    <w:p w14:paraId="74A36B9D" w14:textId="77777777" w:rsidR="00983264" w:rsidRPr="00A00B06" w:rsidRDefault="00983264" w:rsidP="0061422C">
      <w:pPr>
        <w:rPr>
          <w:szCs w:val="20"/>
        </w:rPr>
      </w:pPr>
    </w:p>
    <w:p w14:paraId="3C64535B" w14:textId="77777777" w:rsidR="00983264" w:rsidRPr="00A00B06" w:rsidRDefault="00983264" w:rsidP="0061422C">
      <w:pPr>
        <w:rPr>
          <w:szCs w:val="20"/>
        </w:rPr>
      </w:pPr>
      <w:r w:rsidRPr="00A00B06">
        <w:rPr>
          <w:szCs w:val="20"/>
        </w:rPr>
        <w:t>Dans les rapports avec les tiers, la société est engagée même par les actes du Conseil d'Administration qui ne relèvent pas de l'objet social, à moins qu'elle ne prouve que le tiers savait que l'acte dépassait cet objet ou qu'il ne pouvait l'ignorer compte tenu des circonstances, étant exclu que la seule publication des statuts suffise à constituer cette preuve.</w:t>
      </w:r>
    </w:p>
    <w:p w14:paraId="6FDEA47F" w14:textId="77777777" w:rsidR="00983264" w:rsidRPr="00A00B06" w:rsidRDefault="00983264" w:rsidP="0061422C">
      <w:pPr>
        <w:rPr>
          <w:szCs w:val="20"/>
        </w:rPr>
      </w:pPr>
    </w:p>
    <w:p w14:paraId="4B597F31" w14:textId="77777777" w:rsidR="00983264" w:rsidRPr="00A00B06" w:rsidRDefault="00983264" w:rsidP="0061422C">
      <w:pPr>
        <w:rPr>
          <w:szCs w:val="20"/>
        </w:rPr>
      </w:pPr>
      <w:r w:rsidRPr="00A00B06">
        <w:rPr>
          <w:szCs w:val="20"/>
        </w:rPr>
        <w:t>Le Conseil d'Administration procède aux contrôles et vérifications qu'il juge opportuns. Le Président ou le Directeur Général de la société est tenu de communiquer à chaque administrateur tous les documents et informations nécessaires à l'accomplissement de sa mission.</w:t>
      </w:r>
    </w:p>
    <w:p w14:paraId="437159BC" w14:textId="77777777" w:rsidR="00983264" w:rsidRPr="00A00B06" w:rsidRDefault="00983264" w:rsidP="0061422C">
      <w:pPr>
        <w:rPr>
          <w:szCs w:val="20"/>
        </w:rPr>
      </w:pPr>
    </w:p>
    <w:p w14:paraId="6E8C6074" w14:textId="77777777" w:rsidR="00983264" w:rsidRPr="00A00B06" w:rsidRDefault="00983264" w:rsidP="0061422C">
      <w:pPr>
        <w:rPr>
          <w:szCs w:val="20"/>
        </w:rPr>
      </w:pPr>
      <w:r w:rsidRPr="00A00B06">
        <w:rPr>
          <w:szCs w:val="20"/>
        </w:rPr>
        <w:t>Le Conseil peut conférer à tous mandataires de son choix toutes délégations de pouvoirs dans la limite de ceux qu'il tient de la loi et des présents statuts.</w:t>
      </w:r>
    </w:p>
    <w:p w14:paraId="1A5D3635" w14:textId="77777777" w:rsidR="00983264" w:rsidRPr="00A00B06" w:rsidRDefault="00983264" w:rsidP="0061422C">
      <w:pPr>
        <w:rPr>
          <w:szCs w:val="20"/>
        </w:rPr>
      </w:pPr>
    </w:p>
    <w:p w14:paraId="04F550AC" w14:textId="77777777" w:rsidR="00983264" w:rsidRPr="00A00B06" w:rsidRDefault="00983264" w:rsidP="0061422C">
      <w:pPr>
        <w:rPr>
          <w:szCs w:val="20"/>
        </w:rPr>
      </w:pPr>
      <w:r w:rsidRPr="00A00B06">
        <w:rPr>
          <w:szCs w:val="20"/>
        </w:rPr>
        <w:t>Il peut décider la création de comités chargés d'étudier les questions que lui-même ou son président soumet, pour avis à leur examen.</w:t>
      </w:r>
    </w:p>
    <w:p w14:paraId="5224798D" w14:textId="77777777" w:rsidR="00983264" w:rsidRPr="00A00B06" w:rsidRDefault="00983264" w:rsidP="0061422C">
      <w:pPr>
        <w:rPr>
          <w:szCs w:val="20"/>
        </w:rPr>
      </w:pPr>
    </w:p>
    <w:p w14:paraId="5C57F05C" w14:textId="433290BA" w:rsidR="00983264" w:rsidRPr="00A00B06" w:rsidRDefault="00983264" w:rsidP="0061422C">
      <w:pPr>
        <w:rPr>
          <w:szCs w:val="20"/>
        </w:rPr>
      </w:pPr>
      <w:r w:rsidRPr="00A00B06">
        <w:rPr>
          <w:szCs w:val="20"/>
        </w:rPr>
        <w:t>Le Conseil d’Administration a seul qualité pour décider ou autoriser l’émission d’obligations simples. Il peut déléguer à un ou plusieurs de ses membres, au Directeur Général ou, en accord avec ce dernier, à un ou plusieurs Directeurs Généraux Délégués les pouvoirs nécessaires pour réaliser, dans le délai d’un an l’émission d’obligations et en arrêter les modalités. »</w:t>
      </w:r>
    </w:p>
    <w:p w14:paraId="34ACE6F8" w14:textId="77777777" w:rsidR="00983264" w:rsidRPr="00A00B06" w:rsidRDefault="00983264" w:rsidP="0061422C">
      <w:pPr>
        <w:rPr>
          <w:szCs w:val="20"/>
        </w:rPr>
      </w:pPr>
    </w:p>
    <w:p w14:paraId="141D811D" w14:textId="4AEF008A" w:rsidR="0061422C" w:rsidRPr="00A00B06" w:rsidRDefault="0061422C" w:rsidP="0061422C">
      <w:pPr>
        <w:autoSpaceDE w:val="0"/>
        <w:autoSpaceDN w:val="0"/>
        <w:adjustRightInd w:val="0"/>
        <w:jc w:val="left"/>
        <w:rPr>
          <w:rFonts w:cs="Segoe UI"/>
          <w:szCs w:val="20"/>
        </w:rPr>
      </w:pPr>
      <w:r w:rsidRPr="00A00B06">
        <w:rPr>
          <w:rFonts w:cs="Segoe UI"/>
          <w:b/>
          <w:bCs/>
          <w:szCs w:val="20"/>
          <w:u w:val="single"/>
        </w:rPr>
        <w:t>Pouvoirs du Président du Conseil d’Administration :</w:t>
      </w:r>
    </w:p>
    <w:p w14:paraId="2189CB34" w14:textId="77777777" w:rsidR="0061422C" w:rsidRPr="00A00B06" w:rsidRDefault="0061422C" w:rsidP="0061422C">
      <w:pPr>
        <w:rPr>
          <w:szCs w:val="20"/>
        </w:rPr>
      </w:pPr>
    </w:p>
    <w:p w14:paraId="028C4299" w14:textId="597C3242" w:rsidR="0061422C" w:rsidRPr="00A00B06" w:rsidRDefault="0061422C" w:rsidP="0061422C">
      <w:pPr>
        <w:rPr>
          <w:szCs w:val="20"/>
        </w:rPr>
      </w:pPr>
      <w:r w:rsidRPr="00A00B06">
        <w:rPr>
          <w:szCs w:val="20"/>
        </w:rPr>
        <w:t>« Le Président du Conseil d'Administration organise et dirige les travaux du Conseil d'Administration, dont il rend compte à l'Assemblée Générale. Il veille au bon fonctionnement des organes de la société et s'assure, en particulier, que les administrateurs sont en mesure de remplir leur mission. »</w:t>
      </w:r>
    </w:p>
    <w:p w14:paraId="59E3A1A6" w14:textId="77777777" w:rsidR="0061422C" w:rsidRPr="00A00B06" w:rsidRDefault="0061422C" w:rsidP="0061422C">
      <w:pPr>
        <w:rPr>
          <w:szCs w:val="20"/>
        </w:rPr>
      </w:pPr>
    </w:p>
    <w:p w14:paraId="5668DC08" w14:textId="3BB50117" w:rsidR="0061422C" w:rsidRPr="00A00B06" w:rsidRDefault="0061422C" w:rsidP="0061422C">
      <w:pPr>
        <w:autoSpaceDE w:val="0"/>
        <w:autoSpaceDN w:val="0"/>
        <w:adjustRightInd w:val="0"/>
        <w:jc w:val="left"/>
        <w:rPr>
          <w:rFonts w:cs="Segoe UI"/>
          <w:szCs w:val="20"/>
        </w:rPr>
      </w:pPr>
      <w:r w:rsidRPr="00A00B06">
        <w:rPr>
          <w:rFonts w:cs="Segoe UI"/>
          <w:b/>
          <w:bCs/>
          <w:szCs w:val="20"/>
          <w:u w:val="single"/>
        </w:rPr>
        <w:t>Direction Générale</w:t>
      </w:r>
      <w:r w:rsidR="008B20DC">
        <w:rPr>
          <w:rFonts w:cs="Segoe UI"/>
          <w:b/>
          <w:bCs/>
          <w:szCs w:val="20"/>
          <w:u w:val="single"/>
        </w:rPr>
        <w:t xml:space="preserve"> </w:t>
      </w:r>
      <w:r w:rsidRPr="00A00B06">
        <w:rPr>
          <w:rFonts w:cs="Segoe UI"/>
          <w:b/>
          <w:bCs/>
          <w:szCs w:val="20"/>
          <w:u w:val="single"/>
        </w:rPr>
        <w:t>:</w:t>
      </w:r>
    </w:p>
    <w:p w14:paraId="0FCE0509" w14:textId="77777777" w:rsidR="0061422C" w:rsidRPr="00A00B06" w:rsidRDefault="0061422C" w:rsidP="0061422C">
      <w:pPr>
        <w:rPr>
          <w:szCs w:val="20"/>
        </w:rPr>
      </w:pPr>
    </w:p>
    <w:p w14:paraId="6DA3F3D9" w14:textId="129D4A45" w:rsidR="0061422C" w:rsidRPr="00A00B06" w:rsidRDefault="0061422C" w:rsidP="0061422C">
      <w:pPr>
        <w:rPr>
          <w:szCs w:val="20"/>
        </w:rPr>
      </w:pPr>
      <w:r w:rsidRPr="00A00B06">
        <w:rPr>
          <w:b/>
          <w:szCs w:val="20"/>
        </w:rPr>
        <w:t>« Modalités d'exercice</w:t>
      </w:r>
    </w:p>
    <w:p w14:paraId="45CEB3E8" w14:textId="77777777" w:rsidR="0061422C" w:rsidRPr="00A00B06" w:rsidRDefault="0061422C" w:rsidP="0061422C">
      <w:pPr>
        <w:rPr>
          <w:szCs w:val="20"/>
        </w:rPr>
      </w:pPr>
    </w:p>
    <w:p w14:paraId="04FE1405" w14:textId="77777777" w:rsidR="0061422C" w:rsidRPr="00A00B06" w:rsidRDefault="0061422C" w:rsidP="0061422C">
      <w:pPr>
        <w:rPr>
          <w:szCs w:val="20"/>
        </w:rPr>
      </w:pPr>
      <w:r w:rsidRPr="00A00B06">
        <w:rPr>
          <w:szCs w:val="20"/>
        </w:rPr>
        <w:t>La direction générale de la société est assumée sous sa responsabilité, soit par le Président du Conseil d'Administration, soit par une autre personne physique nommée par le Conseil d'Administration et portant le titre de Directeur Général.</w:t>
      </w:r>
    </w:p>
    <w:p w14:paraId="2252C861" w14:textId="77777777" w:rsidR="0061422C" w:rsidRPr="00A00B06" w:rsidRDefault="0061422C" w:rsidP="0061422C">
      <w:pPr>
        <w:rPr>
          <w:szCs w:val="20"/>
        </w:rPr>
      </w:pPr>
    </w:p>
    <w:p w14:paraId="5CDDEC6E" w14:textId="77777777" w:rsidR="0061422C" w:rsidRPr="00A00B06" w:rsidRDefault="0061422C" w:rsidP="0061422C">
      <w:pPr>
        <w:rPr>
          <w:szCs w:val="20"/>
        </w:rPr>
      </w:pPr>
      <w:r w:rsidRPr="00A00B06">
        <w:rPr>
          <w:szCs w:val="20"/>
        </w:rPr>
        <w:lastRenderedPageBreak/>
        <w:t>Le Conseil d'Administration choisit entre ces deux modalités d'exercice de la direction générale.</w:t>
      </w:r>
    </w:p>
    <w:p w14:paraId="48C424D5" w14:textId="77777777" w:rsidR="0061422C" w:rsidRPr="00A00B06" w:rsidRDefault="0061422C" w:rsidP="0061422C">
      <w:pPr>
        <w:rPr>
          <w:szCs w:val="20"/>
        </w:rPr>
      </w:pPr>
    </w:p>
    <w:p w14:paraId="27C5D64C" w14:textId="77777777" w:rsidR="0061422C" w:rsidRPr="00A00B06" w:rsidRDefault="0061422C" w:rsidP="0061422C">
      <w:pPr>
        <w:rPr>
          <w:szCs w:val="20"/>
        </w:rPr>
      </w:pPr>
      <w:r w:rsidRPr="00A00B06">
        <w:rPr>
          <w:szCs w:val="20"/>
        </w:rPr>
        <w:t>La délibération du Conseil relative au choix de la modalité d'exercice de la direction générale est prise à la majorité des administrateurs présents ou représentés. Les actionnaires et les tiers sont informés de ce choix dans les conditions prévues par la réglementation en vigueur.</w:t>
      </w:r>
    </w:p>
    <w:p w14:paraId="6BBAF00F" w14:textId="77777777" w:rsidR="0061422C" w:rsidRPr="00A00B06" w:rsidRDefault="0061422C" w:rsidP="0061422C">
      <w:pPr>
        <w:rPr>
          <w:szCs w:val="20"/>
        </w:rPr>
      </w:pPr>
    </w:p>
    <w:p w14:paraId="7D98501A" w14:textId="7706925F" w:rsidR="0061422C" w:rsidRPr="00A00B06" w:rsidRDefault="0061422C" w:rsidP="0061422C">
      <w:pPr>
        <w:rPr>
          <w:szCs w:val="20"/>
        </w:rPr>
      </w:pPr>
      <w:r w:rsidRPr="00A00B06">
        <w:rPr>
          <w:szCs w:val="20"/>
        </w:rPr>
        <w:t>Le Conseil d’Administration fixe la durée de l’option, la décision du Conseil sur ce point restant, en tout état de cause, valable jusqu’à décision contraire. Le changement de la modalité d'exercice de la direction générale n'entraîne pas une modification des statuts. »</w:t>
      </w:r>
    </w:p>
    <w:p w14:paraId="574601EF" w14:textId="77777777" w:rsidR="0061422C" w:rsidRPr="00A00B06" w:rsidRDefault="0061422C" w:rsidP="0061422C">
      <w:pPr>
        <w:rPr>
          <w:szCs w:val="20"/>
        </w:rPr>
      </w:pPr>
    </w:p>
    <w:p w14:paraId="7D7082FC" w14:textId="37D9CF68" w:rsidR="0061422C" w:rsidRPr="00A00B06" w:rsidRDefault="0061422C" w:rsidP="0061422C">
      <w:pPr>
        <w:rPr>
          <w:szCs w:val="20"/>
        </w:rPr>
      </w:pPr>
      <w:r w:rsidRPr="00A00B06">
        <w:rPr>
          <w:b/>
          <w:szCs w:val="20"/>
        </w:rPr>
        <w:t>Directeur Général</w:t>
      </w:r>
    </w:p>
    <w:p w14:paraId="605DEDF0" w14:textId="77777777" w:rsidR="0061422C" w:rsidRPr="00A00B06" w:rsidRDefault="0061422C" w:rsidP="0061422C">
      <w:pPr>
        <w:rPr>
          <w:szCs w:val="20"/>
        </w:rPr>
      </w:pPr>
    </w:p>
    <w:p w14:paraId="0E7DFBB7" w14:textId="5B5BF39D" w:rsidR="0061422C" w:rsidRPr="00A00B06" w:rsidRDefault="003F1935" w:rsidP="0061422C">
      <w:pPr>
        <w:rPr>
          <w:szCs w:val="20"/>
        </w:rPr>
      </w:pPr>
      <w:r>
        <w:rPr>
          <w:szCs w:val="20"/>
        </w:rPr>
        <w:t>« </w:t>
      </w:r>
      <w:r w:rsidR="0061422C" w:rsidRPr="00A00B06">
        <w:rPr>
          <w:szCs w:val="20"/>
        </w:rPr>
        <w:t>Le Directeur Général est une personne physique choisie parmi les administrateurs ou non.</w:t>
      </w:r>
    </w:p>
    <w:p w14:paraId="122E41B2" w14:textId="77777777" w:rsidR="0061422C" w:rsidRPr="00A00B06" w:rsidRDefault="0061422C" w:rsidP="0061422C">
      <w:pPr>
        <w:rPr>
          <w:szCs w:val="20"/>
        </w:rPr>
      </w:pPr>
    </w:p>
    <w:p w14:paraId="139B1592" w14:textId="77777777" w:rsidR="0061422C" w:rsidRPr="00A00B06" w:rsidRDefault="0061422C" w:rsidP="0061422C">
      <w:pPr>
        <w:rPr>
          <w:szCs w:val="20"/>
        </w:rPr>
      </w:pPr>
      <w:r w:rsidRPr="00A00B06">
        <w:rPr>
          <w:szCs w:val="20"/>
        </w:rPr>
        <w:t>La durée des fonctions du Directeur Général est déterminée par le Conseil au moment de la nomination. Cependant, si le Directeur Général est administrateur, la durée de ses fonctions ne peut excéder celle de son mandat d'administrateur.</w:t>
      </w:r>
    </w:p>
    <w:p w14:paraId="3F973597" w14:textId="77777777" w:rsidR="0061422C" w:rsidRPr="00A00B06" w:rsidRDefault="0061422C" w:rsidP="0061422C">
      <w:pPr>
        <w:rPr>
          <w:szCs w:val="20"/>
        </w:rPr>
      </w:pPr>
    </w:p>
    <w:p w14:paraId="26EFBA7F" w14:textId="77777777" w:rsidR="0061422C" w:rsidRPr="00A00B06" w:rsidRDefault="0061422C" w:rsidP="0061422C">
      <w:pPr>
        <w:rPr>
          <w:szCs w:val="20"/>
        </w:rPr>
      </w:pPr>
      <w:r w:rsidRPr="00A00B06">
        <w:rPr>
          <w:szCs w:val="20"/>
        </w:rPr>
        <w:t>Nul ne peut être nommé Directeur Général s'il est âgé de plus de soixante-dix (70) ans. Lorsque le Directeur Général atteint la limite d'âge, il est réputé démissionnaire d'office.</w:t>
      </w:r>
    </w:p>
    <w:p w14:paraId="55D26F67" w14:textId="77777777" w:rsidR="0061422C" w:rsidRPr="00A00B06" w:rsidRDefault="0061422C" w:rsidP="0061422C">
      <w:pPr>
        <w:rPr>
          <w:szCs w:val="20"/>
        </w:rPr>
      </w:pPr>
    </w:p>
    <w:p w14:paraId="0508B763" w14:textId="77777777" w:rsidR="0061422C" w:rsidRPr="00A00B06" w:rsidRDefault="0061422C" w:rsidP="0061422C">
      <w:pPr>
        <w:rPr>
          <w:szCs w:val="20"/>
        </w:rPr>
      </w:pPr>
      <w:r w:rsidRPr="00A00B06">
        <w:rPr>
          <w:szCs w:val="20"/>
        </w:rPr>
        <w:t xml:space="preserve">Le Directeur Général est révocable à tout moment par le Conseil d'Administration. Si la révocation est décidée sans juste motif, elle peut donner lieu à dommages intérêts, sauf lorsque le Directeur Général assume les fonctions de Président du Conseil d'Administration. </w:t>
      </w:r>
    </w:p>
    <w:p w14:paraId="3A6FF2D5" w14:textId="77777777" w:rsidR="0061422C" w:rsidRPr="00A00B06" w:rsidRDefault="0061422C" w:rsidP="0061422C">
      <w:pPr>
        <w:rPr>
          <w:szCs w:val="20"/>
        </w:rPr>
      </w:pPr>
    </w:p>
    <w:p w14:paraId="73C3B31D" w14:textId="77777777" w:rsidR="0061422C" w:rsidRPr="00A00B06" w:rsidRDefault="0061422C" w:rsidP="0061422C">
      <w:pPr>
        <w:rPr>
          <w:szCs w:val="20"/>
        </w:rPr>
      </w:pPr>
      <w:r w:rsidRPr="00A00B06">
        <w:rPr>
          <w:szCs w:val="20"/>
        </w:rPr>
        <w:t>Le Directeur Général est investi des pouvoirs les plus étendus pour agir en toute circonstance au nom de la société. Il exerce ses pouvoirs dans la limite de l'objet social et sous réserve de ceux que la loi attribue expressément aux Assemblées Générales d'actionnaires et au Conseil d'Administration.</w:t>
      </w:r>
    </w:p>
    <w:p w14:paraId="35BB424B" w14:textId="77777777" w:rsidR="0061422C" w:rsidRPr="00A00B06" w:rsidRDefault="0061422C" w:rsidP="0061422C">
      <w:pPr>
        <w:rPr>
          <w:szCs w:val="20"/>
        </w:rPr>
      </w:pPr>
    </w:p>
    <w:p w14:paraId="6BEAFA4E" w14:textId="49F398BC" w:rsidR="0061422C" w:rsidRPr="00A00B06" w:rsidRDefault="0061422C" w:rsidP="0061422C">
      <w:pPr>
        <w:rPr>
          <w:szCs w:val="20"/>
        </w:rPr>
      </w:pPr>
      <w:r w:rsidRPr="00A00B06">
        <w:rPr>
          <w:szCs w:val="20"/>
        </w:rPr>
        <w:t>Il représente la société dans ses rapports avec les tiers. La société est engagée même par les actes du Directeur Général qui ne relèvent pas de l'objet social, à moins qu'elle ne prouve que le tiers savait que l'acte dépassait cet objet ou qu'il ne pouvait l'ignorer compte tenu des circonstances, étant exclu que la seule publication des statuts suffise à constituer cette preuve.</w:t>
      </w:r>
      <w:r w:rsidR="003F1935">
        <w:rPr>
          <w:szCs w:val="20"/>
        </w:rPr>
        <w:t> »</w:t>
      </w:r>
    </w:p>
    <w:p w14:paraId="56CE7689" w14:textId="77777777" w:rsidR="0061422C" w:rsidRPr="00A00B06" w:rsidRDefault="0061422C" w:rsidP="0061422C">
      <w:pPr>
        <w:rPr>
          <w:szCs w:val="20"/>
        </w:rPr>
      </w:pPr>
    </w:p>
    <w:p w14:paraId="49A64321" w14:textId="39F68B2B" w:rsidR="0061422C" w:rsidRPr="00A00B06" w:rsidRDefault="0061422C" w:rsidP="0061422C">
      <w:pPr>
        <w:rPr>
          <w:szCs w:val="20"/>
        </w:rPr>
      </w:pPr>
      <w:r w:rsidRPr="00A00B06">
        <w:rPr>
          <w:b/>
          <w:szCs w:val="20"/>
        </w:rPr>
        <w:t>Directeurs Généraux Délégués</w:t>
      </w:r>
    </w:p>
    <w:p w14:paraId="26A41B39" w14:textId="77777777" w:rsidR="0061422C" w:rsidRPr="00A00B06" w:rsidRDefault="0061422C" w:rsidP="0061422C">
      <w:pPr>
        <w:rPr>
          <w:szCs w:val="20"/>
        </w:rPr>
      </w:pPr>
    </w:p>
    <w:p w14:paraId="00B5132E" w14:textId="699D4126" w:rsidR="0061422C" w:rsidRPr="00A00B06" w:rsidRDefault="003F1935" w:rsidP="0061422C">
      <w:pPr>
        <w:rPr>
          <w:szCs w:val="20"/>
        </w:rPr>
      </w:pPr>
      <w:r>
        <w:rPr>
          <w:szCs w:val="20"/>
        </w:rPr>
        <w:t>« </w:t>
      </w:r>
      <w:r w:rsidR="0061422C" w:rsidRPr="00A00B06">
        <w:rPr>
          <w:szCs w:val="20"/>
        </w:rPr>
        <w:t>Sur proposition du Directeur Général, que cette fonction soit assumée par le Président du Conseil d'Administration ou par une autre personne, le Conseil d'Administration peut nommer une ou plusieurs personnes physiques chargées d'assister le Directeur Général, avec le titre de Directeur Général Délégué.</w:t>
      </w:r>
    </w:p>
    <w:p w14:paraId="3DAD8B67" w14:textId="77777777" w:rsidR="0061422C" w:rsidRPr="00A00B06" w:rsidRDefault="0061422C" w:rsidP="0061422C">
      <w:pPr>
        <w:rPr>
          <w:szCs w:val="20"/>
        </w:rPr>
      </w:pPr>
    </w:p>
    <w:p w14:paraId="45C9B108" w14:textId="77777777" w:rsidR="0061422C" w:rsidRPr="00A00B06" w:rsidRDefault="0061422C" w:rsidP="0061422C">
      <w:pPr>
        <w:rPr>
          <w:szCs w:val="20"/>
        </w:rPr>
      </w:pPr>
      <w:r w:rsidRPr="00A00B06">
        <w:rPr>
          <w:szCs w:val="20"/>
        </w:rPr>
        <w:t>Le Conseil d'Administration peut choisir les Directeurs Généraux Délégués parmi les administrateurs ou non et ne peut pas en nommer plus de cinq (5).</w:t>
      </w:r>
    </w:p>
    <w:p w14:paraId="65995134" w14:textId="77777777" w:rsidR="0061422C" w:rsidRPr="00A00B06" w:rsidRDefault="0061422C" w:rsidP="0061422C">
      <w:pPr>
        <w:rPr>
          <w:szCs w:val="20"/>
        </w:rPr>
      </w:pPr>
    </w:p>
    <w:p w14:paraId="45CD14CD" w14:textId="77777777" w:rsidR="0061422C" w:rsidRPr="00A00B06" w:rsidRDefault="0061422C" w:rsidP="0061422C">
      <w:pPr>
        <w:rPr>
          <w:szCs w:val="20"/>
        </w:rPr>
      </w:pPr>
      <w:r w:rsidRPr="00A00B06">
        <w:rPr>
          <w:szCs w:val="20"/>
        </w:rPr>
        <w:t>La limite d'âge est fixée à soixante-dix (70) ans. Lorsqu'un Directeur Général Délégué atteint la limite d'âge, il est réputé démissionnaire d'office.</w:t>
      </w:r>
    </w:p>
    <w:p w14:paraId="67A3DF4D" w14:textId="77777777" w:rsidR="0061422C" w:rsidRPr="00A00B06" w:rsidRDefault="0061422C" w:rsidP="0061422C">
      <w:pPr>
        <w:rPr>
          <w:szCs w:val="20"/>
        </w:rPr>
      </w:pPr>
    </w:p>
    <w:p w14:paraId="14BA7D38" w14:textId="77777777" w:rsidR="0061422C" w:rsidRPr="00A00B06" w:rsidRDefault="0061422C" w:rsidP="0061422C">
      <w:pPr>
        <w:rPr>
          <w:szCs w:val="20"/>
        </w:rPr>
      </w:pPr>
      <w:r w:rsidRPr="00A00B06">
        <w:rPr>
          <w:szCs w:val="20"/>
        </w:rPr>
        <w:t>Les Directeurs Généraux Délégués sont révocables à tout moment par le Conseil d'Administration, sur proposition du Directeur Général. Si la révocation est décidée sans juste motif, elle peut donner lieu à dommages intérêts.</w:t>
      </w:r>
    </w:p>
    <w:p w14:paraId="51628491" w14:textId="77777777" w:rsidR="0061422C" w:rsidRPr="00A00B06" w:rsidRDefault="0061422C" w:rsidP="0061422C">
      <w:pPr>
        <w:rPr>
          <w:szCs w:val="20"/>
        </w:rPr>
      </w:pPr>
    </w:p>
    <w:p w14:paraId="4B84837F" w14:textId="77777777" w:rsidR="0061422C" w:rsidRPr="00A00B06" w:rsidRDefault="0061422C" w:rsidP="0061422C">
      <w:pPr>
        <w:rPr>
          <w:szCs w:val="20"/>
        </w:rPr>
      </w:pPr>
      <w:r w:rsidRPr="00A00B06">
        <w:rPr>
          <w:szCs w:val="20"/>
        </w:rPr>
        <w:t>Lorsque le Directeur Général cesse ou est empêché d'exercer ses fonctions, les Directeurs Généraux Délégués conservent, sauf décision contraire du Conseil, leurs fonctions et leurs attributions jusqu'à la nomination du nouveau Directeur Général.</w:t>
      </w:r>
    </w:p>
    <w:p w14:paraId="35B56A4A" w14:textId="77777777" w:rsidR="0061422C" w:rsidRPr="00A00B06" w:rsidRDefault="0061422C" w:rsidP="0061422C">
      <w:pPr>
        <w:rPr>
          <w:szCs w:val="20"/>
        </w:rPr>
      </w:pPr>
    </w:p>
    <w:p w14:paraId="0A2CC84B" w14:textId="5D95AD0E" w:rsidR="00983264" w:rsidRPr="00A00B06" w:rsidRDefault="0061422C" w:rsidP="0061422C">
      <w:pPr>
        <w:rPr>
          <w:szCs w:val="20"/>
        </w:rPr>
      </w:pPr>
      <w:r w:rsidRPr="00A00B06">
        <w:rPr>
          <w:szCs w:val="20"/>
        </w:rPr>
        <w:t>En accord avec le Directeur Général, le Conseil d'Administration détermine l'étendue et la durée des pouvoirs conférés aux Directeurs Généraux Délégués. Les Directeurs Généraux Délégués disposent à l'égard des tiers des mêmes pouvoirs que le Directeur Général. »</w:t>
      </w:r>
    </w:p>
    <w:p w14:paraId="730CAD19" w14:textId="77777777" w:rsidR="00983264" w:rsidRPr="00A00B06" w:rsidRDefault="00983264" w:rsidP="00983264">
      <w:pPr>
        <w:rPr>
          <w:rFonts w:cs="Segoe UI"/>
          <w:szCs w:val="20"/>
        </w:rPr>
      </w:pPr>
    </w:p>
    <w:p w14:paraId="2B90F0ED" w14:textId="20D552CA" w:rsidR="00983264" w:rsidRPr="00A00B06" w:rsidRDefault="00983264" w:rsidP="00983264">
      <w:pPr>
        <w:rPr>
          <w:b/>
          <w:i/>
          <w:szCs w:val="20"/>
        </w:rPr>
      </w:pPr>
      <w:r w:rsidRPr="00A00B06">
        <w:rPr>
          <w:b/>
          <w:i/>
          <w:szCs w:val="20"/>
        </w:rPr>
        <w:t>(Article</w:t>
      </w:r>
      <w:r w:rsidR="0061422C" w:rsidRPr="00A00B06">
        <w:rPr>
          <w:b/>
          <w:i/>
          <w:szCs w:val="20"/>
        </w:rPr>
        <w:t>s 14 à 19</w:t>
      </w:r>
      <w:r w:rsidRPr="00A00B06">
        <w:rPr>
          <w:b/>
          <w:i/>
          <w:szCs w:val="20"/>
        </w:rPr>
        <w:t xml:space="preserve"> des statuts)</w:t>
      </w:r>
    </w:p>
    <w:p w14:paraId="682580FF" w14:textId="77777777" w:rsidR="00983264" w:rsidRPr="00A00B06" w:rsidRDefault="00983264" w:rsidP="00983264">
      <w:pPr>
        <w:rPr>
          <w:rFonts w:cs="Segoe UI"/>
          <w:szCs w:val="20"/>
        </w:rPr>
      </w:pPr>
    </w:p>
    <w:p w14:paraId="39E78542" w14:textId="12D7F0C1" w:rsidR="00CF0C5B" w:rsidRPr="00A00B06" w:rsidRDefault="00A247E0" w:rsidP="00C032EC">
      <w:pPr>
        <w:pStyle w:val="Titre3"/>
        <w:rPr>
          <w:szCs w:val="20"/>
        </w:rPr>
      </w:pPr>
      <w:bookmarkStart w:id="339" w:name="_Toc475033290"/>
      <w:r>
        <w:rPr>
          <w:szCs w:val="20"/>
        </w:rPr>
        <w:t>19</w:t>
      </w:r>
      <w:r w:rsidR="00C032EC" w:rsidRPr="00A00B06">
        <w:rPr>
          <w:szCs w:val="20"/>
        </w:rPr>
        <w:t xml:space="preserve">.2.3 </w:t>
      </w:r>
      <w:r w:rsidR="00CF0C5B" w:rsidRPr="00A00B06">
        <w:rPr>
          <w:szCs w:val="20"/>
        </w:rPr>
        <w:t>Droits, privilèges et restrictions attachés aux actions de la Société</w:t>
      </w:r>
      <w:bookmarkEnd w:id="339"/>
      <w:r w:rsidR="00CF0C5B" w:rsidRPr="00A00B06">
        <w:rPr>
          <w:szCs w:val="20"/>
        </w:rPr>
        <w:t xml:space="preserve"> </w:t>
      </w:r>
      <w:bookmarkEnd w:id="338"/>
    </w:p>
    <w:p w14:paraId="01F00095" w14:textId="77777777" w:rsidR="001079CA" w:rsidRPr="00A00B06" w:rsidRDefault="001079CA" w:rsidP="001079CA">
      <w:pPr>
        <w:rPr>
          <w:szCs w:val="20"/>
        </w:rPr>
      </w:pPr>
    </w:p>
    <w:p w14:paraId="6F53122B" w14:textId="77777777" w:rsidR="001079CA" w:rsidRPr="00A00B06" w:rsidRDefault="001079CA" w:rsidP="001079CA">
      <w:pPr>
        <w:rPr>
          <w:szCs w:val="20"/>
          <w:u w:val="single"/>
        </w:rPr>
      </w:pPr>
      <w:r w:rsidRPr="00A00B06">
        <w:rPr>
          <w:szCs w:val="20"/>
          <w:u w:val="single"/>
        </w:rPr>
        <w:t>- Forme des actions</w:t>
      </w:r>
    </w:p>
    <w:p w14:paraId="60ECE4BF" w14:textId="77777777" w:rsidR="001079CA" w:rsidRPr="00A00B06" w:rsidRDefault="001079CA" w:rsidP="001079CA">
      <w:pPr>
        <w:rPr>
          <w:szCs w:val="20"/>
        </w:rPr>
      </w:pPr>
    </w:p>
    <w:p w14:paraId="0CA751DF" w14:textId="642622EF" w:rsidR="00A00B06" w:rsidRPr="00A00B06" w:rsidRDefault="00A00B06" w:rsidP="00A00B06">
      <w:pPr>
        <w:rPr>
          <w:rFonts w:cs="Segoe UI"/>
          <w:szCs w:val="20"/>
        </w:rPr>
      </w:pPr>
      <w:r w:rsidRPr="00A00B06">
        <w:rPr>
          <w:rFonts w:cs="Segoe UI"/>
          <w:szCs w:val="20"/>
        </w:rPr>
        <w:t xml:space="preserve">« Les actions entièrement libérées sont nominatives ou au porteur au choix de l’actionnaire, sauf dans les cas où la forme nominative est imposée par les dispositions législatives et réglementaires. </w:t>
      </w:r>
    </w:p>
    <w:p w14:paraId="09FC8FFD" w14:textId="77777777" w:rsidR="00A00B06" w:rsidRPr="00A00B06" w:rsidRDefault="00A00B06" w:rsidP="00A00B06">
      <w:pPr>
        <w:rPr>
          <w:rFonts w:cs="Segoe UI"/>
          <w:szCs w:val="20"/>
        </w:rPr>
      </w:pPr>
    </w:p>
    <w:p w14:paraId="392C8453" w14:textId="77777777" w:rsidR="00A00B06" w:rsidRPr="00A00B06" w:rsidRDefault="00A00B06" w:rsidP="00A00B06">
      <w:pPr>
        <w:rPr>
          <w:rFonts w:cs="Segoe UI"/>
          <w:szCs w:val="20"/>
        </w:rPr>
      </w:pPr>
      <w:r w:rsidRPr="00A00B06">
        <w:rPr>
          <w:rFonts w:cs="Segoe UI"/>
          <w:szCs w:val="20"/>
        </w:rPr>
        <w:t>Elles donnent lieu à une inscription à un compte individuel au nom de l'actionnaire dans les conditions et selon les modalités prévues par la loi et les règlements en vigueur.</w:t>
      </w:r>
    </w:p>
    <w:p w14:paraId="7BDD2C74" w14:textId="77777777" w:rsidR="00A00B06" w:rsidRPr="00A00B06" w:rsidRDefault="00A00B06" w:rsidP="00A00B06">
      <w:pPr>
        <w:rPr>
          <w:rFonts w:cs="Segoe UI"/>
          <w:szCs w:val="20"/>
        </w:rPr>
      </w:pPr>
    </w:p>
    <w:p w14:paraId="6EFF6934" w14:textId="708A429B" w:rsidR="00A00B06" w:rsidRPr="00A00B06" w:rsidRDefault="00A00B06" w:rsidP="00A00B06">
      <w:pPr>
        <w:rPr>
          <w:rFonts w:cs="Segoe UI"/>
          <w:szCs w:val="20"/>
        </w:rPr>
      </w:pPr>
      <w:r w:rsidRPr="00A00B06">
        <w:rPr>
          <w:rFonts w:cs="Segoe UI"/>
          <w:szCs w:val="20"/>
        </w:rPr>
        <w:t>En vue de l’identification des détenteurs de titres au porteur, la société est en droit de demander à tout moment, dans les conditions fixées par la réglementation en vigueur et contre rémunération à sa charge, au dépositaire central qui assure la tenue du compte émission de ses titres, selon le cas, le nom ou la dénomination, la nationalité, l’année de naissance ou l’année de constitution et l’adresse des détenteurs de titres conférant, immédiatement ou à terme, le droit de vote dans ses Assemblées Générales d’actionnaires, ainsi que la quantité de titres détenue par chacun d’eux et, le cas échéant, les restrictions dont les titres peuvent être frappés. La société, après avoir suivi la procédure décrite ci-dessus et a vu de la liste transmise par le dépositaire central, a la faculté de demander, soit par l’entremise de ce dépositaire central, soit directement, dans les mêmes conditions et sous peine des sanctions prévues à l’article L. 228-3-2 du Code de commerce, aux personnes figurant sur cette liste et dont a société estime qu’elles pourraient être inscrites pour compte de tiers, les informations concernant les propriétaires des titres prévues ci-dessus. Les renseignements obtenus par la société ne peuvent être cédés par celle-ci, même à titre gratuit, sous peine de sanctions pénales. »</w:t>
      </w:r>
    </w:p>
    <w:p w14:paraId="032A2382" w14:textId="77777777" w:rsidR="00A00B06" w:rsidRPr="00A00B06" w:rsidRDefault="00A00B06" w:rsidP="00A00B06">
      <w:pPr>
        <w:rPr>
          <w:rFonts w:cs="Segoe UI"/>
          <w:szCs w:val="20"/>
        </w:rPr>
      </w:pPr>
    </w:p>
    <w:p w14:paraId="02A0D49F" w14:textId="22743F4B" w:rsidR="00A00B06" w:rsidRPr="00A00B06" w:rsidRDefault="00A00B06" w:rsidP="00A00B06">
      <w:pPr>
        <w:rPr>
          <w:b/>
          <w:i/>
          <w:szCs w:val="20"/>
        </w:rPr>
      </w:pPr>
      <w:r w:rsidRPr="00A00B06">
        <w:rPr>
          <w:b/>
          <w:i/>
          <w:szCs w:val="20"/>
        </w:rPr>
        <w:t>(Article 10 des statuts)</w:t>
      </w:r>
    </w:p>
    <w:p w14:paraId="6E9D55D0" w14:textId="77777777" w:rsidR="001079CA" w:rsidRPr="00A00B06" w:rsidRDefault="001079CA" w:rsidP="001079CA">
      <w:pPr>
        <w:rPr>
          <w:szCs w:val="20"/>
        </w:rPr>
      </w:pPr>
    </w:p>
    <w:p w14:paraId="24F211C9" w14:textId="77777777" w:rsidR="001079CA" w:rsidRPr="00A00B06" w:rsidRDefault="001079CA" w:rsidP="001079CA">
      <w:pPr>
        <w:rPr>
          <w:szCs w:val="20"/>
          <w:u w:val="single"/>
        </w:rPr>
      </w:pPr>
      <w:r w:rsidRPr="00A00B06">
        <w:rPr>
          <w:szCs w:val="20"/>
          <w:u w:val="single"/>
        </w:rPr>
        <w:t>- Transmission, location des actions :</w:t>
      </w:r>
    </w:p>
    <w:p w14:paraId="4B531C8F" w14:textId="77777777" w:rsidR="00A00B06" w:rsidRPr="00A00B06" w:rsidRDefault="00A00B06" w:rsidP="00A00B06">
      <w:pPr>
        <w:rPr>
          <w:szCs w:val="20"/>
        </w:rPr>
      </w:pPr>
    </w:p>
    <w:p w14:paraId="60A12FAF" w14:textId="44E8D1E4" w:rsidR="00A00B06" w:rsidRPr="00A00B06" w:rsidRDefault="003F1935" w:rsidP="00A00B06">
      <w:pPr>
        <w:rPr>
          <w:rFonts w:cs="Segoe UI"/>
          <w:szCs w:val="20"/>
        </w:rPr>
      </w:pPr>
      <w:r>
        <w:rPr>
          <w:rFonts w:cs="Segoe UI"/>
          <w:szCs w:val="20"/>
        </w:rPr>
        <w:t>« </w:t>
      </w:r>
      <w:r w:rsidR="00A00B06" w:rsidRPr="00A00B06">
        <w:rPr>
          <w:rFonts w:cs="Segoe UI"/>
          <w:szCs w:val="20"/>
        </w:rPr>
        <w:t>Les actions ne sont négociables qu'après l'immatriculation de la société au registre du commerce et des sociétés. En cas d'augmentation du capital, les actions sont négociables à compter de la réalisation de celle-ci.</w:t>
      </w:r>
    </w:p>
    <w:p w14:paraId="37416113" w14:textId="0CB17E93" w:rsidR="00A00B06" w:rsidRPr="00A00B06" w:rsidRDefault="00A00B06" w:rsidP="00A00B06">
      <w:pPr>
        <w:rPr>
          <w:rFonts w:cs="Segoe UI"/>
          <w:szCs w:val="20"/>
        </w:rPr>
      </w:pPr>
      <w:r w:rsidRPr="00A00B06">
        <w:rPr>
          <w:rFonts w:cs="Segoe UI"/>
          <w:szCs w:val="20"/>
        </w:rPr>
        <w:t>Les actions demeurent négociables après la dissolution de la société et jusqu'à la clôture de la liquidation.</w:t>
      </w:r>
    </w:p>
    <w:p w14:paraId="6235DC1C" w14:textId="77777777" w:rsidR="00A00B06" w:rsidRPr="00A00B06" w:rsidRDefault="00A00B06" w:rsidP="00A00B06">
      <w:pPr>
        <w:rPr>
          <w:rFonts w:cs="Segoe UI"/>
          <w:szCs w:val="20"/>
        </w:rPr>
      </w:pPr>
      <w:r w:rsidRPr="00A00B06">
        <w:rPr>
          <w:rFonts w:cs="Segoe UI"/>
          <w:szCs w:val="20"/>
        </w:rPr>
        <w:t xml:space="preserve">Les mouvements de titres non libérés des versements exigibles ne sont pas autorisés. </w:t>
      </w:r>
    </w:p>
    <w:p w14:paraId="3F7C8257" w14:textId="77777777" w:rsidR="00A00B06" w:rsidRPr="00A00B06" w:rsidRDefault="00A00B06" w:rsidP="00A00B06">
      <w:pPr>
        <w:rPr>
          <w:rFonts w:cs="Segoe UI"/>
          <w:szCs w:val="20"/>
        </w:rPr>
      </w:pPr>
    </w:p>
    <w:p w14:paraId="7CDEAFB2" w14:textId="7254EFB2" w:rsidR="00A00B06" w:rsidRPr="00A00B06" w:rsidRDefault="00A00B06" w:rsidP="00A00B06">
      <w:pPr>
        <w:rPr>
          <w:rFonts w:cs="Segoe UI"/>
          <w:szCs w:val="20"/>
        </w:rPr>
      </w:pPr>
      <w:r w:rsidRPr="00A00B06">
        <w:rPr>
          <w:rFonts w:cs="Segoe UI"/>
          <w:szCs w:val="20"/>
        </w:rPr>
        <w:t xml:space="preserve">La propriété des actions résulte de leur inscription en compte individuel au nom du ou des titulaires sur les registres tenus à cet effet par la société ou par des intermédiaires financiers habilités. </w:t>
      </w:r>
    </w:p>
    <w:p w14:paraId="06074531" w14:textId="77777777" w:rsidR="00A00B06" w:rsidRPr="00A00B06" w:rsidRDefault="00A00B06" w:rsidP="00A00B06">
      <w:pPr>
        <w:rPr>
          <w:rFonts w:cs="Segoe UI"/>
          <w:szCs w:val="20"/>
        </w:rPr>
      </w:pPr>
    </w:p>
    <w:p w14:paraId="7DDBB627" w14:textId="3AE2AA06" w:rsidR="00A00B06" w:rsidRPr="00A00B06" w:rsidRDefault="00A00B06" w:rsidP="00A00B06">
      <w:pPr>
        <w:rPr>
          <w:rFonts w:cs="Segoe UI"/>
          <w:szCs w:val="20"/>
        </w:rPr>
      </w:pPr>
      <w:r w:rsidRPr="00A00B06">
        <w:rPr>
          <w:rFonts w:cs="Segoe UI"/>
          <w:szCs w:val="20"/>
        </w:rPr>
        <w:t>Les titres de capital et les valeurs mobilières donnant accès au capital ou donnant droit à l’attribution de titres de créance de la société, sont librement cessibles.</w:t>
      </w:r>
    </w:p>
    <w:p w14:paraId="70E7FD1C" w14:textId="3F81F018" w:rsidR="00A00B06" w:rsidRPr="00A00B06" w:rsidRDefault="00A00B06" w:rsidP="00A00B06">
      <w:pPr>
        <w:rPr>
          <w:rFonts w:cs="Segoe UI"/>
          <w:szCs w:val="20"/>
        </w:rPr>
      </w:pPr>
      <w:r w:rsidRPr="00A00B06">
        <w:rPr>
          <w:rFonts w:cs="Segoe UI"/>
          <w:szCs w:val="20"/>
        </w:rPr>
        <w:t>Les actions inscrites en compte se transmettent librement par virement de compte à compte, conformément aux dispositions légales et réglementaires en vigueur. »</w:t>
      </w:r>
    </w:p>
    <w:p w14:paraId="76E4A3E7" w14:textId="77777777" w:rsidR="00A00B06" w:rsidRPr="00A00B06" w:rsidRDefault="00A00B06" w:rsidP="00A00B06">
      <w:pPr>
        <w:rPr>
          <w:rFonts w:cs="Segoe UI"/>
          <w:szCs w:val="20"/>
        </w:rPr>
      </w:pPr>
    </w:p>
    <w:p w14:paraId="3C70D74B" w14:textId="39CA2BB5" w:rsidR="00A00B06" w:rsidRPr="00A00B06" w:rsidRDefault="00A00B06" w:rsidP="00A00B06">
      <w:pPr>
        <w:rPr>
          <w:b/>
          <w:i/>
          <w:szCs w:val="20"/>
        </w:rPr>
      </w:pPr>
      <w:r w:rsidRPr="00A00B06">
        <w:rPr>
          <w:b/>
          <w:i/>
          <w:szCs w:val="20"/>
        </w:rPr>
        <w:t>(Article 11 des statuts)</w:t>
      </w:r>
    </w:p>
    <w:p w14:paraId="0243A21E" w14:textId="77777777" w:rsidR="00BE512B" w:rsidRPr="00A00B06" w:rsidRDefault="00BE512B" w:rsidP="001079CA">
      <w:pPr>
        <w:rPr>
          <w:szCs w:val="20"/>
          <w:u w:val="single"/>
        </w:rPr>
      </w:pPr>
    </w:p>
    <w:p w14:paraId="2ECCCE1F" w14:textId="77777777" w:rsidR="001079CA" w:rsidRPr="00A00B06" w:rsidRDefault="001079CA" w:rsidP="001079CA">
      <w:pPr>
        <w:rPr>
          <w:szCs w:val="20"/>
          <w:u w:val="single"/>
        </w:rPr>
      </w:pPr>
      <w:r w:rsidRPr="00A00B06">
        <w:rPr>
          <w:szCs w:val="20"/>
          <w:u w:val="single"/>
        </w:rPr>
        <w:t>- Droits et obligations attachés aux actions </w:t>
      </w:r>
      <w:r w:rsidR="003F5FA5" w:rsidRPr="00A00B06">
        <w:rPr>
          <w:szCs w:val="20"/>
          <w:u w:val="single"/>
        </w:rPr>
        <w:t xml:space="preserve">– franchissements de seuil </w:t>
      </w:r>
      <w:r w:rsidRPr="00A00B06">
        <w:rPr>
          <w:szCs w:val="20"/>
          <w:u w:val="single"/>
        </w:rPr>
        <w:t>:</w:t>
      </w:r>
    </w:p>
    <w:p w14:paraId="020C55C7" w14:textId="77777777" w:rsidR="001079CA" w:rsidRPr="00A00B06" w:rsidRDefault="001079CA" w:rsidP="001079CA">
      <w:pPr>
        <w:rPr>
          <w:szCs w:val="20"/>
        </w:rPr>
      </w:pPr>
    </w:p>
    <w:p w14:paraId="649E7346" w14:textId="1341D4ED" w:rsidR="00983264" w:rsidRPr="00A00B06" w:rsidRDefault="00983264" w:rsidP="00983264">
      <w:pPr>
        <w:rPr>
          <w:szCs w:val="20"/>
        </w:rPr>
      </w:pPr>
      <w:r w:rsidRPr="00A00B06">
        <w:rPr>
          <w:szCs w:val="20"/>
        </w:rPr>
        <w:t>« . Chaque action donne droit dans les bénéfices, l'actif social et le boni de liquidation à une part proportionnelle à la quotité du capital qu'elle représente.</w:t>
      </w:r>
    </w:p>
    <w:p w14:paraId="2DB92C6E" w14:textId="77777777" w:rsidR="00983264" w:rsidRPr="00A00B06" w:rsidRDefault="00983264" w:rsidP="00983264">
      <w:pPr>
        <w:rPr>
          <w:szCs w:val="20"/>
        </w:rPr>
      </w:pPr>
    </w:p>
    <w:p w14:paraId="33EA564C" w14:textId="77777777" w:rsidR="00983264" w:rsidRPr="00A00B06" w:rsidRDefault="00983264" w:rsidP="00983264">
      <w:pPr>
        <w:rPr>
          <w:szCs w:val="20"/>
        </w:rPr>
      </w:pPr>
      <w:r w:rsidRPr="00A00B06">
        <w:rPr>
          <w:szCs w:val="20"/>
        </w:rPr>
        <w:t>Elle donne en outre le droit au vote et à la représentation dans les Assemblées Générales, ainsi que le droit d'être informé sur la marche de la société et d'obtenir communication de certains documents sociaux aux époques et dans les conditions prévues par la loi et les statuts.</w:t>
      </w:r>
    </w:p>
    <w:p w14:paraId="3FFD6F63" w14:textId="77777777" w:rsidR="00983264" w:rsidRPr="00A00B06" w:rsidRDefault="00983264" w:rsidP="00983264">
      <w:pPr>
        <w:rPr>
          <w:szCs w:val="20"/>
        </w:rPr>
      </w:pPr>
    </w:p>
    <w:p w14:paraId="78A6F144" w14:textId="0A93AA97" w:rsidR="00983264" w:rsidRPr="00A00B06" w:rsidRDefault="00983264" w:rsidP="00983264">
      <w:pPr>
        <w:rPr>
          <w:szCs w:val="20"/>
        </w:rPr>
      </w:pPr>
      <w:r w:rsidRPr="00A00B06">
        <w:rPr>
          <w:b/>
          <w:szCs w:val="20"/>
        </w:rPr>
        <w:t xml:space="preserve">. </w:t>
      </w:r>
      <w:r w:rsidRPr="00A00B06">
        <w:rPr>
          <w:szCs w:val="20"/>
        </w:rPr>
        <w:t>Les actionnaires ne sont responsables du passif social qu'à concurrence de leurs apports.</w:t>
      </w:r>
    </w:p>
    <w:p w14:paraId="3782C8C5" w14:textId="77777777" w:rsidR="00983264" w:rsidRPr="00A00B06" w:rsidRDefault="00983264" w:rsidP="00983264">
      <w:pPr>
        <w:rPr>
          <w:szCs w:val="20"/>
        </w:rPr>
      </w:pPr>
    </w:p>
    <w:p w14:paraId="2F5D0C34" w14:textId="77777777" w:rsidR="00983264" w:rsidRPr="00A00B06" w:rsidRDefault="00983264" w:rsidP="00983264">
      <w:pPr>
        <w:rPr>
          <w:szCs w:val="20"/>
        </w:rPr>
      </w:pPr>
      <w:r w:rsidRPr="00A00B06">
        <w:rPr>
          <w:szCs w:val="20"/>
        </w:rPr>
        <w:lastRenderedPageBreak/>
        <w:t>Les droits et obligations suivent l'action quel qu'en soit le titulaire.</w:t>
      </w:r>
    </w:p>
    <w:p w14:paraId="1FA9EA2E" w14:textId="77777777" w:rsidR="00983264" w:rsidRPr="00A00B06" w:rsidRDefault="00983264" w:rsidP="00983264">
      <w:pPr>
        <w:rPr>
          <w:szCs w:val="20"/>
        </w:rPr>
      </w:pPr>
    </w:p>
    <w:p w14:paraId="54899E88" w14:textId="77777777" w:rsidR="00983264" w:rsidRPr="00A00B06" w:rsidRDefault="00983264" w:rsidP="00983264">
      <w:pPr>
        <w:rPr>
          <w:szCs w:val="20"/>
        </w:rPr>
      </w:pPr>
      <w:r w:rsidRPr="00A00B06">
        <w:rPr>
          <w:szCs w:val="20"/>
        </w:rPr>
        <w:t>La propriété d'une action comporte de plein droit adhésion aux statuts de la société et aux décisions de l'Assemblée Générale des actionnaires.</w:t>
      </w:r>
    </w:p>
    <w:p w14:paraId="3E93AD9C" w14:textId="77777777" w:rsidR="00983264" w:rsidRPr="00A00B06" w:rsidRDefault="00983264" w:rsidP="00983264">
      <w:pPr>
        <w:rPr>
          <w:szCs w:val="20"/>
        </w:rPr>
      </w:pPr>
    </w:p>
    <w:p w14:paraId="42780A38" w14:textId="60B3ABB3" w:rsidR="00983264" w:rsidRPr="00A00B06" w:rsidRDefault="00983264" w:rsidP="00983264">
      <w:pPr>
        <w:rPr>
          <w:szCs w:val="20"/>
        </w:rPr>
      </w:pPr>
      <w:r w:rsidRPr="00A00B06">
        <w:rPr>
          <w:b/>
          <w:szCs w:val="20"/>
        </w:rPr>
        <w:t xml:space="preserve">. </w:t>
      </w:r>
      <w:r w:rsidRPr="00A00B06">
        <w:rPr>
          <w:szCs w:val="20"/>
        </w:rPr>
        <w:t>Chaque fois qu'il sera nécessaire de posséder un certain nombre d'actions pour exercer un droit quelconque, les propriétaires qui ne possèdent pas ce nombre auront à faire leur affaire personnelle du groupement, et éventuellement de l'achat ou de la vente du nombre d'actions nécessaires.</w:t>
      </w:r>
    </w:p>
    <w:p w14:paraId="122CEA4D" w14:textId="77777777" w:rsidR="00983264" w:rsidRPr="00A00B06" w:rsidRDefault="00983264" w:rsidP="00983264">
      <w:pPr>
        <w:rPr>
          <w:szCs w:val="20"/>
        </w:rPr>
      </w:pPr>
    </w:p>
    <w:p w14:paraId="60254B49" w14:textId="077AA6C4" w:rsidR="00983264" w:rsidRPr="00A00B06" w:rsidRDefault="00983264" w:rsidP="00983264">
      <w:pPr>
        <w:rPr>
          <w:szCs w:val="20"/>
        </w:rPr>
      </w:pPr>
      <w:r w:rsidRPr="00A00B06">
        <w:rPr>
          <w:b/>
          <w:szCs w:val="20"/>
        </w:rPr>
        <w:t xml:space="preserve">. </w:t>
      </w:r>
      <w:r w:rsidRPr="00A00B06">
        <w:rPr>
          <w:szCs w:val="20"/>
        </w:rPr>
        <w:t xml:space="preserve">Conformément aux dispositions de l’article L. 233-7 du Code de commerce, toute personne physique ou morale agissant seule ou de concert qui vient à posséder un nombre d’actions représentant plus du vingtième, du dixième, des trois vingtièmes, du cinquième, du quart, des trois dixièmes, du tiers, de la moitié, des deux tiers, des dix-huit vingtièmes ou des dix-neuf vingtièmes  du capital ou des droits de vote informe la société dans un délai fixé par décret en Conseil d’Etat, à compter du franchissement de seuil de participation, du nombre total d’actions ou de droits de vote qu’elle possède. Cette information est également donnée dans les mêmes délais lorsque la participation en capital ou en droits de vote devient inférieure aux seuils mentionnés ci-dessus. </w:t>
      </w:r>
    </w:p>
    <w:p w14:paraId="11C61C05" w14:textId="77777777" w:rsidR="00983264" w:rsidRPr="00A00B06" w:rsidRDefault="00983264" w:rsidP="00983264">
      <w:pPr>
        <w:rPr>
          <w:szCs w:val="20"/>
        </w:rPr>
      </w:pPr>
    </w:p>
    <w:p w14:paraId="782D9FE3" w14:textId="5772F523" w:rsidR="00983264" w:rsidRPr="00A00B06" w:rsidRDefault="00983264" w:rsidP="00983264">
      <w:pPr>
        <w:rPr>
          <w:szCs w:val="20"/>
        </w:rPr>
      </w:pPr>
      <w:r w:rsidRPr="00A00B06">
        <w:rPr>
          <w:szCs w:val="20"/>
        </w:rPr>
        <w:t>La personne physique ou morale concernée informe également l’Autorité des Marchés Financiers, dans un délai et selon les modalités fixées par son règlement général, à compter du franchissement de seuil de participation. Cette information est portée à la connaissance du public dans les conditions fixées par le règlement général de l’Autorité des Marchés Financiers. »</w:t>
      </w:r>
    </w:p>
    <w:p w14:paraId="51EF4F07" w14:textId="77777777" w:rsidR="001079CA" w:rsidRPr="00A00B06" w:rsidRDefault="001079CA" w:rsidP="001079CA">
      <w:pPr>
        <w:rPr>
          <w:szCs w:val="20"/>
        </w:rPr>
      </w:pPr>
    </w:p>
    <w:p w14:paraId="095BD0E3" w14:textId="2786027D" w:rsidR="00983264" w:rsidRPr="00A00B06" w:rsidRDefault="00983264" w:rsidP="001079CA">
      <w:pPr>
        <w:rPr>
          <w:b/>
          <w:i/>
          <w:szCs w:val="20"/>
        </w:rPr>
      </w:pPr>
      <w:r w:rsidRPr="00A00B06">
        <w:rPr>
          <w:b/>
          <w:i/>
          <w:szCs w:val="20"/>
        </w:rPr>
        <w:t>(</w:t>
      </w:r>
      <w:r w:rsidR="00A00B06">
        <w:rPr>
          <w:b/>
          <w:i/>
        </w:rPr>
        <w:t>A</w:t>
      </w:r>
      <w:r w:rsidR="00A00B06" w:rsidRPr="00983264">
        <w:rPr>
          <w:b/>
          <w:i/>
        </w:rPr>
        <w:t>rticle</w:t>
      </w:r>
      <w:r w:rsidR="00A00B06">
        <w:rPr>
          <w:b/>
          <w:i/>
        </w:rPr>
        <w:t xml:space="preserve"> </w:t>
      </w:r>
      <w:r w:rsidRPr="00A00B06">
        <w:rPr>
          <w:b/>
          <w:i/>
          <w:szCs w:val="20"/>
        </w:rPr>
        <w:t>12 des statuts)</w:t>
      </w:r>
    </w:p>
    <w:p w14:paraId="075C6CD2" w14:textId="77777777" w:rsidR="00983264" w:rsidRPr="00A00B06" w:rsidRDefault="00983264" w:rsidP="001079CA">
      <w:pPr>
        <w:rPr>
          <w:szCs w:val="20"/>
        </w:rPr>
      </w:pPr>
    </w:p>
    <w:p w14:paraId="64B7ACA3" w14:textId="77777777" w:rsidR="001079CA" w:rsidRPr="00A00B06" w:rsidRDefault="001079CA" w:rsidP="001079CA">
      <w:pPr>
        <w:rPr>
          <w:szCs w:val="20"/>
          <w:u w:val="single"/>
        </w:rPr>
      </w:pPr>
      <w:r w:rsidRPr="00A00B06">
        <w:rPr>
          <w:szCs w:val="20"/>
          <w:u w:val="single"/>
        </w:rPr>
        <w:t>- Droit de vote :</w:t>
      </w:r>
    </w:p>
    <w:p w14:paraId="7566D509" w14:textId="77777777" w:rsidR="001079CA" w:rsidRPr="00A00B06" w:rsidRDefault="001079CA" w:rsidP="001079CA">
      <w:pPr>
        <w:rPr>
          <w:szCs w:val="20"/>
        </w:rPr>
      </w:pPr>
    </w:p>
    <w:p w14:paraId="3C306867" w14:textId="6E22CDAC" w:rsidR="00983264" w:rsidRPr="00A00B06" w:rsidRDefault="00983264" w:rsidP="00983264">
      <w:pPr>
        <w:rPr>
          <w:rFonts w:cs="Segoe UI"/>
          <w:szCs w:val="20"/>
        </w:rPr>
      </w:pPr>
      <w:r w:rsidRPr="00A00B06">
        <w:rPr>
          <w:rFonts w:cs="Segoe UI"/>
          <w:b/>
          <w:szCs w:val="20"/>
        </w:rPr>
        <w:t>« </w:t>
      </w:r>
      <w:r w:rsidRPr="00A00B06">
        <w:rPr>
          <w:rFonts w:cs="Segoe UI"/>
          <w:szCs w:val="20"/>
        </w:rPr>
        <w:t>Le droit de vote attaché aux actions est proportionnel à la quotité du capital qu'elles représentent. Chaque action donne droit à une voix.</w:t>
      </w:r>
    </w:p>
    <w:p w14:paraId="2821FED4" w14:textId="77777777" w:rsidR="00983264" w:rsidRPr="00A00B06" w:rsidRDefault="00983264" w:rsidP="00983264">
      <w:pPr>
        <w:rPr>
          <w:rFonts w:cs="Segoe UI"/>
          <w:szCs w:val="20"/>
        </w:rPr>
      </w:pPr>
    </w:p>
    <w:p w14:paraId="3B39C277" w14:textId="5E827DD0" w:rsidR="00983264" w:rsidRPr="00A00B06" w:rsidRDefault="00983264" w:rsidP="00983264">
      <w:pPr>
        <w:rPr>
          <w:rFonts w:cs="Segoe UI"/>
          <w:szCs w:val="20"/>
        </w:rPr>
      </w:pPr>
      <w:r w:rsidRPr="00A00B06">
        <w:rPr>
          <w:rFonts w:cs="Segoe UI"/>
          <w:szCs w:val="20"/>
        </w:rPr>
        <w:t>Toutefois, un droit de vote double à celui conféré aux autres actions eu égard à la quotité du capital social qu’elles représentent est attribué à toutes les actions entièrement libérées pour lesquelles il sera justifié d’une inscription nominative depuis deux (2) ans au moins au nom d’un même actionnaire. »</w:t>
      </w:r>
    </w:p>
    <w:p w14:paraId="1DCAEB78" w14:textId="77777777" w:rsidR="001079CA" w:rsidRDefault="001079CA" w:rsidP="001079CA"/>
    <w:p w14:paraId="33C6FECF" w14:textId="3214B882" w:rsidR="00983264" w:rsidRPr="00983264" w:rsidRDefault="00983264" w:rsidP="00983264">
      <w:pPr>
        <w:rPr>
          <w:b/>
          <w:i/>
        </w:rPr>
      </w:pPr>
      <w:r w:rsidRPr="00983264">
        <w:rPr>
          <w:b/>
          <w:i/>
        </w:rPr>
        <w:t>(</w:t>
      </w:r>
      <w:r w:rsidR="00A00B06">
        <w:rPr>
          <w:b/>
          <w:i/>
        </w:rPr>
        <w:t>A</w:t>
      </w:r>
      <w:r w:rsidR="00A00B06" w:rsidRPr="00983264">
        <w:rPr>
          <w:b/>
          <w:i/>
        </w:rPr>
        <w:t>rticle</w:t>
      </w:r>
      <w:r w:rsidR="00A00B06">
        <w:rPr>
          <w:b/>
          <w:i/>
        </w:rPr>
        <w:t xml:space="preserve"> </w:t>
      </w:r>
      <w:r>
        <w:rPr>
          <w:b/>
          <w:i/>
        </w:rPr>
        <w:t>29.2</w:t>
      </w:r>
      <w:r w:rsidRPr="00983264">
        <w:rPr>
          <w:b/>
          <w:i/>
        </w:rPr>
        <w:t xml:space="preserve"> des statuts)</w:t>
      </w:r>
    </w:p>
    <w:p w14:paraId="62641002" w14:textId="77777777" w:rsidR="00983264" w:rsidRPr="001079CA" w:rsidRDefault="00983264" w:rsidP="001079CA"/>
    <w:p w14:paraId="0CB82AFF" w14:textId="7055317B" w:rsidR="003F5FA5" w:rsidRDefault="00A247E0" w:rsidP="00C032EC">
      <w:pPr>
        <w:pStyle w:val="Titre3"/>
      </w:pPr>
      <w:bookmarkStart w:id="340" w:name="_Toc475033291"/>
      <w:r>
        <w:t>19</w:t>
      </w:r>
      <w:r w:rsidR="00C032EC">
        <w:t xml:space="preserve">.2.4 </w:t>
      </w:r>
      <w:r w:rsidR="00CF0C5B">
        <w:t>Assemblées générales d’actionnaires</w:t>
      </w:r>
      <w:bookmarkEnd w:id="340"/>
      <w:r w:rsidR="00CF0C5B">
        <w:t xml:space="preserve"> </w:t>
      </w:r>
      <w:r w:rsidR="003F5FA5">
        <w:t xml:space="preserve"> </w:t>
      </w:r>
    </w:p>
    <w:p w14:paraId="1056284B" w14:textId="77777777" w:rsidR="003F5FA5" w:rsidRDefault="003F5FA5" w:rsidP="003F5FA5">
      <w:pPr>
        <w:autoSpaceDE w:val="0"/>
        <w:autoSpaceDN w:val="0"/>
        <w:adjustRightInd w:val="0"/>
        <w:jc w:val="left"/>
        <w:rPr>
          <w:rFonts w:ascii="Segoe UI" w:hAnsi="Segoe UI" w:cs="Segoe UI"/>
          <w:b/>
          <w:bCs/>
        </w:rPr>
      </w:pPr>
    </w:p>
    <w:p w14:paraId="54548CCD" w14:textId="77777777" w:rsidR="003F5FA5" w:rsidRPr="003F5FA5" w:rsidRDefault="003F5FA5" w:rsidP="003F5FA5">
      <w:pPr>
        <w:rPr>
          <w:u w:val="single"/>
        </w:rPr>
      </w:pPr>
      <w:r w:rsidRPr="003F5FA5">
        <w:rPr>
          <w:u w:val="single"/>
        </w:rPr>
        <w:t>- Assemblées Générales :</w:t>
      </w:r>
    </w:p>
    <w:p w14:paraId="4AAA8038" w14:textId="77777777" w:rsidR="003F5FA5" w:rsidRPr="00606BEF" w:rsidRDefault="003F5FA5" w:rsidP="003F5FA5"/>
    <w:p w14:paraId="1D24F19E" w14:textId="102F9328" w:rsidR="00A00B06" w:rsidRPr="00376795" w:rsidRDefault="00A00B06" w:rsidP="00A00B06">
      <w:pPr>
        <w:rPr>
          <w:rFonts w:ascii="Segoe UI" w:hAnsi="Segoe UI" w:cs="Segoe UI"/>
        </w:rPr>
      </w:pPr>
      <w:r>
        <w:rPr>
          <w:rFonts w:ascii="Segoe UI" w:hAnsi="Segoe UI" w:cs="Segoe UI"/>
        </w:rPr>
        <w:t>« </w:t>
      </w:r>
      <w:r w:rsidRPr="00376795">
        <w:rPr>
          <w:rFonts w:ascii="Segoe UI" w:hAnsi="Segoe UI" w:cs="Segoe UI"/>
        </w:rPr>
        <w:t>Les Assemblées Générales sont convoquées et délibèrent dans les conditions fixées par la loi.</w:t>
      </w:r>
    </w:p>
    <w:p w14:paraId="2D55F166" w14:textId="77777777" w:rsidR="00A00B06" w:rsidRPr="00376795" w:rsidRDefault="00A00B06" w:rsidP="00A00B06">
      <w:pPr>
        <w:rPr>
          <w:rFonts w:ascii="Segoe UI" w:hAnsi="Segoe UI" w:cs="Segoe UI"/>
        </w:rPr>
      </w:pPr>
    </w:p>
    <w:p w14:paraId="551A95F8" w14:textId="77777777" w:rsidR="00A00B06" w:rsidRPr="00376795" w:rsidRDefault="00A00B06" w:rsidP="00A00B06">
      <w:pPr>
        <w:rPr>
          <w:rFonts w:ascii="Segoe UI" w:hAnsi="Segoe UI" w:cs="Segoe UI"/>
        </w:rPr>
      </w:pPr>
      <w:r w:rsidRPr="00376795">
        <w:rPr>
          <w:rFonts w:ascii="Segoe UI" w:hAnsi="Segoe UI" w:cs="Segoe UI"/>
        </w:rPr>
        <w:t>Les décisions collectives des actionnaires sont prises en Assemblées Générales Ordinaires, Extraordinaires ou Spéciales selon la nature des décisions qu'elles sont appelées à prendre.</w:t>
      </w:r>
    </w:p>
    <w:p w14:paraId="77F8229B" w14:textId="77777777" w:rsidR="00A00B06" w:rsidRPr="00376795" w:rsidRDefault="00A00B06" w:rsidP="00A00B06">
      <w:pPr>
        <w:rPr>
          <w:rFonts w:ascii="Segoe UI" w:hAnsi="Segoe UI" w:cs="Segoe UI"/>
        </w:rPr>
      </w:pPr>
    </w:p>
    <w:p w14:paraId="05549A82" w14:textId="77777777" w:rsidR="00A00B06" w:rsidRPr="00376795" w:rsidRDefault="00A00B06" w:rsidP="00A00B06">
      <w:pPr>
        <w:rPr>
          <w:rFonts w:ascii="Segoe UI" w:hAnsi="Segoe UI" w:cs="Segoe UI"/>
        </w:rPr>
      </w:pPr>
      <w:r w:rsidRPr="00376795">
        <w:rPr>
          <w:rFonts w:ascii="Segoe UI" w:hAnsi="Segoe UI" w:cs="Segoe UI"/>
        </w:rPr>
        <w:t>Les Assemblées Générales Spéciales réunissent les titulaires d'actions ou de valeurs mobilières d'une catégorie déterminée pour statuer sur toute modification des droits des actions ou valeurs mobilières de cette catégorie.</w:t>
      </w:r>
    </w:p>
    <w:p w14:paraId="19B82CFE" w14:textId="77777777" w:rsidR="00A00B06" w:rsidRPr="00376795" w:rsidRDefault="00A00B06" w:rsidP="00A00B06">
      <w:pPr>
        <w:rPr>
          <w:rFonts w:ascii="Segoe UI" w:hAnsi="Segoe UI" w:cs="Segoe UI"/>
        </w:rPr>
      </w:pPr>
    </w:p>
    <w:p w14:paraId="49A2D5DA" w14:textId="0BFC2A8A" w:rsidR="00A00B06" w:rsidRDefault="00A00B06" w:rsidP="00A00B06">
      <w:pPr>
        <w:rPr>
          <w:rFonts w:ascii="Segoe UI" w:hAnsi="Segoe UI" w:cs="Segoe UI"/>
        </w:rPr>
      </w:pPr>
      <w:r w:rsidRPr="00376795">
        <w:rPr>
          <w:rFonts w:ascii="Segoe UI" w:hAnsi="Segoe UI" w:cs="Segoe UI"/>
        </w:rPr>
        <w:t>Les délibérations des Assemblées Générales obligent tous les actionnaires, même absents, dissidents ou incapables.</w:t>
      </w:r>
      <w:r>
        <w:rPr>
          <w:rFonts w:ascii="Segoe UI" w:hAnsi="Segoe UI" w:cs="Segoe UI"/>
        </w:rPr>
        <w:t> »</w:t>
      </w:r>
    </w:p>
    <w:p w14:paraId="63F895AC" w14:textId="77777777" w:rsidR="00A00B06" w:rsidRDefault="00A00B06" w:rsidP="00A00B06">
      <w:pPr>
        <w:rPr>
          <w:rFonts w:ascii="Segoe UI" w:hAnsi="Segoe UI" w:cs="Segoe UI"/>
        </w:rPr>
      </w:pPr>
    </w:p>
    <w:p w14:paraId="78D82E6A" w14:textId="37E55521" w:rsidR="003F5FA5" w:rsidRPr="00A00B06" w:rsidRDefault="00A00B06" w:rsidP="003F5FA5">
      <w:pPr>
        <w:rPr>
          <w:b/>
          <w:i/>
        </w:rPr>
      </w:pPr>
      <w:r w:rsidRPr="00983264">
        <w:rPr>
          <w:b/>
          <w:i/>
        </w:rPr>
        <w:t>(</w:t>
      </w:r>
      <w:r>
        <w:rPr>
          <w:b/>
          <w:i/>
        </w:rPr>
        <w:t>A</w:t>
      </w:r>
      <w:r w:rsidRPr="00983264">
        <w:rPr>
          <w:b/>
          <w:i/>
        </w:rPr>
        <w:t>rticle</w:t>
      </w:r>
      <w:r>
        <w:rPr>
          <w:b/>
          <w:i/>
        </w:rPr>
        <w:t xml:space="preserve"> 23</w:t>
      </w:r>
      <w:r w:rsidRPr="00983264">
        <w:rPr>
          <w:b/>
          <w:i/>
        </w:rPr>
        <w:t xml:space="preserve"> des statuts)</w:t>
      </w:r>
    </w:p>
    <w:p w14:paraId="1879975D" w14:textId="77777777" w:rsidR="003F5FA5" w:rsidRPr="00606BEF" w:rsidRDefault="003F5FA5" w:rsidP="003F5FA5"/>
    <w:p w14:paraId="0BB09232" w14:textId="77777777" w:rsidR="003F5FA5" w:rsidRPr="003F5FA5" w:rsidRDefault="003F5FA5" w:rsidP="003F5FA5">
      <w:pPr>
        <w:rPr>
          <w:u w:val="single"/>
        </w:rPr>
      </w:pPr>
      <w:r w:rsidRPr="003F5FA5">
        <w:rPr>
          <w:u w:val="single"/>
        </w:rPr>
        <w:t>- Convocation et lieu de réunion des Assemblées Générales :</w:t>
      </w:r>
    </w:p>
    <w:p w14:paraId="0FE53F9D" w14:textId="77777777" w:rsidR="003F5FA5" w:rsidRPr="00606BEF" w:rsidRDefault="003F5FA5" w:rsidP="003F5FA5">
      <w:pPr>
        <w:rPr>
          <w:b/>
        </w:rPr>
      </w:pPr>
    </w:p>
    <w:p w14:paraId="54D94AA3" w14:textId="77777777" w:rsidR="00A00B06" w:rsidRPr="00376795" w:rsidRDefault="00A00B06" w:rsidP="00A00B06">
      <w:r w:rsidRPr="00A00B06">
        <w:t>« Les Assemblées Générales sont convoquées soit par le Conseil d'Administration, soit par les Commissaires aux</w:t>
      </w:r>
      <w:r w:rsidRPr="00376795">
        <w:t xml:space="preserve"> Comptes, soit par un mandataire désigné en justice dans les conditions prévues par la loi.</w:t>
      </w:r>
    </w:p>
    <w:p w14:paraId="2F1143CE" w14:textId="77777777" w:rsidR="00A00B06" w:rsidRPr="00376795" w:rsidRDefault="00A00B06" w:rsidP="00A00B06"/>
    <w:p w14:paraId="44630197" w14:textId="77777777" w:rsidR="00A00B06" w:rsidRPr="00376795" w:rsidRDefault="00A00B06" w:rsidP="00A00B06">
      <w:r w:rsidRPr="00376795">
        <w:t>Lorsque toutes les actions ne revêtent pas la forme nominative, préalablement aux opérations de convocation, la société publie au Bulletin des Annonces Légales Obligatoires, trente-cinq (35) jours avant la réunion de l’Assemblée Générale, un avis contenant notamment le texte des projets de résolutions qui seront présentés à l’Assemblée.</w:t>
      </w:r>
    </w:p>
    <w:p w14:paraId="2540C9D6" w14:textId="77777777" w:rsidR="00A00B06" w:rsidRPr="00376795" w:rsidRDefault="00A00B06" w:rsidP="00A00B06"/>
    <w:p w14:paraId="418BD143" w14:textId="77777777" w:rsidR="00A00B06" w:rsidRPr="00376795" w:rsidRDefault="00A00B06" w:rsidP="00A00B06">
      <w:r w:rsidRPr="00376795">
        <w:t>Les Assemblées sont convoquées quinze (15) jours avant leur réunion par un avis inséré dans un journal habilité à recevoir les annonces légales dans le département du siège social et dans le Bulletin des Annonces Légales Obligatoires.</w:t>
      </w:r>
    </w:p>
    <w:p w14:paraId="2BE7CBDC" w14:textId="77777777" w:rsidR="00A00B06" w:rsidRPr="00376795" w:rsidRDefault="00A00B06" w:rsidP="00A00B06"/>
    <w:p w14:paraId="76848C90" w14:textId="77777777" w:rsidR="00A00B06" w:rsidRPr="00376795" w:rsidRDefault="00A00B06" w:rsidP="00A00B06">
      <w:r w:rsidRPr="00376795">
        <w:t>Les titulaires d’actions nominatives depuis un mois au moins à la date de l’insertion de l’avis de convocation, sont convoqués par lettre ordinaire quinze (15) jours avant la réunion des Assemblées. Cette convocation peut également être transmise par un moyen électronique de télécommunication mis en œuvre dans les conditions prévues par la loi et les règlements en vigueur, à l’adresse indiquée par l’actionnaire.</w:t>
      </w:r>
    </w:p>
    <w:p w14:paraId="561161C1" w14:textId="77777777" w:rsidR="00A00B06" w:rsidRPr="00376795" w:rsidRDefault="00A00B06" w:rsidP="00A00B06"/>
    <w:p w14:paraId="73E00340" w14:textId="77777777" w:rsidR="00A00B06" w:rsidRPr="00376795" w:rsidRDefault="00A00B06" w:rsidP="00A00B06">
      <w:r w:rsidRPr="00376795">
        <w:t>Les réunions ont lieu au siège social ou en tout autre endroit indiqué dans l’avis de convocation.</w:t>
      </w:r>
    </w:p>
    <w:p w14:paraId="73E99BCB" w14:textId="77777777" w:rsidR="00A00B06" w:rsidRPr="00376795" w:rsidRDefault="00A00B06" w:rsidP="00A00B06"/>
    <w:p w14:paraId="640AAA2A" w14:textId="77777777" w:rsidR="00A00B06" w:rsidRPr="00376795" w:rsidRDefault="00A00B06" w:rsidP="00A00B06">
      <w:r w:rsidRPr="00376795">
        <w:t>Lorsqu’une Assemblée n’a pu délibérer régulièrement, faute du quorum requis, la deuxième Assemblée et, le cas échéant, la deuxième Assemblée prorogée, est convoquée dans les mêmes formes que la première et dans un délai de six (6) jours au moins à l’avance. L’avis ou les lettres de convocation de cette deuxième Assemblée rappellent la date et l’ordre du jour de la première. En cas d’ajournement de l’Assemblée par décision de justice, le juge peut fixer un délai différent.</w:t>
      </w:r>
    </w:p>
    <w:p w14:paraId="082EEAFF" w14:textId="77777777" w:rsidR="00A00B06" w:rsidRPr="00376795" w:rsidRDefault="00A00B06" w:rsidP="00A00B06"/>
    <w:p w14:paraId="0AF9F508" w14:textId="4DE5C84C" w:rsidR="00A00B06" w:rsidRPr="00376795" w:rsidRDefault="00A00B06" w:rsidP="00A00B06">
      <w:r w:rsidRPr="00376795">
        <w:t>Les avis et lettres de convocation doivent mentionner les indications prévues par la loi, notamment l’ordre du jour, l’adresse électronique de la société, à laquelle peuvent être envoyées les questions écrites des actionnaires et, le cas échéant, la mention de l’obligation de recueillir l’avis ou l’approbation préalable de la masse des titulaires de valeurs mobilières donnant accès au capital.</w:t>
      </w:r>
      <w:r>
        <w:t> »</w:t>
      </w:r>
    </w:p>
    <w:p w14:paraId="24E349D1" w14:textId="17ACA241" w:rsidR="00BE512B" w:rsidRDefault="00BE512B" w:rsidP="00BE512B">
      <w:pPr>
        <w:rPr>
          <w:color w:val="FF0000"/>
        </w:rPr>
      </w:pPr>
    </w:p>
    <w:p w14:paraId="1062D198" w14:textId="2AEB5B87" w:rsidR="00A00B06" w:rsidRPr="00A00B06" w:rsidRDefault="00A00B06" w:rsidP="00BE512B">
      <w:pPr>
        <w:rPr>
          <w:b/>
          <w:i/>
        </w:rPr>
      </w:pPr>
      <w:r w:rsidRPr="00983264">
        <w:rPr>
          <w:b/>
          <w:i/>
        </w:rPr>
        <w:t>(</w:t>
      </w:r>
      <w:r>
        <w:rPr>
          <w:b/>
          <w:i/>
        </w:rPr>
        <w:t>A</w:t>
      </w:r>
      <w:r w:rsidRPr="00983264">
        <w:rPr>
          <w:b/>
          <w:i/>
        </w:rPr>
        <w:t>rticle</w:t>
      </w:r>
      <w:r>
        <w:rPr>
          <w:b/>
          <w:i/>
        </w:rPr>
        <w:t xml:space="preserve"> 24</w:t>
      </w:r>
      <w:r w:rsidRPr="00983264">
        <w:rPr>
          <w:b/>
          <w:i/>
        </w:rPr>
        <w:t xml:space="preserve"> des statuts)</w:t>
      </w:r>
    </w:p>
    <w:p w14:paraId="3E939B8F" w14:textId="77777777" w:rsidR="00BE512B" w:rsidRDefault="00BE512B" w:rsidP="003F5FA5">
      <w:pPr>
        <w:rPr>
          <w:u w:val="single"/>
        </w:rPr>
      </w:pPr>
    </w:p>
    <w:p w14:paraId="6568FAB9" w14:textId="18C95030" w:rsidR="003F5FA5" w:rsidRPr="003F5FA5" w:rsidRDefault="003F5FA5" w:rsidP="003F5FA5">
      <w:pPr>
        <w:rPr>
          <w:u w:val="single"/>
        </w:rPr>
      </w:pPr>
      <w:r w:rsidRPr="003F5FA5">
        <w:rPr>
          <w:u w:val="single"/>
        </w:rPr>
        <w:t>- Ordre du jour </w:t>
      </w:r>
      <w:r w:rsidR="00A00B06">
        <w:rPr>
          <w:u w:val="single"/>
        </w:rPr>
        <w:t>– Questions écrites</w:t>
      </w:r>
      <w:r w:rsidR="00B3157D">
        <w:rPr>
          <w:u w:val="single"/>
        </w:rPr>
        <w:t xml:space="preserve"> </w:t>
      </w:r>
      <w:r w:rsidRPr="003F5FA5">
        <w:rPr>
          <w:u w:val="single"/>
        </w:rPr>
        <w:t>:</w:t>
      </w:r>
    </w:p>
    <w:p w14:paraId="076770E3" w14:textId="77777777" w:rsidR="003F5FA5" w:rsidRPr="00606BEF" w:rsidRDefault="003F5FA5" w:rsidP="003F5FA5">
      <w:pPr>
        <w:rPr>
          <w:b/>
        </w:rPr>
      </w:pPr>
    </w:p>
    <w:p w14:paraId="764424C0" w14:textId="77777777" w:rsidR="00A00B06" w:rsidRPr="00A00B06" w:rsidRDefault="00A00B06" w:rsidP="00A00B06">
      <w:r w:rsidRPr="00A00B06">
        <w:t>« L'ordre du jour des Assemblées est arrêté par l'auteur de la convocation.</w:t>
      </w:r>
    </w:p>
    <w:p w14:paraId="2F42C9D8" w14:textId="77777777" w:rsidR="00A00B06" w:rsidRPr="00376795" w:rsidRDefault="00A00B06" w:rsidP="00A00B06"/>
    <w:p w14:paraId="3046331E" w14:textId="77777777" w:rsidR="00A00B06" w:rsidRPr="00376795" w:rsidRDefault="00A00B06" w:rsidP="00A00B06">
      <w:r w:rsidRPr="00376795">
        <w:t>Un ou plusieurs actionnaires, représentant au moins cinq (5) % du capital social (ce pourcentage étant dégressif dans les sociétés dont le capital social excède 750.000,00 euros) et agissant dans les conditions et délais fixés par la loi, ont la faculté de requérir, par lettre recommandée avec demande d'avis de réception ou par télécommunication électronique, l'inscription à l'ordre du jour de l'Assemblée de points ou de projets de résolutions.</w:t>
      </w:r>
    </w:p>
    <w:p w14:paraId="1023E2F6" w14:textId="77777777" w:rsidR="00A00B06" w:rsidRPr="00376795" w:rsidRDefault="00A00B06" w:rsidP="00A00B06"/>
    <w:p w14:paraId="4BC6C1C5" w14:textId="77777777" w:rsidR="00A00B06" w:rsidRPr="00376795" w:rsidRDefault="00A00B06" w:rsidP="00A00B06">
      <w:r w:rsidRPr="00376795">
        <w:t>La demande d’inscription d’un point à l’ordre du jour est motivée. La demande d’inscription de projets de résolutions est accompagnée du texte des projets de résolution, qui peuvent être assortis d’un bref exposé des motifs.</w:t>
      </w:r>
    </w:p>
    <w:p w14:paraId="23048A92" w14:textId="77777777" w:rsidR="00A00B06" w:rsidRPr="00376795" w:rsidRDefault="00A00B06" w:rsidP="00A00B06"/>
    <w:p w14:paraId="0044BB04" w14:textId="77777777" w:rsidR="00A00B06" w:rsidRPr="00376795" w:rsidRDefault="00A00B06" w:rsidP="00A00B06">
      <w:r w:rsidRPr="00376795">
        <w:t>Les auteurs de la demande transmettent avec leur demande une attestation d’inscription en compte. L’examen du point ou de la résolution est subordonné à la transmission d’une nouvelle attestation justifiant de l’enregistrement comptable des titres dans les mêmes comptes au troisième jour ouvré précédant l’Assemblée Générale à zéro heure, heure de Paris.</w:t>
      </w:r>
    </w:p>
    <w:p w14:paraId="67C72FDD" w14:textId="77777777" w:rsidR="00A00B06" w:rsidRPr="00376795" w:rsidRDefault="00A00B06" w:rsidP="00A00B06"/>
    <w:p w14:paraId="5F841FF4" w14:textId="77777777" w:rsidR="00A00B06" w:rsidRPr="00376795" w:rsidRDefault="00A00B06" w:rsidP="00A00B06">
      <w:r w:rsidRPr="00376795">
        <w:t xml:space="preserve">Le Comité d'Entreprise peut également requérir l'inscription de projets de résolutions à l'ordre du jour des Assemblées Générales dans les conditions légales et réglementaires. </w:t>
      </w:r>
    </w:p>
    <w:p w14:paraId="6ACAC6BA" w14:textId="77777777" w:rsidR="00A00B06" w:rsidRPr="00376795" w:rsidRDefault="00A00B06" w:rsidP="00A00B06"/>
    <w:p w14:paraId="0036CDC7" w14:textId="77777777" w:rsidR="00A00B06" w:rsidRPr="00376795" w:rsidRDefault="00A00B06" w:rsidP="00A00B06">
      <w:r w:rsidRPr="00376795">
        <w:t>L'Assemblée ne peut délibérer sur une question qui n'est pas à l'ordre du jour. Elle peut cependant, en toutes circonstances, révoquer un ou plusieurs administrateurs et procéder à leur remplacement.</w:t>
      </w:r>
    </w:p>
    <w:p w14:paraId="5180F6AD" w14:textId="77777777" w:rsidR="00A00B06" w:rsidRPr="00376795" w:rsidRDefault="00A00B06" w:rsidP="00A00B06"/>
    <w:p w14:paraId="5B842B35" w14:textId="77777777" w:rsidR="00A00B06" w:rsidRPr="00376795" w:rsidRDefault="00A00B06" w:rsidP="00A00B06">
      <w:r w:rsidRPr="00376795">
        <w:t xml:space="preserve">Tout actionnaire peut adresser au Conseil d’Administration des questions écrites. Ces questions écrites sont envoyées au siège social par lettre recommandée avec demande d’avis de réception adressée au Président du </w:t>
      </w:r>
      <w:r w:rsidRPr="00376795">
        <w:lastRenderedPageBreak/>
        <w:t xml:space="preserve">Conseil d’Administration ou par voie de télécommunication électronique à l’adresse indiquée dans la convocation au plus tard le quatrième jour ouvré précédant la date de l’Assemblée Générale. </w:t>
      </w:r>
    </w:p>
    <w:p w14:paraId="787A68BE" w14:textId="77777777" w:rsidR="00A00B06" w:rsidRPr="00376795" w:rsidRDefault="00A00B06" w:rsidP="00A00B06"/>
    <w:p w14:paraId="3FC3A579" w14:textId="2C1ED984" w:rsidR="00BE512B" w:rsidRDefault="00A00B06" w:rsidP="00A00B06">
      <w:r w:rsidRPr="00376795">
        <w:t>Le Conseil d’Administration répond aux questions écrites au cours de l’Assemblée Générale. Il peut leur apporter une réponse commune dès lors qu’elles présentent le même contenu. La réponse à une question écrite est cependant réputée avoir été donnée dès lors qu’elle figure sur le site internet de la société dans une rubrique consacrée aux questions répon</w:t>
      </w:r>
      <w:r>
        <w:t>ses. »</w:t>
      </w:r>
    </w:p>
    <w:p w14:paraId="1D25B4C5" w14:textId="77777777" w:rsidR="00A00B06" w:rsidRDefault="00A00B06" w:rsidP="00A00B06"/>
    <w:p w14:paraId="4A949EB1" w14:textId="3D5BF141" w:rsidR="00A00B06" w:rsidRPr="00A00B06" w:rsidRDefault="00A00B06" w:rsidP="00A00B06">
      <w:pPr>
        <w:rPr>
          <w:b/>
          <w:i/>
        </w:rPr>
      </w:pPr>
      <w:r w:rsidRPr="00983264">
        <w:rPr>
          <w:b/>
          <w:i/>
        </w:rPr>
        <w:t>(</w:t>
      </w:r>
      <w:r>
        <w:rPr>
          <w:b/>
          <w:i/>
        </w:rPr>
        <w:t>A</w:t>
      </w:r>
      <w:r w:rsidRPr="00983264">
        <w:rPr>
          <w:b/>
          <w:i/>
        </w:rPr>
        <w:t>rticle</w:t>
      </w:r>
      <w:r>
        <w:rPr>
          <w:b/>
          <w:i/>
        </w:rPr>
        <w:t xml:space="preserve"> 25</w:t>
      </w:r>
      <w:r w:rsidRPr="00983264">
        <w:rPr>
          <w:b/>
          <w:i/>
        </w:rPr>
        <w:t xml:space="preserve"> des statuts)</w:t>
      </w:r>
    </w:p>
    <w:p w14:paraId="54DA7F88" w14:textId="77777777" w:rsidR="003F5FA5" w:rsidRDefault="003F5FA5" w:rsidP="003F5FA5">
      <w:pPr>
        <w:rPr>
          <w:b/>
        </w:rPr>
      </w:pPr>
    </w:p>
    <w:p w14:paraId="5D5B67C2" w14:textId="77777777" w:rsidR="003F5FA5" w:rsidRPr="003F5FA5" w:rsidRDefault="003F5FA5" w:rsidP="003F5FA5">
      <w:pPr>
        <w:rPr>
          <w:u w:val="single"/>
        </w:rPr>
      </w:pPr>
      <w:r w:rsidRPr="003F5FA5">
        <w:rPr>
          <w:u w:val="single"/>
        </w:rPr>
        <w:t xml:space="preserve">- Accès aux assemblées </w:t>
      </w:r>
      <w:r>
        <w:rPr>
          <w:u w:val="single"/>
        </w:rPr>
        <w:t>–</w:t>
      </w:r>
      <w:r w:rsidRPr="003F5FA5">
        <w:rPr>
          <w:u w:val="single"/>
        </w:rPr>
        <w:t xml:space="preserve"> pouvoirs</w:t>
      </w:r>
      <w:r>
        <w:rPr>
          <w:u w:val="single"/>
        </w:rPr>
        <w:t> :</w:t>
      </w:r>
    </w:p>
    <w:p w14:paraId="2D58260C" w14:textId="77777777" w:rsidR="00BE512B" w:rsidRDefault="00BE512B" w:rsidP="00BE512B">
      <w:pPr>
        <w:rPr>
          <w:color w:val="FF0000"/>
        </w:rPr>
      </w:pPr>
    </w:p>
    <w:p w14:paraId="44B972FE" w14:textId="77777777" w:rsidR="00A00B06" w:rsidRPr="00376795" w:rsidRDefault="00A00B06" w:rsidP="00A00B06">
      <w:r w:rsidRPr="00A00B06">
        <w:t>« Tout actionnaire a le droit d'assister aux Assemblées Générales et de participer aux délibérations</w:t>
      </w:r>
      <w:r w:rsidRPr="00376795">
        <w:t xml:space="preserve"> personnellement ou par mandataire, sur simple justification de son identité, dès lors que ses actions ont été libérées des versements exigibles.</w:t>
      </w:r>
    </w:p>
    <w:p w14:paraId="197D5F48" w14:textId="77777777" w:rsidR="00A00B06" w:rsidRPr="00376795" w:rsidRDefault="00A00B06" w:rsidP="00A00B06"/>
    <w:p w14:paraId="79BCFAEF" w14:textId="77777777" w:rsidR="00A00B06" w:rsidRPr="00376795" w:rsidRDefault="00A00B06" w:rsidP="00A00B06">
      <w:r w:rsidRPr="00376795">
        <w:t xml:space="preserve">Toutefois, ce droit est subordonné à l’inscription en compte des actions nominatives et pour les actions au porteur, par la justification de l’enregistrement comptable des titres au nom de l’actionnaire ou de l’intermédiaire inscrit pour son compte en application du septième alinéa de l’article L. 228-1 du Code de commerce, au troisième jour ouvré précédent l’Assemblée Générale à zéro heure, heure de Paris, soit dans les comptes de titres nominatifs tenus par la société, soit dans les comptes de titres au porteur tenus par un intermédiaire mentionné à l’article L. 211-3 du Code monétaire et financier. L’inscription ou l’enregistrement comptable des titres dans les comptes de titres au porteur tenus par un intermédiaire mentionné à l’article L. 211-3 susvisé est constaté dans les conditions fixées à l’article R. 225-85, II du Code de commerce. </w:t>
      </w:r>
    </w:p>
    <w:p w14:paraId="61F3A25A" w14:textId="77777777" w:rsidR="00A00B06" w:rsidRPr="00376795" w:rsidRDefault="00A00B06" w:rsidP="00A00B06"/>
    <w:p w14:paraId="5AA83687" w14:textId="77777777" w:rsidR="00A00B06" w:rsidRPr="00376795" w:rsidRDefault="00A00B06" w:rsidP="00A00B06">
      <w:r w:rsidRPr="00376795">
        <w:t>Tout actionnaire ne peut se faire représenter que par son conjoint, son partenaire pacsé ou par un autre actionnaire ; à cet effet, le mandataire doit justifier de son mandat. Il peut en outre se faire représenter, dans les conditions prévues par la loi, par toute autre personne physique ou morale de son choix lorsque les actions de la société sont admises aux négociations sur un marché réglementé ou sur un système multilatéral de négociations. Le mandataire doit justifier de son mandat et fournir à son mandat les informations prévues à l’article L. 225-106-1 du Code de commerce.</w:t>
      </w:r>
    </w:p>
    <w:p w14:paraId="0240BF19" w14:textId="77777777" w:rsidR="00A00B06" w:rsidRPr="00376795" w:rsidRDefault="00A00B06" w:rsidP="00A00B06"/>
    <w:p w14:paraId="08EFE4B2" w14:textId="77777777" w:rsidR="00A00B06" w:rsidRPr="00376795" w:rsidRDefault="00A00B06" w:rsidP="00A00B06">
      <w:r w:rsidRPr="00376795">
        <w:t>Les représentants légaux d'actionnaires juridiquement incapables et les personnes physiques représentant des personnes morales actionnaires prennent part aux Assemblées, qu'ils soient actionnaires ou non.</w:t>
      </w:r>
    </w:p>
    <w:p w14:paraId="7625467F" w14:textId="77777777" w:rsidR="00A00B06" w:rsidRPr="00376795" w:rsidRDefault="00A00B06" w:rsidP="00A00B06"/>
    <w:p w14:paraId="0F0E7210" w14:textId="77777777" w:rsidR="00A00B06" w:rsidRPr="00376795" w:rsidRDefault="00A00B06" w:rsidP="00A00B06">
      <w:r w:rsidRPr="00376795">
        <w:t>Tout actionnaire peut voter par correspondance au moyen d'un formulaire établi et adressé à la société selon les conditions fixées par la loi et les règlements ; ce formulaire doit parvenir à la société trois (3) jours avant la date de l'Assemblée pour être pris en compte.</w:t>
      </w:r>
    </w:p>
    <w:p w14:paraId="383A84CA" w14:textId="77777777" w:rsidR="00A00B06" w:rsidRPr="00376795" w:rsidRDefault="00A00B06" w:rsidP="00A00B06"/>
    <w:p w14:paraId="326989CA" w14:textId="123B12A5" w:rsidR="00A00B06" w:rsidRPr="00376795" w:rsidRDefault="00A00B06" w:rsidP="00A00B06">
      <w:r w:rsidRPr="00376795">
        <w:t>Deux membres du Comité d'Entreprise, désignés par le Comité d’Entreprise dans les conditions fixées par la loi, peuvent assister aux Assemblées Générales, quel que soient la nature et l’ordre du jour de ces Assemblées. Ils doivent, à leur demande, être entendus lors de toutes les délibérations requérant l'unanimité des actionnaires.</w:t>
      </w:r>
      <w:r>
        <w:t> »</w:t>
      </w:r>
    </w:p>
    <w:p w14:paraId="63DFBE6C" w14:textId="77777777" w:rsidR="00C1098C" w:rsidRDefault="00C1098C" w:rsidP="003F5FA5">
      <w:pPr>
        <w:rPr>
          <w:u w:val="single"/>
        </w:rPr>
      </w:pPr>
    </w:p>
    <w:p w14:paraId="74C44BCA" w14:textId="6135564F" w:rsidR="00A00B06" w:rsidRPr="00A00B06" w:rsidRDefault="00A00B06" w:rsidP="00A00B06">
      <w:pPr>
        <w:rPr>
          <w:b/>
          <w:i/>
        </w:rPr>
      </w:pPr>
      <w:r w:rsidRPr="00983264">
        <w:rPr>
          <w:b/>
          <w:i/>
        </w:rPr>
        <w:t>(</w:t>
      </w:r>
      <w:r>
        <w:rPr>
          <w:b/>
          <w:i/>
        </w:rPr>
        <w:t>A</w:t>
      </w:r>
      <w:r w:rsidRPr="00983264">
        <w:rPr>
          <w:b/>
          <w:i/>
        </w:rPr>
        <w:t>rticle</w:t>
      </w:r>
      <w:r>
        <w:rPr>
          <w:b/>
          <w:i/>
        </w:rPr>
        <w:t xml:space="preserve"> 26</w:t>
      </w:r>
      <w:r w:rsidRPr="00983264">
        <w:rPr>
          <w:b/>
          <w:i/>
        </w:rPr>
        <w:t xml:space="preserve"> des statuts)</w:t>
      </w:r>
    </w:p>
    <w:p w14:paraId="07CF17FF" w14:textId="77777777" w:rsidR="00A00B06" w:rsidRDefault="00A00B06" w:rsidP="003F5FA5">
      <w:pPr>
        <w:rPr>
          <w:u w:val="single"/>
        </w:rPr>
      </w:pPr>
    </w:p>
    <w:p w14:paraId="3E580572" w14:textId="7E15FB34" w:rsidR="00A00B06" w:rsidRPr="003F5FA5" w:rsidRDefault="00A00B06" w:rsidP="00A00B06">
      <w:pPr>
        <w:rPr>
          <w:u w:val="single"/>
        </w:rPr>
      </w:pPr>
      <w:r w:rsidRPr="003F5FA5">
        <w:rPr>
          <w:u w:val="single"/>
        </w:rPr>
        <w:t xml:space="preserve">- </w:t>
      </w:r>
      <w:r>
        <w:rPr>
          <w:u w:val="single"/>
        </w:rPr>
        <w:t>Droits de communication des actionnaires</w:t>
      </w:r>
      <w:r w:rsidR="00B3157D">
        <w:rPr>
          <w:u w:val="single"/>
        </w:rPr>
        <w:t xml:space="preserve"> </w:t>
      </w:r>
      <w:r w:rsidRPr="003F5FA5">
        <w:rPr>
          <w:u w:val="single"/>
        </w:rPr>
        <w:t>:</w:t>
      </w:r>
    </w:p>
    <w:p w14:paraId="2ED8359B" w14:textId="77777777" w:rsidR="00A00B06" w:rsidRDefault="00A00B06" w:rsidP="003F5FA5">
      <w:pPr>
        <w:rPr>
          <w:u w:val="single"/>
        </w:rPr>
      </w:pPr>
    </w:p>
    <w:p w14:paraId="378D35FA" w14:textId="00F33F26" w:rsidR="00A00B06" w:rsidRPr="00376795" w:rsidRDefault="003F1935" w:rsidP="00A00B06">
      <w:pPr>
        <w:rPr>
          <w:rFonts w:ascii="Segoe UI" w:hAnsi="Segoe UI" w:cs="Segoe UI"/>
        </w:rPr>
      </w:pPr>
      <w:r>
        <w:rPr>
          <w:rFonts w:ascii="Segoe UI" w:hAnsi="Segoe UI" w:cs="Segoe UI"/>
        </w:rPr>
        <w:t>« </w:t>
      </w:r>
      <w:r w:rsidR="00A00B06" w:rsidRPr="00376795">
        <w:rPr>
          <w:rFonts w:ascii="Segoe UI" w:hAnsi="Segoe UI" w:cs="Segoe UI"/>
        </w:rPr>
        <w:t>Tout actionnaire a le droit d'obtenir communication des documents nécessaires pour lui permettre de statuer en toute connaissance de cause sur la gestion et la marche de la société.</w:t>
      </w:r>
    </w:p>
    <w:p w14:paraId="3F5C9A47" w14:textId="77777777" w:rsidR="00A00B06" w:rsidRPr="00376795" w:rsidRDefault="00A00B06" w:rsidP="00A00B06">
      <w:pPr>
        <w:rPr>
          <w:rFonts w:ascii="Segoe UI" w:hAnsi="Segoe UI" w:cs="Segoe UI"/>
        </w:rPr>
      </w:pPr>
    </w:p>
    <w:p w14:paraId="5E976331" w14:textId="7562F82D" w:rsidR="00A00B06" w:rsidRDefault="00A00B06" w:rsidP="00A00B06">
      <w:pPr>
        <w:rPr>
          <w:rFonts w:ascii="Segoe UI" w:hAnsi="Segoe UI" w:cs="Segoe UI"/>
        </w:rPr>
      </w:pPr>
      <w:r w:rsidRPr="00376795">
        <w:rPr>
          <w:rFonts w:ascii="Segoe UI" w:hAnsi="Segoe UI" w:cs="Segoe UI"/>
        </w:rPr>
        <w:t>La nature de ces documents et les conditions de leur envoi ou mise à disposition sont déterminées par la loi et les règlements.</w:t>
      </w:r>
      <w:r>
        <w:rPr>
          <w:rFonts w:ascii="Segoe UI" w:hAnsi="Segoe UI" w:cs="Segoe UI"/>
        </w:rPr>
        <w:t> »</w:t>
      </w:r>
    </w:p>
    <w:p w14:paraId="70D7D892" w14:textId="77777777" w:rsidR="00A00B06" w:rsidRDefault="00A00B06" w:rsidP="00A00B06">
      <w:pPr>
        <w:rPr>
          <w:rFonts w:ascii="Segoe UI" w:hAnsi="Segoe UI" w:cs="Segoe UI"/>
        </w:rPr>
      </w:pPr>
    </w:p>
    <w:p w14:paraId="3B914A1D" w14:textId="39B2989F" w:rsidR="00A00B06" w:rsidRPr="00A00B06" w:rsidRDefault="00A00B06" w:rsidP="00A00B06">
      <w:pPr>
        <w:rPr>
          <w:b/>
          <w:i/>
        </w:rPr>
      </w:pPr>
      <w:r w:rsidRPr="00983264">
        <w:rPr>
          <w:b/>
          <w:i/>
        </w:rPr>
        <w:t>(</w:t>
      </w:r>
      <w:r>
        <w:rPr>
          <w:b/>
          <w:i/>
        </w:rPr>
        <w:t>A</w:t>
      </w:r>
      <w:r w:rsidRPr="00983264">
        <w:rPr>
          <w:b/>
          <w:i/>
        </w:rPr>
        <w:t>rticle</w:t>
      </w:r>
      <w:r>
        <w:rPr>
          <w:b/>
          <w:i/>
        </w:rPr>
        <w:t xml:space="preserve"> 27</w:t>
      </w:r>
      <w:r w:rsidRPr="00983264">
        <w:rPr>
          <w:b/>
          <w:i/>
        </w:rPr>
        <w:t xml:space="preserve"> des statuts)</w:t>
      </w:r>
    </w:p>
    <w:p w14:paraId="75182D5D" w14:textId="77777777" w:rsidR="00A00B06" w:rsidRPr="00376795" w:rsidRDefault="00A00B06" w:rsidP="00A00B06">
      <w:pPr>
        <w:rPr>
          <w:rFonts w:ascii="Segoe UI" w:hAnsi="Segoe UI" w:cs="Segoe UI"/>
        </w:rPr>
      </w:pPr>
    </w:p>
    <w:p w14:paraId="1999190B" w14:textId="77777777" w:rsidR="003F5FA5" w:rsidRPr="003F5FA5" w:rsidRDefault="003F5FA5" w:rsidP="003F5FA5">
      <w:pPr>
        <w:rPr>
          <w:u w:val="single"/>
        </w:rPr>
      </w:pPr>
      <w:r w:rsidRPr="003F5FA5">
        <w:rPr>
          <w:u w:val="single"/>
        </w:rPr>
        <w:t>- Feuille de présence – Bureau – Procès-verbaux :</w:t>
      </w:r>
    </w:p>
    <w:p w14:paraId="21626C60" w14:textId="77777777" w:rsidR="003F5FA5" w:rsidRPr="00606BEF" w:rsidRDefault="003F5FA5" w:rsidP="003F5FA5">
      <w:pPr>
        <w:rPr>
          <w:b/>
        </w:rPr>
      </w:pPr>
    </w:p>
    <w:p w14:paraId="40174A11" w14:textId="77777777" w:rsidR="00A00B06" w:rsidRPr="00376795" w:rsidRDefault="00A00B06" w:rsidP="00A00B06">
      <w:r w:rsidRPr="00A00B06">
        <w:lastRenderedPageBreak/>
        <w:t>« Une feuille de présence, dûment émargée par les actionnaires présents et les mandataires et à laquelle sont</w:t>
      </w:r>
      <w:r w:rsidRPr="00376795">
        <w:t xml:space="preserve"> annexés les pouvoirs donnés à chaque mandataire, et le cas échéant les formulaires de vote par correspondance, est certifiée exacte par le bureau de l'Assemblée Générale.</w:t>
      </w:r>
    </w:p>
    <w:p w14:paraId="5881465D" w14:textId="77777777" w:rsidR="00A00B06" w:rsidRPr="00376795" w:rsidRDefault="00A00B06" w:rsidP="00A00B06"/>
    <w:p w14:paraId="727555F8" w14:textId="77777777" w:rsidR="00A00B06" w:rsidRPr="00376795" w:rsidRDefault="00A00B06" w:rsidP="00A00B06">
      <w:r w:rsidRPr="00376795">
        <w:t>Les Assemblées sont présidées par le Président du Conseil d'Administration ou, en son absence, par un vice-président ou par un administrateur spécialement délégué à cet effet par le Conseil. A défaut, l'Assemblée Générale désigne elle-même son Président.</w:t>
      </w:r>
    </w:p>
    <w:p w14:paraId="1A6FF26C" w14:textId="77777777" w:rsidR="00A00B06" w:rsidRPr="00376795" w:rsidRDefault="00A00B06" w:rsidP="00A00B06"/>
    <w:p w14:paraId="53B3DF4B" w14:textId="77777777" w:rsidR="00A00B06" w:rsidRPr="00376795" w:rsidRDefault="00A00B06" w:rsidP="00A00B06">
      <w:r w:rsidRPr="00376795">
        <w:t>Les fonctions de Scrutateurs sont remplies par les deux actionnaires, présents et acceptants, qui disposent, tant par eux-mêmes que comme mandataires, du plus grand nombre de voix.</w:t>
      </w:r>
    </w:p>
    <w:p w14:paraId="368A13B8" w14:textId="77777777" w:rsidR="00A00B06" w:rsidRPr="00376795" w:rsidRDefault="00A00B06" w:rsidP="00A00B06"/>
    <w:p w14:paraId="6A233AA8" w14:textId="77777777" w:rsidR="00A00B06" w:rsidRPr="00376795" w:rsidRDefault="00A00B06" w:rsidP="00A00B06">
      <w:r w:rsidRPr="00376795">
        <w:t>Le bureau ainsi composé, désigne un Secrétaire qui peut ne pas être actionnaire.</w:t>
      </w:r>
    </w:p>
    <w:p w14:paraId="648E1D70" w14:textId="77777777" w:rsidR="00A00B06" w:rsidRPr="00376795" w:rsidRDefault="00A00B06" w:rsidP="00A00B06"/>
    <w:p w14:paraId="29B8654A" w14:textId="65B56F85" w:rsidR="00BE512B" w:rsidRPr="00A00B06" w:rsidRDefault="00A00B06" w:rsidP="00A00B06">
      <w:r w:rsidRPr="00376795">
        <w:t>Les procès-verbaux sont dressés et les copies ou extraits des délibérations sont délivrés et certifiés conformément à la loi.</w:t>
      </w:r>
      <w:r>
        <w:t> »</w:t>
      </w:r>
    </w:p>
    <w:p w14:paraId="01CE6022" w14:textId="77777777" w:rsidR="003F5FA5" w:rsidRDefault="003F5FA5" w:rsidP="003F5FA5"/>
    <w:p w14:paraId="0AEB4738" w14:textId="13EF4A15" w:rsidR="00A00B06" w:rsidRPr="00A00B06" w:rsidRDefault="00A00B06" w:rsidP="00A00B06">
      <w:pPr>
        <w:rPr>
          <w:b/>
          <w:i/>
        </w:rPr>
      </w:pPr>
      <w:r>
        <w:rPr>
          <w:b/>
          <w:i/>
        </w:rPr>
        <w:t>(A</w:t>
      </w:r>
      <w:r w:rsidRPr="00983264">
        <w:rPr>
          <w:b/>
          <w:i/>
        </w:rPr>
        <w:t>rticle</w:t>
      </w:r>
      <w:r>
        <w:rPr>
          <w:b/>
          <w:i/>
        </w:rPr>
        <w:t xml:space="preserve"> 28</w:t>
      </w:r>
      <w:r w:rsidRPr="00983264">
        <w:rPr>
          <w:b/>
          <w:i/>
        </w:rPr>
        <w:t xml:space="preserve"> des statuts)</w:t>
      </w:r>
    </w:p>
    <w:p w14:paraId="71F8BF2F" w14:textId="77777777" w:rsidR="00A00B06" w:rsidRPr="00606BEF" w:rsidRDefault="00A00B06" w:rsidP="003F5FA5"/>
    <w:p w14:paraId="654AA322" w14:textId="77777777" w:rsidR="003F5FA5" w:rsidRPr="003F5FA5" w:rsidRDefault="003F5FA5" w:rsidP="003F5FA5">
      <w:pPr>
        <w:rPr>
          <w:u w:val="single"/>
        </w:rPr>
      </w:pPr>
      <w:r w:rsidRPr="003F5FA5">
        <w:rPr>
          <w:u w:val="single"/>
        </w:rPr>
        <w:t>- Assemblée Générale Ordinaire :</w:t>
      </w:r>
    </w:p>
    <w:p w14:paraId="7B6144B0" w14:textId="77777777" w:rsidR="003F5FA5" w:rsidRPr="00606BEF" w:rsidRDefault="003F5FA5" w:rsidP="003F5FA5"/>
    <w:p w14:paraId="2410AAF6" w14:textId="391C3A85" w:rsidR="00A00B06" w:rsidRPr="00376795" w:rsidRDefault="00A00B06" w:rsidP="00A00B06">
      <w:r>
        <w:t>« </w:t>
      </w:r>
      <w:r w:rsidRPr="00376795">
        <w:t>L'Assemblée Générale Ordinaire prend toutes les décisions excédant les pouvoirs du Conseil d'Administration et qui ne modifient pas les statuts.</w:t>
      </w:r>
    </w:p>
    <w:p w14:paraId="2E7B6CD8" w14:textId="77777777" w:rsidR="00A00B06" w:rsidRPr="00376795" w:rsidRDefault="00A00B06" w:rsidP="00A00B06"/>
    <w:p w14:paraId="500B6D44" w14:textId="77777777" w:rsidR="00A00B06" w:rsidRPr="00376795" w:rsidRDefault="00A00B06" w:rsidP="00A00B06">
      <w:r w:rsidRPr="00376795">
        <w:t>Elle est réunie au moins une fois par an, dans les délais légaux et réglementaires en vigueur, pour statuer sur les comptes de l'exercice écoulé.</w:t>
      </w:r>
    </w:p>
    <w:p w14:paraId="616B9887" w14:textId="77777777" w:rsidR="00A00B06" w:rsidRPr="00376795" w:rsidRDefault="00A00B06" w:rsidP="00A00B06"/>
    <w:p w14:paraId="77C7502D" w14:textId="77777777" w:rsidR="00A00B06" w:rsidRPr="00376795" w:rsidRDefault="00A00B06" w:rsidP="00A00B06">
      <w:r w:rsidRPr="00376795">
        <w:t>Elle ne délibère valablement que si les actionnaires présents, représentés ou ayant voté par correspondance possèdent au moins, sur première convocation, le cinquième des actions ayant droit de vote. Sur deuxième convocation, aucun quorum n'est requis.</w:t>
      </w:r>
    </w:p>
    <w:p w14:paraId="345BC616" w14:textId="77777777" w:rsidR="00A00B06" w:rsidRPr="00376795" w:rsidRDefault="00A00B06" w:rsidP="00A00B06"/>
    <w:p w14:paraId="3FCAF7A9" w14:textId="29F3CDF9" w:rsidR="00A00B06" w:rsidRPr="00376795" w:rsidRDefault="00A00B06" w:rsidP="00A00B06">
      <w:r w:rsidRPr="00376795">
        <w:t>Elle statue à la majorité des voix dont disposent les actionnaires présents ou représentés, y compris les actionnaires ayant voté par correspondance.</w:t>
      </w:r>
      <w:r>
        <w:t> »</w:t>
      </w:r>
    </w:p>
    <w:p w14:paraId="32E9D370" w14:textId="77777777" w:rsidR="003F5FA5" w:rsidRDefault="003F5FA5" w:rsidP="003F5FA5"/>
    <w:p w14:paraId="4D197166" w14:textId="733EF036" w:rsidR="00A00B06" w:rsidRPr="00A00B06" w:rsidRDefault="00A00B06" w:rsidP="003F5FA5">
      <w:pPr>
        <w:rPr>
          <w:b/>
          <w:i/>
        </w:rPr>
      </w:pPr>
      <w:r>
        <w:rPr>
          <w:b/>
          <w:i/>
        </w:rPr>
        <w:t>(A</w:t>
      </w:r>
      <w:r w:rsidRPr="00983264">
        <w:rPr>
          <w:b/>
          <w:i/>
        </w:rPr>
        <w:t>rticle</w:t>
      </w:r>
      <w:r>
        <w:rPr>
          <w:b/>
          <w:i/>
        </w:rPr>
        <w:t xml:space="preserve"> 30</w:t>
      </w:r>
      <w:r w:rsidRPr="00983264">
        <w:rPr>
          <w:b/>
          <w:i/>
        </w:rPr>
        <w:t xml:space="preserve"> des statuts)</w:t>
      </w:r>
    </w:p>
    <w:p w14:paraId="4F614003" w14:textId="77777777" w:rsidR="003F5FA5" w:rsidRPr="00606BEF" w:rsidRDefault="003F5FA5" w:rsidP="003F5FA5"/>
    <w:p w14:paraId="60E18223" w14:textId="77777777" w:rsidR="003F5FA5" w:rsidRPr="003F5FA5" w:rsidRDefault="003F5FA5" w:rsidP="003F5FA5">
      <w:pPr>
        <w:rPr>
          <w:u w:val="single"/>
        </w:rPr>
      </w:pPr>
      <w:r w:rsidRPr="003F5FA5">
        <w:rPr>
          <w:u w:val="single"/>
        </w:rPr>
        <w:t>- Assemblée Générale Extraordinaire :</w:t>
      </w:r>
    </w:p>
    <w:p w14:paraId="464A6AC1" w14:textId="77777777" w:rsidR="003F5FA5" w:rsidRPr="00606BEF" w:rsidRDefault="003F5FA5" w:rsidP="003F5FA5">
      <w:pPr>
        <w:rPr>
          <w:b/>
        </w:rPr>
      </w:pPr>
    </w:p>
    <w:p w14:paraId="2C451605" w14:textId="0802E749" w:rsidR="00A00B06" w:rsidRPr="00376795" w:rsidRDefault="00A00B06" w:rsidP="00A00B06">
      <w:r>
        <w:t>« </w:t>
      </w:r>
      <w:r w:rsidRPr="00376795">
        <w:t>L'Assemblée Générale Extraordinaire est seule habilitée à modifier les statuts dans toutes leurs dispositions ; elle ne peut toutefois augmenter les engagements des actionnaires, sous réserve des opérations résultant d'un regroupement d'actions régulièrement effectué.</w:t>
      </w:r>
    </w:p>
    <w:p w14:paraId="716A7F00" w14:textId="77777777" w:rsidR="00A00B06" w:rsidRPr="00376795" w:rsidRDefault="00A00B06" w:rsidP="00A00B06"/>
    <w:p w14:paraId="1D972441" w14:textId="77777777" w:rsidR="00A00B06" w:rsidRPr="00376795" w:rsidRDefault="00A00B06" w:rsidP="00A00B06">
      <w:r w:rsidRPr="00376795">
        <w:t>Elle ne délibère valablement que si les actionnaires présents, représentés ou ayant voté par correspondance possèdent au moins, sur première convocation, le quart et, sur deuxième convocation, le cinquième</w:t>
      </w:r>
      <w:r w:rsidRPr="00376795">
        <w:rPr>
          <w:color w:val="0000FF"/>
        </w:rPr>
        <w:t xml:space="preserve"> </w:t>
      </w:r>
      <w:r w:rsidRPr="00376795">
        <w:t>des actions ayant droit de vote. A défaut de ce dernier quorum, la deuxième Assemblée Générale peut être prorogée à une date postérieure de deux mois au plus à celle à laquelle elle avait été convoquée.</w:t>
      </w:r>
    </w:p>
    <w:p w14:paraId="4A5691D4" w14:textId="77777777" w:rsidR="00A00B06" w:rsidRPr="00376795" w:rsidRDefault="00A00B06" w:rsidP="00A00B06"/>
    <w:p w14:paraId="76253F0A" w14:textId="32D5BC81" w:rsidR="00A00B06" w:rsidRDefault="00A00B06" w:rsidP="00A00B06">
      <w:r w:rsidRPr="00376795">
        <w:t>Elle statue à la majorité des deux tiers des voix dont disposent les actionnaires présents ou représentés, y compris les actionnaires ayant voté par correspondance, sauf dérogation légale.</w:t>
      </w:r>
      <w:r>
        <w:t> »</w:t>
      </w:r>
    </w:p>
    <w:p w14:paraId="4CAD61C0" w14:textId="77777777" w:rsidR="00A00B06" w:rsidRDefault="00A00B06" w:rsidP="00A00B06"/>
    <w:p w14:paraId="431CEA01" w14:textId="2D65B5CD" w:rsidR="003F5FA5" w:rsidRPr="00A00B06" w:rsidRDefault="00A00B06" w:rsidP="003F5FA5">
      <w:pPr>
        <w:rPr>
          <w:b/>
          <w:i/>
        </w:rPr>
      </w:pPr>
      <w:r>
        <w:rPr>
          <w:b/>
          <w:i/>
        </w:rPr>
        <w:t>(A</w:t>
      </w:r>
      <w:r w:rsidRPr="00983264">
        <w:rPr>
          <w:b/>
          <w:i/>
        </w:rPr>
        <w:t>rticle</w:t>
      </w:r>
      <w:r>
        <w:rPr>
          <w:b/>
          <w:i/>
        </w:rPr>
        <w:t xml:space="preserve"> 31</w:t>
      </w:r>
      <w:r w:rsidRPr="00983264">
        <w:rPr>
          <w:b/>
          <w:i/>
        </w:rPr>
        <w:t xml:space="preserve"> des statuts)</w:t>
      </w:r>
    </w:p>
    <w:p w14:paraId="4749F337" w14:textId="77777777" w:rsidR="003F5FA5" w:rsidRPr="00606BEF" w:rsidRDefault="003F5FA5" w:rsidP="003F5FA5"/>
    <w:p w14:paraId="7B04706D" w14:textId="77777777" w:rsidR="003F5FA5" w:rsidRPr="003F5FA5" w:rsidRDefault="003F5FA5" w:rsidP="003F5FA5">
      <w:pPr>
        <w:rPr>
          <w:u w:val="single"/>
        </w:rPr>
      </w:pPr>
      <w:r w:rsidRPr="003F5FA5">
        <w:rPr>
          <w:u w:val="single"/>
        </w:rPr>
        <w:t>- Assemblées spéciales :</w:t>
      </w:r>
    </w:p>
    <w:p w14:paraId="7459F191" w14:textId="77777777" w:rsidR="003F5FA5" w:rsidRPr="00606BEF" w:rsidRDefault="003F5FA5" w:rsidP="003F5FA5"/>
    <w:p w14:paraId="2255E7A0" w14:textId="6F031D02" w:rsidR="00A00B06" w:rsidRPr="00376795" w:rsidRDefault="00A00B06" w:rsidP="00A00B06">
      <w:r>
        <w:t>« </w:t>
      </w:r>
      <w:r w:rsidRPr="00376795">
        <w:t>S'il existe plusieurs catégories d'actions, aucune modification ne peut être faite aux droits des actions d'une de ces catégories, sans vote conforme d'une Assemblée Générale Extraordinaire ouverte à tous les actionnaires et, en outre, sans vote également conforme d'une Assemblée Générale Spéciale ouverte aux seuls propriétaires des actions de la catégorie intéressée.</w:t>
      </w:r>
    </w:p>
    <w:p w14:paraId="54A3A530" w14:textId="77777777" w:rsidR="00A00B06" w:rsidRPr="00376795" w:rsidRDefault="00A00B06" w:rsidP="00A00B06"/>
    <w:p w14:paraId="250507E4" w14:textId="77777777" w:rsidR="00A00B06" w:rsidRPr="00376795" w:rsidRDefault="00A00B06" w:rsidP="00A00B06">
      <w:r w:rsidRPr="00376795">
        <w:t>Les Assemblées Générales Spéciales ne délibèrent valablement que si les actionnaires présents ou représentés possèdent au moins, sur première convocation, le tiers et, sur deuxième convocation, le cinquième des actions de la catégorie concernée. A défaut de ce dernier quorum, la deuxième Assemblée Générale peut être prorogée à une date postérieure de deux mois au plus à celle à laquelle elle avait été convoquée.</w:t>
      </w:r>
    </w:p>
    <w:p w14:paraId="4D0C8D6B" w14:textId="77777777" w:rsidR="00A00B06" w:rsidRPr="00376795" w:rsidRDefault="00A00B06" w:rsidP="00A00B06"/>
    <w:p w14:paraId="759A28AB" w14:textId="111FBBF1" w:rsidR="00A00B06" w:rsidRPr="00376795" w:rsidRDefault="00A00B06" w:rsidP="00A00B06">
      <w:r w:rsidRPr="00376795">
        <w:t>Pour le reste, elles sont convoquées et délibèrent dans les mêmes conditions que les Assemblées Générales Extraordinaires.</w:t>
      </w:r>
      <w:r>
        <w:t> »</w:t>
      </w:r>
    </w:p>
    <w:p w14:paraId="0BF999D7" w14:textId="77777777" w:rsidR="003F5FA5" w:rsidRDefault="003F5FA5" w:rsidP="003F5FA5"/>
    <w:p w14:paraId="20C28775" w14:textId="01CF976E" w:rsidR="00A00B06" w:rsidRPr="00A00B06" w:rsidRDefault="00A00B06" w:rsidP="00A00B06">
      <w:pPr>
        <w:rPr>
          <w:b/>
          <w:i/>
        </w:rPr>
      </w:pPr>
      <w:r>
        <w:rPr>
          <w:b/>
          <w:i/>
        </w:rPr>
        <w:t>(A</w:t>
      </w:r>
      <w:r w:rsidRPr="00983264">
        <w:rPr>
          <w:b/>
          <w:i/>
        </w:rPr>
        <w:t>rticle</w:t>
      </w:r>
      <w:r>
        <w:rPr>
          <w:b/>
          <w:i/>
        </w:rPr>
        <w:t xml:space="preserve"> 32</w:t>
      </w:r>
      <w:r w:rsidRPr="00983264">
        <w:rPr>
          <w:b/>
          <w:i/>
        </w:rPr>
        <w:t xml:space="preserve"> des statuts)</w:t>
      </w:r>
    </w:p>
    <w:p w14:paraId="0979CD38" w14:textId="77777777" w:rsidR="00A00B06" w:rsidRPr="003F5FA5" w:rsidRDefault="00A00B06" w:rsidP="003F5FA5"/>
    <w:p w14:paraId="018F8C0D" w14:textId="432FDC84" w:rsidR="00CF0C5B" w:rsidRDefault="00A247E0" w:rsidP="00C032EC">
      <w:pPr>
        <w:pStyle w:val="Titre3"/>
      </w:pPr>
      <w:bookmarkStart w:id="341" w:name="_Toc475033292"/>
      <w:r>
        <w:t>19</w:t>
      </w:r>
      <w:r w:rsidR="000A790B">
        <w:t>.2.5</w:t>
      </w:r>
      <w:r w:rsidR="00C032EC">
        <w:t xml:space="preserve"> </w:t>
      </w:r>
      <w:r w:rsidR="00CF0C5B">
        <w:t>Franchissements de seuils statutaires</w:t>
      </w:r>
      <w:bookmarkEnd w:id="341"/>
      <w:r w:rsidR="00CF0C5B">
        <w:t xml:space="preserve"> </w:t>
      </w:r>
    </w:p>
    <w:p w14:paraId="7AFC7203" w14:textId="77777777" w:rsidR="003F5FA5" w:rsidRDefault="003F5FA5" w:rsidP="003F5FA5"/>
    <w:p w14:paraId="41AECC23" w14:textId="2C5AF2D8" w:rsidR="003F5FA5" w:rsidRPr="00E004F2" w:rsidRDefault="00E004F2" w:rsidP="003F5FA5">
      <w:r>
        <w:t>« </w:t>
      </w:r>
      <w:r w:rsidR="003F5FA5" w:rsidRPr="00E004F2">
        <w:t xml:space="preserve">Conformément aux dispositions de l’article L. 233-7 du Code de commerce, toute personne physique ou morale agissant seule ou de concert qui vient à posséder un nombre d’actions représentant plus du vingtième, du dixième, des trois vingtièmes, du cinquième, du quart, des trois dixièmes, du tiers, de la moitié, des deux tiers, des dix-huit vingtièmes ou des dix-neuf vingtièmes du capital ou des droits de vote informe la </w:t>
      </w:r>
      <w:r w:rsidRPr="00E004F2">
        <w:t>S</w:t>
      </w:r>
      <w:r w:rsidR="003F5FA5" w:rsidRPr="00E004F2">
        <w:t xml:space="preserve">ociété dans un délai fixé par décret en Conseil d’Etat, à compter du franchissement de seuil de participation, du nombre total d’actions ou de droits de vote qu’elle possède. Cette information est également donnée dans les mêmes délais lorsque la participation en capital ou en droits de vote devient inférieure aux seuils mentionnés ci-dessus. </w:t>
      </w:r>
    </w:p>
    <w:p w14:paraId="69DA2112" w14:textId="77777777" w:rsidR="003F5FA5" w:rsidRPr="00E004F2" w:rsidRDefault="003F5FA5" w:rsidP="003F5FA5"/>
    <w:p w14:paraId="51517B9A" w14:textId="77777777" w:rsidR="00E004F2" w:rsidRPr="00E004F2" w:rsidRDefault="003F5FA5" w:rsidP="003F5FA5">
      <w:r w:rsidRPr="00E004F2">
        <w:t>La personne physique ou morale concernée informe également l’Autorité des Marchés Financiers, dans un délai et selon les modalités fixées par son règlement général, à compter du franchissement des seuils de participation</w:t>
      </w:r>
      <w:r w:rsidR="00E004F2" w:rsidRPr="00E004F2">
        <w:t>.</w:t>
      </w:r>
    </w:p>
    <w:p w14:paraId="4E7D91EC" w14:textId="4349EAE9" w:rsidR="00E004F2" w:rsidRPr="00E004F2" w:rsidRDefault="003F5FA5" w:rsidP="003F5FA5">
      <w:r w:rsidRPr="00E004F2">
        <w:t>Cette information est portée à la connaissance du public dans les conditions fixées par le règlement général de l’A</w:t>
      </w:r>
      <w:r w:rsidR="00E004F2">
        <w:t>utorité des Marchés Financiers. » (article 12.4 des statuts de Spineway).</w:t>
      </w:r>
    </w:p>
    <w:p w14:paraId="7F9D1787" w14:textId="77777777" w:rsidR="00245596" w:rsidRDefault="00245596" w:rsidP="003F650E"/>
    <w:p w14:paraId="0007BDBC" w14:textId="7FE5893D" w:rsidR="00C1098C" w:rsidRPr="00EF3F18" w:rsidRDefault="003B1AED" w:rsidP="003B1AED">
      <w:r w:rsidRPr="00EF3F18">
        <w:t>Aucun</w:t>
      </w:r>
      <w:r w:rsidR="00245596" w:rsidRPr="00EF3F18">
        <w:t xml:space="preserve"> </w:t>
      </w:r>
      <w:r w:rsidR="006B70F7" w:rsidRPr="00EF3F18">
        <w:t>franchissement de seuils suivant</w:t>
      </w:r>
      <w:r w:rsidR="00245596" w:rsidRPr="00EF3F18">
        <w:t> </w:t>
      </w:r>
      <w:r w:rsidRPr="00EF3F18">
        <w:t>n’a été notifié à Spineway au cours de l’exercice 2020.</w:t>
      </w:r>
    </w:p>
    <w:p w14:paraId="7490C914" w14:textId="77777777" w:rsidR="003B1AED" w:rsidRPr="00BC5D47" w:rsidRDefault="003B1AED" w:rsidP="003B1AED">
      <w:pPr>
        <w:rPr>
          <w:b/>
          <w:color w:val="FF0000"/>
        </w:rPr>
      </w:pPr>
    </w:p>
    <w:p w14:paraId="44067C8F" w14:textId="0A163D76" w:rsidR="00CF0C5B" w:rsidRDefault="00A247E0" w:rsidP="00C032EC">
      <w:pPr>
        <w:pStyle w:val="Titre3"/>
      </w:pPr>
      <w:bookmarkStart w:id="342" w:name="_Toc475033293"/>
      <w:r>
        <w:t>19</w:t>
      </w:r>
      <w:r w:rsidR="000A790B">
        <w:t>.2.6</w:t>
      </w:r>
      <w:r w:rsidR="00C032EC">
        <w:t xml:space="preserve"> </w:t>
      </w:r>
      <w:r w:rsidR="00CF0C5B">
        <w:t>Stipulations particulières régissant les modifications du capital</w:t>
      </w:r>
      <w:bookmarkEnd w:id="342"/>
      <w:r w:rsidR="00CF0C5B">
        <w:t xml:space="preserve"> </w:t>
      </w:r>
      <w:r w:rsidR="00CF0C5B">
        <w:tab/>
      </w:r>
    </w:p>
    <w:p w14:paraId="47E55AAF" w14:textId="77777777" w:rsidR="00C1098C" w:rsidRDefault="00C1098C" w:rsidP="00C1098C"/>
    <w:p w14:paraId="43712DBF" w14:textId="0329DF66" w:rsidR="00E040DB" w:rsidRPr="0051679A" w:rsidRDefault="00C1098C" w:rsidP="00E040DB">
      <w:r w:rsidRPr="0051679A">
        <w:t>Néant</w:t>
      </w:r>
      <w:r w:rsidR="00E040DB" w:rsidRPr="0051679A">
        <w:t xml:space="preserve">  </w:t>
      </w:r>
    </w:p>
    <w:p w14:paraId="0C14F998" w14:textId="77777777" w:rsidR="00AA42EB" w:rsidRDefault="00AA42EB" w:rsidP="00C1098C"/>
    <w:p w14:paraId="0A80D23F" w14:textId="6E121CA4" w:rsidR="00AA42EB" w:rsidRPr="00AA42EB" w:rsidRDefault="00A247E0" w:rsidP="00AA42EB">
      <w:pPr>
        <w:pStyle w:val="Titre3"/>
      </w:pPr>
      <w:bookmarkStart w:id="343" w:name="_Toc475033294"/>
      <w:r>
        <w:t>19</w:t>
      </w:r>
      <w:r w:rsidR="00AA42EB">
        <w:t>.2.7</w:t>
      </w:r>
      <w:r w:rsidR="00AA42EB" w:rsidRPr="00AA42EB">
        <w:t xml:space="preserve">. </w:t>
      </w:r>
      <w:r w:rsidR="00AA42EB">
        <w:t xml:space="preserve">Conditions spécifiques de modification des </w:t>
      </w:r>
      <w:r w:rsidR="00AA42EB" w:rsidRPr="00AA42EB">
        <w:t>droits des actionnaires</w:t>
      </w:r>
      <w:bookmarkEnd w:id="343"/>
      <w:r w:rsidR="00AA42EB" w:rsidRPr="00AA42EB">
        <w:t xml:space="preserve"> </w:t>
      </w:r>
    </w:p>
    <w:p w14:paraId="0B0E6886" w14:textId="77777777" w:rsidR="00AA42EB" w:rsidRDefault="00AA42EB" w:rsidP="00AA42EB">
      <w:pPr>
        <w:rPr>
          <w:rFonts w:cs="Times New Roman"/>
          <w:sz w:val="18"/>
          <w:szCs w:val="18"/>
        </w:rPr>
      </w:pPr>
    </w:p>
    <w:p w14:paraId="42CC818B" w14:textId="77777777" w:rsidR="00AA42EB" w:rsidRDefault="00AA42EB" w:rsidP="00AA42EB">
      <w:r w:rsidRPr="0051679A">
        <w:t xml:space="preserve">Néant  </w:t>
      </w:r>
    </w:p>
    <w:p w14:paraId="43D20A66" w14:textId="77777777" w:rsidR="00AA42EB" w:rsidRDefault="00AA42EB" w:rsidP="00AA42EB"/>
    <w:p w14:paraId="3A92996C" w14:textId="3A64AEF5" w:rsidR="00AA42EB" w:rsidRPr="00313A5D" w:rsidRDefault="00A247E0" w:rsidP="00AA42EB">
      <w:pPr>
        <w:pStyle w:val="Titre3"/>
      </w:pPr>
      <w:bookmarkStart w:id="344" w:name="_Toc475033295"/>
      <w:r>
        <w:t>19</w:t>
      </w:r>
      <w:r w:rsidR="00AA42EB">
        <w:t>.2.8</w:t>
      </w:r>
      <w:r w:rsidR="00AA42EB" w:rsidRPr="00AA42EB">
        <w:t xml:space="preserve">. </w:t>
      </w:r>
      <w:r w:rsidR="00AA42EB">
        <w:t>Di</w:t>
      </w:r>
      <w:r w:rsidR="00AA42EB" w:rsidRPr="00AA42EB">
        <w:t xml:space="preserve">sposition de l'acte constitutif, des statuts, d'une charte ou d'un règlement de </w:t>
      </w:r>
      <w:r w:rsidR="00E36309">
        <w:t>la Société</w:t>
      </w:r>
      <w:r w:rsidR="00AA42EB" w:rsidRPr="00AA42EB">
        <w:t xml:space="preserve"> qui pourrait avoir pour effet de retarder, de différer ou d'empêcher un changement de son contrôle.</w:t>
      </w:r>
      <w:bookmarkEnd w:id="344"/>
    </w:p>
    <w:p w14:paraId="25149B9A" w14:textId="77777777" w:rsidR="00AA42EB" w:rsidRDefault="00AA42EB" w:rsidP="00AA42EB"/>
    <w:p w14:paraId="22A234D8" w14:textId="77777777" w:rsidR="00AA42EB" w:rsidRPr="00AA42EB" w:rsidRDefault="00AA42EB" w:rsidP="00AA42EB">
      <w:r w:rsidRPr="0051679A">
        <w:t>Néant</w:t>
      </w:r>
      <w:r>
        <w:t xml:space="preserve"> </w:t>
      </w:r>
    </w:p>
    <w:p w14:paraId="0417C94E" w14:textId="77777777" w:rsidR="0032696E" w:rsidRPr="00C1098C" w:rsidRDefault="0032696E">
      <w:pPr>
        <w:rPr>
          <w:rFonts w:eastAsiaTheme="majorEastAsia" w:cstheme="majorBidi"/>
          <w:b/>
          <w:bCs/>
          <w:sz w:val="32"/>
          <w:szCs w:val="32"/>
        </w:rPr>
      </w:pPr>
      <w:r w:rsidRPr="00C1098C">
        <w:br w:type="page"/>
      </w:r>
    </w:p>
    <w:p w14:paraId="1F926777" w14:textId="53F4E1F7" w:rsidR="00CF0C5B" w:rsidRPr="0045432D" w:rsidRDefault="00E30553" w:rsidP="00E30553">
      <w:pPr>
        <w:pStyle w:val="Titre1"/>
      </w:pPr>
      <w:bookmarkStart w:id="345" w:name="_Ref337968423"/>
      <w:bookmarkStart w:id="346" w:name="_Toc475033296"/>
      <w:r>
        <w:lastRenderedPageBreak/>
        <w:t>2</w:t>
      </w:r>
      <w:r w:rsidR="00A247E0">
        <w:t>0</w:t>
      </w:r>
      <w:r>
        <w:t xml:space="preserve">. </w:t>
      </w:r>
      <w:r w:rsidR="00CF0C5B" w:rsidRPr="0045432D">
        <w:t>Contrats importants</w:t>
      </w:r>
      <w:bookmarkEnd w:id="345"/>
      <w:bookmarkEnd w:id="346"/>
      <w:r w:rsidR="00CF0C5B" w:rsidRPr="0045432D">
        <w:t xml:space="preserve"> </w:t>
      </w:r>
      <w:r w:rsidR="00CF0C5B" w:rsidRPr="0045432D">
        <w:tab/>
      </w:r>
    </w:p>
    <w:p w14:paraId="4E980790" w14:textId="77777777" w:rsidR="00CF0C5B" w:rsidRDefault="00CF0C5B" w:rsidP="00E30553"/>
    <w:p w14:paraId="3966F628" w14:textId="17B7F9E0" w:rsidR="00E30553" w:rsidRDefault="00E30553" w:rsidP="00E30553">
      <w:pPr>
        <w:rPr>
          <w:szCs w:val="20"/>
        </w:rPr>
      </w:pPr>
      <w:r w:rsidRPr="007B0379">
        <w:rPr>
          <w:szCs w:val="20"/>
        </w:rPr>
        <w:t>A l’exception d</w:t>
      </w:r>
      <w:r w:rsidR="00A0729C">
        <w:rPr>
          <w:szCs w:val="20"/>
        </w:rPr>
        <w:t>es</w:t>
      </w:r>
      <w:r w:rsidRPr="007B0379">
        <w:rPr>
          <w:szCs w:val="20"/>
        </w:rPr>
        <w:t xml:space="preserve"> contrats décrit ci-après, la Société n’a pas conclu, au cours de la dernière année, de contrats</w:t>
      </w:r>
      <w:r w:rsidRPr="0032696E">
        <w:rPr>
          <w:szCs w:val="20"/>
        </w:rPr>
        <w:t xml:space="preserve"> significatifs autres que ceux </w:t>
      </w:r>
      <w:r w:rsidR="007B0379">
        <w:rPr>
          <w:szCs w:val="20"/>
        </w:rPr>
        <w:t>évoqués au paragraphe « </w:t>
      </w:r>
      <w:r w:rsidR="00741317">
        <w:rPr>
          <w:szCs w:val="20"/>
        </w:rPr>
        <w:fldChar w:fldCharType="begin"/>
      </w:r>
      <w:r w:rsidR="007B0379">
        <w:rPr>
          <w:szCs w:val="20"/>
        </w:rPr>
        <w:instrText xml:space="preserve"> REF _Ref337720237 \h </w:instrText>
      </w:r>
      <w:r w:rsidR="00741317">
        <w:rPr>
          <w:szCs w:val="20"/>
        </w:rPr>
      </w:r>
      <w:r w:rsidR="00741317">
        <w:rPr>
          <w:szCs w:val="20"/>
        </w:rPr>
        <w:fldChar w:fldCharType="separate"/>
      </w:r>
      <w:r w:rsidR="003A0AD1">
        <w:t>17.1 Rapport spécial établi pour l’exercice clos le 31 décembre 20</w:t>
      </w:r>
      <w:r w:rsidR="00741317">
        <w:rPr>
          <w:szCs w:val="20"/>
        </w:rPr>
        <w:fldChar w:fldCharType="end"/>
      </w:r>
      <w:r w:rsidR="00EF3F18">
        <w:rPr>
          <w:szCs w:val="20"/>
        </w:rPr>
        <w:t>20</w:t>
      </w:r>
      <w:r w:rsidR="007B0379">
        <w:rPr>
          <w:szCs w:val="20"/>
        </w:rPr>
        <w:t xml:space="preserve"> » et que ceux </w:t>
      </w:r>
      <w:r w:rsidRPr="0032696E">
        <w:rPr>
          <w:szCs w:val="20"/>
        </w:rPr>
        <w:t>conclu</w:t>
      </w:r>
      <w:r w:rsidR="007B0379">
        <w:rPr>
          <w:szCs w:val="20"/>
        </w:rPr>
        <w:t>s</w:t>
      </w:r>
      <w:r w:rsidRPr="0032696E">
        <w:rPr>
          <w:szCs w:val="20"/>
        </w:rPr>
        <w:t xml:space="preserve"> dans le cadre normal des affaires :</w:t>
      </w:r>
    </w:p>
    <w:p w14:paraId="09AA1A8F" w14:textId="77777777" w:rsidR="00A57171" w:rsidRDefault="00A57171" w:rsidP="00A57171"/>
    <w:p w14:paraId="6094C704" w14:textId="03ABE8E8" w:rsidR="00376E36" w:rsidRPr="0067311E" w:rsidRDefault="00376E36" w:rsidP="00376E36">
      <w:pPr>
        <w:pStyle w:val="Titre2"/>
      </w:pPr>
      <w:bookmarkStart w:id="347" w:name="_Ref471635099"/>
      <w:bookmarkStart w:id="348" w:name="_Ref472323869"/>
      <w:bookmarkStart w:id="349" w:name="_Ref368927622"/>
      <w:bookmarkStart w:id="350" w:name="_Toc475033297"/>
      <w:r w:rsidRPr="0067311E">
        <w:t>2</w:t>
      </w:r>
      <w:r>
        <w:t>0</w:t>
      </w:r>
      <w:r w:rsidRPr="0067311E">
        <w:t>.</w:t>
      </w:r>
      <w:r>
        <w:t>1</w:t>
      </w:r>
      <w:r w:rsidRPr="0067311E">
        <w:t xml:space="preserve"> Contrat </w:t>
      </w:r>
      <w:r w:rsidR="00B6580F">
        <w:t>de financement</w:t>
      </w:r>
      <w:r>
        <w:t xml:space="preserve"> signé le </w:t>
      </w:r>
      <w:r w:rsidR="00DA6434">
        <w:t>18 octobre 2019</w:t>
      </w:r>
      <w:r>
        <w:t xml:space="preserve"> avec Negma Group L</w:t>
      </w:r>
      <w:r w:rsidR="00DD4B79">
        <w:t>td</w:t>
      </w:r>
      <w:r>
        <w:t xml:space="preserve"> </w:t>
      </w:r>
      <w:r w:rsidRPr="0067311E">
        <w:t>(« </w:t>
      </w:r>
      <w:r w:rsidR="00105356">
        <w:t xml:space="preserve">OCABSA </w:t>
      </w:r>
      <w:r>
        <w:t>Negma</w:t>
      </w:r>
      <w:r w:rsidR="00F92646">
        <w:t xml:space="preserve"> </w:t>
      </w:r>
      <w:r w:rsidRPr="0067311E">
        <w:t>»)</w:t>
      </w:r>
      <w:bookmarkEnd w:id="347"/>
      <w:bookmarkEnd w:id="348"/>
      <w:bookmarkEnd w:id="350"/>
    </w:p>
    <w:p w14:paraId="576EF73D" w14:textId="77777777" w:rsidR="003B5FB5" w:rsidRDefault="003B5FB5" w:rsidP="003B5FB5">
      <w:pPr>
        <w:rPr>
          <w:color w:val="FF0000"/>
          <w:highlight w:val="yellow"/>
        </w:rPr>
      </w:pPr>
    </w:p>
    <w:p w14:paraId="136FEA68" w14:textId="637CB6C3" w:rsidR="00B458E2" w:rsidRPr="00EA3CC9" w:rsidRDefault="00B458E2" w:rsidP="00B458E2">
      <w:pPr>
        <w:pBdr>
          <w:top w:val="single" w:sz="4" w:space="1" w:color="auto"/>
          <w:bottom w:val="single" w:sz="4" w:space="1" w:color="auto"/>
        </w:pBdr>
        <w:rPr>
          <w:i/>
        </w:rPr>
      </w:pPr>
      <w:r>
        <w:rPr>
          <w:i/>
        </w:rPr>
        <w:t>Negma Group LTD</w:t>
      </w:r>
      <w:r w:rsidRPr="00EA3CC9">
        <w:rPr>
          <w:i/>
        </w:rPr>
        <w:t xml:space="preserve"> est </w:t>
      </w:r>
      <w:r w:rsidR="005D79D6">
        <w:rPr>
          <w:i/>
        </w:rPr>
        <w:t>un fond d’investissement anglais</w:t>
      </w:r>
      <w:r w:rsidRPr="00EA3CC9">
        <w:rPr>
          <w:i/>
        </w:rPr>
        <w:t xml:space="preserve"> et dont l</w:t>
      </w:r>
      <w:r>
        <w:rPr>
          <w:i/>
        </w:rPr>
        <w:t>e</w:t>
      </w:r>
      <w:r w:rsidRPr="00EA3CC9">
        <w:rPr>
          <w:i/>
        </w:rPr>
        <w:t xml:space="preserve"> siège social est situé </w:t>
      </w:r>
      <w:r w:rsidR="005D79D6" w:rsidRPr="005D79D6">
        <w:rPr>
          <w:i/>
        </w:rPr>
        <w:t>Road Town, Tortola, VG 1110, British Virgin Islands</w:t>
      </w:r>
      <w:r w:rsidRPr="00EA3CC9">
        <w:rPr>
          <w:i/>
        </w:rPr>
        <w:t>.</w:t>
      </w:r>
    </w:p>
    <w:p w14:paraId="47806542" w14:textId="77777777" w:rsidR="00B458E2" w:rsidRDefault="00B458E2" w:rsidP="00515D2E"/>
    <w:p w14:paraId="603CB660" w14:textId="77777777" w:rsidR="003F1935" w:rsidRDefault="003F1935" w:rsidP="003F1935">
      <w:r w:rsidRPr="00915449">
        <w:t xml:space="preserve">Le </w:t>
      </w:r>
      <w:r>
        <w:t>18 octobre 2019</w:t>
      </w:r>
      <w:r w:rsidRPr="00915449">
        <w:t xml:space="preserve">, </w:t>
      </w:r>
      <w:r>
        <w:t>Negma Group LTD et Spineway ont signé un contrat d’OCABSA.</w:t>
      </w:r>
    </w:p>
    <w:p w14:paraId="142D5B3E" w14:textId="77777777" w:rsidR="003F1935" w:rsidRDefault="003F1935" w:rsidP="003F1935">
      <w:r>
        <w:t>Des avenants ont été signés :</w:t>
      </w:r>
    </w:p>
    <w:p w14:paraId="2B120F40" w14:textId="77777777" w:rsidR="003F1935" w:rsidRDefault="003F1935" w:rsidP="003F1935">
      <w:r>
        <w:t xml:space="preserve">- </w:t>
      </w:r>
      <w:r w:rsidRPr="00165A52">
        <w:t xml:space="preserve">le 19 mai 2020 </w:t>
      </w:r>
      <w:r>
        <w:t>de manière à amender la règle de calcul des compensations compte tenu de l’évolution boursière du titre et de l’incidence de ces compensations en termes de charges financières ; et,</w:t>
      </w:r>
    </w:p>
    <w:p w14:paraId="6EDFC6CA" w14:textId="77777777" w:rsidR="003F1935" w:rsidRPr="00515D2E" w:rsidRDefault="003F1935" w:rsidP="003F1935">
      <w:r>
        <w:t>- en date du</w:t>
      </w:r>
      <w:r w:rsidRPr="00165A52">
        <w:t xml:space="preserve"> </w:t>
      </w:r>
      <w:r>
        <w:t xml:space="preserve">6 </w:t>
      </w:r>
      <w:r w:rsidRPr="00165A52">
        <w:t>janvier 2021</w:t>
      </w:r>
      <w:r>
        <w:t>, lesquels</w:t>
      </w:r>
      <w:r w:rsidRPr="00165A52">
        <w:t xml:space="preserve"> confère</w:t>
      </w:r>
      <w:r>
        <w:t>nt</w:t>
      </w:r>
      <w:r w:rsidRPr="00165A52">
        <w:t xml:space="preserve"> une rétrocession de 34</w:t>
      </w:r>
      <w:r>
        <w:t>0.113.</w:t>
      </w:r>
      <w:r w:rsidRPr="00165A52">
        <w:t>815 BSA à Spineway et une</w:t>
      </w:r>
      <w:r w:rsidRPr="00515D2E">
        <w:t xml:space="preserve"> modification de la couverture des BSA qui passe à 20% (versus 30% auparavant).</w:t>
      </w:r>
    </w:p>
    <w:p w14:paraId="19DA2A99" w14:textId="77777777" w:rsidR="003F1935" w:rsidRDefault="003F1935" w:rsidP="003F1935">
      <w:pPr>
        <w:widowControl w:val="0"/>
        <w:autoSpaceDE w:val="0"/>
        <w:autoSpaceDN w:val="0"/>
        <w:adjustRightInd w:val="0"/>
        <w:rPr>
          <w:rFonts w:ascii="Calibri" w:eastAsia="Times New Roman" w:hAnsi="Calibri" w:cs="Times New Roman"/>
          <w:color w:val="000000"/>
          <w:szCs w:val="20"/>
        </w:rPr>
      </w:pPr>
    </w:p>
    <w:p w14:paraId="61A0E2C2" w14:textId="77777777" w:rsidR="003F1935" w:rsidRDefault="003F1935" w:rsidP="003F1935">
      <w:pPr>
        <w:widowControl w:val="0"/>
        <w:autoSpaceDE w:val="0"/>
        <w:autoSpaceDN w:val="0"/>
        <w:adjustRightInd w:val="0"/>
        <w:rPr>
          <w:rFonts w:ascii="Calibri" w:eastAsia="Times New Roman" w:hAnsi="Calibri" w:cs="Times New Roman"/>
          <w:color w:val="000000"/>
          <w:szCs w:val="20"/>
        </w:rPr>
      </w:pPr>
      <w:r w:rsidRPr="00C52AA2">
        <w:rPr>
          <w:rFonts w:ascii="Calibri" w:eastAsia="Times New Roman" w:hAnsi="Calibri" w:cs="Times New Roman"/>
          <w:color w:val="000000"/>
          <w:szCs w:val="20"/>
        </w:rPr>
        <w:t>Sur délégation de l’</w:t>
      </w:r>
      <w:r>
        <w:rPr>
          <w:rFonts w:ascii="Calibri" w:eastAsia="Times New Roman" w:hAnsi="Calibri" w:cs="Times New Roman"/>
          <w:color w:val="000000"/>
          <w:szCs w:val="20"/>
        </w:rPr>
        <w:t>a</w:t>
      </w:r>
      <w:r w:rsidRPr="00C52AA2">
        <w:rPr>
          <w:rFonts w:ascii="Calibri" w:eastAsia="Times New Roman" w:hAnsi="Calibri" w:cs="Times New Roman"/>
          <w:color w:val="000000"/>
          <w:szCs w:val="20"/>
        </w:rPr>
        <w:t xml:space="preserve">ssemblée </w:t>
      </w:r>
      <w:r>
        <w:rPr>
          <w:rFonts w:ascii="Calibri" w:eastAsia="Times New Roman" w:hAnsi="Calibri" w:cs="Times New Roman"/>
          <w:color w:val="000000"/>
          <w:szCs w:val="20"/>
        </w:rPr>
        <w:t>g</w:t>
      </w:r>
      <w:r w:rsidRPr="00C52AA2">
        <w:rPr>
          <w:rFonts w:ascii="Calibri" w:eastAsia="Times New Roman" w:hAnsi="Calibri" w:cs="Times New Roman"/>
          <w:color w:val="000000"/>
          <w:szCs w:val="20"/>
        </w:rPr>
        <w:t>énérale du 3 octobre 2019, le Conseil d’</w:t>
      </w:r>
      <w:r>
        <w:rPr>
          <w:rFonts w:ascii="Calibri" w:eastAsia="Times New Roman" w:hAnsi="Calibri" w:cs="Times New Roman"/>
          <w:color w:val="000000"/>
          <w:szCs w:val="20"/>
        </w:rPr>
        <w:t>a</w:t>
      </w:r>
      <w:r w:rsidRPr="00C52AA2">
        <w:rPr>
          <w:rFonts w:ascii="Calibri" w:eastAsia="Times New Roman" w:hAnsi="Calibri" w:cs="Times New Roman"/>
          <w:color w:val="000000"/>
          <w:szCs w:val="20"/>
        </w:rPr>
        <w:t xml:space="preserve">dministration du 17 octobre 2019 a décidé </w:t>
      </w:r>
      <w:r>
        <w:rPr>
          <w:rFonts w:ascii="Calibri" w:eastAsia="Times New Roman" w:hAnsi="Calibri" w:cs="Times New Roman"/>
          <w:color w:val="000000"/>
          <w:szCs w:val="20"/>
        </w:rPr>
        <w:t>l’</w:t>
      </w:r>
      <w:r w:rsidRPr="00C52AA2">
        <w:rPr>
          <w:rFonts w:ascii="Calibri" w:eastAsia="Times New Roman" w:hAnsi="Calibri" w:cs="Times New Roman"/>
          <w:color w:val="000000"/>
          <w:szCs w:val="20"/>
        </w:rPr>
        <w:t xml:space="preserve">émission de 16.000 bons d’émission </w:t>
      </w:r>
      <w:r>
        <w:rPr>
          <w:rFonts w:ascii="Calibri" w:eastAsia="Times New Roman" w:hAnsi="Calibri" w:cs="Times New Roman"/>
          <w:color w:val="000000"/>
          <w:szCs w:val="20"/>
        </w:rPr>
        <w:t xml:space="preserve">valables 32 mois et </w:t>
      </w:r>
      <w:r w:rsidRPr="00C52AA2">
        <w:rPr>
          <w:rFonts w:ascii="Calibri" w:eastAsia="Times New Roman" w:hAnsi="Calibri" w:cs="Times New Roman"/>
          <w:color w:val="000000"/>
          <w:szCs w:val="20"/>
        </w:rPr>
        <w:t>donnant lieu, sur exercice,</w:t>
      </w:r>
      <w:r>
        <w:rPr>
          <w:rFonts w:ascii="Calibri" w:eastAsia="Times New Roman" w:hAnsi="Calibri" w:cs="Times New Roman"/>
          <w:color w:val="000000"/>
          <w:szCs w:val="20"/>
        </w:rPr>
        <w:t xml:space="preserve"> </w:t>
      </w:r>
      <w:r w:rsidRPr="00C52AA2">
        <w:rPr>
          <w:rFonts w:ascii="Calibri" w:eastAsia="Times New Roman" w:hAnsi="Calibri" w:cs="Times New Roman"/>
          <w:color w:val="000000"/>
          <w:szCs w:val="20"/>
        </w:rPr>
        <w:t>à l’émission d'un maximum de 16</w:t>
      </w:r>
      <w:r>
        <w:rPr>
          <w:rFonts w:ascii="Calibri" w:eastAsia="Times New Roman" w:hAnsi="Calibri" w:cs="Times New Roman"/>
          <w:color w:val="000000"/>
          <w:szCs w:val="20"/>
        </w:rPr>
        <w:t>.</w:t>
      </w:r>
      <w:r w:rsidRPr="00C52AA2">
        <w:rPr>
          <w:rFonts w:ascii="Calibri" w:eastAsia="Times New Roman" w:hAnsi="Calibri" w:cs="Times New Roman"/>
          <w:color w:val="000000"/>
          <w:szCs w:val="20"/>
        </w:rPr>
        <w:t>000 OCA assorties de BSA  représentant un emprunt</w:t>
      </w:r>
      <w:r>
        <w:rPr>
          <w:rFonts w:ascii="Calibri" w:eastAsia="Times New Roman" w:hAnsi="Calibri" w:cs="Times New Roman"/>
          <w:color w:val="000000"/>
          <w:szCs w:val="20"/>
        </w:rPr>
        <w:t xml:space="preserve"> </w:t>
      </w:r>
      <w:r w:rsidRPr="00C52AA2">
        <w:rPr>
          <w:rFonts w:ascii="Calibri" w:eastAsia="Times New Roman" w:hAnsi="Calibri" w:cs="Times New Roman"/>
          <w:color w:val="000000"/>
          <w:szCs w:val="20"/>
        </w:rPr>
        <w:t>obligataire d’un montant nominal global maximum de 40</w:t>
      </w:r>
      <w:r>
        <w:rPr>
          <w:rFonts w:ascii="Calibri" w:eastAsia="Times New Roman" w:hAnsi="Calibri" w:cs="Times New Roman"/>
          <w:color w:val="000000"/>
          <w:szCs w:val="20"/>
        </w:rPr>
        <w:t>.</w:t>
      </w:r>
      <w:r w:rsidRPr="00C52AA2">
        <w:rPr>
          <w:rFonts w:ascii="Calibri" w:eastAsia="Times New Roman" w:hAnsi="Calibri" w:cs="Times New Roman"/>
          <w:color w:val="000000"/>
          <w:szCs w:val="20"/>
        </w:rPr>
        <w:t>000</w:t>
      </w:r>
      <w:r>
        <w:rPr>
          <w:rFonts w:ascii="Calibri" w:eastAsia="Times New Roman" w:hAnsi="Calibri" w:cs="Times New Roman"/>
          <w:color w:val="000000"/>
          <w:szCs w:val="20"/>
        </w:rPr>
        <w:t>.000 €</w:t>
      </w:r>
      <w:r w:rsidRPr="00C52AA2">
        <w:rPr>
          <w:rFonts w:ascii="Calibri" w:eastAsia="Times New Roman" w:hAnsi="Calibri" w:cs="Times New Roman"/>
          <w:color w:val="000000"/>
          <w:szCs w:val="20"/>
        </w:rPr>
        <w:t>, avec suppression</w:t>
      </w:r>
      <w:r>
        <w:rPr>
          <w:rFonts w:ascii="Calibri" w:eastAsia="Times New Roman" w:hAnsi="Calibri" w:cs="Times New Roman"/>
          <w:color w:val="000000"/>
          <w:szCs w:val="20"/>
        </w:rPr>
        <w:t xml:space="preserve"> </w:t>
      </w:r>
      <w:r w:rsidRPr="00C52AA2">
        <w:rPr>
          <w:rFonts w:ascii="Calibri" w:eastAsia="Times New Roman" w:hAnsi="Calibri" w:cs="Times New Roman"/>
          <w:color w:val="000000"/>
          <w:szCs w:val="20"/>
        </w:rPr>
        <w:t xml:space="preserve">du droit préférentiel de souscription des actionnaires au profit de </w:t>
      </w:r>
      <w:r>
        <w:rPr>
          <w:rFonts w:ascii="Calibri" w:eastAsia="Times New Roman" w:hAnsi="Calibri" w:cs="Times New Roman"/>
          <w:color w:val="000000"/>
          <w:szCs w:val="20"/>
        </w:rPr>
        <w:t>Negma Group</w:t>
      </w:r>
      <w:r w:rsidRPr="00C52AA2">
        <w:rPr>
          <w:rFonts w:ascii="Calibri" w:eastAsia="Times New Roman" w:hAnsi="Calibri" w:cs="Times New Roman"/>
          <w:color w:val="000000"/>
          <w:szCs w:val="20"/>
        </w:rPr>
        <w:t xml:space="preserve"> LTD (</w:t>
      </w:r>
      <w:r>
        <w:rPr>
          <w:rFonts w:ascii="Calibri" w:eastAsia="Times New Roman" w:hAnsi="Calibri" w:cs="Times New Roman"/>
          <w:color w:val="000000"/>
          <w:szCs w:val="20"/>
        </w:rPr>
        <w:t xml:space="preserve">ci-après </w:t>
      </w:r>
      <w:r w:rsidRPr="00C52AA2">
        <w:rPr>
          <w:rFonts w:ascii="Calibri" w:eastAsia="Times New Roman" w:hAnsi="Calibri" w:cs="Times New Roman"/>
          <w:color w:val="000000"/>
          <w:szCs w:val="20"/>
        </w:rPr>
        <w:t>l’</w:t>
      </w:r>
      <w:r>
        <w:rPr>
          <w:rFonts w:ascii="Calibri" w:eastAsia="Times New Roman" w:hAnsi="Calibri" w:cs="Times New Roman"/>
          <w:color w:val="000000"/>
          <w:szCs w:val="20"/>
        </w:rPr>
        <w:t xml:space="preserve"> </w:t>
      </w:r>
      <w:r w:rsidRPr="00C52AA2">
        <w:rPr>
          <w:rFonts w:ascii="Calibri" w:eastAsia="Times New Roman" w:hAnsi="Calibri" w:cs="Times New Roman"/>
          <w:color w:val="000000"/>
          <w:szCs w:val="20"/>
        </w:rPr>
        <w:t>« Investisseur »)</w:t>
      </w:r>
      <w:r>
        <w:rPr>
          <w:rFonts w:ascii="Calibri" w:eastAsia="Times New Roman" w:hAnsi="Calibri" w:cs="Times New Roman"/>
          <w:color w:val="000000"/>
          <w:szCs w:val="20"/>
        </w:rPr>
        <w:t xml:space="preserve">. </w:t>
      </w:r>
    </w:p>
    <w:p w14:paraId="58E100C3" w14:textId="04E5C112" w:rsidR="001F53C3" w:rsidRPr="007D4E3E" w:rsidRDefault="007D4E3E" w:rsidP="007D4E3E">
      <w:pPr>
        <w:spacing w:before="100" w:beforeAutospacing="1" w:after="100" w:afterAutospacing="1"/>
        <w:rPr>
          <w:rFonts w:ascii="Calibri" w:eastAsia="Times New Roman" w:hAnsi="Calibri" w:cs="Times New Roman"/>
          <w:color w:val="000000"/>
          <w:szCs w:val="20"/>
        </w:rPr>
      </w:pPr>
      <w:r w:rsidRPr="007D4E3E">
        <w:rPr>
          <w:rFonts w:ascii="Calibri" w:eastAsia="Times New Roman" w:hAnsi="Calibri" w:cs="Times New Roman"/>
          <w:color w:val="000000"/>
          <w:szCs w:val="20"/>
        </w:rPr>
        <w:t xml:space="preserve">Negma Group LTD n’a pas vocation à rester durablement au capital social de la </w:t>
      </w:r>
      <w:r w:rsidR="0084661C" w:rsidRPr="007D4E3E">
        <w:rPr>
          <w:rFonts w:ascii="Calibri" w:eastAsia="Times New Roman" w:hAnsi="Calibri" w:cs="Times New Roman"/>
          <w:color w:val="000000"/>
          <w:szCs w:val="20"/>
        </w:rPr>
        <w:t>Société</w:t>
      </w:r>
      <w:r w:rsidRPr="007D4E3E">
        <w:rPr>
          <w:rFonts w:ascii="Calibri" w:eastAsia="Times New Roman" w:hAnsi="Calibri" w:cs="Times New Roman"/>
          <w:color w:val="000000"/>
          <w:szCs w:val="20"/>
        </w:rPr>
        <w:t xml:space="preserve">. </w:t>
      </w:r>
    </w:p>
    <w:p w14:paraId="1BDC2EE9" w14:textId="1314BCB7" w:rsidR="007D4E3E" w:rsidRPr="007D4E3E" w:rsidRDefault="007D4E3E" w:rsidP="007D4E3E">
      <w:pPr>
        <w:spacing w:before="100" w:beforeAutospacing="1" w:after="100" w:afterAutospacing="1"/>
        <w:rPr>
          <w:rFonts w:ascii="Calibri" w:eastAsia="Times New Roman" w:hAnsi="Calibri" w:cs="Times New Roman"/>
          <w:color w:val="000000"/>
          <w:szCs w:val="20"/>
        </w:rPr>
      </w:pPr>
      <w:r w:rsidRPr="007D4E3E">
        <w:rPr>
          <w:rFonts w:ascii="Calibri" w:eastAsia="Times New Roman" w:hAnsi="Calibri" w:cs="Times New Roman"/>
          <w:color w:val="000000"/>
          <w:szCs w:val="20"/>
        </w:rPr>
        <w:t>Aux termes du contrat d’émission, l’Investisseur s’est engagé à souscrire, pendant une durée de 32 mois à compter du 18 octobre 2019, 16 000 Bons d’Emission ayant les caractéristiques exposées ci</w:t>
      </w:r>
      <w:r w:rsidR="00F92646">
        <w:rPr>
          <w:rFonts w:ascii="Calibri" w:eastAsia="Times New Roman" w:hAnsi="Calibri" w:cs="Times New Roman"/>
          <w:color w:val="000000"/>
          <w:szCs w:val="20"/>
        </w:rPr>
        <w:t>-</w:t>
      </w:r>
      <w:r w:rsidRPr="007D4E3E">
        <w:rPr>
          <w:rFonts w:ascii="Calibri" w:eastAsia="Times New Roman" w:hAnsi="Calibri" w:cs="Times New Roman"/>
          <w:color w:val="000000"/>
          <w:szCs w:val="20"/>
        </w:rPr>
        <w:t xml:space="preserve">après. </w:t>
      </w:r>
    </w:p>
    <w:p w14:paraId="38576D0B" w14:textId="366C5F95" w:rsidR="007D4E3E" w:rsidRPr="007D4E3E" w:rsidRDefault="007D4E3E" w:rsidP="007D4E3E">
      <w:pPr>
        <w:spacing w:before="100" w:beforeAutospacing="1" w:after="100" w:afterAutospacing="1"/>
        <w:rPr>
          <w:rFonts w:ascii="Calibri" w:eastAsia="Times New Roman" w:hAnsi="Calibri" w:cs="Times New Roman"/>
          <w:color w:val="000000"/>
          <w:szCs w:val="20"/>
        </w:rPr>
      </w:pPr>
      <w:r w:rsidRPr="007D4E3E">
        <w:rPr>
          <w:rFonts w:ascii="Calibri" w:eastAsia="Times New Roman" w:hAnsi="Calibri" w:cs="Times New Roman"/>
          <w:color w:val="000000"/>
          <w:szCs w:val="20"/>
        </w:rPr>
        <w:t xml:space="preserve">Les principales caractéristiques des Bons d’Emission, des OCA et des BSA sont les suivantes : </w:t>
      </w:r>
    </w:p>
    <w:p w14:paraId="0CFF2115" w14:textId="6AC91A94" w:rsidR="007D4E3E" w:rsidRPr="007D4E3E" w:rsidRDefault="007D4E3E" w:rsidP="007D4E3E">
      <w:pPr>
        <w:spacing w:before="100" w:beforeAutospacing="1" w:after="100" w:afterAutospacing="1"/>
        <w:rPr>
          <w:rFonts w:ascii="Calibri" w:eastAsia="Times New Roman" w:hAnsi="Calibri" w:cs="Times New Roman"/>
          <w:color w:val="000000"/>
          <w:szCs w:val="20"/>
          <w:u w:val="single"/>
        </w:rPr>
      </w:pPr>
      <w:r w:rsidRPr="007D4E3E">
        <w:rPr>
          <w:rFonts w:ascii="Calibri" w:eastAsia="Times New Roman" w:hAnsi="Calibri" w:cs="Times New Roman"/>
          <w:color w:val="000000"/>
          <w:szCs w:val="20"/>
          <w:u w:val="single"/>
        </w:rPr>
        <w:t xml:space="preserve">• Principales caractéristiques des Bons d’Emission : </w:t>
      </w:r>
    </w:p>
    <w:p w14:paraId="32A4CD30" w14:textId="3F431189" w:rsidR="007D4E3E" w:rsidRPr="007D4E3E" w:rsidRDefault="007D4E3E" w:rsidP="007D4E3E">
      <w:pPr>
        <w:spacing w:before="100" w:beforeAutospacing="1" w:after="100" w:afterAutospacing="1"/>
        <w:rPr>
          <w:rFonts w:ascii="Calibri" w:eastAsia="Times New Roman" w:hAnsi="Calibri" w:cs="Times New Roman"/>
          <w:color w:val="000000"/>
          <w:szCs w:val="20"/>
        </w:rPr>
      </w:pPr>
      <w:r w:rsidRPr="007D4E3E">
        <w:rPr>
          <w:rFonts w:ascii="Calibri" w:eastAsia="Times New Roman" w:hAnsi="Calibri" w:cs="Times New Roman"/>
          <w:color w:val="000000"/>
          <w:szCs w:val="20"/>
        </w:rPr>
        <w:t>Les Bons d’Emission obligent leur porteur, sur demande de la Sociét</w:t>
      </w:r>
      <w:r w:rsidR="002A2692">
        <w:rPr>
          <w:rFonts w:ascii="Calibri" w:eastAsia="Times New Roman" w:hAnsi="Calibri" w:cs="Times New Roman"/>
          <w:color w:val="000000"/>
          <w:szCs w:val="20"/>
        </w:rPr>
        <w:t>é</w:t>
      </w:r>
      <w:r w:rsidRPr="007D4E3E">
        <w:rPr>
          <w:rFonts w:ascii="Calibri" w:eastAsia="Times New Roman" w:hAnsi="Calibri" w:cs="Times New Roman"/>
          <w:color w:val="000000"/>
          <w:szCs w:val="20"/>
        </w:rPr>
        <w:t xml:space="preserve"> et sous réserve de la satisfaction de certaines conditions</w:t>
      </w:r>
      <w:r w:rsidR="002A2692">
        <w:rPr>
          <w:rStyle w:val="Marquenotebasdepage"/>
          <w:rFonts w:ascii="Calibri" w:eastAsia="Times New Roman" w:hAnsi="Calibri" w:cs="Times New Roman"/>
          <w:color w:val="000000"/>
          <w:szCs w:val="20"/>
        </w:rPr>
        <w:footnoteReference w:id="11"/>
      </w:r>
      <w:r w:rsidR="002A2692">
        <w:rPr>
          <w:rFonts w:ascii="Calibri" w:eastAsia="Times New Roman" w:hAnsi="Calibri" w:cs="Times New Roman"/>
          <w:color w:val="000000"/>
          <w:szCs w:val="20"/>
        </w:rPr>
        <w:t xml:space="preserve"> </w:t>
      </w:r>
      <w:r w:rsidRPr="007D4E3E">
        <w:rPr>
          <w:rFonts w:ascii="Calibri" w:eastAsia="Times New Roman" w:hAnsi="Calibri" w:cs="Times New Roman"/>
          <w:color w:val="000000"/>
          <w:szCs w:val="20"/>
        </w:rPr>
        <w:t xml:space="preserve">pendant toute la durée de la </w:t>
      </w:r>
      <w:r w:rsidR="002A2692">
        <w:rPr>
          <w:rFonts w:ascii="Calibri" w:eastAsia="Times New Roman" w:hAnsi="Calibri" w:cs="Times New Roman"/>
          <w:color w:val="000000"/>
          <w:szCs w:val="20"/>
        </w:rPr>
        <w:t>p</w:t>
      </w:r>
      <w:r w:rsidRPr="007D4E3E">
        <w:rPr>
          <w:rFonts w:ascii="Calibri" w:eastAsia="Times New Roman" w:hAnsi="Calibri" w:cs="Times New Roman"/>
          <w:color w:val="000000"/>
          <w:szCs w:val="20"/>
        </w:rPr>
        <w:t>ériode d’</w:t>
      </w:r>
      <w:r w:rsidR="002A2692">
        <w:rPr>
          <w:rFonts w:ascii="Calibri" w:eastAsia="Times New Roman" w:hAnsi="Calibri" w:cs="Times New Roman"/>
          <w:color w:val="000000"/>
          <w:szCs w:val="20"/>
        </w:rPr>
        <w:t>e</w:t>
      </w:r>
      <w:r w:rsidRPr="007D4E3E">
        <w:rPr>
          <w:rFonts w:ascii="Calibri" w:eastAsia="Times New Roman" w:hAnsi="Calibri" w:cs="Times New Roman"/>
          <w:color w:val="000000"/>
          <w:szCs w:val="20"/>
        </w:rPr>
        <w:t xml:space="preserve">ngagement, à souscrire des OCA avec BSA </w:t>
      </w:r>
      <w:r w:rsidR="002A2692" w:rsidRPr="007D4E3E">
        <w:rPr>
          <w:rFonts w:ascii="Calibri" w:eastAsia="Times New Roman" w:hAnsi="Calibri" w:cs="Times New Roman"/>
          <w:color w:val="000000"/>
          <w:szCs w:val="20"/>
        </w:rPr>
        <w:lastRenderedPageBreak/>
        <w:t>attachés</w:t>
      </w:r>
      <w:r w:rsidRPr="007D4E3E">
        <w:rPr>
          <w:rFonts w:ascii="Calibri" w:eastAsia="Times New Roman" w:hAnsi="Calibri" w:cs="Times New Roman"/>
          <w:color w:val="000000"/>
          <w:szCs w:val="20"/>
        </w:rPr>
        <w:t xml:space="preserve">, à raison d’une OCA par Bon d’Emission exercé. La </w:t>
      </w:r>
      <w:r w:rsidR="002A2692" w:rsidRPr="007D4E3E">
        <w:rPr>
          <w:rFonts w:ascii="Calibri" w:eastAsia="Times New Roman" w:hAnsi="Calibri" w:cs="Times New Roman"/>
          <w:color w:val="000000"/>
          <w:szCs w:val="20"/>
        </w:rPr>
        <w:t>Société</w:t>
      </w:r>
      <w:r w:rsidRPr="007D4E3E">
        <w:rPr>
          <w:rFonts w:ascii="Calibri" w:eastAsia="Times New Roman" w:hAnsi="Calibri" w:cs="Times New Roman"/>
          <w:color w:val="000000"/>
          <w:szCs w:val="20"/>
        </w:rPr>
        <w:t xml:space="preserve"> peut ainsi demander l’exercice de Bons d’Emission afin de permettre l’</w:t>
      </w:r>
      <w:r w:rsidR="002A2692" w:rsidRPr="007D4E3E">
        <w:rPr>
          <w:rFonts w:ascii="Calibri" w:eastAsia="Times New Roman" w:hAnsi="Calibri" w:cs="Times New Roman"/>
          <w:color w:val="000000"/>
          <w:szCs w:val="20"/>
        </w:rPr>
        <w:t>émission</w:t>
      </w:r>
      <w:r w:rsidRPr="007D4E3E">
        <w:rPr>
          <w:rFonts w:ascii="Calibri" w:eastAsia="Times New Roman" w:hAnsi="Calibri" w:cs="Times New Roman"/>
          <w:color w:val="000000"/>
          <w:szCs w:val="20"/>
        </w:rPr>
        <w:t xml:space="preserve"> d’OCA en plusieurs tranches de 2</w:t>
      </w:r>
      <w:r w:rsidR="002A2692">
        <w:rPr>
          <w:rFonts w:ascii="Calibri" w:eastAsia="Times New Roman" w:hAnsi="Calibri" w:cs="Times New Roman"/>
          <w:color w:val="000000"/>
          <w:szCs w:val="20"/>
        </w:rPr>
        <w:t>.</w:t>
      </w:r>
      <w:r w:rsidRPr="007D4E3E">
        <w:rPr>
          <w:rFonts w:ascii="Calibri" w:eastAsia="Times New Roman" w:hAnsi="Calibri" w:cs="Times New Roman"/>
          <w:color w:val="000000"/>
          <w:szCs w:val="20"/>
        </w:rPr>
        <w:t xml:space="preserve">500 </w:t>
      </w:r>
      <w:r w:rsidR="002A2692">
        <w:rPr>
          <w:rFonts w:ascii="Calibri" w:eastAsia="Times New Roman" w:hAnsi="Calibri" w:cs="Times New Roman"/>
          <w:color w:val="000000"/>
          <w:szCs w:val="20"/>
        </w:rPr>
        <w:t>€</w:t>
      </w:r>
      <w:r w:rsidRPr="007D4E3E">
        <w:rPr>
          <w:rFonts w:ascii="Calibri" w:eastAsia="Times New Roman" w:hAnsi="Calibri" w:cs="Times New Roman"/>
          <w:color w:val="000000"/>
          <w:szCs w:val="20"/>
        </w:rPr>
        <w:t xml:space="preserve"> de valeur nominale chacune. </w:t>
      </w:r>
    </w:p>
    <w:p w14:paraId="77608ADE" w14:textId="4C967B1A" w:rsidR="007D4E3E" w:rsidRPr="007D4E3E" w:rsidRDefault="007D4E3E" w:rsidP="007D4E3E">
      <w:pPr>
        <w:spacing w:before="100" w:beforeAutospacing="1" w:after="100" w:afterAutospacing="1"/>
        <w:rPr>
          <w:rFonts w:ascii="Calibri" w:eastAsia="Times New Roman" w:hAnsi="Calibri" w:cs="Times New Roman"/>
          <w:color w:val="000000"/>
          <w:szCs w:val="20"/>
        </w:rPr>
      </w:pPr>
      <w:r w:rsidRPr="007D4E3E">
        <w:rPr>
          <w:rFonts w:ascii="Calibri" w:eastAsia="Times New Roman" w:hAnsi="Calibri" w:cs="Times New Roman"/>
          <w:color w:val="000000"/>
          <w:szCs w:val="20"/>
        </w:rPr>
        <w:t xml:space="preserve">Les Bons d’Emission seront librement cessibles à tout autre fonds ou </w:t>
      </w:r>
      <w:r w:rsidR="002A2692" w:rsidRPr="007D4E3E">
        <w:rPr>
          <w:rFonts w:ascii="Calibri" w:eastAsia="Times New Roman" w:hAnsi="Calibri" w:cs="Times New Roman"/>
          <w:color w:val="000000"/>
          <w:szCs w:val="20"/>
        </w:rPr>
        <w:t>société</w:t>
      </w:r>
      <w:r w:rsidRPr="007D4E3E">
        <w:rPr>
          <w:rFonts w:ascii="Calibri" w:eastAsia="Times New Roman" w:hAnsi="Calibri" w:cs="Times New Roman"/>
          <w:color w:val="000000"/>
          <w:szCs w:val="20"/>
        </w:rPr>
        <w:t xml:space="preserve"> </w:t>
      </w:r>
      <w:r w:rsidR="002A2692" w:rsidRPr="007D4E3E">
        <w:rPr>
          <w:rFonts w:ascii="Calibri" w:eastAsia="Times New Roman" w:hAnsi="Calibri" w:cs="Times New Roman"/>
          <w:color w:val="000000"/>
          <w:szCs w:val="20"/>
        </w:rPr>
        <w:t>contrôlant</w:t>
      </w:r>
      <w:r w:rsidRPr="007D4E3E">
        <w:rPr>
          <w:rFonts w:ascii="Calibri" w:eastAsia="Times New Roman" w:hAnsi="Calibri" w:cs="Times New Roman"/>
          <w:color w:val="000000"/>
          <w:szCs w:val="20"/>
        </w:rPr>
        <w:t xml:space="preserve"> ou </w:t>
      </w:r>
      <w:r w:rsidR="002A2692" w:rsidRPr="007D4E3E">
        <w:rPr>
          <w:rFonts w:ascii="Calibri" w:eastAsia="Times New Roman" w:hAnsi="Calibri" w:cs="Times New Roman"/>
          <w:color w:val="000000"/>
          <w:szCs w:val="20"/>
        </w:rPr>
        <w:t>contrôlée</w:t>
      </w:r>
      <w:r w:rsidRPr="007D4E3E">
        <w:rPr>
          <w:rFonts w:ascii="Calibri" w:eastAsia="Times New Roman" w:hAnsi="Calibri" w:cs="Times New Roman"/>
          <w:color w:val="000000"/>
          <w:szCs w:val="20"/>
        </w:rPr>
        <w:t xml:space="preserve"> par l'Investisseur mais ne pourront </w:t>
      </w:r>
      <w:r w:rsidR="002A2692" w:rsidRPr="007D4E3E">
        <w:rPr>
          <w:rFonts w:ascii="Calibri" w:eastAsia="Times New Roman" w:hAnsi="Calibri" w:cs="Times New Roman"/>
          <w:color w:val="000000"/>
          <w:szCs w:val="20"/>
        </w:rPr>
        <w:t>être</w:t>
      </w:r>
      <w:r w:rsidRPr="007D4E3E">
        <w:rPr>
          <w:rFonts w:ascii="Calibri" w:eastAsia="Times New Roman" w:hAnsi="Calibri" w:cs="Times New Roman"/>
          <w:color w:val="000000"/>
          <w:szCs w:val="20"/>
        </w:rPr>
        <w:t xml:space="preserve"> </w:t>
      </w:r>
      <w:r w:rsidR="002A2692" w:rsidRPr="007D4E3E">
        <w:rPr>
          <w:rFonts w:ascii="Calibri" w:eastAsia="Times New Roman" w:hAnsi="Calibri" w:cs="Times New Roman"/>
          <w:color w:val="000000"/>
          <w:szCs w:val="20"/>
        </w:rPr>
        <w:t>cédés</w:t>
      </w:r>
      <w:r w:rsidRPr="007D4E3E">
        <w:rPr>
          <w:rFonts w:ascii="Calibri" w:eastAsia="Times New Roman" w:hAnsi="Calibri" w:cs="Times New Roman"/>
          <w:color w:val="000000"/>
          <w:szCs w:val="20"/>
        </w:rPr>
        <w:t xml:space="preserve"> à un tiers sans l’accord </w:t>
      </w:r>
      <w:r w:rsidR="002A2692" w:rsidRPr="007D4E3E">
        <w:rPr>
          <w:rFonts w:ascii="Calibri" w:eastAsia="Times New Roman" w:hAnsi="Calibri" w:cs="Times New Roman"/>
          <w:color w:val="000000"/>
          <w:szCs w:val="20"/>
        </w:rPr>
        <w:t>préalable</w:t>
      </w:r>
      <w:r w:rsidRPr="007D4E3E">
        <w:rPr>
          <w:rFonts w:ascii="Calibri" w:eastAsia="Times New Roman" w:hAnsi="Calibri" w:cs="Times New Roman"/>
          <w:color w:val="000000"/>
          <w:szCs w:val="20"/>
        </w:rPr>
        <w:t xml:space="preserve"> de la </w:t>
      </w:r>
      <w:r w:rsidR="002A2692" w:rsidRPr="007D4E3E">
        <w:rPr>
          <w:rFonts w:ascii="Calibri" w:eastAsia="Times New Roman" w:hAnsi="Calibri" w:cs="Times New Roman"/>
          <w:color w:val="000000"/>
          <w:szCs w:val="20"/>
        </w:rPr>
        <w:t>Société</w:t>
      </w:r>
      <w:r w:rsidRPr="007D4E3E">
        <w:rPr>
          <w:rFonts w:ascii="Calibri" w:eastAsia="Times New Roman" w:hAnsi="Calibri" w:cs="Times New Roman"/>
          <w:color w:val="000000"/>
          <w:szCs w:val="20"/>
        </w:rPr>
        <w:t xml:space="preserve">, ils ne feront pas l’objet d’une demande d’admission aux </w:t>
      </w:r>
      <w:r w:rsidR="002A2692" w:rsidRPr="007D4E3E">
        <w:rPr>
          <w:rFonts w:ascii="Calibri" w:eastAsia="Times New Roman" w:hAnsi="Calibri" w:cs="Times New Roman"/>
          <w:color w:val="000000"/>
          <w:szCs w:val="20"/>
        </w:rPr>
        <w:t>négociations</w:t>
      </w:r>
      <w:r w:rsidRPr="007D4E3E">
        <w:rPr>
          <w:rFonts w:ascii="Calibri" w:eastAsia="Times New Roman" w:hAnsi="Calibri" w:cs="Times New Roman"/>
          <w:color w:val="000000"/>
          <w:szCs w:val="20"/>
        </w:rPr>
        <w:t xml:space="preserve"> sur le marché d’Euronext Growth Paris et ne seront pas </w:t>
      </w:r>
      <w:r w:rsidR="002A2692" w:rsidRPr="007D4E3E">
        <w:rPr>
          <w:rFonts w:ascii="Calibri" w:eastAsia="Times New Roman" w:hAnsi="Calibri" w:cs="Times New Roman"/>
          <w:color w:val="000000"/>
          <w:szCs w:val="20"/>
        </w:rPr>
        <w:t>conséquent</w:t>
      </w:r>
      <w:r w:rsidRPr="007D4E3E">
        <w:rPr>
          <w:rFonts w:ascii="Calibri" w:eastAsia="Times New Roman" w:hAnsi="Calibri" w:cs="Times New Roman"/>
          <w:color w:val="000000"/>
          <w:szCs w:val="20"/>
        </w:rPr>
        <w:t xml:space="preserve"> pas </w:t>
      </w:r>
      <w:r w:rsidR="002A2692" w:rsidRPr="007D4E3E">
        <w:rPr>
          <w:rFonts w:ascii="Calibri" w:eastAsia="Times New Roman" w:hAnsi="Calibri" w:cs="Times New Roman"/>
          <w:color w:val="000000"/>
          <w:szCs w:val="20"/>
        </w:rPr>
        <w:t>cotés</w:t>
      </w:r>
      <w:r w:rsidRPr="007D4E3E">
        <w:rPr>
          <w:rFonts w:ascii="Calibri" w:eastAsia="Times New Roman" w:hAnsi="Calibri" w:cs="Times New Roman"/>
          <w:color w:val="000000"/>
          <w:szCs w:val="20"/>
        </w:rPr>
        <w:t xml:space="preserve">. </w:t>
      </w:r>
    </w:p>
    <w:p w14:paraId="4DBC5E15" w14:textId="658FB181" w:rsidR="007D4E3E" w:rsidRPr="002A2692" w:rsidRDefault="007D4E3E" w:rsidP="007D4E3E">
      <w:pPr>
        <w:spacing w:before="100" w:beforeAutospacing="1" w:after="100" w:afterAutospacing="1"/>
        <w:rPr>
          <w:rFonts w:ascii="Calibri" w:eastAsia="Times New Roman" w:hAnsi="Calibri" w:cs="Times New Roman"/>
          <w:color w:val="000000"/>
          <w:szCs w:val="20"/>
          <w:u w:val="single"/>
        </w:rPr>
      </w:pPr>
      <w:r w:rsidRPr="002A2692">
        <w:rPr>
          <w:rFonts w:ascii="Calibri" w:eastAsia="Times New Roman" w:hAnsi="Calibri" w:cs="Times New Roman"/>
          <w:color w:val="000000"/>
          <w:szCs w:val="20"/>
          <w:u w:val="single"/>
        </w:rPr>
        <w:t xml:space="preserve">• Principales </w:t>
      </w:r>
      <w:r w:rsidR="002A2692" w:rsidRPr="002A2692">
        <w:rPr>
          <w:rFonts w:ascii="Calibri" w:eastAsia="Times New Roman" w:hAnsi="Calibri" w:cs="Times New Roman"/>
          <w:color w:val="000000"/>
          <w:szCs w:val="20"/>
          <w:u w:val="single"/>
        </w:rPr>
        <w:t>caractéristiques</w:t>
      </w:r>
      <w:r w:rsidRPr="002A2692">
        <w:rPr>
          <w:rFonts w:ascii="Calibri" w:eastAsia="Times New Roman" w:hAnsi="Calibri" w:cs="Times New Roman"/>
          <w:color w:val="000000"/>
          <w:szCs w:val="20"/>
          <w:u w:val="single"/>
        </w:rPr>
        <w:t xml:space="preserve"> des OCA : </w:t>
      </w:r>
    </w:p>
    <w:p w14:paraId="4E723A26" w14:textId="3E629709" w:rsidR="007D4E3E" w:rsidRPr="007D4E3E" w:rsidRDefault="007D4E3E" w:rsidP="00C622C2">
      <w:r w:rsidRPr="007D4E3E">
        <w:t>Les OCA ont une valeur nominale de 2</w:t>
      </w:r>
      <w:r w:rsidR="002A2692">
        <w:t>.</w:t>
      </w:r>
      <w:r w:rsidRPr="007D4E3E">
        <w:t xml:space="preserve">500 </w:t>
      </w:r>
      <w:r w:rsidR="002A2692">
        <w:t>€</w:t>
      </w:r>
      <w:r w:rsidRPr="007D4E3E">
        <w:t xml:space="preserve"> chacune souscrite à 100</w:t>
      </w:r>
      <w:r w:rsidR="0084661C">
        <w:t xml:space="preserve"> </w:t>
      </w:r>
      <w:r w:rsidRPr="007D4E3E">
        <w:t xml:space="preserve">% de leur valeur nominale. </w:t>
      </w:r>
    </w:p>
    <w:p w14:paraId="0F2D9A93" w14:textId="0B049C53" w:rsidR="007D4E3E" w:rsidRPr="002A2692" w:rsidRDefault="007D4E3E" w:rsidP="00C622C2">
      <w:r w:rsidRPr="007D4E3E">
        <w:t xml:space="preserve">Les OCA ont une </w:t>
      </w:r>
      <w:r w:rsidR="002A2692" w:rsidRPr="007D4E3E">
        <w:t>maturité</w:t>
      </w:r>
      <w:r w:rsidRPr="007D4E3E">
        <w:t xml:space="preserve"> de 12 mois à compter de leur </w:t>
      </w:r>
      <w:r w:rsidR="002A2692" w:rsidRPr="007D4E3E">
        <w:t>émission</w:t>
      </w:r>
      <w:r w:rsidRPr="007D4E3E">
        <w:t xml:space="preserve">. En cas de survenance d’un cas de </w:t>
      </w:r>
      <w:r w:rsidR="002A2692" w:rsidRPr="007D4E3E">
        <w:t>défaut</w:t>
      </w:r>
      <w:r w:rsidR="00C622C2">
        <w:rPr>
          <w:rStyle w:val="Marquenotebasdepage"/>
        </w:rPr>
        <w:footnoteReference w:id="12"/>
      </w:r>
      <w:r w:rsidRPr="007D4E3E">
        <w:t xml:space="preserve">, d’un </w:t>
      </w:r>
      <w:r w:rsidR="002A2692" w:rsidRPr="007D4E3E">
        <w:t>évènement</w:t>
      </w:r>
      <w:r w:rsidRPr="007D4E3E">
        <w:t xml:space="preserve"> significatif </w:t>
      </w:r>
      <w:r w:rsidR="002A2692" w:rsidRPr="007D4E3E">
        <w:t>défavorable</w:t>
      </w:r>
      <w:r w:rsidR="00C622C2">
        <w:rPr>
          <w:rStyle w:val="Marquenotebasdepage"/>
        </w:rPr>
        <w:footnoteReference w:id="13"/>
      </w:r>
      <w:r w:rsidRPr="007D4E3E">
        <w:t xml:space="preserve">, d’un changement de </w:t>
      </w:r>
      <w:r w:rsidR="002A2692" w:rsidRPr="007D4E3E">
        <w:t>contrôle</w:t>
      </w:r>
      <w:r w:rsidRPr="007D4E3E">
        <w:t xml:space="preserve"> ou en cas de </w:t>
      </w:r>
      <w:r w:rsidR="002A2692" w:rsidRPr="007D4E3E">
        <w:t>défaut</w:t>
      </w:r>
      <w:r w:rsidRPr="007D4E3E">
        <w:t xml:space="preserve"> de</w:t>
      </w:r>
      <w:r w:rsidRPr="002A2692">
        <w:t xml:space="preserve"> livraison des actions nouvelles </w:t>
      </w:r>
      <w:r w:rsidR="002A2692" w:rsidRPr="002A2692">
        <w:t>conformément</w:t>
      </w:r>
      <w:r w:rsidRPr="002A2692">
        <w:t xml:space="preserve"> au </w:t>
      </w:r>
      <w:r w:rsidR="003F1935">
        <w:t>contrat</w:t>
      </w:r>
      <w:r w:rsidRPr="002A2692">
        <w:t xml:space="preserve">, les OCA non converties devront </w:t>
      </w:r>
      <w:r w:rsidR="002A2692" w:rsidRPr="002A2692">
        <w:t>être</w:t>
      </w:r>
      <w:r w:rsidRPr="002A2692">
        <w:t xml:space="preserve"> </w:t>
      </w:r>
      <w:r w:rsidR="002A2692" w:rsidRPr="002A2692">
        <w:t>remboursées</w:t>
      </w:r>
      <w:r w:rsidRPr="002A2692">
        <w:t xml:space="preserve"> par la </w:t>
      </w:r>
      <w:r w:rsidR="002A2692" w:rsidRPr="002A2692">
        <w:t>Société</w:t>
      </w:r>
      <w:r w:rsidRPr="002A2692">
        <w:t xml:space="preserve">́ à leur valeur nominale. </w:t>
      </w:r>
      <w:r w:rsidR="002A2692" w:rsidRPr="002A2692">
        <w:t>Arrivée</w:t>
      </w:r>
      <w:r w:rsidRPr="002A2692">
        <w:t xml:space="preserve"> à </w:t>
      </w:r>
      <w:r w:rsidR="002A2692" w:rsidRPr="002A2692">
        <w:t>échéance</w:t>
      </w:r>
      <w:r w:rsidRPr="002A2692">
        <w:t xml:space="preserve">, les OCA seront converties par leur porteur en actions </w:t>
      </w:r>
      <w:r w:rsidR="002A2692">
        <w:t>Spineway</w:t>
      </w:r>
      <w:r w:rsidRPr="002A2692">
        <w:t xml:space="preserve">. Les OCA ne porteront pas </w:t>
      </w:r>
      <w:r w:rsidR="002A2692" w:rsidRPr="002A2692">
        <w:t>intérêt</w:t>
      </w:r>
      <w:r w:rsidRPr="002A2692">
        <w:t xml:space="preserve">. </w:t>
      </w:r>
    </w:p>
    <w:p w14:paraId="75459AE9" w14:textId="122CD142" w:rsidR="00A27AD7" w:rsidRPr="00A27AD7" w:rsidRDefault="007D4E3E" w:rsidP="002A2692">
      <w:pPr>
        <w:spacing w:before="100" w:beforeAutospacing="1" w:after="100" w:afterAutospacing="1"/>
        <w:rPr>
          <w:rFonts w:ascii="Calibri" w:eastAsia="Times New Roman" w:hAnsi="Calibri" w:cs="Times New Roman"/>
          <w:color w:val="000000"/>
          <w:szCs w:val="20"/>
        </w:rPr>
      </w:pPr>
      <w:r w:rsidRPr="002A2692">
        <w:rPr>
          <w:rFonts w:ascii="Calibri" w:eastAsia="Times New Roman" w:hAnsi="Calibri" w:cs="Times New Roman"/>
          <w:color w:val="000000"/>
          <w:szCs w:val="20"/>
        </w:rPr>
        <w:t xml:space="preserve">A sa </w:t>
      </w:r>
      <w:r w:rsidR="002A2692" w:rsidRPr="002A2692">
        <w:rPr>
          <w:rFonts w:ascii="Calibri" w:eastAsia="Times New Roman" w:hAnsi="Calibri" w:cs="Times New Roman"/>
          <w:color w:val="000000"/>
          <w:szCs w:val="20"/>
        </w:rPr>
        <w:t>discrétion</w:t>
      </w:r>
      <w:r w:rsidRPr="002A2692">
        <w:rPr>
          <w:rFonts w:ascii="Calibri" w:eastAsia="Times New Roman" w:hAnsi="Calibri" w:cs="Times New Roman"/>
          <w:color w:val="000000"/>
          <w:szCs w:val="20"/>
        </w:rPr>
        <w:t>, l’Investisseur pourra, à tout moment, convertir tout ou partie des OCA en actions nouvelles ordinaires (une «</w:t>
      </w:r>
      <w:r w:rsidR="00A648E8">
        <w:rPr>
          <w:rFonts w:ascii="Calibri" w:eastAsia="Times New Roman" w:hAnsi="Calibri" w:cs="Times New Roman"/>
          <w:color w:val="000000"/>
          <w:szCs w:val="20"/>
        </w:rPr>
        <w:t xml:space="preserve"> </w:t>
      </w:r>
      <w:r w:rsidRPr="002A2692">
        <w:rPr>
          <w:rFonts w:ascii="Calibri" w:eastAsia="Times New Roman" w:hAnsi="Calibri" w:cs="Times New Roman"/>
          <w:color w:val="000000"/>
          <w:szCs w:val="20"/>
        </w:rPr>
        <w:t>Conversion</w:t>
      </w:r>
      <w:r w:rsidR="00A648E8">
        <w:rPr>
          <w:rFonts w:ascii="Calibri" w:eastAsia="Times New Roman" w:hAnsi="Calibri" w:cs="Times New Roman"/>
          <w:color w:val="000000"/>
          <w:szCs w:val="20"/>
        </w:rPr>
        <w:t xml:space="preserve"> </w:t>
      </w:r>
      <w:r w:rsidRPr="002A2692">
        <w:rPr>
          <w:rFonts w:ascii="Calibri" w:eastAsia="Times New Roman" w:hAnsi="Calibri" w:cs="Times New Roman"/>
          <w:color w:val="000000"/>
          <w:szCs w:val="20"/>
        </w:rPr>
        <w:t xml:space="preserve">»). Lors d’une Conversion, l’Investisseur </w:t>
      </w:r>
      <w:r w:rsidR="002A2692" w:rsidRPr="002A2692">
        <w:rPr>
          <w:rFonts w:ascii="Calibri" w:eastAsia="Times New Roman" w:hAnsi="Calibri" w:cs="Times New Roman"/>
          <w:color w:val="000000"/>
          <w:szCs w:val="20"/>
        </w:rPr>
        <w:t>déterminera</w:t>
      </w:r>
      <w:r w:rsidRPr="002A2692">
        <w:rPr>
          <w:rFonts w:ascii="Calibri" w:eastAsia="Times New Roman" w:hAnsi="Calibri" w:cs="Times New Roman"/>
          <w:color w:val="000000"/>
          <w:szCs w:val="20"/>
        </w:rPr>
        <w:t xml:space="preserve"> le nombre d’OCA à convertir et le montant total nominal à convertir (le « Montant Converti »). </w:t>
      </w:r>
    </w:p>
    <w:p w14:paraId="00D7545C" w14:textId="549499D8" w:rsidR="00A27AD7" w:rsidRPr="00A27AD7" w:rsidRDefault="00A27AD7" w:rsidP="000D4DCF">
      <w:pPr>
        <w:spacing w:before="100" w:beforeAutospacing="1" w:after="100" w:afterAutospacing="1"/>
      </w:pPr>
      <w:r w:rsidRPr="00A27AD7">
        <w:t xml:space="preserve">Le nombre d’actions à remettre à l’Investisseur lors de chaque Conversion sera </w:t>
      </w:r>
      <w:r w:rsidR="000D4DCF" w:rsidRPr="00A27AD7">
        <w:t>égal</w:t>
      </w:r>
      <w:r w:rsidRPr="00A27AD7">
        <w:t xml:space="preserve"> au Montant Converti divisé par le Prix de Conversion défini à la date de Conversion. </w:t>
      </w:r>
    </w:p>
    <w:p w14:paraId="5FCC0518" w14:textId="1F91DBB4" w:rsidR="00A27AD7" w:rsidRPr="00A27AD7" w:rsidRDefault="00A27AD7" w:rsidP="000D4DCF">
      <w:pPr>
        <w:spacing w:before="100" w:beforeAutospacing="1" w:after="100" w:afterAutospacing="1"/>
      </w:pPr>
      <w:r w:rsidRPr="00A27AD7">
        <w:t xml:space="preserve">Le prix de conversion (le « Prix de Conversion ») correspondra à 91% du plus bas cours moyen </w:t>
      </w:r>
      <w:r w:rsidR="000D4DCF" w:rsidRPr="00A27AD7">
        <w:t>pondéré</w:t>
      </w:r>
      <w:r w:rsidRPr="00A27AD7">
        <w:t xml:space="preserve">́ par les volumes de l’action Spineway à la </w:t>
      </w:r>
      <w:r w:rsidR="000D4DCF" w:rsidRPr="00A27AD7">
        <w:t>clôture</w:t>
      </w:r>
      <w:r w:rsidRPr="00A27AD7">
        <w:t xml:space="preserve"> (tel que publié par Bloomberg) pendant les treize (13) </w:t>
      </w:r>
      <w:r w:rsidR="000D4DCF" w:rsidRPr="00A27AD7">
        <w:t>séances</w:t>
      </w:r>
      <w:r w:rsidRPr="00A27AD7">
        <w:t xml:space="preserve"> de bourses </w:t>
      </w:r>
      <w:r w:rsidR="000D4DCF" w:rsidRPr="00A27AD7">
        <w:t>consécutives</w:t>
      </w:r>
      <w:r w:rsidRPr="00A27AD7">
        <w:t xml:space="preserve"> </w:t>
      </w:r>
      <w:r w:rsidR="000D4DCF" w:rsidRPr="00A27AD7">
        <w:t>précédant</w:t>
      </w:r>
      <w:r w:rsidRPr="00A27AD7">
        <w:t xml:space="preserve"> </w:t>
      </w:r>
      <w:r w:rsidR="000D4DCF" w:rsidRPr="00A27AD7">
        <w:t>immédiatement</w:t>
      </w:r>
      <w:r w:rsidRPr="00A27AD7">
        <w:t xml:space="preserve"> la date de Conversion (la « Période de Pricing »), sous </w:t>
      </w:r>
      <w:r w:rsidR="000D4DCF" w:rsidRPr="00A27AD7">
        <w:t>réserve</w:t>
      </w:r>
      <w:r w:rsidRPr="00A27AD7">
        <w:t xml:space="preserve"> qu’au cours de cette </w:t>
      </w:r>
      <w:r w:rsidR="000D4DCF" w:rsidRPr="00A27AD7">
        <w:t>Période</w:t>
      </w:r>
      <w:r w:rsidRPr="00A27AD7">
        <w:t xml:space="preserve"> de Pricing, l'Investisseur n’agisse sur le cours de l’action Spineway pour un volume </w:t>
      </w:r>
      <w:r w:rsidR="000D4DCF" w:rsidRPr="00A27AD7">
        <w:t>supérieur</w:t>
      </w:r>
      <w:r w:rsidRPr="00A27AD7">
        <w:t xml:space="preserve"> à 25% des </w:t>
      </w:r>
      <w:r w:rsidR="000D4DCF" w:rsidRPr="00A27AD7">
        <w:t>échanges</w:t>
      </w:r>
      <w:r w:rsidRPr="00A27AD7">
        <w:t xml:space="preserve"> (à l’achat ou à la vente). </w:t>
      </w:r>
    </w:p>
    <w:p w14:paraId="30EC41FD" w14:textId="1D98812A" w:rsidR="00A27AD7" w:rsidRPr="00A27AD7" w:rsidRDefault="00A27AD7" w:rsidP="000D4DCF">
      <w:pPr>
        <w:spacing w:before="100" w:beforeAutospacing="1" w:after="100" w:afterAutospacing="1"/>
      </w:pPr>
      <w:r w:rsidRPr="00A27AD7">
        <w:t xml:space="preserve">Les OCA seront librement cessibles à tout autre fonds ou </w:t>
      </w:r>
      <w:r w:rsidR="000D4DCF" w:rsidRPr="00A27AD7">
        <w:t>société</w:t>
      </w:r>
      <w:r w:rsidRPr="00A27AD7">
        <w:t xml:space="preserve"> </w:t>
      </w:r>
      <w:r w:rsidR="000D4DCF" w:rsidRPr="00A27AD7">
        <w:t>contrôlant</w:t>
      </w:r>
      <w:r w:rsidRPr="00A27AD7">
        <w:t xml:space="preserve"> ou </w:t>
      </w:r>
      <w:r w:rsidR="000D4DCF" w:rsidRPr="00A27AD7">
        <w:t>contrôlée</w:t>
      </w:r>
      <w:r w:rsidRPr="00A27AD7">
        <w:t xml:space="preserve"> par l'Investisseur mais ne pourront </w:t>
      </w:r>
      <w:r w:rsidR="000D4DCF" w:rsidRPr="00A27AD7">
        <w:t>être</w:t>
      </w:r>
      <w:r w:rsidRPr="00A27AD7">
        <w:t xml:space="preserve"> </w:t>
      </w:r>
      <w:r w:rsidR="000D4DCF" w:rsidRPr="00A27AD7">
        <w:t>cédées</w:t>
      </w:r>
      <w:r w:rsidRPr="00A27AD7">
        <w:t xml:space="preserve"> à des tiers sans l’accord </w:t>
      </w:r>
      <w:r w:rsidR="000D4DCF" w:rsidRPr="00A27AD7">
        <w:t>préalable</w:t>
      </w:r>
      <w:r w:rsidRPr="00A27AD7">
        <w:t xml:space="preserve"> de la </w:t>
      </w:r>
      <w:r w:rsidR="000D4DCF" w:rsidRPr="00A27AD7">
        <w:t>Société</w:t>
      </w:r>
      <w:r w:rsidRPr="00A27AD7">
        <w:t xml:space="preserve">́. Elles ne feront pas l’objet d’une demande d’admission aux </w:t>
      </w:r>
      <w:r w:rsidR="000D4DCF" w:rsidRPr="00A27AD7">
        <w:t>négociations</w:t>
      </w:r>
      <w:r w:rsidRPr="00A27AD7">
        <w:t xml:space="preserve"> sur le marché Euronext Growth </w:t>
      </w:r>
      <w:r w:rsidR="00434BAD">
        <w:t>P</w:t>
      </w:r>
      <w:r w:rsidRPr="00A27AD7">
        <w:t xml:space="preserve">aris et ne seront pas </w:t>
      </w:r>
      <w:r w:rsidR="000D4DCF" w:rsidRPr="00A27AD7">
        <w:t>conséquent</w:t>
      </w:r>
      <w:r w:rsidRPr="00A27AD7">
        <w:t xml:space="preserve"> par </w:t>
      </w:r>
      <w:r w:rsidR="000D4DCF" w:rsidRPr="00A27AD7">
        <w:t>cotées</w:t>
      </w:r>
      <w:r w:rsidRPr="00A27AD7">
        <w:t xml:space="preserve">. </w:t>
      </w:r>
    </w:p>
    <w:p w14:paraId="72AC44CC" w14:textId="6CF21D60" w:rsidR="00A27AD7" w:rsidRPr="00A27AD7" w:rsidRDefault="00A27AD7" w:rsidP="00A27AD7">
      <w:pPr>
        <w:spacing w:before="100" w:beforeAutospacing="1" w:after="100" w:afterAutospacing="1"/>
        <w:rPr>
          <w:rFonts w:ascii="Calibri" w:eastAsia="Times New Roman" w:hAnsi="Calibri" w:cs="Times New Roman"/>
          <w:color w:val="000000"/>
          <w:szCs w:val="20"/>
          <w:u w:val="single"/>
        </w:rPr>
      </w:pPr>
      <w:r w:rsidRPr="00A27AD7">
        <w:rPr>
          <w:rFonts w:ascii="Calibri" w:eastAsia="Times New Roman" w:hAnsi="Calibri" w:cs="Times New Roman"/>
          <w:color w:val="000000"/>
          <w:szCs w:val="20"/>
          <w:u w:val="single"/>
        </w:rPr>
        <w:t xml:space="preserve">• Principales </w:t>
      </w:r>
      <w:r w:rsidR="000D4DCF" w:rsidRPr="00A27AD7">
        <w:rPr>
          <w:rFonts w:ascii="Calibri" w:eastAsia="Times New Roman" w:hAnsi="Calibri" w:cs="Times New Roman"/>
          <w:color w:val="000000"/>
          <w:szCs w:val="20"/>
          <w:u w:val="single"/>
        </w:rPr>
        <w:t>caractéristiques</w:t>
      </w:r>
      <w:r w:rsidRPr="00A27AD7">
        <w:rPr>
          <w:rFonts w:ascii="Calibri" w:eastAsia="Times New Roman" w:hAnsi="Calibri" w:cs="Times New Roman"/>
          <w:color w:val="000000"/>
          <w:szCs w:val="20"/>
          <w:u w:val="single"/>
        </w:rPr>
        <w:t xml:space="preserve"> des BSA : </w:t>
      </w:r>
    </w:p>
    <w:p w14:paraId="55D847A9" w14:textId="7796D072" w:rsidR="00A27AD7" w:rsidRPr="000D4DCF" w:rsidRDefault="00A27AD7" w:rsidP="000D4DCF">
      <w:pPr>
        <w:spacing w:before="100" w:beforeAutospacing="1" w:after="100" w:afterAutospacing="1"/>
      </w:pPr>
      <w:r w:rsidRPr="000D4DCF">
        <w:t xml:space="preserve">Chaque OCA sera </w:t>
      </w:r>
      <w:r w:rsidR="000D4DCF" w:rsidRPr="000D4DCF">
        <w:t>émise</w:t>
      </w:r>
      <w:r w:rsidRPr="000D4DCF">
        <w:t xml:space="preserve"> avec un nombre de BSA </w:t>
      </w:r>
      <w:r w:rsidR="000D4DCF" w:rsidRPr="000D4DCF">
        <w:t>égal</w:t>
      </w:r>
      <w:r w:rsidRPr="000D4DCF">
        <w:t xml:space="preserve"> à </w:t>
      </w:r>
      <w:r w:rsidR="0084661C">
        <w:t>2</w:t>
      </w:r>
      <w:r w:rsidRPr="000D4DCF">
        <w:t xml:space="preserve">0% de la valeur nominale d’une OCA divisé par le prix d’exercice des BSA </w:t>
      </w:r>
      <w:r w:rsidR="000D4DCF" w:rsidRPr="000D4DCF">
        <w:t>concernés</w:t>
      </w:r>
      <w:r w:rsidRPr="000D4DCF">
        <w:t xml:space="preserve"> tel que </w:t>
      </w:r>
      <w:r w:rsidR="000D4DCF" w:rsidRPr="000D4DCF">
        <w:t>déterminé</w:t>
      </w:r>
      <w:r w:rsidRPr="000D4DCF">
        <w:t xml:space="preserve"> </w:t>
      </w:r>
      <w:r w:rsidR="000D4DCF" w:rsidRPr="000D4DCF">
        <w:t>ci-après</w:t>
      </w:r>
      <w:r w:rsidRPr="000D4DCF">
        <w:t xml:space="preserve">. Les BSA seront </w:t>
      </w:r>
      <w:r w:rsidR="000D4DCF" w:rsidRPr="000D4DCF">
        <w:t>immédiatement</w:t>
      </w:r>
      <w:r w:rsidRPr="000D4DCF">
        <w:t xml:space="preserve"> </w:t>
      </w:r>
      <w:r w:rsidR="000D4DCF" w:rsidRPr="000D4DCF">
        <w:t>détachés</w:t>
      </w:r>
      <w:r w:rsidRPr="000D4DCF">
        <w:t xml:space="preserve"> des OCA, et chaque BSA donnera droit au porteur de souscrire à une (1) action nouvelle de la </w:t>
      </w:r>
      <w:r w:rsidR="000D4DCF" w:rsidRPr="000D4DCF">
        <w:t>Sociét</w:t>
      </w:r>
      <w:r w:rsidR="000D4DCF">
        <w:t>é</w:t>
      </w:r>
      <w:r w:rsidRPr="000D4DCF">
        <w:t xml:space="preserve">, sous </w:t>
      </w:r>
      <w:r w:rsidR="000D4DCF" w:rsidRPr="000D4DCF">
        <w:t>réserve</w:t>
      </w:r>
      <w:r w:rsidRPr="000D4DCF">
        <w:t xml:space="preserve"> d’ajustement </w:t>
      </w:r>
      <w:r w:rsidR="000D4DCF" w:rsidRPr="000D4DCF">
        <w:t>éventuels</w:t>
      </w:r>
      <w:r w:rsidRPr="000D4DCF">
        <w:t xml:space="preserve">. </w:t>
      </w:r>
    </w:p>
    <w:p w14:paraId="6541FA7B" w14:textId="206B635A" w:rsidR="00A27AD7" w:rsidRPr="000D4DCF" w:rsidRDefault="00A27AD7" w:rsidP="000D4DCF">
      <w:pPr>
        <w:spacing w:before="100" w:beforeAutospacing="1" w:after="100" w:afterAutospacing="1"/>
      </w:pPr>
      <w:r w:rsidRPr="000D4DCF">
        <w:lastRenderedPageBreak/>
        <w:t xml:space="preserve">Le prix d’exercice des BSA </w:t>
      </w:r>
      <w:r w:rsidR="000D4DCF" w:rsidRPr="000D4DCF">
        <w:t>attachés</w:t>
      </w:r>
      <w:r w:rsidRPr="000D4DCF">
        <w:t xml:space="preserve"> aux OCA (le « Prix d’Exercice ») sera </w:t>
      </w:r>
      <w:r w:rsidR="000D4DCF" w:rsidRPr="000D4DCF">
        <w:t>égal</w:t>
      </w:r>
      <w:r w:rsidRPr="000D4DCF">
        <w:t xml:space="preserve"> à 140% du cours moyen </w:t>
      </w:r>
      <w:r w:rsidR="000D4DCF" w:rsidRPr="000D4DCF">
        <w:t>pondéré</w:t>
      </w:r>
      <w:r w:rsidRPr="000D4DCF">
        <w:t xml:space="preserve">́ par les volumes de l’action Spineway au cours des quinze (15) </w:t>
      </w:r>
      <w:r w:rsidR="000D4DCF" w:rsidRPr="000D4DCF">
        <w:t>séances</w:t>
      </w:r>
      <w:r w:rsidRPr="000D4DCF">
        <w:t xml:space="preserve"> de bourse </w:t>
      </w:r>
      <w:r w:rsidR="000D4DCF" w:rsidRPr="000D4DCF">
        <w:t>précédant</w:t>
      </w:r>
      <w:r w:rsidRPr="000D4DCF">
        <w:t xml:space="preserve"> la </w:t>
      </w:r>
      <w:r w:rsidR="003F1935">
        <w:t>r</w:t>
      </w:r>
      <w:r w:rsidR="003F1935" w:rsidRPr="000D4DCF">
        <w:t xml:space="preserve">equête </w:t>
      </w:r>
      <w:r w:rsidR="000D4DCF" w:rsidRPr="000D4DCF">
        <w:t>concernée</w:t>
      </w:r>
      <w:r w:rsidRPr="000D4DCF">
        <w:t xml:space="preserve">, sous </w:t>
      </w:r>
      <w:r w:rsidR="000D4DCF" w:rsidRPr="000D4DCF">
        <w:t>réserve</w:t>
      </w:r>
      <w:r w:rsidRPr="000D4DCF">
        <w:t xml:space="preserve"> qu’au cours de cette </w:t>
      </w:r>
      <w:r w:rsidR="000D4DCF" w:rsidRPr="000D4DCF">
        <w:t>période</w:t>
      </w:r>
      <w:r w:rsidRPr="000D4DCF">
        <w:t xml:space="preserve">, l'Investisseur n’agisse sur le cours de l’action Spineway pour un volume </w:t>
      </w:r>
      <w:r w:rsidR="000D4DCF" w:rsidRPr="000D4DCF">
        <w:t>supérieur</w:t>
      </w:r>
      <w:r w:rsidRPr="000D4DCF">
        <w:t xml:space="preserve"> à 25% des </w:t>
      </w:r>
      <w:r w:rsidR="000D4DCF" w:rsidRPr="000D4DCF">
        <w:t>échanges</w:t>
      </w:r>
      <w:r w:rsidRPr="000D4DCF">
        <w:t xml:space="preserve"> (à l’achat ou à la vente), </w:t>
      </w:r>
      <w:r w:rsidR="000D4DCF" w:rsidRPr="000D4DCF">
        <w:t>étant</w:t>
      </w:r>
      <w:r w:rsidRPr="000D4DCF">
        <w:t xml:space="preserve"> </w:t>
      </w:r>
      <w:r w:rsidR="000D4DCF" w:rsidRPr="000D4DCF">
        <w:t>précisé</w:t>
      </w:r>
      <w:r w:rsidRPr="000D4DCF">
        <w:t xml:space="preserve">́ que pour la </w:t>
      </w:r>
      <w:r w:rsidR="000D4DCF" w:rsidRPr="000D4DCF">
        <w:t>première</w:t>
      </w:r>
      <w:r w:rsidRPr="000D4DCF">
        <w:t xml:space="preserve"> tranche, le Prix d’Exercice des BSA sera </w:t>
      </w:r>
      <w:r w:rsidR="000D4DCF" w:rsidRPr="000D4DCF">
        <w:t>égal</w:t>
      </w:r>
      <w:r w:rsidRPr="000D4DCF">
        <w:t xml:space="preserve"> à 140% du plus bas entre (i) le cours moyen </w:t>
      </w:r>
      <w:r w:rsidR="000D4DCF" w:rsidRPr="000D4DCF">
        <w:t>pondéré</w:t>
      </w:r>
      <w:r w:rsidRPr="000D4DCF">
        <w:t xml:space="preserve">́ par les volumes de l’action Spineway au cours des quinze (15) </w:t>
      </w:r>
      <w:r w:rsidR="000D4DCF" w:rsidRPr="000D4DCF">
        <w:t>séances</w:t>
      </w:r>
      <w:r w:rsidRPr="000D4DCF">
        <w:t xml:space="preserve"> de bourse </w:t>
      </w:r>
      <w:r w:rsidR="000D4DCF" w:rsidRPr="000D4DCF">
        <w:t>précédant</w:t>
      </w:r>
      <w:r w:rsidRPr="000D4DCF">
        <w:t xml:space="preserve"> </w:t>
      </w:r>
      <w:r w:rsidR="000D4DCF" w:rsidRPr="000D4DCF">
        <w:t>immédiatement</w:t>
      </w:r>
      <w:r w:rsidRPr="000D4DCF">
        <w:t xml:space="preserve"> le 18 octobre 2019 et (ii) la moyenne des cours quotidiens moyens </w:t>
      </w:r>
      <w:r w:rsidR="0084661C" w:rsidRPr="000D4DCF">
        <w:t>pondérés</w:t>
      </w:r>
      <w:r w:rsidRPr="000D4DCF">
        <w:t xml:space="preserve"> par les volumes de l’action Spineway au cours des quinze (15) </w:t>
      </w:r>
      <w:r w:rsidR="000D4DCF" w:rsidRPr="000D4DCF">
        <w:t>séances</w:t>
      </w:r>
      <w:r w:rsidRPr="000D4DCF">
        <w:t xml:space="preserve"> de bourse </w:t>
      </w:r>
      <w:r w:rsidR="000D4DCF" w:rsidRPr="000D4DCF">
        <w:t>précédant</w:t>
      </w:r>
      <w:r w:rsidRPr="000D4DCF">
        <w:t xml:space="preserve"> la </w:t>
      </w:r>
      <w:r w:rsidR="000D4DCF" w:rsidRPr="000D4DCF">
        <w:t>Requête</w:t>
      </w:r>
      <w:r w:rsidRPr="000D4DCF">
        <w:t xml:space="preserve"> transmise pour la souscription de la </w:t>
      </w:r>
      <w:r w:rsidR="000D4DCF" w:rsidRPr="000D4DCF">
        <w:t>première</w:t>
      </w:r>
      <w:r w:rsidRPr="000D4DCF">
        <w:t xml:space="preserve"> tranche. </w:t>
      </w:r>
    </w:p>
    <w:p w14:paraId="2F332397" w14:textId="1AC75225" w:rsidR="00A27AD7" w:rsidRPr="000D4DCF" w:rsidRDefault="00A27AD7" w:rsidP="000D4DCF">
      <w:pPr>
        <w:spacing w:before="100" w:beforeAutospacing="1" w:after="100" w:afterAutospacing="1"/>
      </w:pPr>
      <w:r w:rsidRPr="000D4DCF">
        <w:t xml:space="preserve">Les BSA seront </w:t>
      </w:r>
      <w:r w:rsidR="000D4DCF" w:rsidRPr="000D4DCF">
        <w:t>exerçables</w:t>
      </w:r>
      <w:r w:rsidRPr="000D4DCF">
        <w:t xml:space="preserve"> pendant une </w:t>
      </w:r>
      <w:r w:rsidR="000D4DCF" w:rsidRPr="000D4DCF">
        <w:t>période</w:t>
      </w:r>
      <w:r w:rsidRPr="000D4DCF">
        <w:t xml:space="preserve"> de 60 mois à compter de leur date d’</w:t>
      </w:r>
      <w:r w:rsidR="000D4DCF" w:rsidRPr="000D4DCF">
        <w:t>émission</w:t>
      </w:r>
      <w:r w:rsidRPr="000D4DCF">
        <w:t xml:space="preserve"> respective. </w:t>
      </w:r>
    </w:p>
    <w:p w14:paraId="57E928B4" w14:textId="40593958" w:rsidR="00A27AD7" w:rsidRPr="000D4DCF" w:rsidRDefault="00A27AD7" w:rsidP="000D4DCF">
      <w:pPr>
        <w:spacing w:before="100" w:beforeAutospacing="1" w:after="100" w:afterAutospacing="1"/>
      </w:pPr>
      <w:r w:rsidRPr="000D4DCF">
        <w:t xml:space="preserve">Les BSA seront librement cessibles à tout autre fonds ou </w:t>
      </w:r>
      <w:r w:rsidR="000D4DCF" w:rsidRPr="000D4DCF">
        <w:t>société</w:t>
      </w:r>
      <w:r w:rsidRPr="000D4DCF">
        <w:t xml:space="preserve">́ </w:t>
      </w:r>
      <w:r w:rsidR="000D4DCF" w:rsidRPr="000D4DCF">
        <w:t>contrôlant</w:t>
      </w:r>
      <w:r w:rsidRPr="000D4DCF">
        <w:t xml:space="preserve"> ou </w:t>
      </w:r>
      <w:r w:rsidR="000D4DCF" w:rsidRPr="000D4DCF">
        <w:t>contrôlée</w:t>
      </w:r>
      <w:r w:rsidRPr="000D4DCF">
        <w:t xml:space="preserve"> par l'Investisseur mais ne pourront pas </w:t>
      </w:r>
      <w:r w:rsidR="000D4DCF" w:rsidRPr="000D4DCF">
        <w:t>être</w:t>
      </w:r>
      <w:r w:rsidRPr="000D4DCF">
        <w:t xml:space="preserve"> </w:t>
      </w:r>
      <w:r w:rsidR="000D4DCF" w:rsidRPr="000D4DCF">
        <w:t>cédés</w:t>
      </w:r>
      <w:r w:rsidRPr="000D4DCF">
        <w:t xml:space="preserve"> à un tiers sans l’accord </w:t>
      </w:r>
      <w:r w:rsidR="000D4DCF" w:rsidRPr="000D4DCF">
        <w:t>préalable</w:t>
      </w:r>
      <w:r w:rsidRPr="000D4DCF">
        <w:t xml:space="preserve"> de la </w:t>
      </w:r>
      <w:r w:rsidR="000D4DCF" w:rsidRPr="000D4DCF">
        <w:t>Société</w:t>
      </w:r>
      <w:r w:rsidRPr="000D4DCF">
        <w:t xml:space="preserve">́. Ils ne feront pas l’objet d’une demande d’admission aux </w:t>
      </w:r>
      <w:r w:rsidR="000D4DCF" w:rsidRPr="000D4DCF">
        <w:t>négociations</w:t>
      </w:r>
      <w:r w:rsidRPr="000D4DCF">
        <w:t xml:space="preserve"> sur le marché Euronext Growth Paris et ne seront par </w:t>
      </w:r>
      <w:r w:rsidR="000D4DCF" w:rsidRPr="000D4DCF">
        <w:t>conséquent</w:t>
      </w:r>
      <w:r w:rsidRPr="000D4DCF">
        <w:t xml:space="preserve"> pas </w:t>
      </w:r>
      <w:r w:rsidR="000D4DCF" w:rsidRPr="000D4DCF">
        <w:t>cotés</w:t>
      </w:r>
      <w:r w:rsidRPr="000D4DCF">
        <w:t xml:space="preserve">. </w:t>
      </w:r>
    </w:p>
    <w:p w14:paraId="26CB5ADB" w14:textId="3EE00870" w:rsidR="00A27AD7" w:rsidRPr="000D4DCF" w:rsidRDefault="00A27AD7" w:rsidP="000D4DCF">
      <w:pPr>
        <w:spacing w:before="100" w:beforeAutospacing="1" w:after="100" w:afterAutospacing="1"/>
        <w:rPr>
          <w:rFonts w:ascii="Calibri" w:eastAsia="Times New Roman" w:hAnsi="Calibri" w:cs="Times New Roman"/>
          <w:color w:val="000000"/>
          <w:szCs w:val="20"/>
          <w:u w:val="single"/>
        </w:rPr>
      </w:pPr>
      <w:r w:rsidRPr="000D4DCF">
        <w:rPr>
          <w:rFonts w:ascii="Calibri" w:eastAsia="Times New Roman" w:hAnsi="Calibri" w:cs="Times New Roman"/>
          <w:color w:val="000000"/>
          <w:szCs w:val="20"/>
          <w:u w:val="single"/>
        </w:rPr>
        <w:t xml:space="preserve">Actions nouvelles </w:t>
      </w:r>
      <w:r w:rsidR="000D4DCF" w:rsidRPr="000D4DCF">
        <w:rPr>
          <w:rFonts w:ascii="Calibri" w:eastAsia="Times New Roman" w:hAnsi="Calibri" w:cs="Times New Roman"/>
          <w:color w:val="000000"/>
          <w:szCs w:val="20"/>
          <w:u w:val="single"/>
        </w:rPr>
        <w:t>résultant</w:t>
      </w:r>
      <w:r w:rsidRPr="000D4DCF">
        <w:rPr>
          <w:rFonts w:ascii="Calibri" w:eastAsia="Times New Roman" w:hAnsi="Calibri" w:cs="Times New Roman"/>
          <w:color w:val="000000"/>
          <w:szCs w:val="20"/>
          <w:u w:val="single"/>
        </w:rPr>
        <w:t xml:space="preserve"> de la Conversion des OCA ou de l’exercice des BSA </w:t>
      </w:r>
    </w:p>
    <w:p w14:paraId="626958C0" w14:textId="52CF39C1" w:rsidR="00A27AD7" w:rsidRPr="000D4DCF" w:rsidRDefault="00A27AD7" w:rsidP="000D4DCF">
      <w:pPr>
        <w:spacing w:before="100" w:beforeAutospacing="1" w:after="100" w:afterAutospacing="1"/>
      </w:pPr>
      <w:r w:rsidRPr="000D4DCF">
        <w:t xml:space="preserve">Les actions nouvelles </w:t>
      </w:r>
      <w:r w:rsidR="000D4DCF" w:rsidRPr="000D4DCF">
        <w:t>émises</w:t>
      </w:r>
      <w:r w:rsidRPr="000D4DCF">
        <w:t xml:space="preserve"> sur </w:t>
      </w:r>
      <w:r w:rsidR="003F1935">
        <w:t>c</w:t>
      </w:r>
      <w:r w:rsidR="003F1935" w:rsidRPr="000D4DCF">
        <w:t xml:space="preserve">onversion </w:t>
      </w:r>
      <w:r w:rsidRPr="000D4DCF">
        <w:t xml:space="preserve">des OCA et/ou exercice des BSA </w:t>
      </w:r>
      <w:r w:rsidR="000D4DCF" w:rsidRPr="000D4DCF">
        <w:t>dès</w:t>
      </w:r>
      <w:r w:rsidRPr="000D4DCF">
        <w:t xml:space="preserve"> leur </w:t>
      </w:r>
      <w:r w:rsidR="000D4DCF" w:rsidRPr="000D4DCF">
        <w:t>émission</w:t>
      </w:r>
      <w:r w:rsidRPr="000D4DCF">
        <w:t xml:space="preserve">, porteront jouissance courante. Elles seront </w:t>
      </w:r>
      <w:r w:rsidR="000D4DCF" w:rsidRPr="000D4DCF">
        <w:t>entièrement</w:t>
      </w:r>
      <w:r w:rsidRPr="000D4DCF">
        <w:t xml:space="preserve"> </w:t>
      </w:r>
      <w:r w:rsidR="000D4DCF" w:rsidRPr="000D4DCF">
        <w:t>assimilées</w:t>
      </w:r>
      <w:r w:rsidRPr="000D4DCF">
        <w:t xml:space="preserve"> et fongibles avec les actions existantes et seront admises aux </w:t>
      </w:r>
      <w:r w:rsidR="000D4DCF" w:rsidRPr="000D4DCF">
        <w:t>négociations</w:t>
      </w:r>
      <w:r w:rsidRPr="000D4DCF">
        <w:t xml:space="preserve"> sur le marché Euronext Growth Paris sur la </w:t>
      </w:r>
      <w:r w:rsidR="000D4DCF" w:rsidRPr="000D4DCF">
        <w:t>même</w:t>
      </w:r>
      <w:r w:rsidRPr="000D4DCF">
        <w:t xml:space="preserve"> ligne de cotation (code ISIN FR0011398874 – ALSPW). </w:t>
      </w:r>
    </w:p>
    <w:p w14:paraId="0A54C699" w14:textId="54B4C775" w:rsidR="00A27AD7" w:rsidRPr="000D4DCF" w:rsidRDefault="00A27AD7" w:rsidP="002A2692">
      <w:pPr>
        <w:spacing w:before="100" w:beforeAutospacing="1" w:after="100" w:afterAutospacing="1"/>
      </w:pPr>
      <w:r w:rsidRPr="000D4DCF">
        <w:t xml:space="preserve">La </w:t>
      </w:r>
      <w:r w:rsidR="000D4DCF" w:rsidRPr="000D4DCF">
        <w:t>Société</w:t>
      </w:r>
      <w:r w:rsidRPr="000D4DCF">
        <w:t xml:space="preserve">́ tiendra à jour sur son site internet un tableau </w:t>
      </w:r>
      <w:r w:rsidR="000D4DCF" w:rsidRPr="000D4DCF">
        <w:t>récapitulatif</w:t>
      </w:r>
      <w:r w:rsidRPr="000D4DCF">
        <w:t xml:space="preserve"> des Bons d’Emission, des OCA, des BSA et du nombre d’actions en circulation ainsi que les </w:t>
      </w:r>
      <w:r w:rsidR="000D4DCF" w:rsidRPr="000D4DCF">
        <w:t>caractéristiques</w:t>
      </w:r>
      <w:r w:rsidRPr="000D4DCF">
        <w:t xml:space="preserve"> desdites valeurs </w:t>
      </w:r>
      <w:r w:rsidR="000D4DCF" w:rsidRPr="000D4DCF">
        <w:t>mobilières</w:t>
      </w:r>
      <w:r w:rsidRPr="000D4DCF">
        <w:t xml:space="preserve">. </w:t>
      </w:r>
    </w:p>
    <w:p w14:paraId="1329D086" w14:textId="77777777" w:rsidR="00376E36" w:rsidRDefault="00376E36" w:rsidP="00263F89">
      <w:pPr>
        <w:pStyle w:val="Titre2"/>
      </w:pPr>
    </w:p>
    <w:p w14:paraId="140FF680" w14:textId="7E9FE313" w:rsidR="00263F89" w:rsidRPr="0098016E" w:rsidRDefault="00263F89" w:rsidP="00263F89">
      <w:pPr>
        <w:pStyle w:val="Titre2"/>
      </w:pPr>
      <w:bookmarkStart w:id="351" w:name="_Ref471468847"/>
      <w:bookmarkStart w:id="352" w:name="_Toc475033298"/>
      <w:r>
        <w:t>2</w:t>
      </w:r>
      <w:r w:rsidR="00A247E0">
        <w:t>0</w:t>
      </w:r>
      <w:r>
        <w:t>.</w:t>
      </w:r>
      <w:r w:rsidR="00376E36">
        <w:t>2</w:t>
      </w:r>
      <w:r>
        <w:t xml:space="preserve"> </w:t>
      </w:r>
      <w:r w:rsidRPr="0098016E">
        <w:t>Contrat d’investissement signé le 22 septembre 2016 avec Ti</w:t>
      </w:r>
      <w:r>
        <w:t>nav</w:t>
      </w:r>
      <w:r w:rsidRPr="0098016E">
        <w:t>i Medical Technologies</w:t>
      </w:r>
      <w:r w:rsidR="00F22E0F">
        <w:t xml:space="preserve"> </w:t>
      </w:r>
      <w:r>
        <w:t>(« Tinavi »)</w:t>
      </w:r>
      <w:bookmarkEnd w:id="349"/>
      <w:bookmarkEnd w:id="351"/>
      <w:bookmarkEnd w:id="352"/>
    </w:p>
    <w:p w14:paraId="43703928" w14:textId="77777777" w:rsidR="00263F89" w:rsidRDefault="00263F89" w:rsidP="00263F89">
      <w:pPr>
        <w:rPr>
          <w:color w:val="FF0000"/>
        </w:rPr>
      </w:pPr>
    </w:p>
    <w:p w14:paraId="434D9743" w14:textId="77777777" w:rsidR="00263F89" w:rsidRPr="00EA3CC9" w:rsidRDefault="00263F89" w:rsidP="00263F89">
      <w:pPr>
        <w:pBdr>
          <w:top w:val="single" w:sz="4" w:space="1" w:color="auto"/>
          <w:bottom w:val="single" w:sz="4" w:space="1" w:color="auto"/>
        </w:pBdr>
        <w:rPr>
          <w:i/>
        </w:rPr>
      </w:pPr>
      <w:r w:rsidRPr="00EA3CC9">
        <w:rPr>
          <w:i/>
        </w:rPr>
        <w:t>Tinavi Medical Technologies est une société à responsabilité limitée immatriculée en République Populaire de Chine et dont l</w:t>
      </w:r>
      <w:r>
        <w:rPr>
          <w:i/>
        </w:rPr>
        <w:t>e</w:t>
      </w:r>
      <w:r w:rsidRPr="00EA3CC9">
        <w:rPr>
          <w:i/>
        </w:rPr>
        <w:t xml:space="preserve"> siège social est situé 2/F, C-1 Dongsheng Technology Park, 66 Xixiaokou Road, Haidian à </w:t>
      </w:r>
      <w:r>
        <w:rPr>
          <w:i/>
        </w:rPr>
        <w:t>Pékin</w:t>
      </w:r>
      <w:r w:rsidRPr="00EA3CC9">
        <w:rPr>
          <w:i/>
        </w:rPr>
        <w:t xml:space="preserve"> (100192).</w:t>
      </w:r>
    </w:p>
    <w:p w14:paraId="12B0B61E" w14:textId="77777777" w:rsidR="00263F89" w:rsidRDefault="00263F89" w:rsidP="00263F89"/>
    <w:p w14:paraId="20474909" w14:textId="77777777" w:rsidR="00263F89" w:rsidRDefault="00263F89" w:rsidP="00263F89">
      <w:r w:rsidRPr="00874AE0">
        <w:t>Spineway a signé</w:t>
      </w:r>
      <w:r>
        <w:t>, a</w:t>
      </w:r>
      <w:r w:rsidRPr="00874AE0">
        <w:t>vec Tinavi</w:t>
      </w:r>
      <w:r>
        <w:t>,</w:t>
      </w:r>
      <w:r w:rsidRPr="00874AE0">
        <w:t xml:space="preserve"> un contrat de partenariat commercial</w:t>
      </w:r>
      <w:r>
        <w:t xml:space="preserve"> en vue de la distribution en Chine des gammes Spineway (accord de distribution exclusif en date du 22 septembre 2016)</w:t>
      </w:r>
      <w:r w:rsidRPr="00874AE0">
        <w:t xml:space="preserve">. </w:t>
      </w:r>
    </w:p>
    <w:p w14:paraId="6A9E8B0B" w14:textId="1119D5F6" w:rsidR="0067311E" w:rsidRPr="0067311E" w:rsidRDefault="0067311E" w:rsidP="0067311E">
      <w:pPr>
        <w:autoSpaceDE w:val="0"/>
        <w:autoSpaceDN w:val="0"/>
      </w:pPr>
      <w:r w:rsidRPr="0067311E">
        <w:t xml:space="preserve">Ce contrat de distribution exclusive porte sur tout le territoire chinois, à l’exception de Hong Kong. Il a été conclu pour une durée de 5 ans, soit jusqu’au 31 décembre 2021, renouvelable tacitement, sauf dénonciation par l’une ou l’autre des parties 3 mois avant l’échéance dudit contrat. </w:t>
      </w:r>
    </w:p>
    <w:p w14:paraId="6CEFAC05" w14:textId="0760A094" w:rsidR="00926004" w:rsidRDefault="0067311E" w:rsidP="0067311E">
      <w:pPr>
        <w:autoSpaceDE w:val="0"/>
        <w:autoSpaceDN w:val="0"/>
      </w:pPr>
      <w:r w:rsidRPr="0067311E">
        <w:t xml:space="preserve">Les produits sont facturés </w:t>
      </w:r>
      <w:r w:rsidR="00926004">
        <w:t xml:space="preserve">à Tinavi </w:t>
      </w:r>
      <w:r w:rsidRPr="0067311E">
        <w:t xml:space="preserve">par </w:t>
      </w:r>
      <w:r w:rsidR="00926004">
        <w:t>Spineway. Tinavi paie Spineway selon les modalités suivantes :</w:t>
      </w:r>
    </w:p>
    <w:p w14:paraId="17D193BC" w14:textId="6865D653" w:rsidR="00926004" w:rsidRDefault="00926004" w:rsidP="00C622C2">
      <w:pPr>
        <w:pStyle w:val="Paragraphedeliste"/>
        <w:numPr>
          <w:ilvl w:val="0"/>
          <w:numId w:val="5"/>
        </w:numPr>
        <w:autoSpaceDE w:val="0"/>
        <w:autoSpaceDN w:val="0"/>
      </w:pPr>
      <w:r>
        <w:t>au titre de</w:t>
      </w:r>
      <w:r w:rsidRPr="0067311E">
        <w:t xml:space="preserve"> </w:t>
      </w:r>
      <w:r w:rsidR="0067311E" w:rsidRPr="0067311E">
        <w:t xml:space="preserve">2017, </w:t>
      </w:r>
      <w:r>
        <w:t>à hauteur de</w:t>
      </w:r>
      <w:r w:rsidRPr="0067311E">
        <w:t xml:space="preserve"> </w:t>
      </w:r>
      <w:r w:rsidR="0067311E" w:rsidRPr="0067311E">
        <w:t xml:space="preserve">50% à la date de commande et </w:t>
      </w:r>
      <w:r>
        <w:t>à hauteur de</w:t>
      </w:r>
      <w:r w:rsidRPr="0067311E">
        <w:t xml:space="preserve"> </w:t>
      </w:r>
      <w:r w:rsidR="0067311E" w:rsidRPr="0067311E">
        <w:t xml:space="preserve">50% à la date de fourniture de la lettre de transport aérien et, </w:t>
      </w:r>
    </w:p>
    <w:p w14:paraId="6663C56F" w14:textId="0A19542D" w:rsidR="0067311E" w:rsidRPr="0067311E" w:rsidRDefault="00926004" w:rsidP="00C622C2">
      <w:pPr>
        <w:pStyle w:val="Paragraphedeliste"/>
        <w:numPr>
          <w:ilvl w:val="0"/>
          <w:numId w:val="5"/>
        </w:numPr>
        <w:autoSpaceDE w:val="0"/>
        <w:autoSpaceDN w:val="0"/>
      </w:pPr>
      <w:r>
        <w:t>à partir du 1</w:t>
      </w:r>
      <w:r w:rsidRPr="00B23376">
        <w:rPr>
          <w:vertAlign w:val="superscript"/>
        </w:rPr>
        <w:t>er</w:t>
      </w:r>
      <w:r>
        <w:t xml:space="preserve"> janvier</w:t>
      </w:r>
      <w:r w:rsidR="0067311E" w:rsidRPr="0067311E">
        <w:t xml:space="preserve"> 2018</w:t>
      </w:r>
      <w:r>
        <w:t xml:space="preserve">, </w:t>
      </w:r>
      <w:r w:rsidR="0067311E" w:rsidRPr="0067311E">
        <w:t xml:space="preserve">au moyen d’une lettre de crédit à 30 jours de la réception de la facture d’envoi. </w:t>
      </w:r>
    </w:p>
    <w:p w14:paraId="685D9DD4" w14:textId="1ACA68C5" w:rsidR="009E0D78" w:rsidRDefault="009E0D78" w:rsidP="00B23376">
      <w:pPr>
        <w:autoSpaceDE w:val="0"/>
        <w:autoSpaceDN w:val="0"/>
        <w:ind w:right="141"/>
      </w:pPr>
      <w:r w:rsidRPr="009E0D78">
        <w:t xml:space="preserve">Ce contrat </w:t>
      </w:r>
      <w:r>
        <w:t xml:space="preserve">est assorti </w:t>
      </w:r>
      <w:r w:rsidR="00A2190C">
        <w:t>d’un</w:t>
      </w:r>
      <w:r w:rsidR="00A2190C" w:rsidRPr="009E0D78">
        <w:t>e double exclusivité</w:t>
      </w:r>
      <w:r>
        <w:t> :</w:t>
      </w:r>
    </w:p>
    <w:p w14:paraId="6BC7D6F9" w14:textId="4418DED6" w:rsidR="009E0D78" w:rsidRDefault="009E0D78" w:rsidP="00C622C2">
      <w:pPr>
        <w:pStyle w:val="Paragraphedeliste"/>
        <w:numPr>
          <w:ilvl w:val="0"/>
          <w:numId w:val="5"/>
        </w:numPr>
        <w:autoSpaceDE w:val="0"/>
        <w:autoSpaceDN w:val="0"/>
        <w:ind w:right="141"/>
      </w:pPr>
      <w:r w:rsidRPr="009E0D78">
        <w:t>Tinavi s’engage à ne pas distribuer des produits équ</w:t>
      </w:r>
      <w:r>
        <w:t>ivalents aux produits Spineway ; et,</w:t>
      </w:r>
    </w:p>
    <w:p w14:paraId="70E47362" w14:textId="77777777" w:rsidR="009E0D78" w:rsidRDefault="009E0D78" w:rsidP="00C622C2">
      <w:pPr>
        <w:pStyle w:val="Paragraphedeliste"/>
        <w:numPr>
          <w:ilvl w:val="0"/>
          <w:numId w:val="5"/>
        </w:numPr>
        <w:autoSpaceDE w:val="0"/>
        <w:autoSpaceDN w:val="0"/>
        <w:ind w:right="141"/>
      </w:pPr>
      <w:r w:rsidRPr="009E0D78">
        <w:t xml:space="preserve">Spineway s’engage à ne vendre ses produits qu’à Tinavi pour ce même territoire. </w:t>
      </w:r>
    </w:p>
    <w:p w14:paraId="090BC2AF" w14:textId="072B63B3" w:rsidR="009E0D78" w:rsidRPr="009E0D78" w:rsidRDefault="009E0D78" w:rsidP="00B23376">
      <w:pPr>
        <w:autoSpaceDE w:val="0"/>
        <w:autoSpaceDN w:val="0"/>
        <w:ind w:right="141"/>
      </w:pPr>
      <w:r w:rsidRPr="009E0D78">
        <w:t xml:space="preserve">Les tarifs de vente des produits Spineway à Tinavi sont précisés au sein de ce contrat. </w:t>
      </w:r>
    </w:p>
    <w:p w14:paraId="6DA2E0C6" w14:textId="77777777" w:rsidR="0067311E" w:rsidRDefault="0067311E" w:rsidP="00263F89"/>
    <w:p w14:paraId="69C99138" w14:textId="77777777" w:rsidR="00263F89" w:rsidRPr="00AC73ED" w:rsidRDefault="00263F89" w:rsidP="00263F89">
      <w:r w:rsidRPr="00874AE0">
        <w:t xml:space="preserve">Ce partenariat commercial est doublé d’un partenariat financier qui prend la forme d’un </w:t>
      </w:r>
      <w:r w:rsidRPr="008D2F03">
        <w:t xml:space="preserve">investissement de Tinavi dans le capital social de Spineway. </w:t>
      </w:r>
      <w:r>
        <w:t>Un</w:t>
      </w:r>
      <w:r w:rsidRPr="008D2F03">
        <w:t xml:space="preserve"> contrat d’investissement signé </w:t>
      </w:r>
      <w:r>
        <w:t>en date du</w:t>
      </w:r>
      <w:r w:rsidRPr="008D2F03">
        <w:t xml:space="preserve"> 22 septembre 2016 précise les </w:t>
      </w:r>
      <w:r w:rsidRPr="00AC73ED">
        <w:t>m</w:t>
      </w:r>
      <w:r>
        <w:t>odalités de cet investissement et prévoit la nomination d’</w:t>
      </w:r>
      <w:r w:rsidRPr="00AC73ED">
        <w:t>un représentant de Tinavi au Conseil d’administration de Spineway</w:t>
      </w:r>
      <w:r w:rsidRPr="00203486">
        <w:t xml:space="preserve"> </w:t>
      </w:r>
      <w:r w:rsidRPr="00AC73ED">
        <w:t>en qualité</w:t>
      </w:r>
      <w:r>
        <w:t>,</w:t>
      </w:r>
      <w:r w:rsidRPr="00AC73ED">
        <w:t xml:space="preserve"> </w:t>
      </w:r>
      <w:r>
        <w:t xml:space="preserve">dans un premier temps, </w:t>
      </w:r>
      <w:r w:rsidRPr="00AC73ED">
        <w:t xml:space="preserve">de censeur, puis, </w:t>
      </w:r>
      <w:r>
        <w:t xml:space="preserve">dans un deuxième temps et </w:t>
      </w:r>
      <w:r w:rsidRPr="00AC73ED">
        <w:t>sous certaines conditions, d’administrateur.</w:t>
      </w:r>
    </w:p>
    <w:p w14:paraId="74D4FEF6" w14:textId="77777777" w:rsidR="00263F89" w:rsidRDefault="00263F89" w:rsidP="00263F89">
      <w:pPr>
        <w:rPr>
          <w:color w:val="FF0000"/>
        </w:rPr>
      </w:pPr>
    </w:p>
    <w:p w14:paraId="2A46199B" w14:textId="18CC95B6" w:rsidR="00263F89" w:rsidRPr="00FC3181" w:rsidRDefault="00263F89" w:rsidP="00C622C2">
      <w:pPr>
        <w:pStyle w:val="Paragraphedeliste"/>
        <w:numPr>
          <w:ilvl w:val="0"/>
          <w:numId w:val="11"/>
        </w:numPr>
      </w:pPr>
      <w:r w:rsidRPr="00FC3181">
        <w:t>Un investissement d’un montant maximum de 2.998.039,14€ est prévu</w:t>
      </w:r>
      <w:r>
        <w:t xml:space="preserve"> par le contrat d’investissement</w:t>
      </w:r>
      <w:r w:rsidRPr="00FC3181">
        <w:t xml:space="preserve">, </w:t>
      </w:r>
      <w:r>
        <w:t xml:space="preserve">et </w:t>
      </w:r>
      <w:r w:rsidR="00376E36">
        <w:t>a été</w:t>
      </w:r>
      <w:r>
        <w:t xml:space="preserve"> réalisé </w:t>
      </w:r>
      <w:r w:rsidRPr="00FC3181">
        <w:t>en deux étapes</w:t>
      </w:r>
      <w:r w:rsidR="00A648E8">
        <w:t xml:space="preserve"> </w:t>
      </w:r>
      <w:r w:rsidRPr="00FC3181">
        <w:t>:</w:t>
      </w:r>
    </w:p>
    <w:p w14:paraId="3131A1F1" w14:textId="62221A24" w:rsidR="00EF3F18" w:rsidRPr="00086507" w:rsidRDefault="00EF3F18" w:rsidP="00EF3F18">
      <w:r w:rsidRPr="00086507">
        <w:t xml:space="preserve">Tinavi a investi </w:t>
      </w:r>
      <w:r w:rsidR="00086507" w:rsidRPr="00086507">
        <w:rPr>
          <w:rFonts w:ascii="Calibri" w:eastAsia="Times New Roman" w:hAnsi="Calibri" w:cs="Times New Roman"/>
          <w:szCs w:val="20"/>
        </w:rPr>
        <w:t>4.397.755,36</w:t>
      </w:r>
      <w:r w:rsidRPr="00086507">
        <w:rPr>
          <w:rFonts w:ascii="Calibri" w:eastAsia="Times New Roman" w:hAnsi="Calibri" w:cs="Times New Roman"/>
          <w:szCs w:val="20"/>
        </w:rPr>
        <w:t xml:space="preserve">€ dans le capital social de Spineway </w:t>
      </w:r>
      <w:r w:rsidRPr="00086507">
        <w:t>et a ainsi acquis 746.044 actions Spineway</w:t>
      </w:r>
      <w:r w:rsidR="00783001">
        <w:t> :</w:t>
      </w:r>
    </w:p>
    <w:p w14:paraId="07DA785B" w14:textId="72E77495" w:rsidR="00086507" w:rsidRPr="00086507" w:rsidRDefault="00086507" w:rsidP="0071166F">
      <w:pPr>
        <w:pStyle w:val="Commentaire"/>
        <w:numPr>
          <w:ilvl w:val="0"/>
          <w:numId w:val="55"/>
        </w:numPr>
        <w:rPr>
          <w:szCs w:val="24"/>
        </w:rPr>
      </w:pPr>
      <w:r w:rsidRPr="00086507">
        <w:rPr>
          <w:szCs w:val="24"/>
        </w:rPr>
        <w:t xml:space="preserve">Le 16 novembre 2016, le Conseil </w:t>
      </w:r>
      <w:r w:rsidR="00783001">
        <w:rPr>
          <w:szCs w:val="24"/>
        </w:rPr>
        <w:t xml:space="preserve">d’administration </w:t>
      </w:r>
      <w:r w:rsidRPr="00086507">
        <w:rPr>
          <w:szCs w:val="24"/>
        </w:rPr>
        <w:t>a constaté une augmentation de capital (prime d’émission incluse) de 1.399.724,40</w:t>
      </w:r>
      <w:r>
        <w:rPr>
          <w:szCs w:val="24"/>
        </w:rPr>
        <w:t>€</w:t>
      </w:r>
      <w:r w:rsidRPr="00086507">
        <w:rPr>
          <w:szCs w:val="24"/>
        </w:rPr>
        <w:t xml:space="preserve"> par émission de 355.260 BSA. </w:t>
      </w:r>
    </w:p>
    <w:p w14:paraId="6347FDF8" w14:textId="5151C958" w:rsidR="00086507" w:rsidRPr="00086507" w:rsidRDefault="00086507" w:rsidP="0071166F">
      <w:pPr>
        <w:pStyle w:val="Commentaire"/>
        <w:numPr>
          <w:ilvl w:val="0"/>
          <w:numId w:val="55"/>
        </w:numPr>
        <w:rPr>
          <w:szCs w:val="24"/>
        </w:rPr>
      </w:pPr>
      <w:r w:rsidRPr="00086507">
        <w:rPr>
          <w:szCs w:val="24"/>
        </w:rPr>
        <w:t xml:space="preserve">Le 27 décembre 2017, le </w:t>
      </w:r>
      <w:r w:rsidR="00783001" w:rsidRPr="00086507">
        <w:rPr>
          <w:szCs w:val="24"/>
        </w:rPr>
        <w:t xml:space="preserve">Conseil </w:t>
      </w:r>
      <w:r w:rsidR="00783001">
        <w:rPr>
          <w:szCs w:val="24"/>
        </w:rPr>
        <w:t xml:space="preserve">d’administration </w:t>
      </w:r>
      <w:r w:rsidRPr="00086507">
        <w:rPr>
          <w:szCs w:val="24"/>
        </w:rPr>
        <w:t>a constaté une nouvelle augmentation (prime d’émission incluse) de 1.598.306,56</w:t>
      </w:r>
      <w:r>
        <w:rPr>
          <w:szCs w:val="24"/>
        </w:rPr>
        <w:t>€</w:t>
      </w:r>
      <w:r w:rsidRPr="00086507">
        <w:rPr>
          <w:szCs w:val="24"/>
        </w:rPr>
        <w:t xml:space="preserve"> par émission de 390.784 actions sur exercice de 355.258 BSA.</w:t>
      </w:r>
    </w:p>
    <w:p w14:paraId="2210D844" w14:textId="77777777" w:rsidR="00EF3F18" w:rsidRDefault="00EF3F18" w:rsidP="00EF3F18">
      <w:pPr>
        <w:rPr>
          <w:color w:val="FF0000"/>
        </w:rPr>
      </w:pPr>
    </w:p>
    <w:p w14:paraId="7B456C96" w14:textId="5C648EF1" w:rsidR="00EF3F18" w:rsidRPr="006776F9" w:rsidRDefault="00EF3F18" w:rsidP="00C622C2">
      <w:pPr>
        <w:pStyle w:val="Paragraphedeliste"/>
        <w:numPr>
          <w:ilvl w:val="0"/>
          <w:numId w:val="11"/>
        </w:numPr>
      </w:pPr>
      <w:r>
        <w:t>Une représentation de Tinavi au Conseil d’administration de Spineway est également prévue en deux étapes</w:t>
      </w:r>
      <w:r w:rsidR="00A648E8">
        <w:t xml:space="preserve"> </w:t>
      </w:r>
      <w:r w:rsidRPr="006776F9">
        <w:t>:</w:t>
      </w:r>
    </w:p>
    <w:p w14:paraId="3163A610" w14:textId="49A60EE2" w:rsidR="00EF3F18" w:rsidRPr="006776F9" w:rsidRDefault="00783001" w:rsidP="0071166F">
      <w:pPr>
        <w:pStyle w:val="Paragraphedeliste"/>
        <w:numPr>
          <w:ilvl w:val="0"/>
          <w:numId w:val="88"/>
        </w:numPr>
      </w:pPr>
      <w:r>
        <w:t>.</w:t>
      </w:r>
      <w:r w:rsidRPr="006776F9">
        <w:t xml:space="preserve"> </w:t>
      </w:r>
      <w:r w:rsidR="00EF3F18" w:rsidRPr="006776F9">
        <w:t xml:space="preserve">la nomination de </w:t>
      </w:r>
      <w:r w:rsidR="00EF3F18">
        <w:t>Tinavi</w:t>
      </w:r>
      <w:r w:rsidR="00EF3F18" w:rsidRPr="006776F9">
        <w:t xml:space="preserve"> Medical Technologies ou l’un de ses représentants en qualité de censeur du Conseil d’Administration de Spineway ; </w:t>
      </w:r>
      <w:r w:rsidR="00EF3F18">
        <w:t>puis</w:t>
      </w:r>
      <w:r w:rsidR="00EF3F18" w:rsidRPr="006776F9">
        <w:t>,</w:t>
      </w:r>
    </w:p>
    <w:p w14:paraId="43F80379" w14:textId="77777777" w:rsidR="003F1935" w:rsidRPr="0058762D" w:rsidRDefault="00EF3F18" w:rsidP="003F1935">
      <w:pPr>
        <w:pStyle w:val="Paragraphedeliste"/>
        <w:numPr>
          <w:ilvl w:val="0"/>
          <w:numId w:val="88"/>
        </w:numPr>
      </w:pPr>
      <w:r w:rsidRPr="0058762D">
        <w:t xml:space="preserve">dès l’exercice par Tinavi Medical Technologies de l’intégralité de ses 355.260 BSA, la nomination de Tinavi Medical Technologies ou l’un de ses représentants en qualité d’administrateur de Spineway à l’occasion de </w:t>
      </w:r>
      <w:r w:rsidR="003F1935" w:rsidRPr="0058762D">
        <w:t xml:space="preserve">la prochaine </w:t>
      </w:r>
      <w:r w:rsidR="003F1935">
        <w:t>a</w:t>
      </w:r>
      <w:r w:rsidR="003F1935" w:rsidRPr="0058762D">
        <w:t xml:space="preserve">ssemblée </w:t>
      </w:r>
      <w:r w:rsidR="003F1935">
        <w:t>g</w:t>
      </w:r>
      <w:r w:rsidR="003F1935" w:rsidRPr="0058762D">
        <w:t>énérale simultanément à la démission du mandat de censeur.</w:t>
      </w:r>
    </w:p>
    <w:p w14:paraId="1CAA0191" w14:textId="77777777" w:rsidR="003F1935" w:rsidRDefault="003F1935" w:rsidP="003F1935">
      <w:r w:rsidRPr="0058762D">
        <w:t xml:space="preserve">A ce titre, </w:t>
      </w:r>
      <w:r>
        <w:t>la société</w:t>
      </w:r>
      <w:r w:rsidRPr="0058762D">
        <w:t xml:space="preserve"> Tinavi Medical Texchnologies, a été désigné</w:t>
      </w:r>
      <w:r>
        <w:t>e</w:t>
      </w:r>
      <w:r w:rsidRPr="0058762D">
        <w:t xml:space="preserve"> censeur par </w:t>
      </w:r>
      <w:r>
        <w:t>le</w:t>
      </w:r>
      <w:r w:rsidRPr="0058762D">
        <w:t xml:space="preserve"> Conseil d’</w:t>
      </w:r>
      <w:r>
        <w:t>a</w:t>
      </w:r>
      <w:r w:rsidRPr="0058762D">
        <w:t xml:space="preserve">dministration </w:t>
      </w:r>
      <w:r>
        <w:t xml:space="preserve">en date </w:t>
      </w:r>
      <w:r w:rsidRPr="0058762D">
        <w:t>du 16 novembre 2016</w:t>
      </w:r>
      <w:r>
        <w:t xml:space="preserve">, puis administrateur </w:t>
      </w:r>
      <w:r w:rsidRPr="00161929">
        <w:t>par l’</w:t>
      </w:r>
      <w:r>
        <w:t>a</w:t>
      </w:r>
      <w:r w:rsidRPr="00161929">
        <w:t xml:space="preserve">ssemblée </w:t>
      </w:r>
      <w:r>
        <w:t>g</w:t>
      </w:r>
      <w:r w:rsidRPr="00161929">
        <w:t>énérale du 25 juin 2018</w:t>
      </w:r>
      <w:r>
        <w:t xml:space="preserve">, pour une durée de six années expirant lors de l’assemblée générale ordinaire annuelle à tenir dans l’année 2024 pour statuer sur les comptes de l’exercice clos le 31 décembre 2023. La société Tinavi a été représentée par Madame Grace KWOK puis par Monsieur WEIGUANG GUO, représentant permanent à la date du Document d’enregistrement universel. </w:t>
      </w:r>
    </w:p>
    <w:p w14:paraId="66E45B46" w14:textId="77777777" w:rsidR="00A415A3" w:rsidRDefault="00A415A3" w:rsidP="003F1935"/>
    <w:p w14:paraId="3890EF4A" w14:textId="77777777" w:rsidR="0067311E" w:rsidRDefault="0067311E" w:rsidP="00A57171"/>
    <w:p w14:paraId="0043A897" w14:textId="117A73CE" w:rsidR="0025074C" w:rsidRPr="0071166F" w:rsidRDefault="0025074C" w:rsidP="00105356">
      <w:pPr>
        <w:pStyle w:val="Titre2"/>
        <w:rPr>
          <w:lang w:val="en-US"/>
        </w:rPr>
      </w:pPr>
      <w:bookmarkStart w:id="353" w:name="_Ref471635460"/>
      <w:bookmarkStart w:id="354" w:name="_Ref472784704"/>
      <w:bookmarkStart w:id="355" w:name="_Toc475033299"/>
      <w:r w:rsidRPr="0071166F">
        <w:rPr>
          <w:lang w:val="en-US"/>
        </w:rPr>
        <w:t>20.</w:t>
      </w:r>
      <w:r w:rsidR="0057758C" w:rsidRPr="0071166F">
        <w:rPr>
          <w:lang w:val="en-US"/>
        </w:rPr>
        <w:t>3</w:t>
      </w:r>
      <w:r w:rsidRPr="0071166F">
        <w:rPr>
          <w:lang w:val="en-US"/>
        </w:rPr>
        <w:t xml:space="preserve"> Contrat d’émission d’OCEANE</w:t>
      </w:r>
      <w:bookmarkEnd w:id="353"/>
      <w:r w:rsidR="00105356" w:rsidRPr="0071166F">
        <w:rPr>
          <w:lang w:val="en-US"/>
        </w:rPr>
        <w:t xml:space="preserve"> European High Growth Opportunities Securitization Fund (« OCEANE ABO »)</w:t>
      </w:r>
      <w:bookmarkEnd w:id="354"/>
      <w:bookmarkEnd w:id="355"/>
    </w:p>
    <w:p w14:paraId="40826F0A" w14:textId="77777777" w:rsidR="00B458E2" w:rsidRPr="0071166F" w:rsidRDefault="00B458E2" w:rsidP="00B458E2">
      <w:pPr>
        <w:rPr>
          <w:lang w:val="en-US"/>
        </w:rPr>
      </w:pPr>
    </w:p>
    <w:p w14:paraId="3ED2D95B" w14:textId="26C40387" w:rsidR="00B458E2" w:rsidRPr="00EA3CC9" w:rsidRDefault="00B458E2" w:rsidP="00B458E2">
      <w:pPr>
        <w:pBdr>
          <w:top w:val="single" w:sz="4" w:space="1" w:color="auto"/>
          <w:bottom w:val="single" w:sz="4" w:space="1" w:color="auto"/>
        </w:pBdr>
        <w:rPr>
          <w:i/>
        </w:rPr>
      </w:pPr>
      <w:r>
        <w:rPr>
          <w:i/>
        </w:rPr>
        <w:t>European</w:t>
      </w:r>
      <w:r w:rsidRPr="00B458E2">
        <w:rPr>
          <w:i/>
          <w:iCs/>
          <w:szCs w:val="20"/>
        </w:rPr>
        <w:t xml:space="preserve"> High Growth Opportunities Securitization Fund est un fond d’investissement luxembourgeois géré par la société de gestion luxembourgeoise European High Growth Opportunities Manco SA dont le siège social est situé 30 rue de clausen L-1342</w:t>
      </w:r>
      <w:r>
        <w:rPr>
          <w:i/>
          <w:iCs/>
          <w:szCs w:val="20"/>
        </w:rPr>
        <w:t xml:space="preserve"> Luxembourg</w:t>
      </w:r>
    </w:p>
    <w:p w14:paraId="66EAA175" w14:textId="77777777" w:rsidR="00B458E2" w:rsidRDefault="00B458E2" w:rsidP="00D71B49">
      <w:pPr>
        <w:widowControl w:val="0"/>
        <w:autoSpaceDE w:val="0"/>
        <w:autoSpaceDN w:val="0"/>
        <w:adjustRightInd w:val="0"/>
        <w:rPr>
          <w:i/>
        </w:rPr>
      </w:pPr>
    </w:p>
    <w:p w14:paraId="4DA6B03E" w14:textId="77777777" w:rsidR="003F1935" w:rsidRDefault="003F1935" w:rsidP="003F1935">
      <w:pPr>
        <w:widowControl w:val="0"/>
        <w:autoSpaceDE w:val="0"/>
        <w:autoSpaceDN w:val="0"/>
        <w:adjustRightInd w:val="0"/>
      </w:pPr>
      <w:r>
        <w:t>Le 10 juillet 2018</w:t>
      </w:r>
      <w:r w:rsidRPr="00915449">
        <w:t xml:space="preserve">, </w:t>
      </w:r>
      <w:r>
        <w:t xml:space="preserve">Spineway et </w:t>
      </w:r>
      <w:r>
        <w:rPr>
          <w:rFonts w:ascii="Calibri" w:eastAsia="Times New Roman" w:hAnsi="Calibri" w:cs="Times New Roman"/>
          <w:color w:val="000000"/>
          <w:szCs w:val="20"/>
        </w:rPr>
        <w:t>European High Growth Opportunities Securitization Fund</w:t>
      </w:r>
      <w:r w:rsidRPr="00C52AA2">
        <w:rPr>
          <w:rFonts w:ascii="Calibri" w:eastAsia="Times New Roman" w:hAnsi="Calibri" w:cs="Times New Roman"/>
          <w:color w:val="000000"/>
          <w:szCs w:val="20"/>
        </w:rPr>
        <w:t xml:space="preserve"> </w:t>
      </w:r>
      <w:r>
        <w:rPr>
          <w:rFonts w:ascii="Calibri" w:eastAsia="Times New Roman" w:hAnsi="Calibri" w:cs="Times New Roman"/>
          <w:color w:val="000000"/>
          <w:szCs w:val="20"/>
        </w:rPr>
        <w:t xml:space="preserve">(« l’Investisseur ») </w:t>
      </w:r>
      <w:r>
        <w:t>ont signé un contrat d’</w:t>
      </w:r>
      <w:r w:rsidRPr="00C52AA2">
        <w:rPr>
          <w:rFonts w:ascii="Calibri" w:eastAsia="Times New Roman" w:hAnsi="Calibri" w:cs="Times New Roman"/>
          <w:color w:val="000000"/>
          <w:szCs w:val="20"/>
        </w:rPr>
        <w:t xml:space="preserve"> OC</w:t>
      </w:r>
      <w:r>
        <w:rPr>
          <w:rFonts w:ascii="Calibri" w:eastAsia="Times New Roman" w:hAnsi="Calibri" w:cs="Times New Roman"/>
          <w:color w:val="000000"/>
          <w:szCs w:val="20"/>
        </w:rPr>
        <w:t xml:space="preserve">EANE </w:t>
      </w:r>
      <w:r w:rsidRPr="00C52AA2">
        <w:rPr>
          <w:rFonts w:ascii="Calibri" w:eastAsia="Times New Roman" w:hAnsi="Calibri" w:cs="Times New Roman"/>
          <w:color w:val="000000"/>
          <w:szCs w:val="20"/>
        </w:rPr>
        <w:t>assorties de BSA</w:t>
      </w:r>
      <w:r>
        <w:t>.</w:t>
      </w:r>
    </w:p>
    <w:p w14:paraId="0EC40A1A" w14:textId="77777777" w:rsidR="003F1935" w:rsidRDefault="003F1935" w:rsidP="003F1935">
      <w:pPr>
        <w:widowControl w:val="0"/>
        <w:autoSpaceDE w:val="0"/>
        <w:autoSpaceDN w:val="0"/>
        <w:adjustRightInd w:val="0"/>
      </w:pPr>
      <w:r>
        <w:t xml:space="preserve"> </w:t>
      </w:r>
    </w:p>
    <w:p w14:paraId="11C4372E" w14:textId="77777777" w:rsidR="003F1935" w:rsidRDefault="003F1935" w:rsidP="003F1935">
      <w:pPr>
        <w:widowControl w:val="0"/>
        <w:autoSpaceDE w:val="0"/>
        <w:autoSpaceDN w:val="0"/>
        <w:adjustRightInd w:val="0"/>
        <w:rPr>
          <w:rFonts w:ascii="Calibri" w:eastAsia="Times New Roman" w:hAnsi="Calibri" w:cs="Times New Roman"/>
          <w:color w:val="000000"/>
          <w:szCs w:val="20"/>
        </w:rPr>
      </w:pPr>
      <w:r w:rsidRPr="00C52AA2">
        <w:rPr>
          <w:rFonts w:ascii="Calibri" w:eastAsia="Times New Roman" w:hAnsi="Calibri" w:cs="Times New Roman"/>
          <w:color w:val="000000"/>
          <w:szCs w:val="20"/>
        </w:rPr>
        <w:t>Sur délégation de l’</w:t>
      </w:r>
      <w:r>
        <w:rPr>
          <w:rFonts w:ascii="Calibri" w:eastAsia="Times New Roman" w:hAnsi="Calibri" w:cs="Times New Roman"/>
          <w:color w:val="000000"/>
          <w:szCs w:val="20"/>
        </w:rPr>
        <w:t>a</w:t>
      </w:r>
      <w:r w:rsidRPr="00C52AA2">
        <w:rPr>
          <w:rFonts w:ascii="Calibri" w:eastAsia="Times New Roman" w:hAnsi="Calibri" w:cs="Times New Roman"/>
          <w:color w:val="000000"/>
          <w:szCs w:val="20"/>
        </w:rPr>
        <w:t xml:space="preserve">ssemblée </w:t>
      </w:r>
      <w:r>
        <w:rPr>
          <w:rFonts w:ascii="Calibri" w:eastAsia="Times New Roman" w:hAnsi="Calibri" w:cs="Times New Roman"/>
          <w:color w:val="000000"/>
          <w:szCs w:val="20"/>
        </w:rPr>
        <w:t>g</w:t>
      </w:r>
      <w:r w:rsidRPr="00C52AA2">
        <w:rPr>
          <w:rFonts w:ascii="Calibri" w:eastAsia="Times New Roman" w:hAnsi="Calibri" w:cs="Times New Roman"/>
          <w:color w:val="000000"/>
          <w:szCs w:val="20"/>
        </w:rPr>
        <w:t xml:space="preserve">énérale du </w:t>
      </w:r>
      <w:r>
        <w:rPr>
          <w:rFonts w:ascii="Calibri" w:eastAsia="Times New Roman" w:hAnsi="Calibri" w:cs="Times New Roman"/>
          <w:color w:val="000000"/>
          <w:szCs w:val="20"/>
        </w:rPr>
        <w:t>25 juin 2018</w:t>
      </w:r>
      <w:r w:rsidRPr="00C52AA2">
        <w:rPr>
          <w:rFonts w:ascii="Calibri" w:eastAsia="Times New Roman" w:hAnsi="Calibri" w:cs="Times New Roman"/>
          <w:color w:val="000000"/>
          <w:szCs w:val="20"/>
        </w:rPr>
        <w:t>, le Conseil d’</w:t>
      </w:r>
      <w:r>
        <w:rPr>
          <w:rFonts w:ascii="Calibri" w:eastAsia="Times New Roman" w:hAnsi="Calibri" w:cs="Times New Roman"/>
          <w:color w:val="000000"/>
          <w:szCs w:val="20"/>
        </w:rPr>
        <w:t>a</w:t>
      </w:r>
      <w:r w:rsidRPr="00C52AA2">
        <w:rPr>
          <w:rFonts w:ascii="Calibri" w:eastAsia="Times New Roman" w:hAnsi="Calibri" w:cs="Times New Roman"/>
          <w:color w:val="000000"/>
          <w:szCs w:val="20"/>
        </w:rPr>
        <w:t xml:space="preserve">dministration du </w:t>
      </w:r>
      <w:r>
        <w:rPr>
          <w:rFonts w:ascii="Calibri" w:eastAsia="Times New Roman" w:hAnsi="Calibri" w:cs="Times New Roman"/>
          <w:color w:val="000000"/>
          <w:szCs w:val="20"/>
        </w:rPr>
        <w:t>4 juillet 2018</w:t>
      </w:r>
      <w:r w:rsidRPr="00C52AA2">
        <w:rPr>
          <w:rFonts w:ascii="Calibri" w:eastAsia="Times New Roman" w:hAnsi="Calibri" w:cs="Times New Roman"/>
          <w:color w:val="000000"/>
          <w:szCs w:val="20"/>
        </w:rPr>
        <w:t xml:space="preserve"> a </w:t>
      </w:r>
      <w:r>
        <w:rPr>
          <w:rFonts w:ascii="Calibri" w:eastAsia="Times New Roman" w:hAnsi="Calibri" w:cs="Times New Roman"/>
          <w:color w:val="000000"/>
          <w:szCs w:val="20"/>
        </w:rPr>
        <w:t>approuvé le principe d’</w:t>
      </w:r>
      <w:r w:rsidRPr="00C52AA2">
        <w:rPr>
          <w:rFonts w:ascii="Calibri" w:eastAsia="Times New Roman" w:hAnsi="Calibri" w:cs="Times New Roman"/>
          <w:color w:val="000000"/>
          <w:szCs w:val="20"/>
        </w:rPr>
        <w:t xml:space="preserve">une émission de </w:t>
      </w:r>
      <w:r>
        <w:rPr>
          <w:rFonts w:ascii="Calibri" w:eastAsia="Times New Roman" w:hAnsi="Calibri" w:cs="Times New Roman"/>
          <w:color w:val="000000"/>
          <w:szCs w:val="20"/>
        </w:rPr>
        <w:t>200</w:t>
      </w:r>
      <w:r w:rsidRPr="00C52AA2">
        <w:rPr>
          <w:rFonts w:ascii="Calibri" w:eastAsia="Times New Roman" w:hAnsi="Calibri" w:cs="Times New Roman"/>
          <w:color w:val="000000"/>
          <w:szCs w:val="20"/>
        </w:rPr>
        <w:t xml:space="preserve"> bons d’émission </w:t>
      </w:r>
      <w:r>
        <w:rPr>
          <w:rFonts w:ascii="Calibri" w:eastAsia="Times New Roman" w:hAnsi="Calibri" w:cs="Times New Roman"/>
          <w:color w:val="000000"/>
          <w:szCs w:val="20"/>
        </w:rPr>
        <w:t xml:space="preserve">et </w:t>
      </w:r>
      <w:r w:rsidRPr="00C52AA2">
        <w:rPr>
          <w:rFonts w:ascii="Calibri" w:eastAsia="Times New Roman" w:hAnsi="Calibri" w:cs="Times New Roman"/>
          <w:color w:val="000000"/>
          <w:szCs w:val="20"/>
        </w:rPr>
        <w:t>donnant lieu, sur exercice,</w:t>
      </w:r>
      <w:r>
        <w:rPr>
          <w:rFonts w:ascii="Calibri" w:eastAsia="Times New Roman" w:hAnsi="Calibri" w:cs="Times New Roman"/>
          <w:color w:val="000000"/>
          <w:szCs w:val="20"/>
        </w:rPr>
        <w:t xml:space="preserve"> </w:t>
      </w:r>
      <w:r w:rsidRPr="00C52AA2">
        <w:rPr>
          <w:rFonts w:ascii="Calibri" w:eastAsia="Times New Roman" w:hAnsi="Calibri" w:cs="Times New Roman"/>
          <w:color w:val="000000"/>
          <w:szCs w:val="20"/>
        </w:rPr>
        <w:t xml:space="preserve">à l’émission d'un maximum de </w:t>
      </w:r>
      <w:r>
        <w:rPr>
          <w:rFonts w:ascii="Calibri" w:eastAsia="Times New Roman" w:hAnsi="Calibri" w:cs="Times New Roman"/>
          <w:color w:val="000000"/>
          <w:szCs w:val="20"/>
        </w:rPr>
        <w:t>200</w:t>
      </w:r>
      <w:r w:rsidRPr="00C52AA2">
        <w:rPr>
          <w:rFonts w:ascii="Calibri" w:eastAsia="Times New Roman" w:hAnsi="Calibri" w:cs="Times New Roman"/>
          <w:color w:val="000000"/>
          <w:szCs w:val="20"/>
        </w:rPr>
        <w:t xml:space="preserve"> OC</w:t>
      </w:r>
      <w:r>
        <w:rPr>
          <w:rFonts w:ascii="Calibri" w:eastAsia="Times New Roman" w:hAnsi="Calibri" w:cs="Times New Roman"/>
          <w:color w:val="000000"/>
          <w:szCs w:val="20"/>
        </w:rPr>
        <w:t>EANE</w:t>
      </w:r>
      <w:r w:rsidRPr="00C52AA2">
        <w:rPr>
          <w:rFonts w:ascii="Calibri" w:eastAsia="Times New Roman" w:hAnsi="Calibri" w:cs="Times New Roman"/>
          <w:color w:val="000000"/>
          <w:szCs w:val="20"/>
        </w:rPr>
        <w:t xml:space="preserve"> assorties de </w:t>
      </w:r>
      <w:r>
        <w:rPr>
          <w:rFonts w:ascii="Calibri" w:eastAsia="Times New Roman" w:hAnsi="Calibri" w:cs="Times New Roman"/>
          <w:color w:val="000000"/>
          <w:szCs w:val="20"/>
        </w:rPr>
        <w:t>BSA</w:t>
      </w:r>
      <w:r w:rsidRPr="00C52AA2">
        <w:rPr>
          <w:rFonts w:ascii="Calibri" w:eastAsia="Times New Roman" w:hAnsi="Calibri" w:cs="Times New Roman"/>
          <w:color w:val="000000"/>
          <w:szCs w:val="20"/>
        </w:rPr>
        <w:t xml:space="preserve"> </w:t>
      </w:r>
      <w:r>
        <w:rPr>
          <w:rFonts w:ascii="Calibri" w:eastAsia="Times New Roman" w:hAnsi="Calibri" w:cs="Times New Roman"/>
          <w:color w:val="000000"/>
          <w:szCs w:val="20"/>
        </w:rPr>
        <w:t xml:space="preserve">et </w:t>
      </w:r>
      <w:r w:rsidRPr="00C52AA2">
        <w:rPr>
          <w:rFonts w:ascii="Calibri" w:eastAsia="Times New Roman" w:hAnsi="Calibri" w:cs="Times New Roman"/>
          <w:color w:val="000000"/>
          <w:szCs w:val="20"/>
        </w:rPr>
        <w:t>représentant un emprunt</w:t>
      </w:r>
      <w:r>
        <w:rPr>
          <w:rFonts w:ascii="Calibri" w:eastAsia="Times New Roman" w:hAnsi="Calibri" w:cs="Times New Roman"/>
          <w:color w:val="000000"/>
          <w:szCs w:val="20"/>
        </w:rPr>
        <w:t xml:space="preserve"> </w:t>
      </w:r>
      <w:r w:rsidRPr="00C52AA2">
        <w:rPr>
          <w:rFonts w:ascii="Calibri" w:eastAsia="Times New Roman" w:hAnsi="Calibri" w:cs="Times New Roman"/>
          <w:color w:val="000000"/>
          <w:szCs w:val="20"/>
        </w:rPr>
        <w:t xml:space="preserve">obligataire d’un montant nominal global maximum de </w:t>
      </w:r>
      <w:r>
        <w:rPr>
          <w:rFonts w:ascii="Calibri" w:eastAsia="Times New Roman" w:hAnsi="Calibri" w:cs="Times New Roman"/>
          <w:color w:val="000000"/>
          <w:szCs w:val="20"/>
        </w:rPr>
        <w:t>2.</w:t>
      </w:r>
      <w:r w:rsidRPr="00C52AA2">
        <w:rPr>
          <w:rFonts w:ascii="Calibri" w:eastAsia="Times New Roman" w:hAnsi="Calibri" w:cs="Times New Roman"/>
          <w:color w:val="000000"/>
          <w:szCs w:val="20"/>
        </w:rPr>
        <w:t>000</w:t>
      </w:r>
      <w:r>
        <w:rPr>
          <w:rFonts w:ascii="Calibri" w:eastAsia="Times New Roman" w:hAnsi="Calibri" w:cs="Times New Roman"/>
          <w:color w:val="000000"/>
          <w:szCs w:val="20"/>
        </w:rPr>
        <w:t xml:space="preserve"> K€</w:t>
      </w:r>
      <w:r w:rsidRPr="00C52AA2">
        <w:rPr>
          <w:rFonts w:ascii="Calibri" w:eastAsia="Times New Roman" w:hAnsi="Calibri" w:cs="Times New Roman"/>
          <w:color w:val="000000"/>
          <w:szCs w:val="20"/>
        </w:rPr>
        <w:t>, avec suppression</w:t>
      </w:r>
      <w:r>
        <w:rPr>
          <w:rFonts w:ascii="Calibri" w:eastAsia="Times New Roman" w:hAnsi="Calibri" w:cs="Times New Roman"/>
          <w:color w:val="000000"/>
          <w:szCs w:val="20"/>
        </w:rPr>
        <w:t xml:space="preserve"> </w:t>
      </w:r>
      <w:r w:rsidRPr="00C52AA2">
        <w:rPr>
          <w:rFonts w:ascii="Calibri" w:eastAsia="Times New Roman" w:hAnsi="Calibri" w:cs="Times New Roman"/>
          <w:color w:val="000000"/>
          <w:szCs w:val="20"/>
        </w:rPr>
        <w:t>du droit préférentiel de souscription des actionnaires</w:t>
      </w:r>
      <w:r>
        <w:rPr>
          <w:rFonts w:ascii="Calibri" w:eastAsia="Times New Roman" w:hAnsi="Calibri" w:cs="Times New Roman"/>
          <w:color w:val="000000"/>
          <w:szCs w:val="20"/>
        </w:rPr>
        <w:t>,</w:t>
      </w:r>
      <w:r w:rsidRPr="00C52AA2">
        <w:rPr>
          <w:rFonts w:ascii="Calibri" w:eastAsia="Times New Roman" w:hAnsi="Calibri" w:cs="Times New Roman"/>
          <w:color w:val="000000"/>
          <w:szCs w:val="20"/>
        </w:rPr>
        <w:t xml:space="preserve"> au profit </w:t>
      </w:r>
      <w:r>
        <w:rPr>
          <w:rFonts w:ascii="Calibri" w:eastAsia="Times New Roman" w:hAnsi="Calibri" w:cs="Times New Roman"/>
          <w:color w:val="000000"/>
          <w:szCs w:val="20"/>
        </w:rPr>
        <w:t xml:space="preserve">de l’Investisseur. </w:t>
      </w:r>
    </w:p>
    <w:p w14:paraId="2F8587E0" w14:textId="77777777" w:rsidR="003F1935" w:rsidRPr="00105356" w:rsidRDefault="003F1935" w:rsidP="003F1935">
      <w:pPr>
        <w:widowControl w:val="0"/>
        <w:autoSpaceDE w:val="0"/>
        <w:autoSpaceDN w:val="0"/>
        <w:adjustRightInd w:val="0"/>
        <w:rPr>
          <w:rFonts w:ascii="Calibri" w:eastAsia="Times New Roman" w:hAnsi="Calibri" w:cs="Times New Roman"/>
          <w:color w:val="000000"/>
          <w:szCs w:val="20"/>
        </w:rPr>
      </w:pPr>
      <w:r>
        <w:rPr>
          <w:rFonts w:ascii="Calibri" w:eastAsia="Times New Roman" w:hAnsi="Calibri" w:cs="Times New Roman"/>
          <w:color w:val="000000"/>
          <w:szCs w:val="20"/>
        </w:rPr>
        <w:t>Le pouvoir de lancement de cette opération a alors été délégué au Président Directeur Général.</w:t>
      </w:r>
    </w:p>
    <w:p w14:paraId="30BA5DA4" w14:textId="77777777" w:rsidR="003F1935" w:rsidRDefault="003F1935" w:rsidP="003F1935"/>
    <w:p w14:paraId="78A71811" w14:textId="77777777" w:rsidR="003F1935" w:rsidRDefault="003F1935" w:rsidP="003F1935">
      <w:r>
        <w:t>L’Investisseur s’est engagé à souscrire, pendant une durée maximale de 36 mois :</w:t>
      </w:r>
    </w:p>
    <w:p w14:paraId="3D534CEC" w14:textId="77777777" w:rsidR="003F1935" w:rsidRPr="000D4703" w:rsidRDefault="003F1935" w:rsidP="003F1935">
      <w:pPr>
        <w:pStyle w:val="Paragraphedeliste"/>
        <w:numPr>
          <w:ilvl w:val="0"/>
          <w:numId w:val="54"/>
        </w:numPr>
      </w:pPr>
      <w:r w:rsidRPr="000D4703">
        <w:t>Dans un premier temps, jusqu'au 15 septembre 2018, jusqu</w:t>
      </w:r>
      <w:r>
        <w:t>’à</w:t>
      </w:r>
      <w:r w:rsidRPr="000D4703">
        <w:t xml:space="preserve"> 200 OCEANE avec BSA</w:t>
      </w:r>
      <w:r>
        <w:t xml:space="preserve"> </w:t>
      </w:r>
      <w:r w:rsidRPr="000D4703">
        <w:t>attach</w:t>
      </w:r>
      <w:r>
        <w:t>é</w:t>
      </w:r>
      <w:r w:rsidRPr="000D4703">
        <w:t>s, repr</w:t>
      </w:r>
      <w:r>
        <w:t>ésentant 2</w:t>
      </w:r>
      <w:r w:rsidRPr="000D4703">
        <w:t>M€ de valeur nominale totale, en deux tranches successives de 1</w:t>
      </w:r>
      <w:r>
        <w:t xml:space="preserve">M€. </w:t>
      </w:r>
      <w:r w:rsidRPr="000D4703">
        <w:t>Les deux tranches de l'</w:t>
      </w:r>
      <w:r>
        <w:t>e</w:t>
      </w:r>
      <w:r w:rsidRPr="000D4703">
        <w:t>ngagement</w:t>
      </w:r>
      <w:r>
        <w:t xml:space="preserve"> i</w:t>
      </w:r>
      <w:r w:rsidRPr="000D4703">
        <w:t>nitial ont fait l'objet d'une souscription de 200 OCEANE en date du 9 juillet et du 15</w:t>
      </w:r>
      <w:r>
        <w:t xml:space="preserve"> </w:t>
      </w:r>
      <w:r w:rsidRPr="000D4703">
        <w:t>septembre 2018 pour un montant nominal global de 2 M€.</w:t>
      </w:r>
    </w:p>
    <w:p w14:paraId="3FBAC03E" w14:textId="6D069894" w:rsidR="003F1935" w:rsidRPr="000D4703" w:rsidRDefault="003F1935" w:rsidP="003F1935">
      <w:pPr>
        <w:pStyle w:val="Paragraphedeliste"/>
        <w:numPr>
          <w:ilvl w:val="0"/>
          <w:numId w:val="55"/>
        </w:numPr>
      </w:pPr>
      <w:r w:rsidRPr="000D4703">
        <w:t xml:space="preserve">Dans un second temps, conformément au </w:t>
      </w:r>
      <w:r>
        <w:t>c</w:t>
      </w:r>
      <w:r w:rsidRPr="000D4703">
        <w:t>ontrat d'</w:t>
      </w:r>
      <w:r>
        <w:t>é</w:t>
      </w:r>
      <w:r w:rsidRPr="000D4703">
        <w:t>mission</w:t>
      </w:r>
      <w:r>
        <w:t xml:space="preserve"> et sous condition du </w:t>
      </w:r>
      <w:r w:rsidRPr="000D4703">
        <w:t>vote</w:t>
      </w:r>
      <w:r>
        <w:t xml:space="preserve"> </w:t>
      </w:r>
      <w:r w:rsidRPr="000D4703">
        <w:t xml:space="preserve">favorable </w:t>
      </w:r>
      <w:r>
        <w:t>de</w:t>
      </w:r>
      <w:r w:rsidRPr="000D4703">
        <w:t xml:space="preserve"> l'</w:t>
      </w:r>
      <w:r>
        <w:t>a</w:t>
      </w:r>
      <w:r w:rsidRPr="000D4703">
        <w:t xml:space="preserve">ssemblée </w:t>
      </w:r>
      <w:r>
        <w:t>géné</w:t>
      </w:r>
      <w:r w:rsidRPr="000D4703">
        <w:t xml:space="preserve">rale </w:t>
      </w:r>
      <w:r>
        <w:t>e</w:t>
      </w:r>
      <w:r w:rsidRPr="000D4703">
        <w:t xml:space="preserve">xtraordinaire des actionnaires de Spineway </w:t>
      </w:r>
      <w:r>
        <w:t xml:space="preserve">(obtenu le du 13 septembre 2018) </w:t>
      </w:r>
      <w:r w:rsidRPr="000D4703">
        <w:t>permettant de poursuivre ce programme de</w:t>
      </w:r>
      <w:r>
        <w:t xml:space="preserve"> </w:t>
      </w:r>
      <w:r w:rsidRPr="000D4703">
        <w:t>financement jusqu'</w:t>
      </w:r>
      <w:r>
        <w:t xml:space="preserve">à </w:t>
      </w:r>
      <w:r w:rsidRPr="000D4703">
        <w:t>son terme, l'Investisseur s'est engagé</w:t>
      </w:r>
      <w:r>
        <w:t xml:space="preserve"> à</w:t>
      </w:r>
      <w:r w:rsidRPr="000D4703">
        <w:t xml:space="preserve"> souscrire, sur exercice de 800</w:t>
      </w:r>
      <w:r>
        <w:t xml:space="preserve"> </w:t>
      </w:r>
      <w:r w:rsidRPr="000D4703">
        <w:t>Bons d'</w:t>
      </w:r>
      <w:r>
        <w:t>é</w:t>
      </w:r>
      <w:r w:rsidRPr="000D4703">
        <w:t xml:space="preserve">mission, </w:t>
      </w:r>
      <w:r>
        <w:t xml:space="preserve">à compter de </w:t>
      </w:r>
      <w:r w:rsidRPr="000D4703">
        <w:t xml:space="preserve">ladite </w:t>
      </w:r>
      <w:r>
        <w:t>as</w:t>
      </w:r>
      <w:r w:rsidRPr="000D4703">
        <w:t xml:space="preserve">semblée </w:t>
      </w:r>
      <w:r>
        <w:t>géné</w:t>
      </w:r>
      <w:r w:rsidRPr="000D4703">
        <w:t xml:space="preserve">rale </w:t>
      </w:r>
      <w:r>
        <w:t>e</w:t>
      </w:r>
      <w:r w:rsidRPr="000D4703">
        <w:t>xtraordinaire, 800 OCEANE</w:t>
      </w:r>
      <w:r>
        <w:t xml:space="preserve"> </w:t>
      </w:r>
      <w:r w:rsidRPr="000D4703">
        <w:t>avec BSA attach</w:t>
      </w:r>
      <w:r>
        <w:t>é</w:t>
      </w:r>
      <w:r w:rsidRPr="000D4703">
        <w:t>s, représentant</w:t>
      </w:r>
      <w:r>
        <w:t xml:space="preserve"> 8 M€ de valeur </w:t>
      </w:r>
      <w:r w:rsidRPr="000D4703">
        <w:t xml:space="preserve">nominale totale, en deux </w:t>
      </w:r>
      <w:r>
        <w:t>t</w:t>
      </w:r>
      <w:r w:rsidRPr="000D4703">
        <w:t>ranches</w:t>
      </w:r>
      <w:r>
        <w:t xml:space="preserve"> </w:t>
      </w:r>
      <w:r w:rsidRPr="000D4703">
        <w:t xml:space="preserve">successives de 1 M€, puis en douze </w:t>
      </w:r>
      <w:r>
        <w:t>t</w:t>
      </w:r>
      <w:r w:rsidRPr="000D4703">
        <w:t>ran</w:t>
      </w:r>
      <w:r>
        <w:t>ches de 0,5 M€</w:t>
      </w:r>
      <w:r w:rsidRPr="000D4703">
        <w:t>.</w:t>
      </w:r>
    </w:p>
    <w:p w14:paraId="68F563B3" w14:textId="77777777" w:rsidR="00105356" w:rsidRDefault="00105356" w:rsidP="00A57171"/>
    <w:p w14:paraId="2C6A582E" w14:textId="77777777" w:rsidR="0025074C" w:rsidRDefault="0025074C" w:rsidP="00A57171"/>
    <w:p w14:paraId="28CC9447" w14:textId="3BE8A793" w:rsidR="0098016E" w:rsidRPr="002541DB" w:rsidRDefault="002541DB" w:rsidP="002541DB">
      <w:pPr>
        <w:pStyle w:val="Titre2"/>
      </w:pPr>
      <w:bookmarkStart w:id="356" w:name="_Ref369164253"/>
      <w:bookmarkStart w:id="357" w:name="_Toc475033300"/>
      <w:r>
        <w:lastRenderedPageBreak/>
        <w:t>2</w:t>
      </w:r>
      <w:r w:rsidR="00A247E0">
        <w:t>0</w:t>
      </w:r>
      <w:r>
        <w:t>.</w:t>
      </w:r>
      <w:r w:rsidR="0057758C">
        <w:t>4</w:t>
      </w:r>
      <w:r>
        <w:t xml:space="preserve"> </w:t>
      </w:r>
      <w:r w:rsidR="007008D0" w:rsidRPr="002541DB">
        <w:t>Contrat d’émission d’ORNANE</w:t>
      </w:r>
      <w:r w:rsidR="0098016E" w:rsidRPr="002541DB">
        <w:t xml:space="preserve"> signé le </w:t>
      </w:r>
      <w:r w:rsidR="00915449" w:rsidRPr="002541DB">
        <w:t>28</w:t>
      </w:r>
      <w:r w:rsidR="0098016E" w:rsidRPr="002541DB">
        <w:t xml:space="preserve"> juillet 2017 avec Yorkville Advisors </w:t>
      </w:r>
      <w:r w:rsidR="00915449" w:rsidRPr="002541DB">
        <w:t>(« Yorkville</w:t>
      </w:r>
      <w:r w:rsidR="00F92646">
        <w:t xml:space="preserve"> </w:t>
      </w:r>
      <w:r w:rsidR="00915449" w:rsidRPr="002541DB">
        <w:t>»)</w:t>
      </w:r>
      <w:bookmarkEnd w:id="356"/>
      <w:bookmarkEnd w:id="357"/>
    </w:p>
    <w:p w14:paraId="03A2D79A" w14:textId="77777777" w:rsidR="00910F50" w:rsidRDefault="00910F50" w:rsidP="00910F50">
      <w:pPr>
        <w:rPr>
          <w:b/>
        </w:rPr>
      </w:pPr>
    </w:p>
    <w:p w14:paraId="1DC7BD52" w14:textId="1B649C80" w:rsidR="00EA3CC9" w:rsidRPr="00EA3CC9" w:rsidRDefault="00EA3CC9" w:rsidP="00EA3CC9">
      <w:pPr>
        <w:pBdr>
          <w:top w:val="single" w:sz="4" w:space="1" w:color="auto"/>
          <w:bottom w:val="single" w:sz="4" w:space="1" w:color="auto"/>
        </w:pBdr>
        <w:rPr>
          <w:i/>
        </w:rPr>
      </w:pPr>
      <w:r w:rsidRPr="00EA3CC9">
        <w:rPr>
          <w:i/>
        </w:rPr>
        <w:t xml:space="preserve">Yorkville Advisors </w:t>
      </w:r>
      <w:r>
        <w:rPr>
          <w:i/>
        </w:rPr>
        <w:t xml:space="preserve">est un investisseur américain gérant de fonds dont le siège social est situé </w:t>
      </w:r>
      <w:r w:rsidRPr="00EA3CC9">
        <w:rPr>
          <w:i/>
        </w:rPr>
        <w:t>1012 Springfie</w:t>
      </w:r>
      <w:r>
        <w:rPr>
          <w:i/>
        </w:rPr>
        <w:t>ld Avenue NJ 07092 Mountainside.</w:t>
      </w:r>
    </w:p>
    <w:p w14:paraId="038876B7" w14:textId="77777777" w:rsidR="00EA3CC9" w:rsidRDefault="00EA3CC9" w:rsidP="00910F50"/>
    <w:p w14:paraId="7D021A52" w14:textId="450C3F48" w:rsidR="00915449" w:rsidRDefault="00915449" w:rsidP="00910F50">
      <w:r w:rsidRPr="00915449">
        <w:t xml:space="preserve">Le </w:t>
      </w:r>
      <w:r>
        <w:t>28</w:t>
      </w:r>
      <w:r w:rsidRPr="00915449">
        <w:t xml:space="preserve"> juillet 2017, Yorkville</w:t>
      </w:r>
      <w:r>
        <w:t xml:space="preserve"> et Spineway ont signé un contrat </w:t>
      </w:r>
      <w:r w:rsidR="003F1935">
        <w:t xml:space="preserve">d’ ORNANE avec BSA </w:t>
      </w:r>
      <w:r>
        <w:t xml:space="preserve">qui </w:t>
      </w:r>
      <w:r w:rsidR="009C0779">
        <w:t>pouvaient</w:t>
      </w:r>
      <w:r>
        <w:t xml:space="preserve"> être émises au fil de l’eau au bénéfice de l’investisseur (un fond géré par </w:t>
      </w:r>
      <w:r w:rsidRPr="00915449">
        <w:t>Yorkville</w:t>
      </w:r>
      <w:r>
        <w:t>)</w:t>
      </w:r>
      <w:r w:rsidR="003A062F">
        <w:t xml:space="preserve">, </w:t>
      </w:r>
      <w:r w:rsidR="003B136B">
        <w:t>dès lors que</w:t>
      </w:r>
      <w:r w:rsidR="003A062F">
        <w:t xml:space="preserve"> Spineway </w:t>
      </w:r>
      <w:r w:rsidR="009C0779">
        <w:t>était</w:t>
      </w:r>
      <w:r w:rsidR="003A062F">
        <w:t xml:space="preserve"> transféré sur le compartiment offre au public du marché Euronext Growth</w:t>
      </w:r>
      <w:r>
        <w:t>.</w:t>
      </w:r>
    </w:p>
    <w:p w14:paraId="2A2697E3" w14:textId="77777777" w:rsidR="00915449" w:rsidRDefault="00915449" w:rsidP="00910F50">
      <w:pPr>
        <w:rPr>
          <w:b/>
        </w:rPr>
      </w:pPr>
    </w:p>
    <w:p w14:paraId="5F202478" w14:textId="162B13F6" w:rsidR="00263F89" w:rsidRPr="00263F89" w:rsidRDefault="00263F89" w:rsidP="00263F89">
      <w:pPr>
        <w:widowControl w:val="0"/>
        <w:autoSpaceDE w:val="0"/>
        <w:autoSpaceDN w:val="0"/>
        <w:adjustRightInd w:val="0"/>
        <w:rPr>
          <w:rFonts w:ascii="Calibri" w:hAnsi="Calibri" w:cs="Calibri"/>
          <w:szCs w:val="20"/>
        </w:rPr>
      </w:pPr>
      <w:r w:rsidRPr="00263F89">
        <w:rPr>
          <w:rFonts w:ascii="Calibri" w:hAnsi="Calibri" w:cs="Calibri"/>
          <w:szCs w:val="20"/>
        </w:rPr>
        <w:t xml:space="preserve">Aux termes du contrat d’émission, l’Investisseur </w:t>
      </w:r>
      <w:r w:rsidR="009C0779">
        <w:rPr>
          <w:rFonts w:ascii="Calibri" w:hAnsi="Calibri" w:cs="Calibri"/>
          <w:szCs w:val="20"/>
        </w:rPr>
        <w:t>s’était</w:t>
      </w:r>
      <w:r w:rsidRPr="00263F89">
        <w:rPr>
          <w:rFonts w:ascii="Calibri" w:hAnsi="Calibri" w:cs="Calibri"/>
          <w:szCs w:val="20"/>
        </w:rPr>
        <w:t xml:space="preserve"> engagé à souscrire pendant une période de 36 mois à compter de la date d’émission des Bons d’Emission jusqu’à 200 ORNANE avec BSA attachés, représentant 2 M€ de valeur nominale totale, en plusieurs tranches successives.</w:t>
      </w:r>
    </w:p>
    <w:p w14:paraId="27CFDF9A" w14:textId="315FE602" w:rsidR="00263F89" w:rsidRPr="009C0779" w:rsidRDefault="00263F89" w:rsidP="00263F89">
      <w:pPr>
        <w:widowControl w:val="0"/>
        <w:autoSpaceDE w:val="0"/>
        <w:autoSpaceDN w:val="0"/>
        <w:adjustRightInd w:val="0"/>
        <w:rPr>
          <w:rFonts w:ascii="Calibri" w:hAnsi="Calibri" w:cs="Calibri"/>
          <w:szCs w:val="20"/>
        </w:rPr>
      </w:pPr>
      <w:r w:rsidRPr="009C0779">
        <w:rPr>
          <w:rFonts w:ascii="Calibri" w:hAnsi="Calibri" w:cs="Calibri"/>
          <w:bCs/>
          <w:szCs w:val="20"/>
        </w:rPr>
        <w:t xml:space="preserve">Cette émission </w:t>
      </w:r>
      <w:r w:rsidR="009C0779" w:rsidRPr="009C0779">
        <w:rPr>
          <w:rFonts w:ascii="Calibri" w:hAnsi="Calibri" w:cs="Calibri"/>
          <w:bCs/>
          <w:szCs w:val="20"/>
        </w:rPr>
        <w:t>était</w:t>
      </w:r>
      <w:r w:rsidRPr="009C0779">
        <w:rPr>
          <w:rFonts w:ascii="Calibri" w:hAnsi="Calibri" w:cs="Calibri"/>
          <w:bCs/>
          <w:szCs w:val="20"/>
        </w:rPr>
        <w:t xml:space="preserve"> conditionnée </w:t>
      </w:r>
      <w:r w:rsidR="009C0779">
        <w:rPr>
          <w:rFonts w:ascii="Calibri" w:hAnsi="Calibri" w:cs="Calibri"/>
          <w:bCs/>
          <w:szCs w:val="20"/>
        </w:rPr>
        <w:t>par le</w:t>
      </w:r>
      <w:r w:rsidRPr="009C0779">
        <w:rPr>
          <w:rFonts w:ascii="Calibri" w:hAnsi="Calibri" w:cs="Calibri"/>
          <w:bCs/>
          <w:szCs w:val="20"/>
        </w:rPr>
        <w:t xml:space="preserve"> transfert des actions de Spineway sur le compartiment « Offre au public » d’Euronext Growth et à l’obtention préalable d’un visa de l’Autorité des marchés financiers sur le </w:t>
      </w:r>
      <w:r w:rsidR="009C0779">
        <w:rPr>
          <w:rFonts w:ascii="Calibri" w:hAnsi="Calibri" w:cs="Calibri"/>
          <w:bCs/>
          <w:szCs w:val="20"/>
        </w:rPr>
        <w:t>Prospectus</w:t>
      </w:r>
      <w:r w:rsidRPr="009C0779">
        <w:rPr>
          <w:rFonts w:ascii="Calibri" w:hAnsi="Calibri" w:cs="Calibri"/>
          <w:bCs/>
          <w:szCs w:val="20"/>
        </w:rPr>
        <w:t xml:space="preserve"> </w:t>
      </w:r>
      <w:r w:rsidR="009C0779">
        <w:rPr>
          <w:rFonts w:ascii="Calibri" w:hAnsi="Calibri" w:cs="Calibri"/>
          <w:bCs/>
          <w:szCs w:val="20"/>
        </w:rPr>
        <w:t>alors établi</w:t>
      </w:r>
      <w:r w:rsidRPr="009C0779">
        <w:rPr>
          <w:rFonts w:ascii="Calibri" w:hAnsi="Calibri" w:cs="Calibri"/>
          <w:bCs/>
          <w:szCs w:val="20"/>
        </w:rPr>
        <w:t xml:space="preserve"> par la Société</w:t>
      </w:r>
      <w:r w:rsidR="009C0779">
        <w:rPr>
          <w:rFonts w:ascii="Calibri" w:hAnsi="Calibri" w:cs="Calibri"/>
          <w:bCs/>
          <w:szCs w:val="20"/>
        </w:rPr>
        <w:t>, et ce,</w:t>
      </w:r>
      <w:r w:rsidRPr="009C0779">
        <w:rPr>
          <w:rFonts w:ascii="Calibri" w:hAnsi="Calibri" w:cs="Calibri"/>
          <w:bCs/>
          <w:szCs w:val="20"/>
        </w:rPr>
        <w:t xml:space="preserve"> au plus tard le 31 décembre 2017</w:t>
      </w:r>
      <w:r w:rsidRPr="009C0779">
        <w:rPr>
          <w:rFonts w:ascii="Calibri" w:hAnsi="Calibri" w:cs="Calibri"/>
          <w:szCs w:val="20"/>
        </w:rPr>
        <w:t xml:space="preserve">. </w:t>
      </w:r>
    </w:p>
    <w:p w14:paraId="6F2408E6" w14:textId="0DA98509" w:rsidR="00263F89" w:rsidRPr="00263F89" w:rsidRDefault="009C0779" w:rsidP="00263F89">
      <w:pPr>
        <w:widowControl w:val="0"/>
        <w:autoSpaceDE w:val="0"/>
        <w:autoSpaceDN w:val="0"/>
        <w:adjustRightInd w:val="0"/>
        <w:rPr>
          <w:rFonts w:ascii="Calibri" w:hAnsi="Calibri" w:cs="Calibri"/>
          <w:szCs w:val="20"/>
        </w:rPr>
      </w:pPr>
      <w:r>
        <w:rPr>
          <w:rFonts w:ascii="Calibri" w:hAnsi="Calibri" w:cs="Calibri"/>
          <w:szCs w:val="20"/>
        </w:rPr>
        <w:t>Dans ce contexte, l</w:t>
      </w:r>
      <w:r w:rsidR="00263F89" w:rsidRPr="00263F89">
        <w:rPr>
          <w:rFonts w:ascii="Calibri" w:hAnsi="Calibri" w:cs="Calibri"/>
          <w:szCs w:val="20"/>
        </w:rPr>
        <w:t>’émission des Bons d’Emission et la sous</w:t>
      </w:r>
      <w:r>
        <w:rPr>
          <w:rFonts w:ascii="Calibri" w:hAnsi="Calibri" w:cs="Calibri"/>
          <w:szCs w:val="20"/>
        </w:rPr>
        <w:t>cription de la 1</w:t>
      </w:r>
      <w:r w:rsidRPr="005B42F0">
        <w:rPr>
          <w:rFonts w:ascii="Calibri" w:hAnsi="Calibri" w:cs="Calibri"/>
          <w:szCs w:val="20"/>
          <w:vertAlign w:val="superscript"/>
        </w:rPr>
        <w:t>ère</w:t>
      </w:r>
      <w:r>
        <w:rPr>
          <w:rFonts w:ascii="Calibri" w:hAnsi="Calibri" w:cs="Calibri"/>
          <w:szCs w:val="20"/>
        </w:rPr>
        <w:t xml:space="preserve"> </w:t>
      </w:r>
      <w:r w:rsidR="003F1935">
        <w:rPr>
          <w:rFonts w:ascii="Calibri" w:hAnsi="Calibri" w:cs="Calibri"/>
          <w:szCs w:val="20"/>
        </w:rPr>
        <w:t xml:space="preserve">tranche </w:t>
      </w:r>
      <w:r>
        <w:rPr>
          <w:rFonts w:ascii="Calibri" w:hAnsi="Calibri" w:cs="Calibri"/>
          <w:szCs w:val="20"/>
        </w:rPr>
        <w:t>dev</w:t>
      </w:r>
      <w:r w:rsidR="00263F89" w:rsidRPr="00263F89">
        <w:rPr>
          <w:rFonts w:ascii="Calibri" w:hAnsi="Calibri" w:cs="Calibri"/>
          <w:szCs w:val="20"/>
        </w:rPr>
        <w:t>aient intervenir d’ici fin 2017. </w:t>
      </w:r>
    </w:p>
    <w:p w14:paraId="00F8E997" w14:textId="77777777" w:rsidR="00FD365D" w:rsidRDefault="00FD365D" w:rsidP="00FD365D">
      <w:pPr>
        <w:rPr>
          <w:rFonts w:ascii="Calibri" w:hAnsi="Calibri" w:cs="Calibri"/>
          <w:szCs w:val="20"/>
        </w:rPr>
      </w:pPr>
    </w:p>
    <w:p w14:paraId="2D2FE06E" w14:textId="2B248194" w:rsidR="0098016E" w:rsidRPr="007161BA" w:rsidRDefault="00263F89" w:rsidP="00FD365D">
      <w:r>
        <w:rPr>
          <w:rFonts w:ascii="Calibri" w:hAnsi="Calibri" w:cs="Calibri"/>
          <w:szCs w:val="20"/>
        </w:rPr>
        <w:t>Cette émission d’ORNANE assorties de BSA a</w:t>
      </w:r>
      <w:r w:rsidR="009C0779">
        <w:rPr>
          <w:rFonts w:ascii="Calibri" w:hAnsi="Calibri" w:cs="Calibri"/>
          <w:szCs w:val="20"/>
        </w:rPr>
        <w:t>vait</w:t>
      </w:r>
      <w:r>
        <w:rPr>
          <w:rFonts w:ascii="Calibri" w:hAnsi="Calibri" w:cs="Calibri"/>
          <w:szCs w:val="20"/>
        </w:rPr>
        <w:t xml:space="preserve"> pour objectif de doter Spineway des moyens financiers nécessaires pour conduire son plan de développement à l’international et lancer de nouveaux produits innovants. Elle </w:t>
      </w:r>
      <w:r w:rsidR="009C0779">
        <w:rPr>
          <w:rFonts w:ascii="Calibri" w:hAnsi="Calibri" w:cs="Calibri"/>
          <w:szCs w:val="20"/>
        </w:rPr>
        <w:t>était</w:t>
      </w:r>
      <w:r>
        <w:rPr>
          <w:rFonts w:ascii="Calibri" w:hAnsi="Calibri" w:cs="Calibri"/>
          <w:szCs w:val="20"/>
        </w:rPr>
        <w:t xml:space="preserve"> susceptible de se traduire par un apport de fonds propres d’environ 3,96 M€ : 1,96 M€ correspondant à la souscription de la totalité des ORNANE et 2 M€ correspondant à l’exercice de la totalité des BSA attachés. </w:t>
      </w:r>
    </w:p>
    <w:p w14:paraId="552CDDDB" w14:textId="77777777" w:rsidR="004E14DB" w:rsidRDefault="004E14DB">
      <w:pPr>
        <w:jc w:val="left"/>
      </w:pPr>
    </w:p>
    <w:p w14:paraId="52117B6E" w14:textId="02EFEC20" w:rsidR="003133E6" w:rsidRDefault="004E14DB" w:rsidP="00782B86">
      <w:r>
        <w:t>L</w:t>
      </w:r>
      <w:r w:rsidR="00782B86">
        <w:t>es caractéristiques et l’</w:t>
      </w:r>
      <w:r>
        <w:t xml:space="preserve">impact dilutif potentiel des ORNANE </w:t>
      </w:r>
      <w:r w:rsidR="00782B86">
        <w:t>sont</w:t>
      </w:r>
      <w:r>
        <w:t xml:space="preserve"> </w:t>
      </w:r>
      <w:r w:rsidR="003133E6">
        <w:t>détaillés</w:t>
      </w:r>
      <w:r>
        <w:t xml:space="preserve"> au paragraphe « </w:t>
      </w:r>
      <w:r w:rsidR="00782B86">
        <w:fldChar w:fldCharType="begin"/>
      </w:r>
      <w:r w:rsidR="00782B86">
        <w:instrText xml:space="preserve"> REF _Ref337397328 \h </w:instrText>
      </w:r>
      <w:r w:rsidR="00782B86">
        <w:fldChar w:fldCharType="separate"/>
      </w:r>
      <w:r w:rsidR="003A0AD1">
        <w:t xml:space="preserve">19.1.4 Valeurs mobilières ouvrant droit à une quote-part de </w:t>
      </w:r>
      <w:r w:rsidR="00782B86">
        <w:fldChar w:fldCharType="end"/>
      </w:r>
      <w:r w:rsidR="00782B86">
        <w:t xml:space="preserve"> » </w:t>
      </w:r>
      <w:r w:rsidR="000C10EB">
        <w:t xml:space="preserve">du </w:t>
      </w:r>
      <w:r w:rsidR="00920DEB">
        <w:t>Document d’enregistrement universel</w:t>
      </w:r>
      <w:r>
        <w:t>.</w:t>
      </w:r>
    </w:p>
    <w:p w14:paraId="6B9282CC" w14:textId="77777777" w:rsidR="003133E6" w:rsidRDefault="003133E6" w:rsidP="00782B86"/>
    <w:p w14:paraId="0670A6CC" w14:textId="77777777" w:rsidR="003133E6" w:rsidRDefault="003133E6" w:rsidP="003133E6"/>
    <w:p w14:paraId="75D8B51C" w14:textId="77777777" w:rsidR="00253B3E" w:rsidRDefault="00253B3E">
      <w:pPr>
        <w:jc w:val="left"/>
        <w:rPr>
          <w:rFonts w:eastAsiaTheme="majorEastAsia" w:cstheme="majorBidi"/>
          <w:b/>
          <w:bCs/>
          <w:color w:val="345A8A" w:themeColor="accent1" w:themeShade="B5"/>
          <w:sz w:val="32"/>
          <w:szCs w:val="32"/>
        </w:rPr>
      </w:pPr>
      <w:bookmarkStart w:id="358" w:name="_Ref369164851"/>
      <w:r>
        <w:br w:type="page"/>
      </w:r>
    </w:p>
    <w:p w14:paraId="6A4DF12C" w14:textId="1377CB90" w:rsidR="00CF0C5B" w:rsidRPr="0045432D" w:rsidRDefault="00E30553" w:rsidP="00E30553">
      <w:pPr>
        <w:pStyle w:val="Titre1"/>
      </w:pPr>
      <w:bookmarkStart w:id="359" w:name="_Toc475033301"/>
      <w:bookmarkEnd w:id="358"/>
      <w:r>
        <w:lastRenderedPageBreak/>
        <w:t>2</w:t>
      </w:r>
      <w:r w:rsidR="00D17706">
        <w:t>1</w:t>
      </w:r>
      <w:r>
        <w:t xml:space="preserve">. </w:t>
      </w:r>
      <w:r w:rsidR="00CF0C5B" w:rsidRPr="0045432D">
        <w:t xml:space="preserve">Documents </w:t>
      </w:r>
      <w:r w:rsidR="00A82C21">
        <w:t>disponibles</w:t>
      </w:r>
      <w:bookmarkEnd w:id="359"/>
    </w:p>
    <w:p w14:paraId="4B2A0411" w14:textId="77777777" w:rsidR="00CF0C5B" w:rsidRDefault="00CF0C5B" w:rsidP="00E30553"/>
    <w:p w14:paraId="25EAED46" w14:textId="0D63BD34" w:rsidR="00E30553" w:rsidRPr="0032696E" w:rsidRDefault="00E30553" w:rsidP="00A0729C">
      <w:r w:rsidRPr="0032696E">
        <w:t xml:space="preserve">Des exemplaires du présent </w:t>
      </w:r>
      <w:r w:rsidR="00920DEB">
        <w:t>Document d’enregistrement universel</w:t>
      </w:r>
      <w:r w:rsidRPr="0032696E">
        <w:t xml:space="preserve"> sont disponibles sans frais au siège social de la Société, </w:t>
      </w:r>
      <w:r w:rsidR="00A0729C" w:rsidRPr="00A0729C">
        <w:t>7 Allée du Moulin Berger, Bâtiment 7, 69130 Ecully</w:t>
      </w:r>
      <w:r w:rsidRPr="0032696E">
        <w:t>, ainsi qu’en version électronique sur le site de l’AMF (www.amf-france.org) et sur celui de la Société</w:t>
      </w:r>
      <w:r w:rsidR="002D491A">
        <w:t xml:space="preserve"> (www.</w:t>
      </w:r>
      <w:r w:rsidR="00A0729C">
        <w:t>spineway</w:t>
      </w:r>
      <w:r w:rsidR="002D491A">
        <w:t>.com)</w:t>
      </w:r>
      <w:r w:rsidR="00DD06DD">
        <w:t>.</w:t>
      </w:r>
    </w:p>
    <w:p w14:paraId="409D5BE3" w14:textId="77777777" w:rsidR="00E30553" w:rsidRPr="0032696E" w:rsidRDefault="00E30553" w:rsidP="00A0729C">
      <w:r w:rsidRPr="0032696E">
        <w:t xml:space="preserve">Les statuts, procès-verbaux des assemblées générales et autres documents sociaux de la Société, ainsi que les informations financières historiques et toute évaluation ou déclaration établie par un expert à la demande de l’émetteur devant être mis à la disposition des actionnaires conformément aux dispositions légales et réglementaires peuvent être consultés sans frais au siège social de la Société. </w:t>
      </w:r>
    </w:p>
    <w:p w14:paraId="7384352C" w14:textId="744DFC8E" w:rsidR="000A786B" w:rsidRDefault="00A0729C" w:rsidP="00D17706">
      <w:pPr>
        <w:rPr>
          <w:rFonts w:eastAsiaTheme="majorEastAsia" w:cstheme="majorBidi"/>
          <w:b/>
          <w:bCs/>
          <w:color w:val="345A8A" w:themeColor="accent1" w:themeShade="B5"/>
          <w:sz w:val="32"/>
          <w:szCs w:val="32"/>
        </w:rPr>
      </w:pPr>
      <w:r>
        <w:t>Les actions de la Société étant cotées sur le marché Euronext Growth</w:t>
      </w:r>
      <w:r w:rsidR="00E30553" w:rsidRPr="0032696E">
        <w:t xml:space="preserve">, l'information périodique et permanente au sens des dispositions du règlement général de l'AMF </w:t>
      </w:r>
      <w:r>
        <w:t>est</w:t>
      </w:r>
      <w:r w:rsidR="00E30553" w:rsidRPr="0032696E">
        <w:t xml:space="preserve"> disponible sur le site Internet de la Société</w:t>
      </w:r>
      <w:r w:rsidR="002D491A">
        <w:t xml:space="preserve"> </w:t>
      </w:r>
      <w:r>
        <w:t>(www.spineway.com).</w:t>
      </w:r>
    </w:p>
    <w:sectPr w:rsidR="000A786B" w:rsidSect="00A26900">
      <w:pgSz w:w="11900" w:h="16840"/>
      <w:pgMar w:top="1417" w:right="1268" w:bottom="1417" w:left="1417" w:header="708" w:footer="708" w:gutter="0"/>
      <w:cols w:space="708"/>
      <w:docGrid w:linePitch="360"/>
    </w:sectPr>
  </w:body>
</w:document>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5:commentEx w15:paraId="3840F160" w15:done="0"/>
  <w15:commentEx w15:paraId="1FDE402F" w15:done="0"/>
  <w15:commentEx w15:paraId="057AE62A" w15:done="0"/>
  <w15:commentEx w15:paraId="6F0E7653" w15:done="0"/>
  <w15:commentEx w15:paraId="30794ACC" w15:done="0"/>
  <w15:commentEx w15:paraId="2FD94337" w15:done="0"/>
  <w15:commentEx w15:paraId="18A0D1F7" w15:done="0"/>
  <w15:commentEx w15:paraId="5A4FC835" w15:done="0"/>
  <w15:commentEx w15:paraId="0B695031" w15:done="0"/>
  <w15:commentEx w15:paraId="2191A898" w15:done="0"/>
  <w15:commentEx w15:paraId="4C26DB53" w15:done="0"/>
  <w15:commentEx w15:paraId="6FC28701" w15:done="0"/>
  <w15:commentEx w15:paraId="557AF881" w15:done="0"/>
  <w15:commentEx w15:paraId="31471AAD" w15:done="0"/>
  <w15:commentEx w15:paraId="554C82BC" w15:done="0"/>
  <w15:commentEx w15:paraId="02BCCB1B" w15:done="0"/>
  <w15:commentEx w15:paraId="5F1193F8" w15:done="0"/>
  <w15:commentEx w15:paraId="5A910C8D" w15:done="0"/>
  <w15:commentEx w15:paraId="4DB31719" w15:done="0"/>
  <w15:commentEx w15:paraId="741CBE0C" w15:done="0"/>
  <w15:commentEx w15:paraId="4696A7FF" w15:done="0"/>
  <w15:commentEx w15:paraId="5ED6FA21"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23C578E6" w16cex:dateUtc="2021-02-03T18:32:00Z"/>
  <w16cex:commentExtensible w16cex:durableId="7BC43C18" w16cex:dateUtc="2021-01-27T13:33:00Z"/>
  <w16cex:commentExtensible w16cex:durableId="1DBB3862" w16cex:dateUtc="2021-01-27T13:34:00Z"/>
  <w16cex:commentExtensible w16cex:durableId="76F3E9B2" w16cex:dateUtc="2021-01-27T14:17:00Z"/>
  <w16cex:commentExtensible w16cex:durableId="23C408C7" w16cex:dateUtc="2021-02-02T16:22:00Z"/>
  <w16cex:commentExtensible w16cex:durableId="79A2BC04" w16cex:dateUtc="2021-01-27T20:50:00Z"/>
  <w16cex:commentExtensible w16cex:durableId="7D7649E8" w16cex:dateUtc="2021-01-27T22:45:00Z"/>
  <w16cex:commentExtensible w16cex:durableId="589DF877" w16cex:dateUtc="2021-01-28T00:27:00Z"/>
  <w16cex:commentExtensible w16cex:durableId="23C57F5D" w16cex:dateUtc="2021-02-03T19:00:00Z"/>
  <w16cex:commentExtensible w16cex:durableId="193FE180" w16cex:dateUtc="2021-01-28T01:51: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id:commentId w16cid:paraId="3840F160" w16cid:durableId="62548232"/>
  <w16cid:commentId w16cid:paraId="1FDE402F" w16cid:durableId="036536C3"/>
  <w16cid:commentId w16cid:paraId="057AE62A" w16cid:durableId="53DF492A"/>
  <w16cid:commentId w16cid:paraId="6F0E7653" w16cid:durableId="0ABE9EBE"/>
  <w16cid:commentId w16cid:paraId="30794ACC" w16cid:durableId="23C578E6"/>
  <w16cid:commentId w16cid:paraId="2FD94337" w16cid:durableId="7BC43C18"/>
  <w16cid:commentId w16cid:paraId="18A0D1F7" w16cid:durableId="1DBB3862"/>
  <w16cid:commentId w16cid:paraId="5A4FC835" w16cid:durableId="76F3E9B2"/>
  <w16cid:commentId w16cid:paraId="0B695031" w16cid:durableId="3AADB52A"/>
  <w16cid:commentId w16cid:paraId="2191A898" w16cid:durableId="23C408C7"/>
  <w16cid:commentId w16cid:paraId="4C26DB53" w16cid:durableId="3AD53DEF"/>
  <w16cid:commentId w16cid:paraId="6FC28701" w16cid:durableId="79A2BC04"/>
  <w16cid:commentId w16cid:paraId="557AF881" w16cid:durableId="7D7649E8"/>
  <w16cid:commentId w16cid:paraId="31471AAD" w16cid:durableId="589DF877"/>
  <w16cid:commentId w16cid:paraId="554C82BC" w16cid:durableId="23C57F5D"/>
  <w16cid:commentId w16cid:paraId="02BCCB1B" w16cid:durableId="52403226"/>
  <w16cid:commentId w16cid:paraId="5F1193F8" w16cid:durableId="7DF0FB24"/>
  <w16cid:commentId w16cid:paraId="5A910C8D" w16cid:durableId="10C05FDF"/>
  <w16cid:commentId w16cid:paraId="4DB31719" w16cid:durableId="7090EFE6"/>
  <w16cid:commentId w16cid:paraId="741CBE0C" w16cid:durableId="193FE180"/>
  <w16cid:commentId w16cid:paraId="4696A7FF" w16cid:durableId="5666DB47"/>
  <w16cid:commentId w16cid:paraId="5ED6FA21" w16cid:durableId="52B06E51"/>
</w16cid:commentsIds>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88E64C1" w14:textId="77777777" w:rsidR="000511BB" w:rsidRDefault="000511BB">
      <w:r>
        <w:separator/>
      </w:r>
    </w:p>
    <w:p w14:paraId="19BC25F2" w14:textId="77777777" w:rsidR="000511BB" w:rsidRDefault="000511BB"/>
  </w:endnote>
  <w:endnote w:type="continuationSeparator" w:id="0">
    <w:p w14:paraId="76BC3FF4" w14:textId="77777777" w:rsidR="000511BB" w:rsidRDefault="000511BB">
      <w:r>
        <w:continuationSeparator/>
      </w:r>
    </w:p>
    <w:p w14:paraId="2EEE7DCF" w14:textId="77777777" w:rsidR="000511BB" w:rsidRDefault="000511BB"/>
  </w:endnote>
  <w:endnote w:type="continuationNotice" w:id="1">
    <w:p w14:paraId="2B50FCED" w14:textId="77777777" w:rsidR="000511BB" w:rsidRDefault="000511BB"/>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auto"/>
    <w:pitch w:val="variable"/>
    <w:sig w:usb0="E10002FF" w:usb1="4000ACFF" w:usb2="00000009" w:usb3="00000000" w:csb0="0000019F"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0000000000000000000"/>
    <w:charset w:val="02"/>
    <w:family w:val="auto"/>
    <w:pitch w:val="variable"/>
    <w:sig w:usb0="00000000" w:usb1="10000000" w:usb2="00000000" w:usb3="00000000" w:csb0="80000000" w:csb1="00000000"/>
  </w:font>
  <w:font w:name="ＭＳ 明朝">
    <w:charset w:val="4E"/>
    <w:family w:val="auto"/>
    <w:pitch w:val="variable"/>
    <w:sig w:usb0="E00002FF" w:usb1="6AC7FDFB" w:usb2="00000012" w:usb3="00000000" w:csb0="0002009F" w:csb1="00000000"/>
  </w:font>
  <w:font w:name="Cambria">
    <w:panose1 w:val="02040503050406030204"/>
    <w:charset w:val="00"/>
    <w:family w:val="auto"/>
    <w:pitch w:val="variable"/>
    <w:sig w:usb0="E00002FF" w:usb1="400004FF" w:usb2="00000000" w:usb3="00000000" w:csb0="0000019F" w:csb1="00000000"/>
  </w:font>
  <w:font w:name="Georgia">
    <w:panose1 w:val="02040502050405020303"/>
    <w:charset w:val="00"/>
    <w:family w:val="auto"/>
    <w:pitch w:val="variable"/>
    <w:sig w:usb0="00000287" w:usb1="00000000" w:usb2="00000000" w:usb3="00000000" w:csb0="0000009F" w:csb1="00000000"/>
  </w:font>
  <w:font w:name="Arial">
    <w:panose1 w:val="020B0604020202020204"/>
    <w:charset w:val="00"/>
    <w:family w:val="auto"/>
    <w:pitch w:val="variable"/>
    <w:sig w:usb0="E0002AFF" w:usb1="C0007843" w:usb2="00000009" w:usb3="00000000" w:csb0="000001FF" w:csb1="00000000"/>
  </w:font>
  <w:font w:name="Segoe UI">
    <w:altName w:val="Calibri"/>
    <w:charset w:val="00"/>
    <w:family w:val="swiss"/>
    <w:pitch w:val="variable"/>
    <w:sig w:usb0="E4002EFF" w:usb1="C000E47F" w:usb2="00000009" w:usb3="00000000" w:csb0="000001FF" w:csb1="00000000"/>
  </w:font>
  <w:font w:name="ＭＳ ゴシック">
    <w:charset w:val="4E"/>
    <w:family w:val="auto"/>
    <w:pitch w:val="variable"/>
    <w:sig w:usb0="E00002FF" w:usb1="6AC7FDFB" w:usb2="00000012" w:usb3="00000000" w:csb0="0002009F" w:csb1="00000000"/>
  </w:font>
  <w:font w:name="Compatil Fact LT Com">
    <w:altName w:val="Times New Roman"/>
    <w:charset w:val="00"/>
    <w:family w:val="auto"/>
    <w:pitch w:val="variable"/>
    <w:sig w:usb0="800000AF" w:usb1="5000204A" w:usb2="00000000" w:usb3="00000000" w:csb0="0000009B" w:csb1="00000000"/>
  </w:font>
  <w:font w:name="Lucida Grande">
    <w:panose1 w:val="020B0600040502020204"/>
    <w:charset w:val="00"/>
    <w:family w:val="auto"/>
    <w:pitch w:val="variable"/>
    <w:sig w:usb0="E1000AEF" w:usb1="5000A1FF" w:usb2="00000000" w:usb3="00000000" w:csb0="000001BF" w:csb1="00000000"/>
  </w:font>
  <w:font w:name="Times">
    <w:altName w:val="Times Roman"/>
    <w:panose1 w:val="02000500000000000000"/>
    <w:charset w:val="4D"/>
    <w:family w:val="roman"/>
    <w:notTrueType/>
    <w:pitch w:val="variable"/>
    <w:sig w:usb0="00000003" w:usb1="00000000" w:usb2="00000000" w:usb3="00000000" w:csb0="00000001" w:csb1="00000000"/>
  </w:font>
  <w:font w:name="Garamond">
    <w:altName w:val="Garamond"/>
    <w:panose1 w:val="02020404030301010803"/>
    <w:charset w:val="00"/>
    <w:family w:val="auto"/>
    <w:pitch w:val="variable"/>
    <w:sig w:usb0="00000003" w:usb1="00000000" w:usb2="00000000" w:usb3="00000000" w:csb0="00000001" w:csb1="00000000"/>
  </w:font>
  <w:font w:name="MS Mincho">
    <w:altName w:val="ＭＳ 明朝"/>
    <w:charset w:val="80"/>
    <w:family w:val="modern"/>
    <w:pitch w:val="fixed"/>
    <w:sig w:usb0="E00002FF" w:usb1="6AC7FDFB" w:usb2="08000012" w:usb3="00000000" w:csb0="0002009F" w:csb1="00000000"/>
  </w:font>
  <w:font w:name="EUAlbertina">
    <w:altName w:val="Cambria"/>
    <w:panose1 w:val="00000000000000000000"/>
    <w:charset w:val="00"/>
    <w:family w:val="roman"/>
    <w:notTrueType/>
    <w:pitch w:val="default"/>
    <w:sig w:usb0="00000003" w:usb1="00000000" w:usb2="00000000" w:usb3="00000000" w:csb0="00000001" w:csb1="00000000"/>
  </w:font>
  <w:font w:name="∞Ûø˜AÍ">
    <w:altName w:val="Cambria"/>
    <w:panose1 w:val="00000000000000000000"/>
    <w:charset w:val="4D"/>
    <w:family w:val="auto"/>
    <w:notTrueType/>
    <w:pitch w:val="default"/>
    <w:sig w:usb0="00000003" w:usb1="00000000" w:usb2="00000000" w:usb3="00000000" w:csb0="00000001" w:csb1="00000000"/>
  </w:font>
  <w:font w:name="Calibri Light">
    <w:panose1 w:val="020F0302020204030204"/>
    <w:charset w:val="00"/>
    <w:family w:val="auto"/>
    <w:pitch w:val="variable"/>
    <w:sig w:usb0="A00002EF" w:usb1="4000207B" w:usb2="00000000" w:usb3="00000000" w:csb0="0000009F" w:csb1="00000000"/>
  </w:font>
  <w:font w:name="Helvetica">
    <w:panose1 w:val="00000000000000000000"/>
    <w:charset w:val="00"/>
    <w:family w:val="auto"/>
    <w:pitch w:val="variable"/>
    <w:sig w:usb0="E00002FF" w:usb1="5000785B" w:usb2="00000000" w:usb3="00000000" w:csb0="0000019F" w:csb1="00000000"/>
  </w:font>
  <w:font w:name="Tahoma">
    <w:panose1 w:val="020B0604030504040204"/>
    <w:charset w:val="00"/>
    <w:family w:val="auto"/>
    <w:pitch w:val="variable"/>
    <w:sig w:usb0="E1002AFF" w:usb1="C000605B" w:usb2="00000029" w:usb3="00000000" w:csb0="000101FF" w:csb1="00000000"/>
  </w:font>
  <w:font w:name="SymbolMT">
    <w:altName w:val="Times New Roman"/>
    <w:panose1 w:val="00000000000000000000"/>
    <w:charset w:val="00"/>
    <w:family w:val="roman"/>
    <w:notTrueType/>
    <w:pitch w:val="default"/>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1D53574" w14:textId="77777777" w:rsidR="000511BB" w:rsidRDefault="000511BB" w:rsidP="003727B4">
    <w:pPr>
      <w:pStyle w:val="Pieddepage"/>
      <w:framePr w:wrap="around" w:vAnchor="text" w:hAnchor="margin" w:xAlign="right" w:y="1"/>
      <w:rPr>
        <w:rStyle w:val="Numrodepage"/>
      </w:rPr>
    </w:pPr>
    <w:r>
      <w:rPr>
        <w:rStyle w:val="Numrodepage"/>
      </w:rPr>
      <w:fldChar w:fldCharType="begin"/>
    </w:r>
    <w:r>
      <w:rPr>
        <w:rStyle w:val="Numrodepage"/>
      </w:rPr>
      <w:instrText xml:space="preserve">PAGE  </w:instrText>
    </w:r>
    <w:r>
      <w:rPr>
        <w:rStyle w:val="Numrodepage"/>
      </w:rPr>
      <w:fldChar w:fldCharType="separate"/>
    </w:r>
    <w:r>
      <w:rPr>
        <w:rStyle w:val="Numrodepage"/>
        <w:noProof/>
      </w:rPr>
      <w:t>30</w:t>
    </w:r>
    <w:r>
      <w:rPr>
        <w:rStyle w:val="Numrodepage"/>
      </w:rPr>
      <w:fldChar w:fldCharType="end"/>
    </w:r>
  </w:p>
  <w:p w14:paraId="2B707FFA" w14:textId="77777777" w:rsidR="000511BB" w:rsidRDefault="000511BB" w:rsidP="00722F08">
    <w:pPr>
      <w:pStyle w:val="Pieddepage"/>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EB18893" w14:textId="77777777" w:rsidR="000511BB" w:rsidRPr="009348D2" w:rsidRDefault="000511BB" w:rsidP="000A786B">
    <w:pPr>
      <w:pStyle w:val="Pieddepage"/>
      <w:tabs>
        <w:tab w:val="clear" w:pos="9072"/>
        <w:tab w:val="left" w:pos="1792"/>
        <w:tab w:val="left" w:pos="3544"/>
        <w:tab w:val="right" w:pos="9214"/>
      </w:tabs>
      <w:rPr>
        <w:rFonts w:asciiTheme="majorHAnsi" w:hAnsiTheme="majorHAnsi"/>
        <w:sz w:val="18"/>
        <w:szCs w:val="18"/>
      </w:rPr>
    </w:pPr>
    <w:r w:rsidRPr="01257A3D">
      <w:rPr>
        <w:rFonts w:asciiTheme="majorHAnsi" w:hAnsiTheme="majorHAnsi"/>
        <w:sz w:val="18"/>
        <w:szCs w:val="18"/>
      </w:rPr>
      <w:t>Document d’enregistrement universel</w:t>
    </w:r>
    <w:r w:rsidRPr="000A786B">
      <w:rPr>
        <w:rFonts w:asciiTheme="majorHAnsi" w:hAnsiTheme="majorHAnsi"/>
        <w:sz w:val="18"/>
        <w:szCs w:val="18"/>
      </w:rPr>
      <w:tab/>
    </w:r>
    <w:r>
      <w:rPr>
        <w:rFonts w:asciiTheme="majorHAnsi" w:hAnsiTheme="majorHAnsi"/>
        <w:sz w:val="18"/>
        <w:szCs w:val="18"/>
      </w:rPr>
      <w:tab/>
    </w:r>
    <w:r w:rsidRPr="00743A8F">
      <w:rPr>
        <w:rFonts w:asciiTheme="majorHAnsi" w:hAnsiTheme="majorHAnsi"/>
        <w:i/>
        <w:noProof/>
        <w:sz w:val="18"/>
        <w:szCs w:val="18"/>
        <w:lang w:eastAsia="fr-FR"/>
      </w:rPr>
      <w:drawing>
        <wp:inline distT="0" distB="0" distL="0" distR="0" wp14:anchorId="0774FB61" wp14:editId="2DDC71A3">
          <wp:extent cx="1093381" cy="197062"/>
          <wp:effectExtent l="0" t="0" r="0" b="6350"/>
          <wp:docPr id="65" name="Imag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94355" cy="197238"/>
                  </a:xfrm>
                  <a:prstGeom prst="rect">
                    <a:avLst/>
                  </a:prstGeom>
                  <a:noFill/>
                  <a:ln>
                    <a:noFill/>
                  </a:ln>
                </pic:spPr>
              </pic:pic>
            </a:graphicData>
          </a:graphic>
        </wp:inline>
      </w:drawing>
    </w:r>
    <w:r>
      <w:rPr>
        <w:rFonts w:asciiTheme="majorHAnsi" w:hAnsiTheme="majorHAnsi"/>
        <w:sz w:val="18"/>
        <w:szCs w:val="18"/>
      </w:rPr>
      <w:tab/>
    </w:r>
    <w:r w:rsidRPr="01257A3D">
      <w:rPr>
        <w:rFonts w:asciiTheme="majorHAnsi" w:hAnsiTheme="majorHAnsi"/>
        <w:sz w:val="18"/>
        <w:szCs w:val="18"/>
      </w:rPr>
      <w:t xml:space="preserve">Page </w:t>
    </w:r>
    <w:r w:rsidRPr="01257A3D">
      <w:rPr>
        <w:rFonts w:asciiTheme="majorHAnsi" w:hAnsiTheme="majorHAnsi"/>
        <w:sz w:val="18"/>
        <w:szCs w:val="18"/>
      </w:rPr>
      <w:fldChar w:fldCharType="begin"/>
    </w:r>
    <w:r w:rsidRPr="01257A3D">
      <w:rPr>
        <w:rFonts w:asciiTheme="majorHAnsi" w:hAnsiTheme="majorHAnsi"/>
        <w:sz w:val="18"/>
        <w:szCs w:val="18"/>
      </w:rPr>
      <w:instrText xml:space="preserve"> PAGE </w:instrText>
    </w:r>
    <w:r w:rsidRPr="01257A3D">
      <w:rPr>
        <w:rFonts w:asciiTheme="majorHAnsi" w:hAnsiTheme="majorHAnsi"/>
        <w:sz w:val="18"/>
        <w:szCs w:val="18"/>
      </w:rPr>
      <w:fldChar w:fldCharType="separate"/>
    </w:r>
    <w:r w:rsidR="00357009">
      <w:rPr>
        <w:rFonts w:asciiTheme="majorHAnsi" w:hAnsiTheme="majorHAnsi"/>
        <w:noProof/>
        <w:sz w:val="18"/>
        <w:szCs w:val="18"/>
      </w:rPr>
      <w:t>8</w:t>
    </w:r>
    <w:r w:rsidRPr="01257A3D">
      <w:rPr>
        <w:rFonts w:asciiTheme="majorHAnsi" w:hAnsiTheme="majorHAnsi"/>
        <w:sz w:val="18"/>
        <w:szCs w:val="18"/>
      </w:rPr>
      <w:fldChar w:fldCharType="end"/>
    </w:r>
    <w:r w:rsidRPr="01257A3D">
      <w:rPr>
        <w:rFonts w:asciiTheme="majorHAnsi" w:hAnsiTheme="majorHAnsi"/>
        <w:sz w:val="18"/>
        <w:szCs w:val="18"/>
      </w:rPr>
      <w:t xml:space="preserve"> / </w:t>
    </w:r>
    <w:r w:rsidRPr="01257A3D">
      <w:rPr>
        <w:rFonts w:asciiTheme="majorHAnsi" w:hAnsiTheme="majorHAnsi"/>
        <w:sz w:val="18"/>
        <w:szCs w:val="18"/>
      </w:rPr>
      <w:fldChar w:fldCharType="begin"/>
    </w:r>
    <w:r w:rsidRPr="01257A3D">
      <w:rPr>
        <w:rFonts w:asciiTheme="majorHAnsi" w:hAnsiTheme="majorHAnsi"/>
        <w:sz w:val="18"/>
        <w:szCs w:val="18"/>
      </w:rPr>
      <w:instrText xml:space="preserve"> NUMPAGES </w:instrText>
    </w:r>
    <w:r w:rsidRPr="01257A3D">
      <w:rPr>
        <w:rFonts w:asciiTheme="majorHAnsi" w:hAnsiTheme="majorHAnsi"/>
        <w:sz w:val="18"/>
        <w:szCs w:val="18"/>
      </w:rPr>
      <w:fldChar w:fldCharType="separate"/>
    </w:r>
    <w:r w:rsidR="00357009">
      <w:rPr>
        <w:rFonts w:asciiTheme="majorHAnsi" w:hAnsiTheme="majorHAnsi"/>
        <w:noProof/>
        <w:sz w:val="18"/>
        <w:szCs w:val="18"/>
      </w:rPr>
      <w:t>278</w:t>
    </w:r>
    <w:r w:rsidRPr="01257A3D">
      <w:rPr>
        <w:rFonts w:asciiTheme="majorHAnsi" w:hAnsiTheme="majorHAnsi"/>
        <w:sz w:val="18"/>
        <w:szCs w:val="18"/>
      </w:rPr>
      <w:fldChar w:fldCharType="end"/>
    </w: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575A324" w14:textId="77777777" w:rsidR="000511BB" w:rsidRDefault="000511BB" w:rsidP="003727B4">
    <w:pPr>
      <w:pStyle w:val="Pieddepage"/>
      <w:framePr w:wrap="around" w:vAnchor="text" w:hAnchor="margin" w:xAlign="right" w:y="1"/>
      <w:rPr>
        <w:rStyle w:val="Numrodepage"/>
      </w:rPr>
    </w:pPr>
    <w:r>
      <w:rPr>
        <w:rStyle w:val="Numrodepage"/>
      </w:rPr>
      <w:fldChar w:fldCharType="begin"/>
    </w:r>
    <w:r>
      <w:rPr>
        <w:rStyle w:val="Numrodepage"/>
      </w:rPr>
      <w:instrText xml:space="preserve">PAGE  </w:instrText>
    </w:r>
    <w:r>
      <w:rPr>
        <w:rStyle w:val="Numrodepage"/>
      </w:rPr>
      <w:fldChar w:fldCharType="separate"/>
    </w:r>
    <w:r>
      <w:rPr>
        <w:rStyle w:val="Numrodepage"/>
        <w:noProof/>
      </w:rPr>
      <w:t>30</w:t>
    </w:r>
    <w:r>
      <w:rPr>
        <w:rStyle w:val="Numrodepage"/>
      </w:rPr>
      <w:fldChar w:fldCharType="end"/>
    </w:r>
  </w:p>
  <w:p w14:paraId="5D005925" w14:textId="77777777" w:rsidR="000511BB" w:rsidRDefault="000511BB" w:rsidP="00722F08">
    <w:pPr>
      <w:pStyle w:val="Pieddepage"/>
      <w:ind w:right="360"/>
    </w:pPr>
  </w:p>
</w:ftr>
</file>

<file path=word/footer4.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9F5CB5F" w14:textId="77777777" w:rsidR="000511BB" w:rsidRPr="009348D2" w:rsidRDefault="000511BB" w:rsidP="000A786B">
    <w:pPr>
      <w:pStyle w:val="Pieddepage"/>
      <w:tabs>
        <w:tab w:val="clear" w:pos="9072"/>
        <w:tab w:val="left" w:pos="1792"/>
        <w:tab w:val="left" w:pos="3544"/>
        <w:tab w:val="right" w:pos="9214"/>
      </w:tabs>
      <w:rPr>
        <w:rFonts w:asciiTheme="majorHAnsi" w:hAnsiTheme="majorHAnsi"/>
        <w:sz w:val="18"/>
        <w:szCs w:val="18"/>
      </w:rPr>
    </w:pPr>
    <w:r w:rsidRPr="01257A3D">
      <w:rPr>
        <w:rFonts w:asciiTheme="majorHAnsi" w:hAnsiTheme="majorHAnsi"/>
        <w:sz w:val="18"/>
        <w:szCs w:val="18"/>
      </w:rPr>
      <w:t>Document d’enregistrement universel</w:t>
    </w:r>
    <w:r w:rsidRPr="000A786B">
      <w:rPr>
        <w:rFonts w:asciiTheme="majorHAnsi" w:hAnsiTheme="majorHAnsi"/>
        <w:sz w:val="18"/>
        <w:szCs w:val="18"/>
      </w:rPr>
      <w:tab/>
    </w:r>
    <w:r>
      <w:rPr>
        <w:rFonts w:asciiTheme="majorHAnsi" w:hAnsiTheme="majorHAnsi"/>
        <w:sz w:val="18"/>
        <w:szCs w:val="18"/>
      </w:rPr>
      <w:tab/>
    </w:r>
    <w:r w:rsidRPr="00743A8F">
      <w:rPr>
        <w:rFonts w:asciiTheme="majorHAnsi" w:hAnsiTheme="majorHAnsi"/>
        <w:i/>
        <w:noProof/>
        <w:sz w:val="18"/>
        <w:szCs w:val="18"/>
        <w:lang w:eastAsia="fr-FR"/>
      </w:rPr>
      <w:drawing>
        <wp:inline distT="0" distB="0" distL="0" distR="0" wp14:anchorId="06C5F2BC" wp14:editId="72FDC161">
          <wp:extent cx="1093381" cy="197062"/>
          <wp:effectExtent l="0" t="0" r="0" b="635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94355" cy="197238"/>
                  </a:xfrm>
                  <a:prstGeom prst="rect">
                    <a:avLst/>
                  </a:prstGeom>
                  <a:noFill/>
                  <a:ln>
                    <a:noFill/>
                  </a:ln>
                </pic:spPr>
              </pic:pic>
            </a:graphicData>
          </a:graphic>
        </wp:inline>
      </w:drawing>
    </w:r>
    <w:r>
      <w:rPr>
        <w:rFonts w:asciiTheme="majorHAnsi" w:hAnsiTheme="majorHAnsi"/>
        <w:sz w:val="18"/>
        <w:szCs w:val="18"/>
      </w:rPr>
      <w:tab/>
    </w:r>
    <w:r w:rsidRPr="01257A3D">
      <w:rPr>
        <w:rFonts w:asciiTheme="majorHAnsi" w:hAnsiTheme="majorHAnsi"/>
        <w:sz w:val="18"/>
        <w:szCs w:val="18"/>
      </w:rPr>
      <w:t xml:space="preserve">Page </w:t>
    </w:r>
    <w:r w:rsidRPr="01257A3D">
      <w:rPr>
        <w:rFonts w:asciiTheme="majorHAnsi" w:hAnsiTheme="majorHAnsi"/>
        <w:sz w:val="18"/>
        <w:szCs w:val="18"/>
      </w:rPr>
      <w:fldChar w:fldCharType="begin"/>
    </w:r>
    <w:r w:rsidRPr="01257A3D">
      <w:rPr>
        <w:rFonts w:asciiTheme="majorHAnsi" w:hAnsiTheme="majorHAnsi"/>
        <w:sz w:val="18"/>
        <w:szCs w:val="18"/>
      </w:rPr>
      <w:instrText xml:space="preserve"> PAGE </w:instrText>
    </w:r>
    <w:r w:rsidRPr="01257A3D">
      <w:rPr>
        <w:rFonts w:asciiTheme="majorHAnsi" w:hAnsiTheme="majorHAnsi"/>
        <w:sz w:val="18"/>
        <w:szCs w:val="18"/>
      </w:rPr>
      <w:fldChar w:fldCharType="separate"/>
    </w:r>
    <w:r w:rsidR="00357009">
      <w:rPr>
        <w:rFonts w:asciiTheme="majorHAnsi" w:hAnsiTheme="majorHAnsi"/>
        <w:noProof/>
        <w:sz w:val="18"/>
        <w:szCs w:val="18"/>
      </w:rPr>
      <w:t>12</w:t>
    </w:r>
    <w:r w:rsidRPr="01257A3D">
      <w:rPr>
        <w:rFonts w:asciiTheme="majorHAnsi" w:hAnsiTheme="majorHAnsi"/>
        <w:sz w:val="18"/>
        <w:szCs w:val="18"/>
      </w:rPr>
      <w:fldChar w:fldCharType="end"/>
    </w:r>
    <w:r w:rsidRPr="01257A3D">
      <w:rPr>
        <w:rFonts w:asciiTheme="majorHAnsi" w:hAnsiTheme="majorHAnsi"/>
        <w:sz w:val="18"/>
        <w:szCs w:val="18"/>
      </w:rPr>
      <w:t xml:space="preserve"> / </w:t>
    </w:r>
    <w:r w:rsidRPr="01257A3D">
      <w:rPr>
        <w:rFonts w:asciiTheme="majorHAnsi" w:hAnsiTheme="majorHAnsi"/>
        <w:sz w:val="18"/>
        <w:szCs w:val="18"/>
      </w:rPr>
      <w:fldChar w:fldCharType="begin"/>
    </w:r>
    <w:r w:rsidRPr="01257A3D">
      <w:rPr>
        <w:rFonts w:asciiTheme="majorHAnsi" w:hAnsiTheme="majorHAnsi"/>
        <w:sz w:val="18"/>
        <w:szCs w:val="18"/>
      </w:rPr>
      <w:instrText xml:space="preserve"> NUMPAGES </w:instrText>
    </w:r>
    <w:r w:rsidRPr="01257A3D">
      <w:rPr>
        <w:rFonts w:asciiTheme="majorHAnsi" w:hAnsiTheme="majorHAnsi"/>
        <w:sz w:val="18"/>
        <w:szCs w:val="18"/>
      </w:rPr>
      <w:fldChar w:fldCharType="separate"/>
    </w:r>
    <w:r w:rsidR="00357009">
      <w:rPr>
        <w:rFonts w:asciiTheme="majorHAnsi" w:hAnsiTheme="majorHAnsi"/>
        <w:noProof/>
        <w:sz w:val="18"/>
        <w:szCs w:val="18"/>
      </w:rPr>
      <w:t>278</w:t>
    </w:r>
    <w:r w:rsidRPr="01257A3D">
      <w:rPr>
        <w:rFonts w:asciiTheme="majorHAnsi" w:hAnsiTheme="majorHAnsi"/>
        <w:sz w:val="18"/>
        <w:szCs w:val="18"/>
      </w:rPr>
      <w:fldChar w:fldCharType="end"/>
    </w:r>
  </w:p>
</w:ftr>
</file>

<file path=word/footer5.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72A72D8" w14:textId="77777777" w:rsidR="000511BB" w:rsidRDefault="000511BB" w:rsidP="003727B4">
    <w:pPr>
      <w:pStyle w:val="Pieddepage"/>
      <w:framePr w:wrap="around" w:vAnchor="text" w:hAnchor="margin" w:xAlign="right" w:y="1"/>
      <w:rPr>
        <w:rStyle w:val="Numrodepage"/>
      </w:rPr>
    </w:pPr>
    <w:r>
      <w:rPr>
        <w:rStyle w:val="Numrodepage"/>
      </w:rPr>
      <w:fldChar w:fldCharType="begin"/>
    </w:r>
    <w:r>
      <w:rPr>
        <w:rStyle w:val="Numrodepage"/>
      </w:rPr>
      <w:instrText xml:space="preserve">PAGE  </w:instrText>
    </w:r>
    <w:r>
      <w:rPr>
        <w:rStyle w:val="Numrodepage"/>
      </w:rPr>
      <w:fldChar w:fldCharType="separate"/>
    </w:r>
    <w:r>
      <w:rPr>
        <w:rStyle w:val="Numrodepage"/>
        <w:noProof/>
      </w:rPr>
      <w:t>30</w:t>
    </w:r>
    <w:r>
      <w:rPr>
        <w:rStyle w:val="Numrodepage"/>
      </w:rPr>
      <w:fldChar w:fldCharType="end"/>
    </w:r>
  </w:p>
  <w:p w14:paraId="2284853D" w14:textId="77777777" w:rsidR="000511BB" w:rsidRDefault="000511BB" w:rsidP="00722F08">
    <w:pPr>
      <w:pStyle w:val="Pieddepage"/>
      <w:ind w:right="360"/>
    </w:pPr>
  </w:p>
</w:ftr>
</file>

<file path=word/footer6.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C1EEB8A" w14:textId="40BEBB9D" w:rsidR="000511BB" w:rsidRPr="009348D2" w:rsidRDefault="000511BB" w:rsidP="000A786B">
    <w:pPr>
      <w:pStyle w:val="Pieddepage"/>
      <w:tabs>
        <w:tab w:val="clear" w:pos="9072"/>
        <w:tab w:val="left" w:pos="1792"/>
        <w:tab w:val="left" w:pos="3544"/>
        <w:tab w:val="right" w:pos="9214"/>
      </w:tabs>
      <w:rPr>
        <w:rFonts w:asciiTheme="majorHAnsi" w:hAnsiTheme="majorHAnsi"/>
        <w:sz w:val="18"/>
        <w:szCs w:val="18"/>
      </w:rPr>
    </w:pPr>
    <w:r w:rsidRPr="01257A3D">
      <w:rPr>
        <w:rFonts w:asciiTheme="majorHAnsi" w:hAnsiTheme="majorHAnsi"/>
        <w:sz w:val="18"/>
        <w:szCs w:val="18"/>
      </w:rPr>
      <w:t>Document d’enregistrement universel</w:t>
    </w:r>
    <w:r w:rsidRPr="000A786B">
      <w:rPr>
        <w:rFonts w:asciiTheme="majorHAnsi" w:hAnsiTheme="majorHAnsi"/>
        <w:sz w:val="18"/>
        <w:szCs w:val="18"/>
      </w:rPr>
      <w:tab/>
    </w:r>
    <w:r>
      <w:rPr>
        <w:rFonts w:asciiTheme="majorHAnsi" w:hAnsiTheme="majorHAnsi"/>
        <w:sz w:val="18"/>
        <w:szCs w:val="18"/>
      </w:rPr>
      <w:tab/>
    </w:r>
    <w:r w:rsidRPr="00743A8F">
      <w:rPr>
        <w:rFonts w:asciiTheme="majorHAnsi" w:hAnsiTheme="majorHAnsi"/>
        <w:i/>
        <w:noProof/>
        <w:sz w:val="18"/>
        <w:szCs w:val="18"/>
        <w:lang w:eastAsia="fr-FR"/>
      </w:rPr>
      <w:drawing>
        <wp:inline distT="0" distB="0" distL="0" distR="0" wp14:anchorId="55041236" wp14:editId="183B88F2">
          <wp:extent cx="1093381" cy="197062"/>
          <wp:effectExtent l="0" t="0" r="0" b="6350"/>
          <wp:docPr id="108" name="Imag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94355" cy="197238"/>
                  </a:xfrm>
                  <a:prstGeom prst="rect">
                    <a:avLst/>
                  </a:prstGeom>
                  <a:noFill/>
                  <a:ln>
                    <a:noFill/>
                  </a:ln>
                </pic:spPr>
              </pic:pic>
            </a:graphicData>
          </a:graphic>
        </wp:inline>
      </w:drawing>
    </w:r>
    <w:r>
      <w:rPr>
        <w:rFonts w:asciiTheme="majorHAnsi" w:hAnsiTheme="majorHAnsi"/>
        <w:sz w:val="18"/>
        <w:szCs w:val="18"/>
      </w:rPr>
      <w:tab/>
    </w:r>
    <w:r w:rsidRPr="01257A3D">
      <w:rPr>
        <w:rFonts w:asciiTheme="majorHAnsi" w:hAnsiTheme="majorHAnsi"/>
        <w:sz w:val="18"/>
        <w:szCs w:val="18"/>
      </w:rPr>
      <w:t xml:space="preserve">Page </w:t>
    </w:r>
    <w:r w:rsidRPr="01257A3D">
      <w:rPr>
        <w:rFonts w:asciiTheme="majorHAnsi" w:hAnsiTheme="majorHAnsi"/>
        <w:sz w:val="18"/>
        <w:szCs w:val="18"/>
      </w:rPr>
      <w:fldChar w:fldCharType="begin"/>
    </w:r>
    <w:r w:rsidRPr="01257A3D">
      <w:rPr>
        <w:rFonts w:asciiTheme="majorHAnsi" w:hAnsiTheme="majorHAnsi"/>
        <w:sz w:val="18"/>
        <w:szCs w:val="18"/>
      </w:rPr>
      <w:instrText xml:space="preserve"> PAGE </w:instrText>
    </w:r>
    <w:r w:rsidRPr="01257A3D">
      <w:rPr>
        <w:rFonts w:asciiTheme="majorHAnsi" w:hAnsiTheme="majorHAnsi"/>
        <w:sz w:val="18"/>
        <w:szCs w:val="18"/>
      </w:rPr>
      <w:fldChar w:fldCharType="separate"/>
    </w:r>
    <w:r w:rsidR="00357009">
      <w:rPr>
        <w:rFonts w:asciiTheme="majorHAnsi" w:hAnsiTheme="majorHAnsi"/>
        <w:noProof/>
        <w:sz w:val="18"/>
        <w:szCs w:val="18"/>
      </w:rPr>
      <w:t>13</w:t>
    </w:r>
    <w:r w:rsidRPr="01257A3D">
      <w:rPr>
        <w:rFonts w:asciiTheme="majorHAnsi" w:hAnsiTheme="majorHAnsi"/>
        <w:sz w:val="18"/>
        <w:szCs w:val="18"/>
      </w:rPr>
      <w:fldChar w:fldCharType="end"/>
    </w:r>
    <w:r w:rsidRPr="01257A3D">
      <w:rPr>
        <w:rFonts w:asciiTheme="majorHAnsi" w:hAnsiTheme="majorHAnsi"/>
        <w:sz w:val="18"/>
        <w:szCs w:val="18"/>
      </w:rPr>
      <w:t xml:space="preserve"> / </w:t>
    </w:r>
    <w:r w:rsidRPr="01257A3D">
      <w:rPr>
        <w:rFonts w:asciiTheme="majorHAnsi" w:hAnsiTheme="majorHAnsi"/>
        <w:sz w:val="18"/>
        <w:szCs w:val="18"/>
      </w:rPr>
      <w:fldChar w:fldCharType="begin"/>
    </w:r>
    <w:r w:rsidRPr="01257A3D">
      <w:rPr>
        <w:rFonts w:asciiTheme="majorHAnsi" w:hAnsiTheme="majorHAnsi"/>
        <w:sz w:val="18"/>
        <w:szCs w:val="18"/>
      </w:rPr>
      <w:instrText xml:space="preserve"> NUMPAGES </w:instrText>
    </w:r>
    <w:r w:rsidRPr="01257A3D">
      <w:rPr>
        <w:rFonts w:asciiTheme="majorHAnsi" w:hAnsiTheme="majorHAnsi"/>
        <w:sz w:val="18"/>
        <w:szCs w:val="18"/>
      </w:rPr>
      <w:fldChar w:fldCharType="separate"/>
    </w:r>
    <w:r w:rsidR="00357009">
      <w:rPr>
        <w:rFonts w:asciiTheme="majorHAnsi" w:hAnsiTheme="majorHAnsi"/>
        <w:noProof/>
        <w:sz w:val="18"/>
        <w:szCs w:val="18"/>
      </w:rPr>
      <w:t>278</w:t>
    </w:r>
    <w:r w:rsidRPr="01257A3D">
      <w:rPr>
        <w:rFonts w:asciiTheme="majorHAnsi" w:hAnsiTheme="majorHAnsi"/>
        <w:sz w:val="18"/>
        <w:szCs w:val="18"/>
      </w:rPr>
      <w:fldChar w:fldCharType="end"/>
    </w:r>
  </w:p>
</w:ftr>
</file>

<file path=word/footer7.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35AA885" w14:textId="77777777" w:rsidR="000511BB" w:rsidRDefault="000511BB" w:rsidP="00121E24">
    <w:pPr>
      <w:pStyle w:val="Pieddepage"/>
      <w:framePr w:wrap="around" w:vAnchor="text" w:hAnchor="margin" w:xAlign="right" w:y="1"/>
      <w:rPr>
        <w:rStyle w:val="Numrodepage"/>
      </w:rPr>
    </w:pPr>
    <w:r>
      <w:rPr>
        <w:rStyle w:val="Numrodepage"/>
      </w:rPr>
      <w:fldChar w:fldCharType="begin"/>
    </w:r>
    <w:r>
      <w:rPr>
        <w:rStyle w:val="Numrodepage"/>
      </w:rPr>
      <w:instrText xml:space="preserve">PAGE  </w:instrText>
    </w:r>
    <w:r>
      <w:rPr>
        <w:rStyle w:val="Numrodepage"/>
      </w:rPr>
      <w:fldChar w:fldCharType="separate"/>
    </w:r>
    <w:r>
      <w:rPr>
        <w:rStyle w:val="Numrodepage"/>
        <w:noProof/>
      </w:rPr>
      <w:t>30</w:t>
    </w:r>
    <w:r>
      <w:rPr>
        <w:rStyle w:val="Numrodepage"/>
      </w:rPr>
      <w:fldChar w:fldCharType="end"/>
    </w:r>
  </w:p>
  <w:p w14:paraId="17FFC392" w14:textId="77777777" w:rsidR="000511BB" w:rsidRDefault="000511BB" w:rsidP="00722F08">
    <w:pPr>
      <w:pStyle w:val="Pieddepage"/>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7C1107E" w14:textId="77777777" w:rsidR="000511BB" w:rsidRDefault="000511BB">
      <w:r>
        <w:separator/>
      </w:r>
    </w:p>
    <w:p w14:paraId="14A25F2F" w14:textId="77777777" w:rsidR="000511BB" w:rsidRDefault="000511BB"/>
  </w:footnote>
  <w:footnote w:type="continuationSeparator" w:id="0">
    <w:p w14:paraId="548ECAFB" w14:textId="77777777" w:rsidR="000511BB" w:rsidRDefault="000511BB">
      <w:r>
        <w:continuationSeparator/>
      </w:r>
    </w:p>
    <w:p w14:paraId="050DD56E" w14:textId="77777777" w:rsidR="000511BB" w:rsidRDefault="000511BB"/>
  </w:footnote>
  <w:footnote w:type="continuationNotice" w:id="1">
    <w:p w14:paraId="633385D5" w14:textId="77777777" w:rsidR="000511BB" w:rsidRDefault="000511BB"/>
  </w:footnote>
  <w:footnote w:id="2">
    <w:p w14:paraId="77B9E4E4" w14:textId="367B7F32" w:rsidR="000511BB" w:rsidRDefault="000511BB" w:rsidP="3FF7E03D">
      <w:pPr>
        <w:rPr>
          <w:sz w:val="18"/>
          <w:szCs w:val="18"/>
        </w:rPr>
      </w:pPr>
      <w:r w:rsidRPr="3FF7E03D">
        <w:rPr>
          <w:rStyle w:val="Marquenotebasdepage"/>
          <w:sz w:val="18"/>
          <w:szCs w:val="18"/>
        </w:rPr>
        <w:footnoteRef/>
      </w:r>
      <w:r w:rsidRPr="3FF7E03D">
        <w:rPr>
          <w:sz w:val="18"/>
          <w:szCs w:val="18"/>
        </w:rPr>
        <w:t xml:space="preserve"> Directive Dispositifs Médicaux (Directive 93/42/CEE).</w:t>
      </w:r>
    </w:p>
    <w:p w14:paraId="73D7EE9C" w14:textId="76BFABD7" w:rsidR="000511BB" w:rsidRDefault="000511BB" w:rsidP="3FF7E03D">
      <w:pPr>
        <w:pStyle w:val="Notedebasdepage"/>
      </w:pPr>
    </w:p>
  </w:footnote>
  <w:footnote w:id="3">
    <w:p w14:paraId="2145AF78" w14:textId="6800D2D0" w:rsidR="000511BB" w:rsidRDefault="000511BB" w:rsidP="54FDD3F0">
      <w:pPr>
        <w:pStyle w:val="Notedebasdepage"/>
        <w:rPr>
          <w:rFonts w:asciiTheme="majorHAnsi" w:hAnsiTheme="majorHAnsi"/>
          <w:sz w:val="18"/>
          <w:szCs w:val="18"/>
        </w:rPr>
      </w:pPr>
      <w:r w:rsidRPr="54FDD3F0">
        <w:rPr>
          <w:rStyle w:val="Marquenotebasdepage"/>
          <w:rFonts w:asciiTheme="majorHAnsi" w:hAnsiTheme="majorHAnsi"/>
          <w:sz w:val="18"/>
          <w:szCs w:val="18"/>
        </w:rPr>
        <w:footnoteRef/>
      </w:r>
      <w:r w:rsidRPr="54FDD3F0">
        <w:rPr>
          <w:rFonts w:asciiTheme="majorHAnsi" w:hAnsiTheme="majorHAnsi"/>
          <w:sz w:val="18"/>
          <w:szCs w:val="18"/>
        </w:rPr>
        <w:t xml:space="preserve"> Les produits </w:t>
      </w:r>
      <w:r w:rsidRPr="005B42F0">
        <w:rPr>
          <w:rFonts w:asciiTheme="majorHAnsi" w:hAnsiTheme="majorHAnsi"/>
          <w:i/>
          <w:sz w:val="18"/>
          <w:szCs w:val="18"/>
        </w:rPr>
        <w:t xml:space="preserve">Gold Standard </w:t>
      </w:r>
      <w:r w:rsidRPr="54FDD3F0">
        <w:rPr>
          <w:rFonts w:asciiTheme="majorHAnsi" w:hAnsiTheme="majorHAnsi"/>
          <w:sz w:val="18"/>
          <w:szCs w:val="18"/>
        </w:rPr>
        <w:t>correspondent, sur le marché de Spineway, aux produits de références (implants et instruments) utilisés par la communauté internationale des chirurgiens du rachis.</w:t>
      </w:r>
    </w:p>
  </w:footnote>
  <w:footnote w:id="4">
    <w:p w14:paraId="07F106E0" w14:textId="472E8794" w:rsidR="000511BB" w:rsidRDefault="000511BB">
      <w:pPr>
        <w:pStyle w:val="Notedebasdepage"/>
      </w:pPr>
      <w:r>
        <w:rPr>
          <w:rStyle w:val="Marquenotebasdepage"/>
        </w:rPr>
        <w:footnoteRef/>
      </w:r>
      <w:r>
        <w:t xml:space="preserve"> </w:t>
      </w:r>
      <w:r>
        <w:rPr>
          <w:rFonts w:asciiTheme="majorHAnsi" w:hAnsiTheme="majorHAnsi"/>
          <w:sz w:val="18"/>
          <w:szCs w:val="18"/>
        </w:rPr>
        <w:t>Produits h</w:t>
      </w:r>
      <w:r w:rsidRPr="00280C8F">
        <w:rPr>
          <w:rFonts w:asciiTheme="majorHAnsi" w:hAnsiTheme="majorHAnsi"/>
          <w:sz w:val="18"/>
          <w:szCs w:val="18"/>
        </w:rPr>
        <w:t xml:space="preserve">autement qualitatifs et répondant aux exigences </w:t>
      </w:r>
      <w:r>
        <w:rPr>
          <w:rFonts w:asciiTheme="majorHAnsi" w:hAnsiTheme="majorHAnsi"/>
          <w:sz w:val="18"/>
          <w:szCs w:val="18"/>
        </w:rPr>
        <w:t>de certains pays (Japon, Etats-Unis).</w:t>
      </w:r>
    </w:p>
  </w:footnote>
  <w:footnote w:id="5">
    <w:p w14:paraId="17F5DBEC" w14:textId="1DC8C716" w:rsidR="000511BB" w:rsidRDefault="000511BB">
      <w:pPr>
        <w:pStyle w:val="Notedebasdepage"/>
      </w:pPr>
      <w:r>
        <w:rPr>
          <w:rStyle w:val="Marquenotebasdepage"/>
        </w:rPr>
        <w:footnoteRef/>
      </w:r>
      <w:r>
        <w:t xml:space="preserve"> </w:t>
      </w:r>
      <w:r w:rsidRPr="009D0480">
        <w:rPr>
          <w:sz w:val="18"/>
          <w:szCs w:val="18"/>
        </w:rPr>
        <w:t>Revue scientifique « Spine Deformity » </w:t>
      </w:r>
      <w:r>
        <w:t xml:space="preserve">: </w:t>
      </w:r>
      <w:r>
        <w:rPr>
          <w:rFonts w:ascii="Times New Roman" w:hAnsi="Times New Roman" w:cs="Times New Roman"/>
          <w:color w:val="0000FF"/>
          <w:sz w:val="18"/>
          <w:szCs w:val="18"/>
        </w:rPr>
        <w:t>https://link.springer.com/article/10.1007%2Fs43390-020-00067-8</w:t>
      </w:r>
    </w:p>
  </w:footnote>
  <w:footnote w:id="6">
    <w:p w14:paraId="1882A342" w14:textId="77777777" w:rsidR="000511BB" w:rsidRDefault="000511BB" w:rsidP="00C577E0">
      <w:pPr>
        <w:pStyle w:val="Notedebasdepage"/>
      </w:pPr>
      <w:r>
        <w:rPr>
          <w:rStyle w:val="Marquenotebasdepage"/>
        </w:rPr>
        <w:footnoteRef/>
      </w:r>
      <w:r>
        <w:t xml:space="preserve"> </w:t>
      </w:r>
      <w:r w:rsidRPr="009D0480">
        <w:rPr>
          <w:sz w:val="18"/>
          <w:szCs w:val="18"/>
        </w:rPr>
        <w:t>Revue scientifique « Spine Deformity » </w:t>
      </w:r>
      <w:r>
        <w:t xml:space="preserve">: </w:t>
      </w:r>
      <w:r>
        <w:rPr>
          <w:rFonts w:ascii="Times New Roman" w:hAnsi="Times New Roman" w:cs="Times New Roman"/>
          <w:color w:val="0000FF"/>
          <w:sz w:val="18"/>
          <w:szCs w:val="18"/>
        </w:rPr>
        <w:t>https://link.springer.com/article/10.1007%2Fs43390-020-00067-8</w:t>
      </w:r>
    </w:p>
  </w:footnote>
  <w:footnote w:id="7">
    <w:p w14:paraId="68FD733A" w14:textId="365681AB" w:rsidR="000511BB" w:rsidRPr="007D6147" w:rsidRDefault="000511BB" w:rsidP="00327122">
      <w:pPr>
        <w:pStyle w:val="Notedebasdepage"/>
        <w:rPr>
          <w:sz w:val="18"/>
          <w:szCs w:val="18"/>
          <w:lang w:val="en-US"/>
        </w:rPr>
      </w:pPr>
      <w:r w:rsidRPr="004477F3">
        <w:rPr>
          <w:rStyle w:val="Marquenotebasdepage"/>
          <w:sz w:val="18"/>
          <w:szCs w:val="18"/>
        </w:rPr>
        <w:footnoteRef/>
      </w:r>
      <w:r w:rsidRPr="007D6147">
        <w:rPr>
          <w:sz w:val="18"/>
          <w:szCs w:val="18"/>
          <w:lang w:val="en-US"/>
        </w:rPr>
        <w:t xml:space="preserve"> </w:t>
      </w:r>
      <w:proofErr w:type="gramStart"/>
      <w:r w:rsidRPr="007D6147">
        <w:rPr>
          <w:sz w:val="18"/>
          <w:szCs w:val="18"/>
          <w:lang w:val="en-US"/>
        </w:rPr>
        <w:t>PEEK :</w:t>
      </w:r>
      <w:proofErr w:type="gramEnd"/>
      <w:r w:rsidRPr="007D6147">
        <w:rPr>
          <w:sz w:val="18"/>
          <w:szCs w:val="18"/>
          <w:lang w:val="en-US"/>
        </w:rPr>
        <w:t xml:space="preserve"> Composite polymère biocompatible Poly Ether Ether Ketone.</w:t>
      </w:r>
    </w:p>
  </w:footnote>
  <w:footnote w:id="8">
    <w:p w14:paraId="7161AA00" w14:textId="77777777" w:rsidR="000511BB" w:rsidRPr="00F011BA" w:rsidRDefault="000511BB" w:rsidP="0044188B">
      <w:pPr>
        <w:rPr>
          <w:sz w:val="18"/>
          <w:szCs w:val="18"/>
        </w:rPr>
      </w:pPr>
      <w:r w:rsidRPr="00F011BA">
        <w:rPr>
          <w:rStyle w:val="Marquenotebasdepage"/>
          <w:sz w:val="18"/>
          <w:szCs w:val="18"/>
        </w:rPr>
        <w:footnoteRef/>
      </w:r>
      <w:r w:rsidRPr="00F011BA">
        <w:rPr>
          <w:sz w:val="18"/>
          <w:szCs w:val="18"/>
        </w:rPr>
        <w:t xml:space="preserve"> </w:t>
      </w:r>
      <w:r>
        <w:rPr>
          <w:sz w:val="18"/>
          <w:szCs w:val="18"/>
        </w:rPr>
        <w:t>Directive Dispositifs Médicaux (D</w:t>
      </w:r>
      <w:r w:rsidRPr="00F011BA">
        <w:rPr>
          <w:sz w:val="18"/>
          <w:szCs w:val="18"/>
        </w:rPr>
        <w:t>irective 93/42/CEE</w:t>
      </w:r>
      <w:r>
        <w:rPr>
          <w:sz w:val="18"/>
          <w:szCs w:val="18"/>
        </w:rPr>
        <w:t>).</w:t>
      </w:r>
    </w:p>
    <w:p w14:paraId="4AC3B5D7" w14:textId="77777777" w:rsidR="000511BB" w:rsidRDefault="000511BB" w:rsidP="0044188B">
      <w:pPr>
        <w:pStyle w:val="Notedebasdepage"/>
      </w:pPr>
    </w:p>
  </w:footnote>
  <w:footnote w:id="9">
    <w:p w14:paraId="5B447788" w14:textId="3B615461" w:rsidR="000511BB" w:rsidRPr="00FD0EB6" w:rsidRDefault="000511BB" w:rsidP="009678E1">
      <w:pPr>
        <w:widowControl w:val="0"/>
        <w:autoSpaceDE w:val="0"/>
        <w:autoSpaceDN w:val="0"/>
        <w:adjustRightInd w:val="0"/>
        <w:ind w:left="284"/>
        <w:rPr>
          <w:rFonts w:cs="Times New Roman"/>
          <w:sz w:val="18"/>
          <w:szCs w:val="18"/>
        </w:rPr>
      </w:pPr>
      <w:r w:rsidRPr="00FD0EB6">
        <w:rPr>
          <w:rStyle w:val="Marquenotebasdepage"/>
          <w:sz w:val="18"/>
          <w:szCs w:val="18"/>
        </w:rPr>
        <w:footnoteRef/>
      </w:r>
      <w:r w:rsidRPr="00FD0EB6">
        <w:rPr>
          <w:sz w:val="18"/>
          <w:szCs w:val="18"/>
        </w:rPr>
        <w:t xml:space="preserve"> </w:t>
      </w:r>
      <w:r w:rsidRPr="00FD0EB6">
        <w:rPr>
          <w:rFonts w:cs="Times New Roman"/>
          <w:sz w:val="18"/>
          <w:szCs w:val="18"/>
        </w:rPr>
        <w:t>Le cas de défaut inclu</w:t>
      </w:r>
      <w:r>
        <w:rPr>
          <w:rFonts w:cs="Times New Roman"/>
          <w:sz w:val="18"/>
          <w:szCs w:val="18"/>
        </w:rPr>
        <w:t>t</w:t>
      </w:r>
      <w:r w:rsidRPr="00FD0EB6">
        <w:rPr>
          <w:rFonts w:cs="Times New Roman"/>
          <w:sz w:val="18"/>
          <w:szCs w:val="18"/>
        </w:rPr>
        <w:t xml:space="preserve"> notamment le retrait de la cote de l'action S</w:t>
      </w:r>
      <w:r>
        <w:rPr>
          <w:rFonts w:cs="Times New Roman"/>
          <w:sz w:val="18"/>
          <w:szCs w:val="18"/>
        </w:rPr>
        <w:t>pineway</w:t>
      </w:r>
      <w:r w:rsidRPr="00FD0EB6">
        <w:rPr>
          <w:rFonts w:cs="Times New Roman"/>
          <w:sz w:val="18"/>
          <w:szCs w:val="18"/>
        </w:rPr>
        <w:t>, l'annonce d'une prise de contrôle de la Société et la survenance d'un changement défavorable significatif.</w:t>
      </w:r>
    </w:p>
  </w:footnote>
  <w:footnote w:id="10">
    <w:p w14:paraId="6769539F" w14:textId="599A5CD1" w:rsidR="000511BB" w:rsidRPr="00FD0EB6" w:rsidRDefault="000511BB" w:rsidP="009678E1">
      <w:pPr>
        <w:widowControl w:val="0"/>
        <w:autoSpaceDE w:val="0"/>
        <w:autoSpaceDN w:val="0"/>
        <w:adjustRightInd w:val="0"/>
        <w:ind w:left="284"/>
        <w:rPr>
          <w:rFonts w:cs="Times New Roman"/>
          <w:sz w:val="18"/>
          <w:szCs w:val="18"/>
        </w:rPr>
      </w:pPr>
      <w:r w:rsidRPr="001117C6">
        <w:rPr>
          <w:rFonts w:cs="Times New Roman"/>
          <w:sz w:val="18"/>
          <w:szCs w:val="18"/>
          <w:vertAlign w:val="superscript"/>
        </w:rPr>
        <w:footnoteRef/>
      </w:r>
      <w:r w:rsidRPr="001117C6">
        <w:rPr>
          <w:rFonts w:cs="Times New Roman"/>
          <w:sz w:val="18"/>
          <w:szCs w:val="18"/>
          <w:vertAlign w:val="superscript"/>
        </w:rPr>
        <w:t xml:space="preserve"> </w:t>
      </w:r>
      <w:r w:rsidRPr="00FD0EB6">
        <w:rPr>
          <w:rFonts w:cs="Times New Roman"/>
          <w:sz w:val="18"/>
          <w:szCs w:val="18"/>
        </w:rPr>
        <w:t>Tout événement ou circonstance constituant un changement défavorable important portant sur les actifs, la situation financière ou commerciale de la Société, à condition que ce changement soit considéré comme matériellement défavorable seulement s’il a ou peut avoir raisonnablement un impact défavorable net sur la situation financière ou les act</w:t>
      </w:r>
      <w:r>
        <w:rPr>
          <w:rFonts w:cs="Times New Roman"/>
          <w:sz w:val="18"/>
          <w:szCs w:val="18"/>
        </w:rPr>
        <w:t>ifs de la Société supérieur à 1.</w:t>
      </w:r>
      <w:r w:rsidRPr="00FD0EB6">
        <w:rPr>
          <w:rFonts w:cs="Times New Roman"/>
          <w:sz w:val="18"/>
          <w:szCs w:val="18"/>
        </w:rPr>
        <w:t>000</w:t>
      </w:r>
      <w:r>
        <w:rPr>
          <w:rFonts w:cs="Times New Roman"/>
          <w:sz w:val="18"/>
          <w:szCs w:val="18"/>
        </w:rPr>
        <w:t>.</w:t>
      </w:r>
      <w:r w:rsidRPr="00FD0EB6">
        <w:rPr>
          <w:rFonts w:cs="Times New Roman"/>
          <w:sz w:val="18"/>
          <w:szCs w:val="18"/>
        </w:rPr>
        <w:t xml:space="preserve">000 </w:t>
      </w:r>
      <w:r>
        <w:rPr>
          <w:rFonts w:cs="Times New Roman"/>
          <w:sz w:val="18"/>
          <w:szCs w:val="18"/>
        </w:rPr>
        <w:t>€</w:t>
      </w:r>
      <w:r w:rsidRPr="00FD0EB6">
        <w:rPr>
          <w:rFonts w:cs="Times New Roman"/>
          <w:sz w:val="18"/>
          <w:szCs w:val="18"/>
        </w:rPr>
        <w:t>.</w:t>
      </w:r>
    </w:p>
    <w:p w14:paraId="575C8A0A" w14:textId="73C75814" w:rsidR="000511BB" w:rsidRPr="00FD0EB6" w:rsidRDefault="000511BB" w:rsidP="00FD0EB6">
      <w:pPr>
        <w:pStyle w:val="Notedebasdepage"/>
        <w:jc w:val="both"/>
        <w:rPr>
          <w:rFonts w:asciiTheme="majorHAnsi" w:eastAsiaTheme="minorEastAsia" w:hAnsiTheme="majorHAnsi" w:cs="Times New Roman"/>
          <w:sz w:val="18"/>
          <w:szCs w:val="18"/>
          <w:lang w:eastAsia="fr-FR"/>
        </w:rPr>
      </w:pPr>
    </w:p>
  </w:footnote>
  <w:footnote w:id="11">
    <w:p w14:paraId="0FAEF94C" w14:textId="1D87CEB3" w:rsidR="000511BB" w:rsidRPr="002A2692" w:rsidRDefault="000511BB" w:rsidP="002A2692">
      <w:pPr>
        <w:pStyle w:val="NormalWeb"/>
        <w:spacing w:before="0" w:beforeAutospacing="0" w:after="0" w:afterAutospacing="0"/>
        <w:rPr>
          <w:rFonts w:ascii="Times New Roman" w:hAnsi="Times New Roman"/>
        </w:rPr>
      </w:pPr>
      <w:r w:rsidRPr="005B42F0">
        <w:rPr>
          <w:rStyle w:val="Marquenotebasdepage"/>
          <w:sz w:val="24"/>
          <w:szCs w:val="24"/>
        </w:rPr>
        <w:footnoteRef/>
      </w:r>
      <w:r w:rsidRPr="005B42F0">
        <w:rPr>
          <w:sz w:val="24"/>
          <w:szCs w:val="24"/>
        </w:rPr>
        <w:t xml:space="preserve"> </w:t>
      </w:r>
      <w:r w:rsidRPr="002A2692">
        <w:rPr>
          <w:rFonts w:ascii="Calibri" w:hAnsi="Calibri"/>
          <w:sz w:val="16"/>
          <w:szCs w:val="16"/>
        </w:rPr>
        <w:t xml:space="preserve">Les conditions suivantes doivent être respectées le jour de l’exercice de Bons d’Emission : </w:t>
      </w:r>
    </w:p>
    <w:p w14:paraId="469E94C7" w14:textId="1498208A" w:rsidR="000511BB" w:rsidRPr="002A2692" w:rsidRDefault="000511BB" w:rsidP="00C622C2">
      <w:pPr>
        <w:numPr>
          <w:ilvl w:val="0"/>
          <w:numId w:val="82"/>
        </w:numPr>
        <w:jc w:val="left"/>
        <w:rPr>
          <w:rFonts w:ascii="SymbolMT" w:hAnsi="SymbolMT" w:cs="Times New Roman" w:hint="eastAsia"/>
          <w:sz w:val="16"/>
          <w:szCs w:val="16"/>
        </w:rPr>
      </w:pPr>
      <w:r w:rsidRPr="002A2692">
        <w:rPr>
          <w:rFonts w:ascii="Calibri" w:hAnsi="Calibri" w:cs="Times New Roman"/>
          <w:sz w:val="16"/>
          <w:szCs w:val="16"/>
        </w:rPr>
        <w:t xml:space="preserve">La Société́ se conforme aux engagements définis au Contrat d’Emission, </w:t>
      </w:r>
    </w:p>
    <w:p w14:paraId="400EC377" w14:textId="103028E0" w:rsidR="000511BB" w:rsidRPr="002A2692" w:rsidRDefault="000511BB" w:rsidP="00C622C2">
      <w:pPr>
        <w:numPr>
          <w:ilvl w:val="0"/>
          <w:numId w:val="82"/>
        </w:numPr>
        <w:jc w:val="left"/>
        <w:rPr>
          <w:rFonts w:ascii="SymbolMT" w:hAnsi="SymbolMT" w:cs="Times New Roman" w:hint="eastAsia"/>
          <w:sz w:val="16"/>
          <w:szCs w:val="16"/>
        </w:rPr>
      </w:pPr>
      <w:r w:rsidRPr="002A2692">
        <w:rPr>
          <w:rFonts w:ascii="Calibri" w:hAnsi="Calibri" w:cs="Times New Roman"/>
          <w:sz w:val="16"/>
          <w:szCs w:val="16"/>
        </w:rPr>
        <w:t xml:space="preserve">Aucun évènement ou changement ne rend les déclarations effectuées par la Société dans le cadre du Contrat d’Emission fausses ou incorrectes, </w:t>
      </w:r>
    </w:p>
    <w:p w14:paraId="116D7F8E" w14:textId="229CE38E" w:rsidR="000511BB" w:rsidRPr="002A2692" w:rsidRDefault="000511BB" w:rsidP="00C622C2">
      <w:pPr>
        <w:numPr>
          <w:ilvl w:val="0"/>
          <w:numId w:val="82"/>
        </w:numPr>
        <w:jc w:val="left"/>
        <w:rPr>
          <w:rFonts w:ascii="SymbolMT" w:hAnsi="SymbolMT" w:cs="Times New Roman" w:hint="eastAsia"/>
          <w:sz w:val="16"/>
          <w:szCs w:val="16"/>
        </w:rPr>
      </w:pPr>
      <w:r w:rsidRPr="002A2692">
        <w:rPr>
          <w:rFonts w:ascii="Calibri" w:hAnsi="Calibri" w:cs="Times New Roman"/>
          <w:sz w:val="16"/>
          <w:szCs w:val="16"/>
        </w:rPr>
        <w:t>Aucun changement défavorable significatif (« matériel adverse change ») n'est survenu</w:t>
      </w:r>
      <w:r>
        <w:rPr>
          <w:rFonts w:ascii="Calibri" w:hAnsi="Calibri" w:cs="Times New Roman"/>
          <w:sz w:val="16"/>
          <w:szCs w:val="16"/>
        </w:rPr>
        <w:t>,</w:t>
      </w:r>
    </w:p>
    <w:p w14:paraId="30C31D77" w14:textId="2639F51F" w:rsidR="000511BB" w:rsidRPr="002A2692" w:rsidRDefault="000511BB" w:rsidP="00C622C2">
      <w:pPr>
        <w:numPr>
          <w:ilvl w:val="0"/>
          <w:numId w:val="82"/>
        </w:numPr>
        <w:jc w:val="left"/>
        <w:rPr>
          <w:rFonts w:ascii="SymbolMT" w:hAnsi="SymbolMT" w:cs="Times New Roman" w:hint="eastAsia"/>
          <w:sz w:val="16"/>
          <w:szCs w:val="16"/>
        </w:rPr>
      </w:pPr>
      <w:r w:rsidRPr="002A2692">
        <w:rPr>
          <w:rFonts w:ascii="Calibri" w:hAnsi="Calibri" w:cs="Times New Roman"/>
          <w:sz w:val="16"/>
          <w:szCs w:val="16"/>
        </w:rPr>
        <w:t xml:space="preserve">Aucun engagement liant la Société́ ne sera entré en vigueur en vertu duquel un changement de contrôle de la Société́ pourrait </w:t>
      </w:r>
    </w:p>
    <w:p w14:paraId="484E1E85" w14:textId="77777777" w:rsidR="000511BB" w:rsidRPr="002A2692" w:rsidRDefault="000511BB" w:rsidP="002A2692">
      <w:pPr>
        <w:ind w:left="720"/>
        <w:jc w:val="left"/>
        <w:rPr>
          <w:rFonts w:ascii="SymbolMT" w:hAnsi="SymbolMT" w:cs="Times New Roman" w:hint="eastAsia"/>
          <w:sz w:val="16"/>
          <w:szCs w:val="16"/>
        </w:rPr>
      </w:pPr>
      <w:r w:rsidRPr="002A2692">
        <w:rPr>
          <w:rFonts w:ascii="Calibri" w:hAnsi="Calibri" w:cs="Times New Roman"/>
          <w:sz w:val="16"/>
          <w:szCs w:val="16"/>
        </w:rPr>
        <w:t xml:space="preserve">intervenir, </w:t>
      </w:r>
    </w:p>
    <w:p w14:paraId="2646D04B" w14:textId="087096FE" w:rsidR="000511BB" w:rsidRPr="002A2692" w:rsidRDefault="000511BB" w:rsidP="00C622C2">
      <w:pPr>
        <w:numPr>
          <w:ilvl w:val="0"/>
          <w:numId w:val="82"/>
        </w:numPr>
        <w:jc w:val="left"/>
        <w:rPr>
          <w:rFonts w:ascii="SymbolMT" w:hAnsi="SymbolMT" w:cs="Times New Roman" w:hint="eastAsia"/>
          <w:sz w:val="16"/>
          <w:szCs w:val="16"/>
        </w:rPr>
      </w:pPr>
      <w:r w:rsidRPr="002A2692">
        <w:rPr>
          <w:rFonts w:ascii="Calibri" w:hAnsi="Calibri" w:cs="Times New Roman"/>
          <w:sz w:val="16"/>
          <w:szCs w:val="16"/>
        </w:rPr>
        <w:t xml:space="preserve">Aucune autorité́ compétente (notamment l’AMF) n’a pris position en défaveur de l’émission d’OCA, des BSA ni de leur conversion ou exercice, </w:t>
      </w:r>
    </w:p>
    <w:p w14:paraId="05B18ED0" w14:textId="456262D0" w:rsidR="000511BB" w:rsidRPr="002A2692" w:rsidRDefault="000511BB" w:rsidP="00C622C2">
      <w:pPr>
        <w:numPr>
          <w:ilvl w:val="0"/>
          <w:numId w:val="82"/>
        </w:numPr>
        <w:jc w:val="left"/>
        <w:rPr>
          <w:rFonts w:ascii="SymbolMT" w:hAnsi="SymbolMT" w:cs="Times New Roman" w:hint="eastAsia"/>
          <w:sz w:val="16"/>
          <w:szCs w:val="16"/>
        </w:rPr>
      </w:pPr>
      <w:r w:rsidRPr="002A2692">
        <w:rPr>
          <w:rFonts w:ascii="Calibri" w:hAnsi="Calibri" w:cs="Times New Roman"/>
          <w:sz w:val="16"/>
          <w:szCs w:val="16"/>
        </w:rPr>
        <w:t xml:space="preserve">Aucun évènement constitutif d’un cas de défaut selon le Contrat d’Emission n'existe au jour de la Requête, </w:t>
      </w:r>
    </w:p>
    <w:p w14:paraId="07C07292" w14:textId="6F3C47AB" w:rsidR="000511BB" w:rsidRPr="002A2692" w:rsidRDefault="000511BB" w:rsidP="00C622C2">
      <w:pPr>
        <w:numPr>
          <w:ilvl w:val="0"/>
          <w:numId w:val="82"/>
        </w:numPr>
        <w:jc w:val="left"/>
        <w:rPr>
          <w:rFonts w:ascii="SymbolMT" w:hAnsi="SymbolMT" w:cs="Times New Roman" w:hint="eastAsia"/>
          <w:sz w:val="16"/>
          <w:szCs w:val="16"/>
        </w:rPr>
      </w:pPr>
      <w:r w:rsidRPr="002A2692">
        <w:rPr>
          <w:rFonts w:ascii="Calibri" w:hAnsi="Calibri" w:cs="Times New Roman"/>
          <w:sz w:val="16"/>
          <w:szCs w:val="16"/>
        </w:rPr>
        <w:t xml:space="preserve">La période d’engagement de 32 mois à compter du 18 octobre 2019 n’est pas arrivée à son terme, </w:t>
      </w:r>
    </w:p>
    <w:p w14:paraId="5AC6FE1A" w14:textId="44EDE53D" w:rsidR="000511BB" w:rsidRPr="002A2692" w:rsidRDefault="000511BB" w:rsidP="00C622C2">
      <w:pPr>
        <w:numPr>
          <w:ilvl w:val="0"/>
          <w:numId w:val="82"/>
        </w:numPr>
        <w:jc w:val="left"/>
        <w:rPr>
          <w:rFonts w:ascii="SymbolMT" w:hAnsi="SymbolMT" w:cs="Times New Roman" w:hint="eastAsia"/>
          <w:sz w:val="16"/>
          <w:szCs w:val="16"/>
        </w:rPr>
      </w:pPr>
      <w:r w:rsidRPr="002A2692">
        <w:rPr>
          <w:rFonts w:ascii="Calibri" w:hAnsi="Calibri" w:cs="Times New Roman"/>
          <w:sz w:val="16"/>
          <w:szCs w:val="16"/>
        </w:rPr>
        <w:t xml:space="preserve">Les actions Spineway (i) sont cotées sur le marché Euronext Growth Paris,(ii) n’ont pas fait l’objet d’une suspension de cours à la date considérée, par l’AMF ou Euronext sur le marché Euronext Growth Paris, et (iii) ni n’ont été́ menacées d'une telle suspension par l'AMF ou Euronext, </w:t>
      </w:r>
    </w:p>
    <w:p w14:paraId="2219075A" w14:textId="2C970290" w:rsidR="000511BB" w:rsidRPr="002A2692" w:rsidRDefault="000511BB" w:rsidP="00C622C2">
      <w:pPr>
        <w:numPr>
          <w:ilvl w:val="0"/>
          <w:numId w:val="82"/>
        </w:numPr>
        <w:jc w:val="left"/>
        <w:rPr>
          <w:rFonts w:ascii="SymbolMT" w:hAnsi="SymbolMT" w:cs="Times New Roman" w:hint="eastAsia"/>
          <w:sz w:val="16"/>
          <w:szCs w:val="16"/>
        </w:rPr>
      </w:pPr>
      <w:r w:rsidRPr="002A2692">
        <w:rPr>
          <w:rFonts w:ascii="Calibri" w:hAnsi="Calibri" w:cs="Times New Roman"/>
          <w:sz w:val="16"/>
          <w:szCs w:val="16"/>
        </w:rPr>
        <w:t xml:space="preserve">La valeur moyenne quotidienne des échanges des actions Spineway au cours d’une période de </w:t>
      </w:r>
      <w:r>
        <w:rPr>
          <w:rFonts w:ascii="Calibri" w:hAnsi="Calibri" w:cs="Times New Roman"/>
          <w:sz w:val="16"/>
          <w:szCs w:val="16"/>
        </w:rPr>
        <w:t>15</w:t>
      </w:r>
      <w:r w:rsidRPr="002A2692">
        <w:rPr>
          <w:rFonts w:ascii="Calibri" w:hAnsi="Calibri" w:cs="Times New Roman"/>
          <w:sz w:val="16"/>
          <w:szCs w:val="16"/>
        </w:rPr>
        <w:t xml:space="preserve"> séances de bourse précèdent l’exercice de Bons d’Emission devra être au moins égale</w:t>
      </w:r>
      <w:r>
        <w:rPr>
          <w:rFonts w:ascii="Calibri" w:hAnsi="Calibri" w:cs="Times New Roman"/>
          <w:sz w:val="16"/>
          <w:szCs w:val="16"/>
        </w:rPr>
        <w:t xml:space="preserve"> à 60.</w:t>
      </w:r>
      <w:r w:rsidRPr="002A2692">
        <w:rPr>
          <w:rFonts w:ascii="Calibri" w:hAnsi="Calibri" w:cs="Times New Roman"/>
          <w:sz w:val="16"/>
          <w:szCs w:val="16"/>
        </w:rPr>
        <w:t xml:space="preserve">000 </w:t>
      </w:r>
      <w:r>
        <w:rPr>
          <w:rFonts w:ascii="Calibri" w:hAnsi="Calibri" w:cs="Times New Roman"/>
          <w:sz w:val="16"/>
          <w:szCs w:val="16"/>
        </w:rPr>
        <w:t>€</w:t>
      </w:r>
      <w:r w:rsidRPr="002A2692">
        <w:rPr>
          <w:rFonts w:ascii="Calibri" w:hAnsi="Calibri" w:cs="Times New Roman"/>
          <w:sz w:val="16"/>
          <w:szCs w:val="16"/>
        </w:rPr>
        <w:t xml:space="preserve">, </w:t>
      </w:r>
    </w:p>
    <w:p w14:paraId="353BD120" w14:textId="385ED75E" w:rsidR="000511BB" w:rsidRPr="002A2692" w:rsidRDefault="000511BB" w:rsidP="00C622C2">
      <w:pPr>
        <w:numPr>
          <w:ilvl w:val="0"/>
          <w:numId w:val="82"/>
        </w:numPr>
        <w:jc w:val="left"/>
        <w:rPr>
          <w:rFonts w:ascii="SymbolMT" w:hAnsi="SymbolMT" w:cs="Times New Roman" w:hint="eastAsia"/>
          <w:sz w:val="16"/>
          <w:szCs w:val="16"/>
        </w:rPr>
      </w:pPr>
      <w:r w:rsidRPr="002A2692">
        <w:rPr>
          <w:rFonts w:ascii="Calibri" w:hAnsi="Calibri" w:cs="Times New Roman"/>
          <w:sz w:val="16"/>
          <w:szCs w:val="16"/>
        </w:rPr>
        <w:t xml:space="preserve">La Société́ dispose au moins d’un nombre d’actions à émettre autorisé, disponible et approuvé au bénéfice de l’Investisseur sur </w:t>
      </w:r>
    </w:p>
    <w:p w14:paraId="52D292C3" w14:textId="40779E38" w:rsidR="000511BB" w:rsidRPr="002A2692" w:rsidRDefault="000511BB" w:rsidP="0084661C">
      <w:pPr>
        <w:ind w:left="720"/>
        <w:jc w:val="left"/>
        <w:rPr>
          <w:rFonts w:ascii="SymbolMT" w:hAnsi="SymbolMT" w:cs="Times New Roman" w:hint="eastAsia"/>
          <w:sz w:val="16"/>
          <w:szCs w:val="16"/>
        </w:rPr>
      </w:pPr>
      <w:r w:rsidRPr="002A2692">
        <w:rPr>
          <w:rFonts w:ascii="Calibri" w:hAnsi="Calibri" w:cs="Times New Roman"/>
          <w:sz w:val="16"/>
          <w:szCs w:val="16"/>
        </w:rPr>
        <w:t xml:space="preserve">conversion de toutes les OCA en circulation, égal au montant nominal des OCA à émettre en vertu de la </w:t>
      </w:r>
      <w:r>
        <w:rPr>
          <w:rFonts w:ascii="Calibri" w:hAnsi="Calibri" w:cs="Times New Roman"/>
          <w:sz w:val="16"/>
          <w:szCs w:val="16"/>
        </w:rPr>
        <w:t>r</w:t>
      </w:r>
      <w:r w:rsidRPr="002A2692">
        <w:rPr>
          <w:rFonts w:ascii="Calibri" w:hAnsi="Calibri" w:cs="Times New Roman"/>
          <w:sz w:val="16"/>
          <w:szCs w:val="16"/>
        </w:rPr>
        <w:t xml:space="preserve">equête (augmenté du montant nominal de toute autre OCA encore en circulation, le cas échéant) divisé par le plus bas cours moyen pondéré́ par les volumes à la date de la </w:t>
      </w:r>
      <w:r>
        <w:rPr>
          <w:rFonts w:ascii="Calibri" w:hAnsi="Calibri" w:cs="Times New Roman"/>
          <w:sz w:val="16"/>
          <w:szCs w:val="16"/>
        </w:rPr>
        <w:t>r</w:t>
      </w:r>
      <w:r w:rsidRPr="002A2692">
        <w:rPr>
          <w:rFonts w:ascii="Calibri" w:hAnsi="Calibri" w:cs="Times New Roman"/>
          <w:sz w:val="16"/>
          <w:szCs w:val="16"/>
        </w:rPr>
        <w:t xml:space="preserve">equête, </w:t>
      </w:r>
    </w:p>
    <w:p w14:paraId="73553062" w14:textId="688D90E0" w:rsidR="000511BB" w:rsidRPr="002A2692" w:rsidRDefault="000511BB" w:rsidP="0084661C">
      <w:pPr>
        <w:numPr>
          <w:ilvl w:val="0"/>
          <w:numId w:val="82"/>
        </w:numPr>
        <w:jc w:val="left"/>
        <w:rPr>
          <w:rFonts w:ascii="SymbolMT" w:hAnsi="SymbolMT" w:cs="Times New Roman" w:hint="eastAsia"/>
          <w:sz w:val="16"/>
          <w:szCs w:val="16"/>
        </w:rPr>
      </w:pPr>
      <w:r w:rsidRPr="002A2692">
        <w:rPr>
          <w:rFonts w:ascii="Calibri" w:hAnsi="Calibri" w:cs="Times New Roman"/>
          <w:sz w:val="16"/>
          <w:szCs w:val="16"/>
        </w:rPr>
        <w:t>L’Investisseur n'est frappé d'aucune interdiction l'empêchant d’agir sur le cours des actions Spineway.</w:t>
      </w:r>
    </w:p>
    <w:p w14:paraId="2B58715E" w14:textId="13F1E301" w:rsidR="000511BB" w:rsidRPr="00C622C2" w:rsidRDefault="000511BB" w:rsidP="0084661C">
      <w:pPr>
        <w:pStyle w:val="Notedebasdepage"/>
        <w:rPr>
          <w:rFonts w:ascii="Calibri" w:eastAsiaTheme="minorEastAsia" w:hAnsi="Calibri" w:cs="Times New Roman"/>
          <w:sz w:val="16"/>
          <w:szCs w:val="16"/>
          <w:lang w:eastAsia="fr-FR"/>
        </w:rPr>
      </w:pPr>
    </w:p>
  </w:footnote>
  <w:footnote w:id="12">
    <w:p w14:paraId="2148BFCE" w14:textId="2DB1B13D" w:rsidR="000511BB" w:rsidRDefault="000511BB" w:rsidP="00283D1D">
      <w:pPr>
        <w:pStyle w:val="Notedebasdepage"/>
        <w:spacing w:after="120"/>
      </w:pPr>
      <w:r w:rsidRPr="00C622C2">
        <w:rPr>
          <w:rStyle w:val="Marquenotebasdepage"/>
          <w:rFonts w:asciiTheme="majorHAnsi" w:hAnsiTheme="majorHAnsi"/>
          <w:szCs w:val="24"/>
          <w:lang w:eastAsia="fr-FR"/>
        </w:rPr>
        <w:footnoteRef/>
      </w:r>
      <w:r w:rsidRPr="00C622C2">
        <w:rPr>
          <w:rStyle w:val="Marquenotebasdepage"/>
          <w:rFonts w:asciiTheme="majorHAnsi" w:hAnsiTheme="majorHAnsi"/>
          <w:szCs w:val="24"/>
          <w:lang w:eastAsia="fr-FR"/>
        </w:rPr>
        <w:t xml:space="preserve"> </w:t>
      </w:r>
      <w:r>
        <w:rPr>
          <w:rFonts w:asciiTheme="majorHAnsi" w:hAnsiTheme="majorHAnsi"/>
          <w:szCs w:val="24"/>
          <w:lang w:eastAsia="fr-FR"/>
        </w:rPr>
        <w:t xml:space="preserve"> </w:t>
      </w:r>
      <w:r>
        <w:rPr>
          <w:rFonts w:ascii="Calibri" w:eastAsiaTheme="minorEastAsia" w:hAnsi="Calibri" w:cs="Times New Roman"/>
          <w:sz w:val="16"/>
          <w:szCs w:val="16"/>
          <w:lang w:eastAsia="fr-FR"/>
        </w:rPr>
        <w:t xml:space="preserve">incluant </w:t>
      </w:r>
      <w:r w:rsidRPr="00C622C2">
        <w:rPr>
          <w:rFonts w:ascii="Calibri" w:eastAsiaTheme="minorEastAsia" w:hAnsi="Calibri" w:cs="Times New Roman"/>
          <w:sz w:val="16"/>
          <w:szCs w:val="16"/>
          <w:lang w:eastAsia="fr-FR"/>
        </w:rPr>
        <w:t>notamment, le retrait de la cote de l'action Spineway, l'annonce d'une prise de contrôle de la Société́ et la survenance d'un changement défavorable significatif</w:t>
      </w:r>
      <w:r>
        <w:rPr>
          <w:rFonts w:ascii="Calibri" w:eastAsiaTheme="minorEastAsia" w:hAnsi="Calibri" w:cs="Times New Roman"/>
          <w:sz w:val="16"/>
          <w:szCs w:val="16"/>
          <w:lang w:eastAsia="fr-FR"/>
        </w:rPr>
        <w:t>.</w:t>
      </w:r>
    </w:p>
  </w:footnote>
  <w:footnote w:id="13">
    <w:p w14:paraId="7CD1F6CA" w14:textId="17AF83B6" w:rsidR="000511BB" w:rsidRPr="00C622C2" w:rsidRDefault="000511BB" w:rsidP="00283D1D">
      <w:pPr>
        <w:jc w:val="left"/>
        <w:rPr>
          <w:rFonts w:ascii="Times New Roman" w:hAnsi="Times New Roman" w:cs="Times New Roman"/>
          <w:szCs w:val="20"/>
        </w:rPr>
      </w:pPr>
      <w:r>
        <w:rPr>
          <w:rStyle w:val="Marquenotebasdepage"/>
        </w:rPr>
        <w:footnoteRef/>
      </w:r>
      <w:r>
        <w:t xml:space="preserve"> </w:t>
      </w:r>
      <w:r w:rsidRPr="00C622C2">
        <w:rPr>
          <w:rFonts w:ascii="Calibri" w:hAnsi="Calibri" w:cs="Times New Roman"/>
          <w:sz w:val="16"/>
          <w:szCs w:val="16"/>
        </w:rPr>
        <w:t>Tout évènement ou circonstance constituant un changement défavorable important portant sur les actifs, la situation financière ou commerciale de la Société́, à condition que ce changement soit considéré́ comme matériellement défavorable seulement s’il a ou peut avoir raisonnablement un impact défavorable net sur la situation financière ou les actifs de la Société́ supérieur</w:t>
      </w:r>
      <w:r>
        <w:rPr>
          <w:rFonts w:ascii="Calibri" w:hAnsi="Calibri" w:cs="Times New Roman"/>
          <w:sz w:val="16"/>
          <w:szCs w:val="16"/>
        </w:rPr>
        <w:t xml:space="preserve"> à 1 M€</w:t>
      </w:r>
      <w:r w:rsidRPr="00C622C2">
        <w:rPr>
          <w:rFonts w:ascii="Calibri" w:hAnsi="Calibri" w:cs="Times New Roman"/>
          <w:sz w:val="16"/>
          <w:szCs w:val="16"/>
        </w:rPr>
        <w:t xml:space="preserve">. </w:t>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694DF03" w14:textId="77777777" w:rsidR="000511BB" w:rsidRDefault="000511BB">
    <w:pPr>
      <w:pStyle w:val="En-tte"/>
    </w:pPr>
    <w:r>
      <w:rPr>
        <w:b/>
        <w:color w:val="0000FF"/>
      </w:rPr>
      <w:tab/>
    </w:r>
    <w:r>
      <w:rPr>
        <w:b/>
        <w:color w:val="0000FF"/>
      </w:rPr>
      <w:tab/>
    </w: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184AB5F" w14:textId="77777777" w:rsidR="000511BB" w:rsidRDefault="000511BB">
    <w:pPr>
      <w:pStyle w:val="En-tte"/>
    </w:pPr>
    <w:r>
      <w:rPr>
        <w:b/>
        <w:color w:val="0000FF"/>
      </w:rPr>
      <w:tab/>
    </w:r>
    <w:r>
      <w:rPr>
        <w:b/>
        <w:color w:val="0000FF"/>
      </w:rPr>
      <w:tab/>
    </w: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22E919C" w14:textId="77777777" w:rsidR="000511BB" w:rsidRDefault="000511BB">
    <w:pPr>
      <w:pStyle w:val="En-tte"/>
    </w:pPr>
    <w:r>
      <w:rPr>
        <w:b/>
        <w:color w:val="0000FF"/>
      </w:rPr>
      <w:tab/>
    </w:r>
    <w:r>
      <w:rPr>
        <w:b/>
        <w:color w:val="0000FF"/>
      </w:rPr>
      <w:tab/>
    </w:r>
  </w:p>
</w:hdr>
</file>

<file path=word/header4.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9CBE30F" w14:textId="77777777" w:rsidR="000511BB" w:rsidRDefault="000511BB">
    <w:pPr>
      <w:pStyle w:val="En-tte"/>
    </w:pPr>
    <w:r>
      <w:rPr>
        <w:b/>
        <w:color w:val="0000FF"/>
      </w:rPr>
      <w:tab/>
    </w:r>
    <w:r>
      <w:rPr>
        <w:b/>
        <w:color w:val="0000FF"/>
      </w:rPr>
      <w:tab/>
    </w:r>
  </w:p>
</w:hdr>
</file>

<file path=word/header5.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1FF06A6" w14:textId="77777777" w:rsidR="000511BB" w:rsidRPr="007523F2" w:rsidRDefault="000511BB" w:rsidP="00722F08">
    <w:pPr>
      <w:pStyle w:val="En-tte"/>
    </w:pPr>
    <w:r>
      <w:rPr>
        <w:noProof/>
      </w:rPr>
      <w:drawing>
        <wp:inline distT="0" distB="0" distL="0" distR="0" wp14:anchorId="1C1BA214" wp14:editId="51ECB6E3">
          <wp:extent cx="1733550" cy="504825"/>
          <wp:effectExtent l="0" t="0" r="0" b="9525"/>
          <wp:docPr id="16" name="Image 1" descr="Y:\COM &amp; MARKETING\RESSOURCES COMMUNICATION\CHARTE GRAPHIQUE\CHARTE 3.0\NVX LOGOS\logo_Delta Dron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pic:nvPicPr>
                <pic:blipFill>
                  <a:blip r:embed="rId1">
                    <a:extLst>
                      <a:ext uri="{28A0092B-C50C-407E-A947-70E740481C1C}">
                        <a14:useLocalDpi xmlns:a14="http://schemas.microsoft.com/office/drawing/2010/main" val="0"/>
                      </a:ext>
                    </a:extLst>
                  </a:blip>
                  <a:stretch>
                    <a:fillRect/>
                  </a:stretch>
                </pic:blipFill>
                <pic:spPr>
                  <a:xfrm>
                    <a:off x="0" y="0"/>
                    <a:ext cx="1733550" cy="504825"/>
                  </a:xfrm>
                  <a:prstGeom prst="rect">
                    <a:avLst/>
                  </a:prstGeom>
                </pic:spPr>
              </pic:pic>
            </a:graphicData>
          </a:graphic>
        </wp:inline>
      </w:drawing>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55764A"/>
    <w:multiLevelType w:val="hybridMultilevel"/>
    <w:tmpl w:val="113214A4"/>
    <w:lvl w:ilvl="0" w:tplc="FFFFFFFF">
      <w:start w:val="1"/>
      <w:numFmt w:val="bullet"/>
      <w:lvlText w:val="-"/>
      <w:lvlJc w:val="left"/>
      <w:pPr>
        <w:ind w:left="720" w:hanging="360"/>
      </w:pPr>
      <w:rPr>
        <w:rFonts w:ascii="Calibri" w:hAnsi="Calibri"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nsid w:val="01164D02"/>
    <w:multiLevelType w:val="hybridMultilevel"/>
    <w:tmpl w:val="18A85438"/>
    <w:lvl w:ilvl="0" w:tplc="E74E27E6">
      <w:start w:val="4"/>
      <w:numFmt w:val="bullet"/>
      <w:lvlText w:val="-"/>
      <w:lvlJc w:val="left"/>
      <w:pPr>
        <w:ind w:left="720" w:hanging="360"/>
      </w:pPr>
      <w:rPr>
        <w:rFonts w:ascii="Calibri" w:eastAsiaTheme="minorEastAsia" w:hAnsi="Calibri" w:cstheme="minorBidi" w:hint="default"/>
      </w:rPr>
    </w:lvl>
    <w:lvl w:ilvl="1" w:tplc="040C0003">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nsid w:val="04281E89"/>
    <w:multiLevelType w:val="hybridMultilevel"/>
    <w:tmpl w:val="32AAF5AE"/>
    <w:lvl w:ilvl="0" w:tplc="E74E27E6">
      <w:start w:val="4"/>
      <w:numFmt w:val="bullet"/>
      <w:lvlText w:val="-"/>
      <w:lvlJc w:val="left"/>
      <w:pPr>
        <w:ind w:left="720" w:hanging="360"/>
      </w:pPr>
      <w:rPr>
        <w:rFonts w:ascii="Calibri" w:eastAsiaTheme="minorEastAsia" w:hAnsi="Calibri" w:cstheme="minorBidi" w:hint="default"/>
      </w:rPr>
    </w:lvl>
    <w:lvl w:ilvl="1" w:tplc="E74E27E6">
      <w:start w:val="4"/>
      <w:numFmt w:val="bullet"/>
      <w:lvlText w:val="-"/>
      <w:lvlJc w:val="left"/>
      <w:pPr>
        <w:ind w:left="1440" w:hanging="360"/>
      </w:pPr>
      <w:rPr>
        <w:rFonts w:ascii="Calibri" w:eastAsiaTheme="minorEastAsia" w:hAnsi="Calibri" w:cstheme="minorBidi"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nsid w:val="044036E8"/>
    <w:multiLevelType w:val="hybridMultilevel"/>
    <w:tmpl w:val="2B84D16E"/>
    <w:lvl w:ilvl="0" w:tplc="E74E27E6">
      <w:start w:val="4"/>
      <w:numFmt w:val="bullet"/>
      <w:lvlText w:val="-"/>
      <w:lvlJc w:val="left"/>
      <w:pPr>
        <w:ind w:left="720" w:hanging="360"/>
      </w:pPr>
      <w:rPr>
        <w:rFonts w:ascii="Calibri" w:eastAsiaTheme="minorEastAsia" w:hAnsi="Calibri" w:cstheme="minorBidi"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nsid w:val="053E541A"/>
    <w:multiLevelType w:val="hybridMultilevel"/>
    <w:tmpl w:val="B4AA90BC"/>
    <w:lvl w:ilvl="0" w:tplc="A9165C8A">
      <w:start w:val="1"/>
      <w:numFmt w:val="bullet"/>
      <w:lvlText w:val="-"/>
      <w:lvlJc w:val="left"/>
      <w:pPr>
        <w:ind w:left="720" w:hanging="360"/>
      </w:pPr>
      <w:rPr>
        <w:rFonts w:ascii="Calibri" w:hAnsi="Calibri"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nsid w:val="07D0635E"/>
    <w:multiLevelType w:val="hybridMultilevel"/>
    <w:tmpl w:val="303E3D48"/>
    <w:lvl w:ilvl="0" w:tplc="E74E27E6">
      <w:start w:val="4"/>
      <w:numFmt w:val="bullet"/>
      <w:lvlText w:val="-"/>
      <w:lvlJc w:val="left"/>
      <w:pPr>
        <w:ind w:left="720" w:hanging="360"/>
      </w:pPr>
      <w:rPr>
        <w:rFonts w:ascii="Calibri" w:eastAsiaTheme="minorEastAsia" w:hAnsi="Calibri" w:cstheme="minorBidi"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nsid w:val="090D5C84"/>
    <w:multiLevelType w:val="hybridMultilevel"/>
    <w:tmpl w:val="FDC2C748"/>
    <w:lvl w:ilvl="0" w:tplc="CD68947E">
      <w:start w:val="1"/>
      <w:numFmt w:val="bullet"/>
      <w:lvlText w:val=""/>
      <w:lvlJc w:val="left"/>
      <w:pPr>
        <w:ind w:left="720" w:hanging="360"/>
      </w:pPr>
      <w:rPr>
        <w:rFonts w:ascii="Symbol" w:hAnsi="Symbol" w:hint="default"/>
      </w:rPr>
    </w:lvl>
    <w:lvl w:ilvl="1" w:tplc="4C56F3EA">
      <w:start w:val="1"/>
      <w:numFmt w:val="bullet"/>
      <w:lvlText w:val="o"/>
      <w:lvlJc w:val="left"/>
      <w:pPr>
        <w:ind w:left="1440" w:hanging="360"/>
      </w:pPr>
      <w:rPr>
        <w:rFonts w:ascii="Courier New" w:hAnsi="Courier New" w:hint="default"/>
      </w:rPr>
    </w:lvl>
    <w:lvl w:ilvl="2" w:tplc="EE34DCFE">
      <w:start w:val="1"/>
      <w:numFmt w:val="bullet"/>
      <w:lvlText w:val=""/>
      <w:lvlJc w:val="left"/>
      <w:pPr>
        <w:ind w:left="2160" w:hanging="360"/>
      </w:pPr>
      <w:rPr>
        <w:rFonts w:ascii="Wingdings" w:hAnsi="Wingdings" w:hint="default"/>
      </w:rPr>
    </w:lvl>
    <w:lvl w:ilvl="3" w:tplc="84EE2DA4">
      <w:start w:val="1"/>
      <w:numFmt w:val="bullet"/>
      <w:lvlText w:val=""/>
      <w:lvlJc w:val="left"/>
      <w:pPr>
        <w:ind w:left="2880" w:hanging="360"/>
      </w:pPr>
      <w:rPr>
        <w:rFonts w:ascii="Symbol" w:hAnsi="Symbol" w:hint="default"/>
      </w:rPr>
    </w:lvl>
    <w:lvl w:ilvl="4" w:tplc="4A52A8A8">
      <w:start w:val="1"/>
      <w:numFmt w:val="bullet"/>
      <w:lvlText w:val="o"/>
      <w:lvlJc w:val="left"/>
      <w:pPr>
        <w:ind w:left="3600" w:hanging="360"/>
      </w:pPr>
      <w:rPr>
        <w:rFonts w:ascii="Courier New" w:hAnsi="Courier New" w:hint="default"/>
      </w:rPr>
    </w:lvl>
    <w:lvl w:ilvl="5" w:tplc="B3AC8358">
      <w:start w:val="1"/>
      <w:numFmt w:val="bullet"/>
      <w:lvlText w:val=""/>
      <w:lvlJc w:val="left"/>
      <w:pPr>
        <w:ind w:left="4320" w:hanging="360"/>
      </w:pPr>
      <w:rPr>
        <w:rFonts w:ascii="Wingdings" w:hAnsi="Wingdings" w:hint="default"/>
      </w:rPr>
    </w:lvl>
    <w:lvl w:ilvl="6" w:tplc="5CC2EECA">
      <w:start w:val="1"/>
      <w:numFmt w:val="bullet"/>
      <w:lvlText w:val=""/>
      <w:lvlJc w:val="left"/>
      <w:pPr>
        <w:ind w:left="5040" w:hanging="360"/>
      </w:pPr>
      <w:rPr>
        <w:rFonts w:ascii="Symbol" w:hAnsi="Symbol" w:hint="default"/>
      </w:rPr>
    </w:lvl>
    <w:lvl w:ilvl="7" w:tplc="5FC6B108">
      <w:start w:val="1"/>
      <w:numFmt w:val="bullet"/>
      <w:lvlText w:val="o"/>
      <w:lvlJc w:val="left"/>
      <w:pPr>
        <w:ind w:left="5760" w:hanging="360"/>
      </w:pPr>
      <w:rPr>
        <w:rFonts w:ascii="Courier New" w:hAnsi="Courier New" w:hint="default"/>
      </w:rPr>
    </w:lvl>
    <w:lvl w:ilvl="8" w:tplc="FB384226">
      <w:start w:val="1"/>
      <w:numFmt w:val="bullet"/>
      <w:lvlText w:val=""/>
      <w:lvlJc w:val="left"/>
      <w:pPr>
        <w:ind w:left="6480" w:hanging="360"/>
      </w:pPr>
      <w:rPr>
        <w:rFonts w:ascii="Wingdings" w:hAnsi="Wingdings" w:hint="default"/>
      </w:rPr>
    </w:lvl>
  </w:abstractNum>
  <w:abstractNum w:abstractNumId="7">
    <w:nsid w:val="094416E5"/>
    <w:multiLevelType w:val="hybridMultilevel"/>
    <w:tmpl w:val="F81E5EAA"/>
    <w:lvl w:ilvl="0" w:tplc="2E1EB822">
      <w:start w:val="1"/>
      <w:numFmt w:val="bullet"/>
      <w:lvlText w:val="-"/>
      <w:lvlJc w:val="left"/>
      <w:pPr>
        <w:ind w:left="720" w:hanging="360"/>
      </w:pPr>
      <w:rPr>
        <w:rFonts w:ascii="Calibri" w:eastAsiaTheme="minorEastAsia" w:hAnsi="Calibri" w:cstheme="minorBidi"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nsid w:val="0BB24BF6"/>
    <w:multiLevelType w:val="hybridMultilevel"/>
    <w:tmpl w:val="262CCC90"/>
    <w:lvl w:ilvl="0" w:tplc="E74E27E6">
      <w:start w:val="4"/>
      <w:numFmt w:val="bullet"/>
      <w:lvlText w:val="-"/>
      <w:lvlJc w:val="left"/>
      <w:pPr>
        <w:ind w:left="720" w:hanging="360"/>
      </w:pPr>
      <w:rPr>
        <w:rFonts w:ascii="Calibri" w:eastAsiaTheme="minorEastAsia" w:hAnsi="Calibri" w:cstheme="minorBidi"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nsid w:val="0C7C1E04"/>
    <w:multiLevelType w:val="hybridMultilevel"/>
    <w:tmpl w:val="5492F2DA"/>
    <w:lvl w:ilvl="0" w:tplc="E74E27E6">
      <w:start w:val="4"/>
      <w:numFmt w:val="bullet"/>
      <w:lvlText w:val="-"/>
      <w:lvlJc w:val="left"/>
      <w:pPr>
        <w:ind w:left="720" w:hanging="360"/>
      </w:pPr>
      <w:rPr>
        <w:rFonts w:ascii="Calibri" w:eastAsiaTheme="minorEastAsia" w:hAnsi="Calibri" w:cstheme="minorBidi"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nsid w:val="0D4E208D"/>
    <w:multiLevelType w:val="hybridMultilevel"/>
    <w:tmpl w:val="BE7E871A"/>
    <w:lvl w:ilvl="0" w:tplc="A9165C8A">
      <w:start w:val="1"/>
      <w:numFmt w:val="bullet"/>
      <w:lvlText w:val="-"/>
      <w:lvlJc w:val="left"/>
      <w:pPr>
        <w:ind w:left="720" w:hanging="360"/>
      </w:pPr>
      <w:rPr>
        <w:rFonts w:ascii="Calibri" w:hAnsi="Calibri"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nsid w:val="0DD555B1"/>
    <w:multiLevelType w:val="hybridMultilevel"/>
    <w:tmpl w:val="53262DA8"/>
    <w:lvl w:ilvl="0" w:tplc="E74E27E6">
      <w:start w:val="4"/>
      <w:numFmt w:val="bullet"/>
      <w:lvlText w:val="-"/>
      <w:lvlJc w:val="left"/>
      <w:pPr>
        <w:ind w:left="720" w:hanging="360"/>
      </w:pPr>
      <w:rPr>
        <w:rFonts w:ascii="Calibri" w:eastAsiaTheme="minorEastAsia" w:hAnsi="Calibri" w:cstheme="minorBidi"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nsid w:val="105A73E6"/>
    <w:multiLevelType w:val="hybridMultilevel"/>
    <w:tmpl w:val="2452CD30"/>
    <w:lvl w:ilvl="0" w:tplc="040C000B">
      <w:start w:val="1"/>
      <w:numFmt w:val="bullet"/>
      <w:lvlText w:val=""/>
      <w:lvlJc w:val="left"/>
      <w:pPr>
        <w:ind w:left="1287" w:hanging="360"/>
      </w:pPr>
      <w:rPr>
        <w:rFonts w:ascii="Wingdings" w:hAnsi="Wingdings" w:hint="default"/>
      </w:rPr>
    </w:lvl>
    <w:lvl w:ilvl="1" w:tplc="040C0003" w:tentative="1">
      <w:start w:val="1"/>
      <w:numFmt w:val="bullet"/>
      <w:lvlText w:val="o"/>
      <w:lvlJc w:val="left"/>
      <w:pPr>
        <w:ind w:left="2007" w:hanging="360"/>
      </w:pPr>
      <w:rPr>
        <w:rFonts w:ascii="Courier New" w:hAnsi="Courier New" w:hint="default"/>
      </w:rPr>
    </w:lvl>
    <w:lvl w:ilvl="2" w:tplc="040C0005" w:tentative="1">
      <w:start w:val="1"/>
      <w:numFmt w:val="bullet"/>
      <w:lvlText w:val=""/>
      <w:lvlJc w:val="left"/>
      <w:pPr>
        <w:ind w:left="2727" w:hanging="360"/>
      </w:pPr>
      <w:rPr>
        <w:rFonts w:ascii="Wingdings" w:hAnsi="Wingdings" w:hint="default"/>
      </w:rPr>
    </w:lvl>
    <w:lvl w:ilvl="3" w:tplc="040C0001" w:tentative="1">
      <w:start w:val="1"/>
      <w:numFmt w:val="bullet"/>
      <w:lvlText w:val=""/>
      <w:lvlJc w:val="left"/>
      <w:pPr>
        <w:ind w:left="3447" w:hanging="360"/>
      </w:pPr>
      <w:rPr>
        <w:rFonts w:ascii="Symbol" w:hAnsi="Symbol" w:hint="default"/>
      </w:rPr>
    </w:lvl>
    <w:lvl w:ilvl="4" w:tplc="040C0003" w:tentative="1">
      <w:start w:val="1"/>
      <w:numFmt w:val="bullet"/>
      <w:lvlText w:val="o"/>
      <w:lvlJc w:val="left"/>
      <w:pPr>
        <w:ind w:left="4167" w:hanging="360"/>
      </w:pPr>
      <w:rPr>
        <w:rFonts w:ascii="Courier New" w:hAnsi="Courier New" w:hint="default"/>
      </w:rPr>
    </w:lvl>
    <w:lvl w:ilvl="5" w:tplc="040C0005" w:tentative="1">
      <w:start w:val="1"/>
      <w:numFmt w:val="bullet"/>
      <w:lvlText w:val=""/>
      <w:lvlJc w:val="left"/>
      <w:pPr>
        <w:ind w:left="4887" w:hanging="360"/>
      </w:pPr>
      <w:rPr>
        <w:rFonts w:ascii="Wingdings" w:hAnsi="Wingdings" w:hint="default"/>
      </w:rPr>
    </w:lvl>
    <w:lvl w:ilvl="6" w:tplc="040C0001" w:tentative="1">
      <w:start w:val="1"/>
      <w:numFmt w:val="bullet"/>
      <w:lvlText w:val=""/>
      <w:lvlJc w:val="left"/>
      <w:pPr>
        <w:ind w:left="5607" w:hanging="360"/>
      </w:pPr>
      <w:rPr>
        <w:rFonts w:ascii="Symbol" w:hAnsi="Symbol" w:hint="default"/>
      </w:rPr>
    </w:lvl>
    <w:lvl w:ilvl="7" w:tplc="040C0003" w:tentative="1">
      <w:start w:val="1"/>
      <w:numFmt w:val="bullet"/>
      <w:lvlText w:val="o"/>
      <w:lvlJc w:val="left"/>
      <w:pPr>
        <w:ind w:left="6327" w:hanging="360"/>
      </w:pPr>
      <w:rPr>
        <w:rFonts w:ascii="Courier New" w:hAnsi="Courier New" w:hint="default"/>
      </w:rPr>
    </w:lvl>
    <w:lvl w:ilvl="8" w:tplc="040C0005" w:tentative="1">
      <w:start w:val="1"/>
      <w:numFmt w:val="bullet"/>
      <w:lvlText w:val=""/>
      <w:lvlJc w:val="left"/>
      <w:pPr>
        <w:ind w:left="7047" w:hanging="360"/>
      </w:pPr>
      <w:rPr>
        <w:rFonts w:ascii="Wingdings" w:hAnsi="Wingdings" w:hint="default"/>
      </w:rPr>
    </w:lvl>
  </w:abstractNum>
  <w:abstractNum w:abstractNumId="13">
    <w:nsid w:val="10E270A3"/>
    <w:multiLevelType w:val="hybridMultilevel"/>
    <w:tmpl w:val="FF22419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nsid w:val="11702193"/>
    <w:multiLevelType w:val="hybridMultilevel"/>
    <w:tmpl w:val="E68AD094"/>
    <w:lvl w:ilvl="0" w:tplc="E74E27E6">
      <w:start w:val="4"/>
      <w:numFmt w:val="bullet"/>
      <w:lvlText w:val="-"/>
      <w:lvlJc w:val="left"/>
      <w:pPr>
        <w:ind w:left="720" w:hanging="360"/>
      </w:pPr>
      <w:rPr>
        <w:rFonts w:ascii="Calibri" w:eastAsiaTheme="minorEastAsia" w:hAnsi="Calibri" w:cstheme="minorBidi" w:hint="default"/>
      </w:rPr>
    </w:lvl>
    <w:lvl w:ilvl="1" w:tplc="855A781E">
      <w:start w:val="1"/>
      <w:numFmt w:val="bullet"/>
      <w:lvlText w:val="o"/>
      <w:lvlJc w:val="left"/>
      <w:pPr>
        <w:ind w:left="1440" w:hanging="360"/>
      </w:pPr>
      <w:rPr>
        <w:rFonts w:ascii="Courier New" w:hAnsi="Courier New" w:hint="default"/>
      </w:rPr>
    </w:lvl>
    <w:lvl w:ilvl="2" w:tplc="97CC001C">
      <w:start w:val="1"/>
      <w:numFmt w:val="bullet"/>
      <w:lvlText w:val=""/>
      <w:lvlJc w:val="left"/>
      <w:pPr>
        <w:ind w:left="2160" w:hanging="360"/>
      </w:pPr>
      <w:rPr>
        <w:rFonts w:ascii="Wingdings" w:hAnsi="Wingdings" w:hint="default"/>
      </w:rPr>
    </w:lvl>
    <w:lvl w:ilvl="3" w:tplc="95D4748C">
      <w:start w:val="1"/>
      <w:numFmt w:val="bullet"/>
      <w:lvlText w:val=""/>
      <w:lvlJc w:val="left"/>
      <w:pPr>
        <w:ind w:left="2880" w:hanging="360"/>
      </w:pPr>
      <w:rPr>
        <w:rFonts w:ascii="Symbol" w:hAnsi="Symbol" w:hint="default"/>
      </w:rPr>
    </w:lvl>
    <w:lvl w:ilvl="4" w:tplc="95C63FCC">
      <w:start w:val="1"/>
      <w:numFmt w:val="bullet"/>
      <w:lvlText w:val="o"/>
      <w:lvlJc w:val="left"/>
      <w:pPr>
        <w:ind w:left="3600" w:hanging="360"/>
      </w:pPr>
      <w:rPr>
        <w:rFonts w:ascii="Courier New" w:hAnsi="Courier New" w:hint="default"/>
      </w:rPr>
    </w:lvl>
    <w:lvl w:ilvl="5" w:tplc="EF622514">
      <w:start w:val="1"/>
      <w:numFmt w:val="bullet"/>
      <w:lvlText w:val=""/>
      <w:lvlJc w:val="left"/>
      <w:pPr>
        <w:ind w:left="4320" w:hanging="360"/>
      </w:pPr>
      <w:rPr>
        <w:rFonts w:ascii="Wingdings" w:hAnsi="Wingdings" w:hint="default"/>
      </w:rPr>
    </w:lvl>
    <w:lvl w:ilvl="6" w:tplc="C444D8CC">
      <w:start w:val="1"/>
      <w:numFmt w:val="bullet"/>
      <w:lvlText w:val=""/>
      <w:lvlJc w:val="left"/>
      <w:pPr>
        <w:ind w:left="5040" w:hanging="360"/>
      </w:pPr>
      <w:rPr>
        <w:rFonts w:ascii="Symbol" w:hAnsi="Symbol" w:hint="default"/>
      </w:rPr>
    </w:lvl>
    <w:lvl w:ilvl="7" w:tplc="CCEAC6D2">
      <w:start w:val="1"/>
      <w:numFmt w:val="bullet"/>
      <w:lvlText w:val="o"/>
      <w:lvlJc w:val="left"/>
      <w:pPr>
        <w:ind w:left="5760" w:hanging="360"/>
      </w:pPr>
      <w:rPr>
        <w:rFonts w:ascii="Courier New" w:hAnsi="Courier New" w:hint="default"/>
      </w:rPr>
    </w:lvl>
    <w:lvl w:ilvl="8" w:tplc="E4D683C8">
      <w:start w:val="1"/>
      <w:numFmt w:val="bullet"/>
      <w:lvlText w:val=""/>
      <w:lvlJc w:val="left"/>
      <w:pPr>
        <w:ind w:left="6480" w:hanging="360"/>
      </w:pPr>
      <w:rPr>
        <w:rFonts w:ascii="Wingdings" w:hAnsi="Wingdings" w:hint="default"/>
      </w:rPr>
    </w:lvl>
  </w:abstractNum>
  <w:abstractNum w:abstractNumId="15">
    <w:nsid w:val="11E8208C"/>
    <w:multiLevelType w:val="hybridMultilevel"/>
    <w:tmpl w:val="C97AD834"/>
    <w:lvl w:ilvl="0" w:tplc="A9165C8A">
      <w:start w:val="1"/>
      <w:numFmt w:val="bullet"/>
      <w:lvlText w:val="-"/>
      <w:lvlJc w:val="left"/>
      <w:pPr>
        <w:ind w:left="720" w:hanging="360"/>
      </w:pPr>
      <w:rPr>
        <w:rFonts w:ascii="Calibri" w:hAnsi="Calibri"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nsid w:val="13531536"/>
    <w:multiLevelType w:val="hybridMultilevel"/>
    <w:tmpl w:val="DAF0D8A4"/>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nsid w:val="14A0048B"/>
    <w:multiLevelType w:val="hybridMultilevel"/>
    <w:tmpl w:val="D07CBD14"/>
    <w:lvl w:ilvl="0" w:tplc="18F010F0">
      <w:start w:val="1"/>
      <w:numFmt w:val="bullet"/>
      <w:lvlText w:val=""/>
      <w:lvlJc w:val="left"/>
      <w:pPr>
        <w:ind w:left="720" w:hanging="360"/>
      </w:pPr>
      <w:rPr>
        <w:rFonts w:ascii="Symbol" w:hAnsi="Symbol" w:hint="default"/>
      </w:rPr>
    </w:lvl>
    <w:lvl w:ilvl="1" w:tplc="2ADCAF74">
      <w:start w:val="1"/>
      <w:numFmt w:val="bullet"/>
      <w:lvlText w:val="o"/>
      <w:lvlJc w:val="left"/>
      <w:pPr>
        <w:ind w:left="1440" w:hanging="360"/>
      </w:pPr>
      <w:rPr>
        <w:rFonts w:ascii="Courier New" w:hAnsi="Courier New" w:hint="default"/>
      </w:rPr>
    </w:lvl>
    <w:lvl w:ilvl="2" w:tplc="7486A70A">
      <w:start w:val="1"/>
      <w:numFmt w:val="bullet"/>
      <w:lvlText w:val=""/>
      <w:lvlJc w:val="left"/>
      <w:pPr>
        <w:ind w:left="2160" w:hanging="360"/>
      </w:pPr>
      <w:rPr>
        <w:rFonts w:ascii="Wingdings" w:hAnsi="Wingdings" w:hint="default"/>
      </w:rPr>
    </w:lvl>
    <w:lvl w:ilvl="3" w:tplc="9B20B312">
      <w:start w:val="1"/>
      <w:numFmt w:val="bullet"/>
      <w:lvlText w:val=""/>
      <w:lvlJc w:val="left"/>
      <w:pPr>
        <w:ind w:left="2880" w:hanging="360"/>
      </w:pPr>
      <w:rPr>
        <w:rFonts w:ascii="Symbol" w:hAnsi="Symbol" w:hint="default"/>
      </w:rPr>
    </w:lvl>
    <w:lvl w:ilvl="4" w:tplc="5440A93A">
      <w:start w:val="1"/>
      <w:numFmt w:val="bullet"/>
      <w:lvlText w:val="o"/>
      <w:lvlJc w:val="left"/>
      <w:pPr>
        <w:ind w:left="3600" w:hanging="360"/>
      </w:pPr>
      <w:rPr>
        <w:rFonts w:ascii="Courier New" w:hAnsi="Courier New" w:hint="default"/>
      </w:rPr>
    </w:lvl>
    <w:lvl w:ilvl="5" w:tplc="9A4A9DBE">
      <w:start w:val="1"/>
      <w:numFmt w:val="bullet"/>
      <w:lvlText w:val=""/>
      <w:lvlJc w:val="left"/>
      <w:pPr>
        <w:ind w:left="4320" w:hanging="360"/>
      </w:pPr>
      <w:rPr>
        <w:rFonts w:ascii="Wingdings" w:hAnsi="Wingdings" w:hint="default"/>
      </w:rPr>
    </w:lvl>
    <w:lvl w:ilvl="6" w:tplc="F1F62D96">
      <w:start w:val="1"/>
      <w:numFmt w:val="bullet"/>
      <w:lvlText w:val=""/>
      <w:lvlJc w:val="left"/>
      <w:pPr>
        <w:ind w:left="5040" w:hanging="360"/>
      </w:pPr>
      <w:rPr>
        <w:rFonts w:ascii="Symbol" w:hAnsi="Symbol" w:hint="default"/>
      </w:rPr>
    </w:lvl>
    <w:lvl w:ilvl="7" w:tplc="616E30EC">
      <w:start w:val="1"/>
      <w:numFmt w:val="bullet"/>
      <w:lvlText w:val="o"/>
      <w:lvlJc w:val="left"/>
      <w:pPr>
        <w:ind w:left="5760" w:hanging="360"/>
      </w:pPr>
      <w:rPr>
        <w:rFonts w:ascii="Courier New" w:hAnsi="Courier New" w:hint="default"/>
      </w:rPr>
    </w:lvl>
    <w:lvl w:ilvl="8" w:tplc="3E98BED0">
      <w:start w:val="1"/>
      <w:numFmt w:val="bullet"/>
      <w:lvlText w:val=""/>
      <w:lvlJc w:val="left"/>
      <w:pPr>
        <w:ind w:left="6480" w:hanging="360"/>
      </w:pPr>
      <w:rPr>
        <w:rFonts w:ascii="Wingdings" w:hAnsi="Wingdings" w:hint="default"/>
      </w:rPr>
    </w:lvl>
  </w:abstractNum>
  <w:abstractNum w:abstractNumId="18">
    <w:nsid w:val="1831456A"/>
    <w:multiLevelType w:val="hybridMultilevel"/>
    <w:tmpl w:val="83C48554"/>
    <w:lvl w:ilvl="0" w:tplc="E74E27E6">
      <w:start w:val="4"/>
      <w:numFmt w:val="bullet"/>
      <w:lvlText w:val="-"/>
      <w:lvlJc w:val="left"/>
      <w:pPr>
        <w:ind w:left="1429" w:hanging="360"/>
      </w:pPr>
      <w:rPr>
        <w:rFonts w:ascii="Calibri" w:eastAsiaTheme="minorEastAsia" w:hAnsi="Calibri" w:cstheme="minorBidi" w:hint="default"/>
      </w:rPr>
    </w:lvl>
    <w:lvl w:ilvl="1" w:tplc="838C11E2">
      <w:start w:val="1"/>
      <w:numFmt w:val="bullet"/>
      <w:lvlText w:val="o"/>
      <w:lvlJc w:val="left"/>
      <w:pPr>
        <w:ind w:left="1440" w:hanging="360"/>
      </w:pPr>
      <w:rPr>
        <w:rFonts w:ascii="Courier New" w:hAnsi="Courier New" w:hint="default"/>
      </w:rPr>
    </w:lvl>
    <w:lvl w:ilvl="2" w:tplc="8738FF34">
      <w:start w:val="1"/>
      <w:numFmt w:val="bullet"/>
      <w:lvlText w:val=""/>
      <w:lvlJc w:val="left"/>
      <w:pPr>
        <w:ind w:left="2160" w:hanging="360"/>
      </w:pPr>
      <w:rPr>
        <w:rFonts w:ascii="Wingdings" w:hAnsi="Wingdings" w:hint="default"/>
      </w:rPr>
    </w:lvl>
    <w:lvl w:ilvl="3" w:tplc="0B74C35E">
      <w:start w:val="1"/>
      <w:numFmt w:val="bullet"/>
      <w:lvlText w:val=""/>
      <w:lvlJc w:val="left"/>
      <w:pPr>
        <w:ind w:left="2880" w:hanging="360"/>
      </w:pPr>
      <w:rPr>
        <w:rFonts w:ascii="Symbol" w:hAnsi="Symbol" w:hint="default"/>
      </w:rPr>
    </w:lvl>
    <w:lvl w:ilvl="4" w:tplc="7AA479AE">
      <w:start w:val="1"/>
      <w:numFmt w:val="bullet"/>
      <w:lvlText w:val="o"/>
      <w:lvlJc w:val="left"/>
      <w:pPr>
        <w:ind w:left="3600" w:hanging="360"/>
      </w:pPr>
      <w:rPr>
        <w:rFonts w:ascii="Courier New" w:hAnsi="Courier New" w:hint="default"/>
      </w:rPr>
    </w:lvl>
    <w:lvl w:ilvl="5" w:tplc="95BCE108">
      <w:start w:val="1"/>
      <w:numFmt w:val="bullet"/>
      <w:lvlText w:val=""/>
      <w:lvlJc w:val="left"/>
      <w:pPr>
        <w:ind w:left="4320" w:hanging="360"/>
      </w:pPr>
      <w:rPr>
        <w:rFonts w:ascii="Wingdings" w:hAnsi="Wingdings" w:hint="default"/>
      </w:rPr>
    </w:lvl>
    <w:lvl w:ilvl="6" w:tplc="72409E70">
      <w:start w:val="1"/>
      <w:numFmt w:val="bullet"/>
      <w:lvlText w:val=""/>
      <w:lvlJc w:val="left"/>
      <w:pPr>
        <w:ind w:left="5040" w:hanging="360"/>
      </w:pPr>
      <w:rPr>
        <w:rFonts w:ascii="Symbol" w:hAnsi="Symbol" w:hint="default"/>
      </w:rPr>
    </w:lvl>
    <w:lvl w:ilvl="7" w:tplc="D292DE90">
      <w:start w:val="1"/>
      <w:numFmt w:val="bullet"/>
      <w:lvlText w:val="o"/>
      <w:lvlJc w:val="left"/>
      <w:pPr>
        <w:ind w:left="5760" w:hanging="360"/>
      </w:pPr>
      <w:rPr>
        <w:rFonts w:ascii="Courier New" w:hAnsi="Courier New" w:hint="default"/>
      </w:rPr>
    </w:lvl>
    <w:lvl w:ilvl="8" w:tplc="F524FBEE">
      <w:start w:val="1"/>
      <w:numFmt w:val="bullet"/>
      <w:lvlText w:val=""/>
      <w:lvlJc w:val="left"/>
      <w:pPr>
        <w:ind w:left="6480" w:hanging="360"/>
      </w:pPr>
      <w:rPr>
        <w:rFonts w:ascii="Wingdings" w:hAnsi="Wingdings" w:hint="default"/>
      </w:rPr>
    </w:lvl>
  </w:abstractNum>
  <w:abstractNum w:abstractNumId="19">
    <w:nsid w:val="18D1489E"/>
    <w:multiLevelType w:val="hybridMultilevel"/>
    <w:tmpl w:val="474CADD2"/>
    <w:lvl w:ilvl="0" w:tplc="DFA8EE12">
      <w:start w:val="1"/>
      <w:numFmt w:val="bullet"/>
      <w:lvlText w:val=""/>
      <w:lvlJc w:val="left"/>
      <w:pPr>
        <w:ind w:left="720" w:hanging="360"/>
      </w:pPr>
      <w:rPr>
        <w:rFonts w:ascii="Symbol" w:hAnsi="Symbol" w:hint="default"/>
      </w:rPr>
    </w:lvl>
    <w:lvl w:ilvl="1" w:tplc="040C0001">
      <w:start w:val="1"/>
      <w:numFmt w:val="bullet"/>
      <w:lvlText w:val=""/>
      <w:lvlJc w:val="left"/>
      <w:pPr>
        <w:ind w:left="1080" w:hanging="360"/>
      </w:pPr>
      <w:rPr>
        <w:rFonts w:ascii="Symbol" w:hAnsi="Symbol" w:hint="default"/>
      </w:rPr>
    </w:lvl>
    <w:lvl w:ilvl="2" w:tplc="DEA05742">
      <w:start w:val="1"/>
      <w:numFmt w:val="bullet"/>
      <w:lvlText w:val=""/>
      <w:lvlJc w:val="left"/>
      <w:pPr>
        <w:ind w:left="2160" w:hanging="360"/>
      </w:pPr>
      <w:rPr>
        <w:rFonts w:ascii="Wingdings" w:hAnsi="Wingdings" w:hint="default"/>
      </w:rPr>
    </w:lvl>
    <w:lvl w:ilvl="3" w:tplc="16FE7DA4">
      <w:start w:val="1"/>
      <w:numFmt w:val="bullet"/>
      <w:lvlText w:val=""/>
      <w:lvlJc w:val="left"/>
      <w:pPr>
        <w:ind w:left="2880" w:hanging="360"/>
      </w:pPr>
      <w:rPr>
        <w:rFonts w:ascii="Symbol" w:hAnsi="Symbol" w:hint="default"/>
      </w:rPr>
    </w:lvl>
    <w:lvl w:ilvl="4" w:tplc="A0044E1C">
      <w:start w:val="1"/>
      <w:numFmt w:val="bullet"/>
      <w:lvlText w:val="o"/>
      <w:lvlJc w:val="left"/>
      <w:pPr>
        <w:ind w:left="3600" w:hanging="360"/>
      </w:pPr>
      <w:rPr>
        <w:rFonts w:ascii="Courier New" w:hAnsi="Courier New" w:hint="default"/>
      </w:rPr>
    </w:lvl>
    <w:lvl w:ilvl="5" w:tplc="05B8CC84">
      <w:start w:val="1"/>
      <w:numFmt w:val="bullet"/>
      <w:lvlText w:val=""/>
      <w:lvlJc w:val="left"/>
      <w:pPr>
        <w:ind w:left="4320" w:hanging="360"/>
      </w:pPr>
      <w:rPr>
        <w:rFonts w:ascii="Wingdings" w:hAnsi="Wingdings" w:hint="default"/>
      </w:rPr>
    </w:lvl>
    <w:lvl w:ilvl="6" w:tplc="A0266FC0">
      <w:start w:val="1"/>
      <w:numFmt w:val="bullet"/>
      <w:lvlText w:val=""/>
      <w:lvlJc w:val="left"/>
      <w:pPr>
        <w:ind w:left="5040" w:hanging="360"/>
      </w:pPr>
      <w:rPr>
        <w:rFonts w:ascii="Symbol" w:hAnsi="Symbol" w:hint="default"/>
      </w:rPr>
    </w:lvl>
    <w:lvl w:ilvl="7" w:tplc="7F6A8F46">
      <w:start w:val="1"/>
      <w:numFmt w:val="bullet"/>
      <w:lvlText w:val="o"/>
      <w:lvlJc w:val="left"/>
      <w:pPr>
        <w:ind w:left="5760" w:hanging="360"/>
      </w:pPr>
      <w:rPr>
        <w:rFonts w:ascii="Courier New" w:hAnsi="Courier New" w:hint="default"/>
      </w:rPr>
    </w:lvl>
    <w:lvl w:ilvl="8" w:tplc="F886C928">
      <w:start w:val="1"/>
      <w:numFmt w:val="bullet"/>
      <w:lvlText w:val=""/>
      <w:lvlJc w:val="left"/>
      <w:pPr>
        <w:ind w:left="6480" w:hanging="360"/>
      </w:pPr>
      <w:rPr>
        <w:rFonts w:ascii="Wingdings" w:hAnsi="Wingdings" w:hint="default"/>
      </w:rPr>
    </w:lvl>
  </w:abstractNum>
  <w:abstractNum w:abstractNumId="20">
    <w:nsid w:val="19075BD4"/>
    <w:multiLevelType w:val="hybridMultilevel"/>
    <w:tmpl w:val="51BE521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
    <w:nsid w:val="19795F2D"/>
    <w:multiLevelType w:val="hybridMultilevel"/>
    <w:tmpl w:val="10B08710"/>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
    <w:nsid w:val="1ACE7D43"/>
    <w:multiLevelType w:val="hybridMultilevel"/>
    <w:tmpl w:val="68A4D8F4"/>
    <w:lvl w:ilvl="0" w:tplc="E74E27E6">
      <w:start w:val="4"/>
      <w:numFmt w:val="bullet"/>
      <w:lvlText w:val="-"/>
      <w:lvlJc w:val="left"/>
      <w:pPr>
        <w:ind w:left="720" w:hanging="360"/>
      </w:pPr>
      <w:rPr>
        <w:rFonts w:ascii="Calibri" w:eastAsiaTheme="minorEastAsia" w:hAnsi="Calibri" w:cstheme="minorBidi"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3">
    <w:nsid w:val="1E8C0821"/>
    <w:multiLevelType w:val="hybridMultilevel"/>
    <w:tmpl w:val="392A4D06"/>
    <w:lvl w:ilvl="0" w:tplc="E74E27E6">
      <w:start w:val="4"/>
      <w:numFmt w:val="bullet"/>
      <w:lvlText w:val="-"/>
      <w:lvlJc w:val="left"/>
      <w:pPr>
        <w:ind w:left="720" w:hanging="360"/>
      </w:pPr>
      <w:rPr>
        <w:rFonts w:ascii="Calibri" w:eastAsiaTheme="minorEastAsia" w:hAnsi="Calibri" w:cstheme="minorBidi"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4">
    <w:nsid w:val="1F0D6D4D"/>
    <w:multiLevelType w:val="hybridMultilevel"/>
    <w:tmpl w:val="DCCC3B8C"/>
    <w:lvl w:ilvl="0" w:tplc="0EA6688A">
      <w:start w:val="1"/>
      <w:numFmt w:val="bullet"/>
      <w:lvlText w:val=""/>
      <w:lvlJc w:val="left"/>
      <w:pPr>
        <w:tabs>
          <w:tab w:val="num" w:pos="1440"/>
        </w:tabs>
        <w:ind w:left="1440" w:hanging="360"/>
      </w:pPr>
      <w:rPr>
        <w:rFonts w:ascii="Symbol" w:hAnsi="Symbol" w:hint="default"/>
        <w:sz w:val="16"/>
      </w:rPr>
    </w:lvl>
    <w:lvl w:ilvl="1" w:tplc="040C0003">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25">
    <w:nsid w:val="203F57B0"/>
    <w:multiLevelType w:val="hybridMultilevel"/>
    <w:tmpl w:val="BC9AF94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6">
    <w:nsid w:val="2106216D"/>
    <w:multiLevelType w:val="hybridMultilevel"/>
    <w:tmpl w:val="4B7898EA"/>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7">
    <w:nsid w:val="24730AC1"/>
    <w:multiLevelType w:val="hybridMultilevel"/>
    <w:tmpl w:val="73ACF798"/>
    <w:lvl w:ilvl="0" w:tplc="2354A0C0">
      <w:start w:val="1"/>
      <w:numFmt w:val="bullet"/>
      <w:lvlText w:val=""/>
      <w:lvlJc w:val="left"/>
      <w:pPr>
        <w:ind w:left="720" w:hanging="360"/>
      </w:pPr>
      <w:rPr>
        <w:rFonts w:ascii="Symbol" w:hAnsi="Symbol" w:hint="default"/>
      </w:rPr>
    </w:lvl>
    <w:lvl w:ilvl="1" w:tplc="7BBC5BC2">
      <w:start w:val="1"/>
      <w:numFmt w:val="bullet"/>
      <w:lvlText w:val="o"/>
      <w:lvlJc w:val="left"/>
      <w:pPr>
        <w:ind w:left="1440" w:hanging="360"/>
      </w:pPr>
      <w:rPr>
        <w:rFonts w:ascii="Courier New" w:hAnsi="Courier New" w:hint="default"/>
      </w:rPr>
    </w:lvl>
    <w:lvl w:ilvl="2" w:tplc="B1AEE7D2">
      <w:start w:val="1"/>
      <w:numFmt w:val="bullet"/>
      <w:lvlText w:val=""/>
      <w:lvlJc w:val="left"/>
      <w:pPr>
        <w:ind w:left="2160" w:hanging="360"/>
      </w:pPr>
      <w:rPr>
        <w:rFonts w:ascii="Wingdings" w:hAnsi="Wingdings" w:hint="default"/>
      </w:rPr>
    </w:lvl>
    <w:lvl w:ilvl="3" w:tplc="E61ECF34">
      <w:start w:val="1"/>
      <w:numFmt w:val="bullet"/>
      <w:lvlText w:val=""/>
      <w:lvlJc w:val="left"/>
      <w:pPr>
        <w:ind w:left="2880" w:hanging="360"/>
      </w:pPr>
      <w:rPr>
        <w:rFonts w:ascii="Symbol" w:hAnsi="Symbol" w:hint="default"/>
      </w:rPr>
    </w:lvl>
    <w:lvl w:ilvl="4" w:tplc="9A509FDC">
      <w:start w:val="1"/>
      <w:numFmt w:val="bullet"/>
      <w:lvlText w:val="o"/>
      <w:lvlJc w:val="left"/>
      <w:pPr>
        <w:ind w:left="3600" w:hanging="360"/>
      </w:pPr>
      <w:rPr>
        <w:rFonts w:ascii="Courier New" w:hAnsi="Courier New" w:hint="default"/>
      </w:rPr>
    </w:lvl>
    <w:lvl w:ilvl="5" w:tplc="3D228C1C">
      <w:start w:val="1"/>
      <w:numFmt w:val="bullet"/>
      <w:lvlText w:val=""/>
      <w:lvlJc w:val="left"/>
      <w:pPr>
        <w:ind w:left="4320" w:hanging="360"/>
      </w:pPr>
      <w:rPr>
        <w:rFonts w:ascii="Wingdings" w:hAnsi="Wingdings" w:hint="default"/>
      </w:rPr>
    </w:lvl>
    <w:lvl w:ilvl="6" w:tplc="7DF21590">
      <w:start w:val="1"/>
      <w:numFmt w:val="bullet"/>
      <w:lvlText w:val=""/>
      <w:lvlJc w:val="left"/>
      <w:pPr>
        <w:ind w:left="5040" w:hanging="360"/>
      </w:pPr>
      <w:rPr>
        <w:rFonts w:ascii="Symbol" w:hAnsi="Symbol" w:hint="default"/>
      </w:rPr>
    </w:lvl>
    <w:lvl w:ilvl="7" w:tplc="7918FC9C">
      <w:start w:val="1"/>
      <w:numFmt w:val="bullet"/>
      <w:lvlText w:val="o"/>
      <w:lvlJc w:val="left"/>
      <w:pPr>
        <w:ind w:left="5760" w:hanging="360"/>
      </w:pPr>
      <w:rPr>
        <w:rFonts w:ascii="Courier New" w:hAnsi="Courier New" w:hint="default"/>
      </w:rPr>
    </w:lvl>
    <w:lvl w:ilvl="8" w:tplc="B208867A">
      <w:start w:val="1"/>
      <w:numFmt w:val="bullet"/>
      <w:lvlText w:val=""/>
      <w:lvlJc w:val="left"/>
      <w:pPr>
        <w:ind w:left="6480" w:hanging="360"/>
      </w:pPr>
      <w:rPr>
        <w:rFonts w:ascii="Wingdings" w:hAnsi="Wingdings" w:hint="default"/>
      </w:rPr>
    </w:lvl>
  </w:abstractNum>
  <w:abstractNum w:abstractNumId="28">
    <w:nsid w:val="290A2CF8"/>
    <w:multiLevelType w:val="hybridMultilevel"/>
    <w:tmpl w:val="05222D26"/>
    <w:lvl w:ilvl="0" w:tplc="FFFFFFFF">
      <w:start w:val="1"/>
      <w:numFmt w:val="bullet"/>
      <w:lvlText w:val="-"/>
      <w:lvlJc w:val="left"/>
      <w:pPr>
        <w:ind w:left="720" w:hanging="360"/>
      </w:pPr>
      <w:rPr>
        <w:rFonts w:ascii="Calibri" w:hAnsi="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9">
    <w:nsid w:val="2A280435"/>
    <w:multiLevelType w:val="hybridMultilevel"/>
    <w:tmpl w:val="0C9AB350"/>
    <w:lvl w:ilvl="0" w:tplc="A9165C8A">
      <w:start w:val="1"/>
      <w:numFmt w:val="bullet"/>
      <w:lvlText w:val="-"/>
      <w:lvlJc w:val="left"/>
      <w:pPr>
        <w:ind w:left="720" w:hanging="360"/>
      </w:pPr>
      <w:rPr>
        <w:rFonts w:ascii="Calibri" w:hAnsi="Calibri"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0">
    <w:nsid w:val="2D4F7E64"/>
    <w:multiLevelType w:val="hybridMultilevel"/>
    <w:tmpl w:val="385C6B08"/>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1">
    <w:nsid w:val="34073AD6"/>
    <w:multiLevelType w:val="hybridMultilevel"/>
    <w:tmpl w:val="AEB62AB0"/>
    <w:lvl w:ilvl="0" w:tplc="E32EE792">
      <w:start w:val="2"/>
      <w:numFmt w:val="bullet"/>
      <w:lvlText w:val="-"/>
      <w:lvlJc w:val="left"/>
      <w:pPr>
        <w:ind w:left="1068"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2">
    <w:nsid w:val="36EB09AD"/>
    <w:multiLevelType w:val="hybridMultilevel"/>
    <w:tmpl w:val="D39A4790"/>
    <w:lvl w:ilvl="0" w:tplc="A9165C8A">
      <w:start w:val="1"/>
      <w:numFmt w:val="bullet"/>
      <w:lvlText w:val="-"/>
      <w:lvlJc w:val="left"/>
      <w:pPr>
        <w:ind w:left="720" w:hanging="360"/>
      </w:pPr>
      <w:rPr>
        <w:rFonts w:ascii="Calibri" w:hAnsi="Calibri"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3">
    <w:nsid w:val="36FF1EA6"/>
    <w:multiLevelType w:val="hybridMultilevel"/>
    <w:tmpl w:val="BDF04DF6"/>
    <w:lvl w:ilvl="0" w:tplc="E74E27E6">
      <w:start w:val="4"/>
      <w:numFmt w:val="bullet"/>
      <w:lvlText w:val="-"/>
      <w:lvlJc w:val="left"/>
      <w:pPr>
        <w:ind w:left="720" w:hanging="360"/>
      </w:pPr>
      <w:rPr>
        <w:rFonts w:ascii="Calibri" w:eastAsiaTheme="minorEastAsia" w:hAnsi="Calibri" w:cstheme="minorBidi"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4">
    <w:nsid w:val="375C7997"/>
    <w:multiLevelType w:val="hybridMultilevel"/>
    <w:tmpl w:val="CBBA32B0"/>
    <w:lvl w:ilvl="0" w:tplc="E74E27E6">
      <w:start w:val="4"/>
      <w:numFmt w:val="bullet"/>
      <w:lvlText w:val="-"/>
      <w:lvlJc w:val="left"/>
      <w:pPr>
        <w:ind w:left="720" w:hanging="360"/>
      </w:pPr>
      <w:rPr>
        <w:rFonts w:ascii="Calibri" w:eastAsiaTheme="minorEastAsia" w:hAnsi="Calibri" w:cstheme="minorBidi" w:hint="default"/>
      </w:rPr>
    </w:lvl>
    <w:lvl w:ilvl="1" w:tplc="040C0003" w:tentative="1">
      <w:start w:val="1"/>
      <w:numFmt w:val="bullet"/>
      <w:lvlText w:val="o"/>
      <w:lvlJc w:val="left"/>
      <w:pPr>
        <w:ind w:left="2007" w:hanging="360"/>
      </w:pPr>
      <w:rPr>
        <w:rFonts w:ascii="Courier New" w:hAnsi="Courier New" w:hint="default"/>
      </w:rPr>
    </w:lvl>
    <w:lvl w:ilvl="2" w:tplc="040C0005" w:tentative="1">
      <w:start w:val="1"/>
      <w:numFmt w:val="bullet"/>
      <w:lvlText w:val=""/>
      <w:lvlJc w:val="left"/>
      <w:pPr>
        <w:ind w:left="2727" w:hanging="360"/>
      </w:pPr>
      <w:rPr>
        <w:rFonts w:ascii="Wingdings" w:hAnsi="Wingdings" w:hint="default"/>
      </w:rPr>
    </w:lvl>
    <w:lvl w:ilvl="3" w:tplc="040C0001" w:tentative="1">
      <w:start w:val="1"/>
      <w:numFmt w:val="bullet"/>
      <w:lvlText w:val=""/>
      <w:lvlJc w:val="left"/>
      <w:pPr>
        <w:ind w:left="3447" w:hanging="360"/>
      </w:pPr>
      <w:rPr>
        <w:rFonts w:ascii="Symbol" w:hAnsi="Symbol" w:hint="default"/>
      </w:rPr>
    </w:lvl>
    <w:lvl w:ilvl="4" w:tplc="040C0003" w:tentative="1">
      <w:start w:val="1"/>
      <w:numFmt w:val="bullet"/>
      <w:lvlText w:val="o"/>
      <w:lvlJc w:val="left"/>
      <w:pPr>
        <w:ind w:left="4167" w:hanging="360"/>
      </w:pPr>
      <w:rPr>
        <w:rFonts w:ascii="Courier New" w:hAnsi="Courier New" w:hint="default"/>
      </w:rPr>
    </w:lvl>
    <w:lvl w:ilvl="5" w:tplc="040C0005" w:tentative="1">
      <w:start w:val="1"/>
      <w:numFmt w:val="bullet"/>
      <w:lvlText w:val=""/>
      <w:lvlJc w:val="left"/>
      <w:pPr>
        <w:ind w:left="4887" w:hanging="360"/>
      </w:pPr>
      <w:rPr>
        <w:rFonts w:ascii="Wingdings" w:hAnsi="Wingdings" w:hint="default"/>
      </w:rPr>
    </w:lvl>
    <w:lvl w:ilvl="6" w:tplc="040C0001" w:tentative="1">
      <w:start w:val="1"/>
      <w:numFmt w:val="bullet"/>
      <w:lvlText w:val=""/>
      <w:lvlJc w:val="left"/>
      <w:pPr>
        <w:ind w:left="5607" w:hanging="360"/>
      </w:pPr>
      <w:rPr>
        <w:rFonts w:ascii="Symbol" w:hAnsi="Symbol" w:hint="default"/>
      </w:rPr>
    </w:lvl>
    <w:lvl w:ilvl="7" w:tplc="040C0003" w:tentative="1">
      <w:start w:val="1"/>
      <w:numFmt w:val="bullet"/>
      <w:lvlText w:val="o"/>
      <w:lvlJc w:val="left"/>
      <w:pPr>
        <w:ind w:left="6327" w:hanging="360"/>
      </w:pPr>
      <w:rPr>
        <w:rFonts w:ascii="Courier New" w:hAnsi="Courier New" w:hint="default"/>
      </w:rPr>
    </w:lvl>
    <w:lvl w:ilvl="8" w:tplc="040C0005" w:tentative="1">
      <w:start w:val="1"/>
      <w:numFmt w:val="bullet"/>
      <w:lvlText w:val=""/>
      <w:lvlJc w:val="left"/>
      <w:pPr>
        <w:ind w:left="7047" w:hanging="360"/>
      </w:pPr>
      <w:rPr>
        <w:rFonts w:ascii="Wingdings" w:hAnsi="Wingdings" w:hint="default"/>
      </w:rPr>
    </w:lvl>
  </w:abstractNum>
  <w:abstractNum w:abstractNumId="35">
    <w:nsid w:val="39B932DE"/>
    <w:multiLevelType w:val="hybridMultilevel"/>
    <w:tmpl w:val="65EA4AEC"/>
    <w:lvl w:ilvl="0" w:tplc="2E1EB822">
      <w:start w:val="1"/>
      <w:numFmt w:val="bullet"/>
      <w:lvlText w:val="-"/>
      <w:lvlJc w:val="left"/>
      <w:pPr>
        <w:ind w:left="720" w:hanging="360"/>
      </w:pPr>
      <w:rPr>
        <w:rFonts w:ascii="Calibri" w:eastAsiaTheme="minorEastAsia" w:hAnsi="Calibri" w:cstheme="minorBidi"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6">
    <w:nsid w:val="3A1F7C1B"/>
    <w:multiLevelType w:val="hybridMultilevel"/>
    <w:tmpl w:val="C89A3C0A"/>
    <w:lvl w:ilvl="0" w:tplc="2E1EB822">
      <w:start w:val="1"/>
      <w:numFmt w:val="bullet"/>
      <w:lvlText w:val="-"/>
      <w:lvlJc w:val="left"/>
      <w:pPr>
        <w:ind w:left="720" w:hanging="360"/>
      </w:pPr>
      <w:rPr>
        <w:rFonts w:ascii="Calibri" w:eastAsiaTheme="minorEastAsia" w:hAnsi="Calibri" w:cstheme="minorBidi"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7">
    <w:nsid w:val="3A3F3BE3"/>
    <w:multiLevelType w:val="hybridMultilevel"/>
    <w:tmpl w:val="49CCA568"/>
    <w:lvl w:ilvl="0" w:tplc="0D7CAD76">
      <w:start w:val="1"/>
      <w:numFmt w:val="decimal"/>
      <w:lvlText w:val="%1."/>
      <w:lvlJc w:val="left"/>
      <w:pPr>
        <w:ind w:left="720" w:hanging="360"/>
      </w:pPr>
    </w:lvl>
    <w:lvl w:ilvl="1" w:tplc="F4CCE45A">
      <w:start w:val="1"/>
      <w:numFmt w:val="lowerLetter"/>
      <w:lvlText w:val="%2."/>
      <w:lvlJc w:val="left"/>
      <w:pPr>
        <w:ind w:left="1440" w:hanging="360"/>
      </w:pPr>
    </w:lvl>
    <w:lvl w:ilvl="2" w:tplc="0D0E1A5E">
      <w:start w:val="1"/>
      <w:numFmt w:val="lowerRoman"/>
      <w:lvlText w:val="%3."/>
      <w:lvlJc w:val="right"/>
      <w:pPr>
        <w:ind w:left="2160" w:hanging="180"/>
      </w:pPr>
    </w:lvl>
    <w:lvl w:ilvl="3" w:tplc="E2A8E8BC">
      <w:start w:val="1"/>
      <w:numFmt w:val="decimal"/>
      <w:lvlText w:val="%4."/>
      <w:lvlJc w:val="left"/>
      <w:pPr>
        <w:ind w:left="2880" w:hanging="360"/>
      </w:pPr>
    </w:lvl>
    <w:lvl w:ilvl="4" w:tplc="2B360630">
      <w:start w:val="1"/>
      <w:numFmt w:val="lowerLetter"/>
      <w:lvlText w:val="%5."/>
      <w:lvlJc w:val="left"/>
      <w:pPr>
        <w:ind w:left="3600" w:hanging="360"/>
      </w:pPr>
    </w:lvl>
    <w:lvl w:ilvl="5" w:tplc="9BA0F0D8">
      <w:start w:val="1"/>
      <w:numFmt w:val="lowerRoman"/>
      <w:lvlText w:val="%6."/>
      <w:lvlJc w:val="right"/>
      <w:pPr>
        <w:ind w:left="4320" w:hanging="180"/>
      </w:pPr>
    </w:lvl>
    <w:lvl w:ilvl="6" w:tplc="54EA08EC">
      <w:start w:val="1"/>
      <w:numFmt w:val="decimal"/>
      <w:lvlText w:val="%7."/>
      <w:lvlJc w:val="left"/>
      <w:pPr>
        <w:ind w:left="5040" w:hanging="360"/>
      </w:pPr>
    </w:lvl>
    <w:lvl w:ilvl="7" w:tplc="A0E616DA">
      <w:start w:val="1"/>
      <w:numFmt w:val="lowerLetter"/>
      <w:lvlText w:val="%8."/>
      <w:lvlJc w:val="left"/>
      <w:pPr>
        <w:ind w:left="5760" w:hanging="360"/>
      </w:pPr>
    </w:lvl>
    <w:lvl w:ilvl="8" w:tplc="167E3DD8">
      <w:start w:val="1"/>
      <w:numFmt w:val="lowerRoman"/>
      <w:lvlText w:val="%9."/>
      <w:lvlJc w:val="right"/>
      <w:pPr>
        <w:ind w:left="6480" w:hanging="180"/>
      </w:pPr>
    </w:lvl>
  </w:abstractNum>
  <w:abstractNum w:abstractNumId="38">
    <w:nsid w:val="3BFD2B8F"/>
    <w:multiLevelType w:val="hybridMultilevel"/>
    <w:tmpl w:val="5ECC2B3A"/>
    <w:lvl w:ilvl="0" w:tplc="E74E27E6">
      <w:start w:val="4"/>
      <w:numFmt w:val="bullet"/>
      <w:lvlText w:val="-"/>
      <w:lvlJc w:val="left"/>
      <w:pPr>
        <w:ind w:left="720" w:hanging="360"/>
      </w:pPr>
      <w:rPr>
        <w:rFonts w:ascii="Calibri" w:eastAsiaTheme="minorEastAsia" w:hAnsi="Calibri" w:cstheme="minorBidi" w:hint="default"/>
      </w:rPr>
    </w:lvl>
    <w:lvl w:ilvl="1" w:tplc="040C0003">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9">
    <w:nsid w:val="3CE84B43"/>
    <w:multiLevelType w:val="hybridMultilevel"/>
    <w:tmpl w:val="063A5410"/>
    <w:lvl w:ilvl="0" w:tplc="E74E27E6">
      <w:start w:val="4"/>
      <w:numFmt w:val="bullet"/>
      <w:lvlText w:val="-"/>
      <w:lvlJc w:val="left"/>
      <w:pPr>
        <w:ind w:left="720" w:hanging="360"/>
      </w:pPr>
      <w:rPr>
        <w:rFonts w:ascii="Calibri" w:eastAsiaTheme="minorEastAsia" w:hAnsi="Calibri" w:cstheme="minorBidi"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0">
    <w:nsid w:val="3D496A10"/>
    <w:multiLevelType w:val="hybridMultilevel"/>
    <w:tmpl w:val="8D9E6B36"/>
    <w:lvl w:ilvl="0" w:tplc="0EA6688A">
      <w:start w:val="1"/>
      <w:numFmt w:val="bullet"/>
      <w:lvlText w:val=""/>
      <w:lvlJc w:val="left"/>
      <w:pPr>
        <w:tabs>
          <w:tab w:val="num" w:pos="360"/>
        </w:tabs>
        <w:ind w:left="360" w:hanging="360"/>
      </w:pPr>
      <w:rPr>
        <w:rFonts w:ascii="Symbol" w:hAnsi="Symbol" w:hint="default"/>
        <w:sz w:val="16"/>
      </w:rPr>
    </w:lvl>
    <w:lvl w:ilvl="1" w:tplc="040C0003">
      <w:start w:val="1"/>
      <w:numFmt w:val="bullet"/>
      <w:lvlText w:val="o"/>
      <w:lvlJc w:val="left"/>
      <w:pPr>
        <w:tabs>
          <w:tab w:val="num" w:pos="360"/>
        </w:tabs>
        <w:ind w:left="360" w:hanging="360"/>
      </w:pPr>
      <w:rPr>
        <w:rFonts w:ascii="Courier New" w:hAnsi="Courier New" w:cs="Courier New" w:hint="default"/>
      </w:rPr>
    </w:lvl>
    <w:lvl w:ilvl="2" w:tplc="040C0005">
      <w:start w:val="1"/>
      <w:numFmt w:val="bullet"/>
      <w:lvlText w:val=""/>
      <w:lvlJc w:val="left"/>
      <w:pPr>
        <w:tabs>
          <w:tab w:val="num" w:pos="1080"/>
        </w:tabs>
        <w:ind w:left="1080" w:hanging="360"/>
      </w:pPr>
      <w:rPr>
        <w:rFonts w:ascii="Wingdings" w:hAnsi="Wingdings" w:hint="default"/>
      </w:rPr>
    </w:lvl>
    <w:lvl w:ilvl="3" w:tplc="040C0001">
      <w:start w:val="1"/>
      <w:numFmt w:val="bullet"/>
      <w:lvlText w:val=""/>
      <w:lvlJc w:val="left"/>
      <w:pPr>
        <w:tabs>
          <w:tab w:val="num" w:pos="1800"/>
        </w:tabs>
        <w:ind w:left="1800" w:hanging="360"/>
      </w:pPr>
      <w:rPr>
        <w:rFonts w:ascii="Symbol" w:hAnsi="Symbol" w:hint="default"/>
      </w:rPr>
    </w:lvl>
    <w:lvl w:ilvl="4" w:tplc="040C0003" w:tentative="1">
      <w:start w:val="1"/>
      <w:numFmt w:val="bullet"/>
      <w:lvlText w:val="o"/>
      <w:lvlJc w:val="left"/>
      <w:pPr>
        <w:tabs>
          <w:tab w:val="num" w:pos="2520"/>
        </w:tabs>
        <w:ind w:left="2520" w:hanging="360"/>
      </w:pPr>
      <w:rPr>
        <w:rFonts w:ascii="Courier New" w:hAnsi="Courier New" w:cs="Courier New" w:hint="default"/>
      </w:rPr>
    </w:lvl>
    <w:lvl w:ilvl="5" w:tplc="040C0005" w:tentative="1">
      <w:start w:val="1"/>
      <w:numFmt w:val="bullet"/>
      <w:lvlText w:val=""/>
      <w:lvlJc w:val="left"/>
      <w:pPr>
        <w:tabs>
          <w:tab w:val="num" w:pos="3240"/>
        </w:tabs>
        <w:ind w:left="3240" w:hanging="360"/>
      </w:pPr>
      <w:rPr>
        <w:rFonts w:ascii="Wingdings" w:hAnsi="Wingdings" w:hint="default"/>
      </w:rPr>
    </w:lvl>
    <w:lvl w:ilvl="6" w:tplc="040C0001" w:tentative="1">
      <w:start w:val="1"/>
      <w:numFmt w:val="bullet"/>
      <w:lvlText w:val=""/>
      <w:lvlJc w:val="left"/>
      <w:pPr>
        <w:tabs>
          <w:tab w:val="num" w:pos="3960"/>
        </w:tabs>
        <w:ind w:left="3960" w:hanging="360"/>
      </w:pPr>
      <w:rPr>
        <w:rFonts w:ascii="Symbol" w:hAnsi="Symbol" w:hint="default"/>
      </w:rPr>
    </w:lvl>
    <w:lvl w:ilvl="7" w:tplc="040C0003" w:tentative="1">
      <w:start w:val="1"/>
      <w:numFmt w:val="bullet"/>
      <w:lvlText w:val="o"/>
      <w:lvlJc w:val="left"/>
      <w:pPr>
        <w:tabs>
          <w:tab w:val="num" w:pos="4680"/>
        </w:tabs>
        <w:ind w:left="4680" w:hanging="360"/>
      </w:pPr>
      <w:rPr>
        <w:rFonts w:ascii="Courier New" w:hAnsi="Courier New" w:cs="Courier New" w:hint="default"/>
      </w:rPr>
    </w:lvl>
    <w:lvl w:ilvl="8" w:tplc="040C0005" w:tentative="1">
      <w:start w:val="1"/>
      <w:numFmt w:val="bullet"/>
      <w:lvlText w:val=""/>
      <w:lvlJc w:val="left"/>
      <w:pPr>
        <w:tabs>
          <w:tab w:val="num" w:pos="5400"/>
        </w:tabs>
        <w:ind w:left="5400" w:hanging="360"/>
      </w:pPr>
      <w:rPr>
        <w:rFonts w:ascii="Wingdings" w:hAnsi="Wingdings" w:hint="default"/>
      </w:rPr>
    </w:lvl>
  </w:abstractNum>
  <w:abstractNum w:abstractNumId="41">
    <w:nsid w:val="3D70365C"/>
    <w:multiLevelType w:val="hybridMultilevel"/>
    <w:tmpl w:val="2FA68352"/>
    <w:lvl w:ilvl="0" w:tplc="0EA6688A">
      <w:start w:val="1"/>
      <w:numFmt w:val="bullet"/>
      <w:lvlText w:val=""/>
      <w:lvlJc w:val="left"/>
      <w:pPr>
        <w:tabs>
          <w:tab w:val="num" w:pos="720"/>
        </w:tabs>
        <w:ind w:left="720" w:hanging="360"/>
      </w:pPr>
      <w:rPr>
        <w:rFonts w:ascii="Symbol" w:hAnsi="Symbol" w:hint="default"/>
        <w:sz w:val="16"/>
      </w:rPr>
    </w:lvl>
    <w:lvl w:ilvl="1" w:tplc="040C0003">
      <w:start w:val="1"/>
      <w:numFmt w:val="bullet"/>
      <w:lvlText w:val="o"/>
      <w:lvlJc w:val="left"/>
      <w:pPr>
        <w:tabs>
          <w:tab w:val="num" w:pos="1080"/>
        </w:tabs>
        <w:ind w:left="1080" w:hanging="360"/>
      </w:pPr>
      <w:rPr>
        <w:rFonts w:ascii="Courier New" w:hAnsi="Courier New" w:cs="Courier New" w:hint="default"/>
      </w:rPr>
    </w:lvl>
    <w:lvl w:ilvl="2" w:tplc="040C0005" w:tentative="1">
      <w:start w:val="1"/>
      <w:numFmt w:val="bullet"/>
      <w:lvlText w:val=""/>
      <w:lvlJc w:val="left"/>
      <w:pPr>
        <w:tabs>
          <w:tab w:val="num" w:pos="1800"/>
        </w:tabs>
        <w:ind w:left="1800" w:hanging="360"/>
      </w:pPr>
      <w:rPr>
        <w:rFonts w:ascii="Wingdings" w:hAnsi="Wingdings" w:hint="default"/>
      </w:rPr>
    </w:lvl>
    <w:lvl w:ilvl="3" w:tplc="040C0001" w:tentative="1">
      <w:start w:val="1"/>
      <w:numFmt w:val="bullet"/>
      <w:lvlText w:val=""/>
      <w:lvlJc w:val="left"/>
      <w:pPr>
        <w:tabs>
          <w:tab w:val="num" w:pos="2520"/>
        </w:tabs>
        <w:ind w:left="2520" w:hanging="360"/>
      </w:pPr>
      <w:rPr>
        <w:rFonts w:ascii="Symbol" w:hAnsi="Symbol" w:hint="default"/>
      </w:rPr>
    </w:lvl>
    <w:lvl w:ilvl="4" w:tplc="040C0003" w:tentative="1">
      <w:start w:val="1"/>
      <w:numFmt w:val="bullet"/>
      <w:lvlText w:val="o"/>
      <w:lvlJc w:val="left"/>
      <w:pPr>
        <w:tabs>
          <w:tab w:val="num" w:pos="3240"/>
        </w:tabs>
        <w:ind w:left="3240" w:hanging="360"/>
      </w:pPr>
      <w:rPr>
        <w:rFonts w:ascii="Courier New" w:hAnsi="Courier New" w:cs="Courier New" w:hint="default"/>
      </w:rPr>
    </w:lvl>
    <w:lvl w:ilvl="5" w:tplc="040C0005" w:tentative="1">
      <w:start w:val="1"/>
      <w:numFmt w:val="bullet"/>
      <w:lvlText w:val=""/>
      <w:lvlJc w:val="left"/>
      <w:pPr>
        <w:tabs>
          <w:tab w:val="num" w:pos="3960"/>
        </w:tabs>
        <w:ind w:left="3960" w:hanging="360"/>
      </w:pPr>
      <w:rPr>
        <w:rFonts w:ascii="Wingdings" w:hAnsi="Wingdings" w:hint="default"/>
      </w:rPr>
    </w:lvl>
    <w:lvl w:ilvl="6" w:tplc="040C0001" w:tentative="1">
      <w:start w:val="1"/>
      <w:numFmt w:val="bullet"/>
      <w:lvlText w:val=""/>
      <w:lvlJc w:val="left"/>
      <w:pPr>
        <w:tabs>
          <w:tab w:val="num" w:pos="4680"/>
        </w:tabs>
        <w:ind w:left="4680" w:hanging="360"/>
      </w:pPr>
      <w:rPr>
        <w:rFonts w:ascii="Symbol" w:hAnsi="Symbol" w:hint="default"/>
      </w:rPr>
    </w:lvl>
    <w:lvl w:ilvl="7" w:tplc="040C0003" w:tentative="1">
      <w:start w:val="1"/>
      <w:numFmt w:val="bullet"/>
      <w:lvlText w:val="o"/>
      <w:lvlJc w:val="left"/>
      <w:pPr>
        <w:tabs>
          <w:tab w:val="num" w:pos="5400"/>
        </w:tabs>
        <w:ind w:left="5400" w:hanging="360"/>
      </w:pPr>
      <w:rPr>
        <w:rFonts w:ascii="Courier New" w:hAnsi="Courier New" w:cs="Courier New" w:hint="default"/>
      </w:rPr>
    </w:lvl>
    <w:lvl w:ilvl="8" w:tplc="040C0005" w:tentative="1">
      <w:start w:val="1"/>
      <w:numFmt w:val="bullet"/>
      <w:lvlText w:val=""/>
      <w:lvlJc w:val="left"/>
      <w:pPr>
        <w:tabs>
          <w:tab w:val="num" w:pos="6120"/>
        </w:tabs>
        <w:ind w:left="6120" w:hanging="360"/>
      </w:pPr>
      <w:rPr>
        <w:rFonts w:ascii="Wingdings" w:hAnsi="Wingdings" w:hint="default"/>
      </w:rPr>
    </w:lvl>
  </w:abstractNum>
  <w:abstractNum w:abstractNumId="42">
    <w:nsid w:val="40DB57E5"/>
    <w:multiLevelType w:val="hybridMultilevel"/>
    <w:tmpl w:val="2E12AC78"/>
    <w:lvl w:ilvl="0" w:tplc="0EA6688A">
      <w:start w:val="1"/>
      <w:numFmt w:val="bullet"/>
      <w:lvlText w:val=""/>
      <w:lvlJc w:val="left"/>
      <w:pPr>
        <w:tabs>
          <w:tab w:val="num" w:pos="720"/>
        </w:tabs>
        <w:ind w:left="720" w:hanging="360"/>
      </w:pPr>
      <w:rPr>
        <w:rFonts w:ascii="Symbol" w:hAnsi="Symbol" w:hint="default"/>
        <w:sz w:val="16"/>
      </w:rPr>
    </w:lvl>
    <w:lvl w:ilvl="1" w:tplc="040C0003">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43">
    <w:nsid w:val="41E1163F"/>
    <w:multiLevelType w:val="hybridMultilevel"/>
    <w:tmpl w:val="3094EA5C"/>
    <w:lvl w:ilvl="0" w:tplc="E74E27E6">
      <w:start w:val="4"/>
      <w:numFmt w:val="bullet"/>
      <w:lvlText w:val="-"/>
      <w:lvlJc w:val="left"/>
      <w:pPr>
        <w:ind w:left="720" w:hanging="360"/>
      </w:pPr>
      <w:rPr>
        <w:rFonts w:ascii="Calibri" w:eastAsiaTheme="minorEastAsia" w:hAnsi="Calibri" w:cstheme="minorBidi"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4">
    <w:nsid w:val="42C06EF6"/>
    <w:multiLevelType w:val="hybridMultilevel"/>
    <w:tmpl w:val="22464262"/>
    <w:lvl w:ilvl="0" w:tplc="A9165C8A">
      <w:start w:val="1"/>
      <w:numFmt w:val="bullet"/>
      <w:lvlText w:val="-"/>
      <w:lvlJc w:val="left"/>
      <w:pPr>
        <w:ind w:left="720" w:hanging="360"/>
      </w:pPr>
      <w:rPr>
        <w:rFonts w:ascii="Calibri" w:hAnsi="Calibri"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5">
    <w:nsid w:val="44303411"/>
    <w:multiLevelType w:val="hybridMultilevel"/>
    <w:tmpl w:val="85C413B8"/>
    <w:lvl w:ilvl="0" w:tplc="2E1EB822">
      <w:start w:val="1"/>
      <w:numFmt w:val="bullet"/>
      <w:lvlText w:val="-"/>
      <w:lvlJc w:val="left"/>
      <w:pPr>
        <w:ind w:left="720" w:hanging="360"/>
      </w:pPr>
      <w:rPr>
        <w:rFonts w:ascii="Calibri" w:eastAsiaTheme="minorEastAsia" w:hAnsi="Calibri" w:cstheme="minorBidi" w:hint="default"/>
      </w:rPr>
    </w:lvl>
    <w:lvl w:ilvl="1" w:tplc="040C0003">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6">
    <w:nsid w:val="45B574C7"/>
    <w:multiLevelType w:val="hybridMultilevel"/>
    <w:tmpl w:val="8F345A2A"/>
    <w:lvl w:ilvl="0" w:tplc="A9165C8A">
      <w:start w:val="1"/>
      <w:numFmt w:val="bullet"/>
      <w:lvlText w:val="-"/>
      <w:lvlJc w:val="left"/>
      <w:pPr>
        <w:ind w:left="720" w:hanging="360"/>
      </w:pPr>
      <w:rPr>
        <w:rFonts w:ascii="Calibri" w:hAnsi="Calibri"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7">
    <w:nsid w:val="46817508"/>
    <w:multiLevelType w:val="hybridMultilevel"/>
    <w:tmpl w:val="687E19B4"/>
    <w:lvl w:ilvl="0" w:tplc="A9165C8A">
      <w:start w:val="1"/>
      <w:numFmt w:val="bullet"/>
      <w:lvlText w:val="-"/>
      <w:lvlJc w:val="left"/>
      <w:pPr>
        <w:ind w:left="720" w:hanging="360"/>
      </w:pPr>
      <w:rPr>
        <w:rFonts w:ascii="Calibri" w:hAnsi="Calibri"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8">
    <w:nsid w:val="49186046"/>
    <w:multiLevelType w:val="hybridMultilevel"/>
    <w:tmpl w:val="3E48C9FA"/>
    <w:lvl w:ilvl="0" w:tplc="A9165C8A">
      <w:start w:val="1"/>
      <w:numFmt w:val="bullet"/>
      <w:lvlText w:val="-"/>
      <w:lvlJc w:val="left"/>
      <w:pPr>
        <w:ind w:left="720" w:hanging="360"/>
      </w:pPr>
      <w:rPr>
        <w:rFonts w:ascii="Calibri" w:hAnsi="Calibri"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9">
    <w:nsid w:val="4A8348B9"/>
    <w:multiLevelType w:val="hybridMultilevel"/>
    <w:tmpl w:val="45F2B8EC"/>
    <w:lvl w:ilvl="0" w:tplc="E74E27E6">
      <w:start w:val="4"/>
      <w:numFmt w:val="bullet"/>
      <w:lvlText w:val="-"/>
      <w:lvlJc w:val="left"/>
      <w:pPr>
        <w:ind w:left="720" w:hanging="360"/>
      </w:pPr>
      <w:rPr>
        <w:rFonts w:ascii="Calibri" w:eastAsiaTheme="minorEastAsia" w:hAnsi="Calibri" w:cstheme="minorBidi"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0">
    <w:nsid w:val="4AA42CBB"/>
    <w:multiLevelType w:val="hybridMultilevel"/>
    <w:tmpl w:val="63F4EC62"/>
    <w:lvl w:ilvl="0" w:tplc="E74E27E6">
      <w:start w:val="4"/>
      <w:numFmt w:val="bullet"/>
      <w:lvlText w:val="-"/>
      <w:lvlJc w:val="left"/>
      <w:pPr>
        <w:ind w:left="720" w:hanging="360"/>
      </w:pPr>
      <w:rPr>
        <w:rFonts w:ascii="Calibri" w:eastAsiaTheme="minorEastAsia" w:hAnsi="Calibri" w:cstheme="minorBidi" w:hint="default"/>
      </w:rPr>
    </w:lvl>
    <w:lvl w:ilvl="1" w:tplc="C494136E">
      <w:start w:val="1"/>
      <w:numFmt w:val="bullet"/>
      <w:lvlText w:val="o"/>
      <w:lvlJc w:val="left"/>
      <w:pPr>
        <w:ind w:left="1440" w:hanging="360"/>
      </w:pPr>
      <w:rPr>
        <w:rFonts w:ascii="Courier New" w:hAnsi="Courier New" w:hint="default"/>
      </w:rPr>
    </w:lvl>
    <w:lvl w:ilvl="2" w:tplc="BA4EBD54">
      <w:start w:val="1"/>
      <w:numFmt w:val="bullet"/>
      <w:lvlText w:val=""/>
      <w:lvlJc w:val="left"/>
      <w:pPr>
        <w:ind w:left="2160" w:hanging="360"/>
      </w:pPr>
      <w:rPr>
        <w:rFonts w:ascii="Wingdings" w:hAnsi="Wingdings" w:hint="default"/>
      </w:rPr>
    </w:lvl>
    <w:lvl w:ilvl="3" w:tplc="E514D20C">
      <w:start w:val="1"/>
      <w:numFmt w:val="bullet"/>
      <w:lvlText w:val=""/>
      <w:lvlJc w:val="left"/>
      <w:pPr>
        <w:ind w:left="2880" w:hanging="360"/>
      </w:pPr>
      <w:rPr>
        <w:rFonts w:ascii="Symbol" w:hAnsi="Symbol" w:hint="default"/>
      </w:rPr>
    </w:lvl>
    <w:lvl w:ilvl="4" w:tplc="CC36C75A">
      <w:start w:val="1"/>
      <w:numFmt w:val="bullet"/>
      <w:lvlText w:val="o"/>
      <w:lvlJc w:val="left"/>
      <w:pPr>
        <w:ind w:left="3600" w:hanging="360"/>
      </w:pPr>
      <w:rPr>
        <w:rFonts w:ascii="Courier New" w:hAnsi="Courier New" w:hint="default"/>
      </w:rPr>
    </w:lvl>
    <w:lvl w:ilvl="5" w:tplc="4CE668B0">
      <w:start w:val="1"/>
      <w:numFmt w:val="bullet"/>
      <w:lvlText w:val=""/>
      <w:lvlJc w:val="left"/>
      <w:pPr>
        <w:ind w:left="4320" w:hanging="360"/>
      </w:pPr>
      <w:rPr>
        <w:rFonts w:ascii="Wingdings" w:hAnsi="Wingdings" w:hint="default"/>
      </w:rPr>
    </w:lvl>
    <w:lvl w:ilvl="6" w:tplc="A7DABFFE">
      <w:start w:val="1"/>
      <w:numFmt w:val="bullet"/>
      <w:lvlText w:val=""/>
      <w:lvlJc w:val="left"/>
      <w:pPr>
        <w:ind w:left="5040" w:hanging="360"/>
      </w:pPr>
      <w:rPr>
        <w:rFonts w:ascii="Symbol" w:hAnsi="Symbol" w:hint="default"/>
      </w:rPr>
    </w:lvl>
    <w:lvl w:ilvl="7" w:tplc="2F541E06">
      <w:start w:val="1"/>
      <w:numFmt w:val="bullet"/>
      <w:lvlText w:val="o"/>
      <w:lvlJc w:val="left"/>
      <w:pPr>
        <w:ind w:left="5760" w:hanging="360"/>
      </w:pPr>
      <w:rPr>
        <w:rFonts w:ascii="Courier New" w:hAnsi="Courier New" w:hint="default"/>
      </w:rPr>
    </w:lvl>
    <w:lvl w:ilvl="8" w:tplc="2BF6C974">
      <w:start w:val="1"/>
      <w:numFmt w:val="bullet"/>
      <w:lvlText w:val=""/>
      <w:lvlJc w:val="left"/>
      <w:pPr>
        <w:ind w:left="6480" w:hanging="360"/>
      </w:pPr>
      <w:rPr>
        <w:rFonts w:ascii="Wingdings" w:hAnsi="Wingdings" w:hint="default"/>
      </w:rPr>
    </w:lvl>
  </w:abstractNum>
  <w:abstractNum w:abstractNumId="51">
    <w:nsid w:val="4BA4187B"/>
    <w:multiLevelType w:val="hybridMultilevel"/>
    <w:tmpl w:val="CCCC644C"/>
    <w:lvl w:ilvl="0" w:tplc="040C0001">
      <w:start w:val="1"/>
      <w:numFmt w:val="bullet"/>
      <w:lvlText w:val=""/>
      <w:lvlJc w:val="left"/>
      <w:pPr>
        <w:ind w:left="1080" w:hanging="360"/>
      </w:pPr>
      <w:rPr>
        <w:rFonts w:ascii="Symbol" w:hAnsi="Symbol" w:hint="default"/>
      </w:rPr>
    </w:lvl>
    <w:lvl w:ilvl="1" w:tplc="040C0003" w:tentative="1">
      <w:start w:val="1"/>
      <w:numFmt w:val="bullet"/>
      <w:lvlText w:val="o"/>
      <w:lvlJc w:val="left"/>
      <w:pPr>
        <w:ind w:left="1800" w:hanging="360"/>
      </w:pPr>
      <w:rPr>
        <w:rFonts w:ascii="Courier New" w:hAnsi="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52">
    <w:nsid w:val="4D212CAF"/>
    <w:multiLevelType w:val="hybridMultilevel"/>
    <w:tmpl w:val="BFE8A28A"/>
    <w:lvl w:ilvl="0" w:tplc="DFA8EE12">
      <w:start w:val="1"/>
      <w:numFmt w:val="bullet"/>
      <w:lvlText w:val=""/>
      <w:lvlJc w:val="left"/>
      <w:pPr>
        <w:ind w:left="720" w:hanging="360"/>
      </w:pPr>
      <w:rPr>
        <w:rFonts w:ascii="Symbol" w:hAnsi="Symbol" w:hint="default"/>
      </w:rPr>
    </w:lvl>
    <w:lvl w:ilvl="1" w:tplc="040C0001">
      <w:start w:val="1"/>
      <w:numFmt w:val="bullet"/>
      <w:lvlText w:val=""/>
      <w:lvlJc w:val="left"/>
      <w:pPr>
        <w:ind w:left="1080" w:hanging="360"/>
      </w:pPr>
      <w:rPr>
        <w:rFonts w:ascii="Symbol" w:hAnsi="Symbol" w:hint="default"/>
      </w:rPr>
    </w:lvl>
    <w:lvl w:ilvl="2" w:tplc="DEA05742">
      <w:start w:val="1"/>
      <w:numFmt w:val="bullet"/>
      <w:lvlText w:val=""/>
      <w:lvlJc w:val="left"/>
      <w:pPr>
        <w:ind w:left="2160" w:hanging="360"/>
      </w:pPr>
      <w:rPr>
        <w:rFonts w:ascii="Wingdings" w:hAnsi="Wingdings" w:hint="default"/>
      </w:rPr>
    </w:lvl>
    <w:lvl w:ilvl="3" w:tplc="16FE7DA4">
      <w:start w:val="1"/>
      <w:numFmt w:val="bullet"/>
      <w:lvlText w:val=""/>
      <w:lvlJc w:val="left"/>
      <w:pPr>
        <w:ind w:left="2880" w:hanging="360"/>
      </w:pPr>
      <w:rPr>
        <w:rFonts w:ascii="Symbol" w:hAnsi="Symbol" w:hint="default"/>
      </w:rPr>
    </w:lvl>
    <w:lvl w:ilvl="4" w:tplc="A0044E1C">
      <w:start w:val="1"/>
      <w:numFmt w:val="bullet"/>
      <w:lvlText w:val="o"/>
      <w:lvlJc w:val="left"/>
      <w:pPr>
        <w:ind w:left="3600" w:hanging="360"/>
      </w:pPr>
      <w:rPr>
        <w:rFonts w:ascii="Courier New" w:hAnsi="Courier New" w:hint="default"/>
      </w:rPr>
    </w:lvl>
    <w:lvl w:ilvl="5" w:tplc="05B8CC84">
      <w:start w:val="1"/>
      <w:numFmt w:val="bullet"/>
      <w:lvlText w:val=""/>
      <w:lvlJc w:val="left"/>
      <w:pPr>
        <w:ind w:left="4320" w:hanging="360"/>
      </w:pPr>
      <w:rPr>
        <w:rFonts w:ascii="Wingdings" w:hAnsi="Wingdings" w:hint="default"/>
      </w:rPr>
    </w:lvl>
    <w:lvl w:ilvl="6" w:tplc="A0266FC0">
      <w:start w:val="1"/>
      <w:numFmt w:val="bullet"/>
      <w:lvlText w:val=""/>
      <w:lvlJc w:val="left"/>
      <w:pPr>
        <w:ind w:left="5040" w:hanging="360"/>
      </w:pPr>
      <w:rPr>
        <w:rFonts w:ascii="Symbol" w:hAnsi="Symbol" w:hint="default"/>
      </w:rPr>
    </w:lvl>
    <w:lvl w:ilvl="7" w:tplc="7F6A8F46">
      <w:start w:val="1"/>
      <w:numFmt w:val="bullet"/>
      <w:lvlText w:val="o"/>
      <w:lvlJc w:val="left"/>
      <w:pPr>
        <w:ind w:left="5760" w:hanging="360"/>
      </w:pPr>
      <w:rPr>
        <w:rFonts w:ascii="Courier New" w:hAnsi="Courier New" w:hint="default"/>
      </w:rPr>
    </w:lvl>
    <w:lvl w:ilvl="8" w:tplc="F886C928">
      <w:start w:val="1"/>
      <w:numFmt w:val="bullet"/>
      <w:lvlText w:val=""/>
      <w:lvlJc w:val="left"/>
      <w:pPr>
        <w:ind w:left="6480" w:hanging="360"/>
      </w:pPr>
      <w:rPr>
        <w:rFonts w:ascii="Wingdings" w:hAnsi="Wingdings" w:hint="default"/>
      </w:rPr>
    </w:lvl>
  </w:abstractNum>
  <w:abstractNum w:abstractNumId="53">
    <w:nsid w:val="4D8F3D1A"/>
    <w:multiLevelType w:val="hybridMultilevel"/>
    <w:tmpl w:val="987AF8D2"/>
    <w:lvl w:ilvl="0" w:tplc="E74E27E6">
      <w:start w:val="4"/>
      <w:numFmt w:val="bullet"/>
      <w:lvlText w:val="-"/>
      <w:lvlJc w:val="left"/>
      <w:pPr>
        <w:ind w:left="720" w:hanging="360"/>
      </w:pPr>
      <w:rPr>
        <w:rFonts w:ascii="Calibri" w:eastAsiaTheme="minorEastAsia" w:hAnsi="Calibri" w:cstheme="minorBidi"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4">
    <w:nsid w:val="4F6936F2"/>
    <w:multiLevelType w:val="hybridMultilevel"/>
    <w:tmpl w:val="51883598"/>
    <w:lvl w:ilvl="0" w:tplc="D6503E64">
      <w:start w:val="9"/>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5">
    <w:nsid w:val="4FF664D0"/>
    <w:multiLevelType w:val="hybridMultilevel"/>
    <w:tmpl w:val="088E7C9A"/>
    <w:lvl w:ilvl="0" w:tplc="A9165C8A">
      <w:start w:val="1"/>
      <w:numFmt w:val="bullet"/>
      <w:lvlText w:val="-"/>
      <w:lvlJc w:val="left"/>
      <w:pPr>
        <w:ind w:left="720" w:hanging="360"/>
      </w:pPr>
      <w:rPr>
        <w:rFonts w:ascii="Calibri" w:hAnsi="Calibri"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6">
    <w:nsid w:val="5021504C"/>
    <w:multiLevelType w:val="hybridMultilevel"/>
    <w:tmpl w:val="669CEA68"/>
    <w:lvl w:ilvl="0" w:tplc="0EA6688A">
      <w:start w:val="1"/>
      <w:numFmt w:val="bullet"/>
      <w:lvlText w:val=""/>
      <w:lvlJc w:val="left"/>
      <w:pPr>
        <w:tabs>
          <w:tab w:val="num" w:pos="1440"/>
        </w:tabs>
        <w:ind w:left="1440" w:hanging="360"/>
      </w:pPr>
      <w:rPr>
        <w:rFonts w:ascii="Symbol" w:hAnsi="Symbol" w:hint="default"/>
        <w:sz w:val="16"/>
      </w:rPr>
    </w:lvl>
    <w:lvl w:ilvl="1" w:tplc="1E226EDA">
      <w:numFmt w:val="bullet"/>
      <w:lvlText w:val="-"/>
      <w:lvlJc w:val="left"/>
      <w:pPr>
        <w:tabs>
          <w:tab w:val="num" w:pos="1440"/>
        </w:tabs>
        <w:ind w:left="1440" w:hanging="360"/>
      </w:pPr>
      <w:rPr>
        <w:rFonts w:ascii="Times New Roman" w:eastAsia="Times New Roman" w:hAnsi="Times New Roman" w:cs="Times New Roman" w:hint="default"/>
      </w:rPr>
    </w:lvl>
    <w:lvl w:ilvl="2" w:tplc="040C0005">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57">
    <w:nsid w:val="53FF2431"/>
    <w:multiLevelType w:val="hybridMultilevel"/>
    <w:tmpl w:val="501238B2"/>
    <w:lvl w:ilvl="0" w:tplc="E74E27E6">
      <w:start w:val="4"/>
      <w:numFmt w:val="bullet"/>
      <w:lvlText w:val="-"/>
      <w:lvlJc w:val="left"/>
      <w:pPr>
        <w:ind w:left="720" w:hanging="360"/>
      </w:pPr>
      <w:rPr>
        <w:rFonts w:ascii="Calibri" w:eastAsiaTheme="minorEastAsia" w:hAnsi="Calibri" w:cstheme="minorBidi" w:hint="default"/>
      </w:rPr>
    </w:lvl>
    <w:lvl w:ilvl="1" w:tplc="EE806554">
      <w:start w:val="1"/>
      <w:numFmt w:val="bullet"/>
      <w:lvlText w:val="o"/>
      <w:lvlJc w:val="left"/>
      <w:pPr>
        <w:ind w:left="1440" w:hanging="360"/>
      </w:pPr>
      <w:rPr>
        <w:rFonts w:ascii="Courier New" w:hAnsi="Courier New" w:hint="default"/>
      </w:rPr>
    </w:lvl>
    <w:lvl w:ilvl="2" w:tplc="DEA05742">
      <w:start w:val="1"/>
      <w:numFmt w:val="bullet"/>
      <w:lvlText w:val=""/>
      <w:lvlJc w:val="left"/>
      <w:pPr>
        <w:ind w:left="2160" w:hanging="360"/>
      </w:pPr>
      <w:rPr>
        <w:rFonts w:ascii="Wingdings" w:hAnsi="Wingdings" w:hint="default"/>
      </w:rPr>
    </w:lvl>
    <w:lvl w:ilvl="3" w:tplc="16FE7DA4">
      <w:start w:val="1"/>
      <w:numFmt w:val="bullet"/>
      <w:lvlText w:val=""/>
      <w:lvlJc w:val="left"/>
      <w:pPr>
        <w:ind w:left="2880" w:hanging="360"/>
      </w:pPr>
      <w:rPr>
        <w:rFonts w:ascii="Symbol" w:hAnsi="Symbol" w:hint="default"/>
      </w:rPr>
    </w:lvl>
    <w:lvl w:ilvl="4" w:tplc="A0044E1C">
      <w:start w:val="1"/>
      <w:numFmt w:val="bullet"/>
      <w:lvlText w:val="o"/>
      <w:lvlJc w:val="left"/>
      <w:pPr>
        <w:ind w:left="3600" w:hanging="360"/>
      </w:pPr>
      <w:rPr>
        <w:rFonts w:ascii="Courier New" w:hAnsi="Courier New" w:hint="default"/>
      </w:rPr>
    </w:lvl>
    <w:lvl w:ilvl="5" w:tplc="05B8CC84">
      <w:start w:val="1"/>
      <w:numFmt w:val="bullet"/>
      <w:lvlText w:val=""/>
      <w:lvlJc w:val="left"/>
      <w:pPr>
        <w:ind w:left="4320" w:hanging="360"/>
      </w:pPr>
      <w:rPr>
        <w:rFonts w:ascii="Wingdings" w:hAnsi="Wingdings" w:hint="default"/>
      </w:rPr>
    </w:lvl>
    <w:lvl w:ilvl="6" w:tplc="A0266FC0">
      <w:start w:val="1"/>
      <w:numFmt w:val="bullet"/>
      <w:lvlText w:val=""/>
      <w:lvlJc w:val="left"/>
      <w:pPr>
        <w:ind w:left="5040" w:hanging="360"/>
      </w:pPr>
      <w:rPr>
        <w:rFonts w:ascii="Symbol" w:hAnsi="Symbol" w:hint="default"/>
      </w:rPr>
    </w:lvl>
    <w:lvl w:ilvl="7" w:tplc="7F6A8F46">
      <w:start w:val="1"/>
      <w:numFmt w:val="bullet"/>
      <w:lvlText w:val="o"/>
      <w:lvlJc w:val="left"/>
      <w:pPr>
        <w:ind w:left="5760" w:hanging="360"/>
      </w:pPr>
      <w:rPr>
        <w:rFonts w:ascii="Courier New" w:hAnsi="Courier New" w:hint="default"/>
      </w:rPr>
    </w:lvl>
    <w:lvl w:ilvl="8" w:tplc="F886C928">
      <w:start w:val="1"/>
      <w:numFmt w:val="bullet"/>
      <w:lvlText w:val=""/>
      <w:lvlJc w:val="left"/>
      <w:pPr>
        <w:ind w:left="6480" w:hanging="360"/>
      </w:pPr>
      <w:rPr>
        <w:rFonts w:ascii="Wingdings" w:hAnsi="Wingdings" w:hint="default"/>
      </w:rPr>
    </w:lvl>
  </w:abstractNum>
  <w:abstractNum w:abstractNumId="58">
    <w:nsid w:val="56292A30"/>
    <w:multiLevelType w:val="hybridMultilevel"/>
    <w:tmpl w:val="6E5A045E"/>
    <w:lvl w:ilvl="0" w:tplc="E74E27E6">
      <w:start w:val="4"/>
      <w:numFmt w:val="bullet"/>
      <w:lvlText w:val="-"/>
      <w:lvlJc w:val="left"/>
      <w:pPr>
        <w:ind w:left="720" w:hanging="360"/>
      </w:pPr>
      <w:rPr>
        <w:rFonts w:ascii="Calibri" w:eastAsiaTheme="minorEastAsia" w:hAnsi="Calibri" w:cstheme="minorBidi" w:hint="default"/>
        <w:sz w:val="16"/>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9">
    <w:nsid w:val="592B09C2"/>
    <w:multiLevelType w:val="hybridMultilevel"/>
    <w:tmpl w:val="2562AD24"/>
    <w:lvl w:ilvl="0" w:tplc="DFA8EE12">
      <w:start w:val="1"/>
      <w:numFmt w:val="bullet"/>
      <w:lvlText w:val=""/>
      <w:lvlJc w:val="left"/>
      <w:pPr>
        <w:ind w:left="720" w:hanging="360"/>
      </w:pPr>
      <w:rPr>
        <w:rFonts w:ascii="Symbol" w:hAnsi="Symbol" w:hint="default"/>
      </w:rPr>
    </w:lvl>
    <w:lvl w:ilvl="1" w:tplc="040C0001">
      <w:start w:val="1"/>
      <w:numFmt w:val="bullet"/>
      <w:lvlText w:val=""/>
      <w:lvlJc w:val="left"/>
      <w:pPr>
        <w:ind w:left="1080" w:hanging="360"/>
      </w:pPr>
      <w:rPr>
        <w:rFonts w:ascii="Symbol" w:hAnsi="Symbol" w:hint="default"/>
      </w:rPr>
    </w:lvl>
    <w:lvl w:ilvl="2" w:tplc="DEA05742">
      <w:start w:val="1"/>
      <w:numFmt w:val="bullet"/>
      <w:lvlText w:val=""/>
      <w:lvlJc w:val="left"/>
      <w:pPr>
        <w:ind w:left="2160" w:hanging="360"/>
      </w:pPr>
      <w:rPr>
        <w:rFonts w:ascii="Wingdings" w:hAnsi="Wingdings" w:hint="default"/>
      </w:rPr>
    </w:lvl>
    <w:lvl w:ilvl="3" w:tplc="16FE7DA4">
      <w:start w:val="1"/>
      <w:numFmt w:val="bullet"/>
      <w:lvlText w:val=""/>
      <w:lvlJc w:val="left"/>
      <w:pPr>
        <w:ind w:left="2880" w:hanging="360"/>
      </w:pPr>
      <w:rPr>
        <w:rFonts w:ascii="Symbol" w:hAnsi="Symbol" w:hint="default"/>
      </w:rPr>
    </w:lvl>
    <w:lvl w:ilvl="4" w:tplc="A0044E1C">
      <w:start w:val="1"/>
      <w:numFmt w:val="bullet"/>
      <w:lvlText w:val="o"/>
      <w:lvlJc w:val="left"/>
      <w:pPr>
        <w:ind w:left="3600" w:hanging="360"/>
      </w:pPr>
      <w:rPr>
        <w:rFonts w:ascii="Courier New" w:hAnsi="Courier New" w:hint="default"/>
      </w:rPr>
    </w:lvl>
    <w:lvl w:ilvl="5" w:tplc="05B8CC84">
      <w:start w:val="1"/>
      <w:numFmt w:val="bullet"/>
      <w:lvlText w:val=""/>
      <w:lvlJc w:val="left"/>
      <w:pPr>
        <w:ind w:left="4320" w:hanging="360"/>
      </w:pPr>
      <w:rPr>
        <w:rFonts w:ascii="Wingdings" w:hAnsi="Wingdings" w:hint="default"/>
      </w:rPr>
    </w:lvl>
    <w:lvl w:ilvl="6" w:tplc="A0266FC0">
      <w:start w:val="1"/>
      <w:numFmt w:val="bullet"/>
      <w:lvlText w:val=""/>
      <w:lvlJc w:val="left"/>
      <w:pPr>
        <w:ind w:left="5040" w:hanging="360"/>
      </w:pPr>
      <w:rPr>
        <w:rFonts w:ascii="Symbol" w:hAnsi="Symbol" w:hint="default"/>
      </w:rPr>
    </w:lvl>
    <w:lvl w:ilvl="7" w:tplc="7F6A8F46">
      <w:start w:val="1"/>
      <w:numFmt w:val="bullet"/>
      <w:lvlText w:val="o"/>
      <w:lvlJc w:val="left"/>
      <w:pPr>
        <w:ind w:left="5760" w:hanging="360"/>
      </w:pPr>
      <w:rPr>
        <w:rFonts w:ascii="Courier New" w:hAnsi="Courier New" w:hint="default"/>
      </w:rPr>
    </w:lvl>
    <w:lvl w:ilvl="8" w:tplc="F886C928">
      <w:start w:val="1"/>
      <w:numFmt w:val="bullet"/>
      <w:lvlText w:val=""/>
      <w:lvlJc w:val="left"/>
      <w:pPr>
        <w:ind w:left="6480" w:hanging="360"/>
      </w:pPr>
      <w:rPr>
        <w:rFonts w:ascii="Wingdings" w:hAnsi="Wingdings" w:hint="default"/>
      </w:rPr>
    </w:lvl>
  </w:abstractNum>
  <w:abstractNum w:abstractNumId="60">
    <w:nsid w:val="59F54536"/>
    <w:multiLevelType w:val="hybridMultilevel"/>
    <w:tmpl w:val="B3728EB2"/>
    <w:lvl w:ilvl="0" w:tplc="E74E27E6">
      <w:start w:val="4"/>
      <w:numFmt w:val="bullet"/>
      <w:lvlText w:val="-"/>
      <w:lvlJc w:val="left"/>
      <w:pPr>
        <w:ind w:left="720" w:hanging="360"/>
      </w:pPr>
      <w:rPr>
        <w:rFonts w:ascii="Calibri" w:eastAsiaTheme="minorEastAsia" w:hAnsi="Calibri" w:cstheme="minorBidi"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1">
    <w:nsid w:val="5A651377"/>
    <w:multiLevelType w:val="hybridMultilevel"/>
    <w:tmpl w:val="03A2DE82"/>
    <w:lvl w:ilvl="0" w:tplc="0EA6688A">
      <w:start w:val="1"/>
      <w:numFmt w:val="bullet"/>
      <w:lvlText w:val=""/>
      <w:lvlJc w:val="left"/>
      <w:pPr>
        <w:tabs>
          <w:tab w:val="num" w:pos="1440"/>
        </w:tabs>
        <w:ind w:left="1440" w:hanging="360"/>
      </w:pPr>
      <w:rPr>
        <w:rFonts w:ascii="Symbol" w:hAnsi="Symbol" w:hint="default"/>
        <w:sz w:val="16"/>
      </w:rPr>
    </w:lvl>
    <w:lvl w:ilvl="1" w:tplc="040C0003">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62">
    <w:nsid w:val="5CEC1204"/>
    <w:multiLevelType w:val="hybridMultilevel"/>
    <w:tmpl w:val="9B8013A8"/>
    <w:lvl w:ilvl="0" w:tplc="A9165C8A">
      <w:start w:val="1"/>
      <w:numFmt w:val="bullet"/>
      <w:lvlText w:val="-"/>
      <w:lvlJc w:val="left"/>
      <w:pPr>
        <w:ind w:left="720" w:hanging="360"/>
      </w:pPr>
      <w:rPr>
        <w:rFonts w:ascii="Calibri" w:hAnsi="Calibri"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3">
    <w:nsid w:val="5E953596"/>
    <w:multiLevelType w:val="hybridMultilevel"/>
    <w:tmpl w:val="0D782AF2"/>
    <w:lvl w:ilvl="0" w:tplc="E74E27E6">
      <w:start w:val="4"/>
      <w:numFmt w:val="bullet"/>
      <w:lvlText w:val="-"/>
      <w:lvlJc w:val="left"/>
      <w:pPr>
        <w:ind w:left="720" w:hanging="360"/>
      </w:pPr>
      <w:rPr>
        <w:rFonts w:ascii="Calibri" w:eastAsiaTheme="minorEastAsia" w:hAnsi="Calibri" w:cstheme="minorBidi"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4">
    <w:nsid w:val="5F366B47"/>
    <w:multiLevelType w:val="hybridMultilevel"/>
    <w:tmpl w:val="B9163264"/>
    <w:lvl w:ilvl="0" w:tplc="A9165C8A">
      <w:start w:val="1"/>
      <w:numFmt w:val="bullet"/>
      <w:lvlText w:val="-"/>
      <w:lvlJc w:val="left"/>
      <w:pPr>
        <w:ind w:left="720" w:hanging="360"/>
      </w:pPr>
      <w:rPr>
        <w:rFonts w:ascii="Calibri" w:hAnsi="Calibri"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5">
    <w:nsid w:val="5FBD2531"/>
    <w:multiLevelType w:val="hybridMultilevel"/>
    <w:tmpl w:val="EE1E8B04"/>
    <w:lvl w:ilvl="0" w:tplc="A9165C8A">
      <w:start w:val="1"/>
      <w:numFmt w:val="bullet"/>
      <w:lvlText w:val="-"/>
      <w:lvlJc w:val="left"/>
      <w:pPr>
        <w:ind w:left="720" w:hanging="360"/>
      </w:pPr>
      <w:rPr>
        <w:rFonts w:ascii="Calibri" w:hAnsi="Calibri"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6">
    <w:nsid w:val="61DD2543"/>
    <w:multiLevelType w:val="hybridMultilevel"/>
    <w:tmpl w:val="7FE642AE"/>
    <w:lvl w:ilvl="0" w:tplc="E74E27E6">
      <w:start w:val="4"/>
      <w:numFmt w:val="bullet"/>
      <w:lvlText w:val="-"/>
      <w:lvlJc w:val="left"/>
      <w:pPr>
        <w:ind w:left="720" w:hanging="360"/>
      </w:pPr>
      <w:rPr>
        <w:rFonts w:ascii="Calibri" w:eastAsiaTheme="minorEastAsia" w:hAnsi="Calibri" w:cstheme="minorBidi"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7">
    <w:nsid w:val="62A35750"/>
    <w:multiLevelType w:val="hybridMultilevel"/>
    <w:tmpl w:val="26FE58BC"/>
    <w:lvl w:ilvl="0" w:tplc="0EA6688A">
      <w:start w:val="1"/>
      <w:numFmt w:val="bullet"/>
      <w:lvlText w:val=""/>
      <w:lvlJc w:val="left"/>
      <w:pPr>
        <w:tabs>
          <w:tab w:val="num" w:pos="1440"/>
        </w:tabs>
        <w:ind w:left="1440" w:hanging="360"/>
      </w:pPr>
      <w:rPr>
        <w:rFonts w:ascii="Symbol" w:hAnsi="Symbol" w:hint="default"/>
        <w:sz w:val="16"/>
      </w:rPr>
    </w:lvl>
    <w:lvl w:ilvl="1" w:tplc="040C0003">
      <w:start w:val="1"/>
      <w:numFmt w:val="bullet"/>
      <w:lvlText w:val="o"/>
      <w:lvlJc w:val="left"/>
      <w:pPr>
        <w:ind w:left="1440" w:hanging="360"/>
      </w:pPr>
      <w:rPr>
        <w:rFonts w:ascii="Courier New" w:hAnsi="Courier New" w:hint="default"/>
      </w:rPr>
    </w:lvl>
    <w:lvl w:ilvl="2" w:tplc="0EA6688A">
      <w:start w:val="1"/>
      <w:numFmt w:val="bullet"/>
      <w:lvlText w:val=""/>
      <w:lvlJc w:val="left"/>
      <w:pPr>
        <w:tabs>
          <w:tab w:val="num" w:pos="2160"/>
        </w:tabs>
        <w:ind w:left="2160" w:hanging="360"/>
      </w:pPr>
      <w:rPr>
        <w:rFonts w:ascii="Symbol" w:hAnsi="Symbol" w:hint="default"/>
        <w:sz w:val="16"/>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68">
    <w:nsid w:val="633E0B88"/>
    <w:multiLevelType w:val="hybridMultilevel"/>
    <w:tmpl w:val="019E7E6E"/>
    <w:lvl w:ilvl="0" w:tplc="E74E27E6">
      <w:start w:val="4"/>
      <w:numFmt w:val="bullet"/>
      <w:lvlText w:val="-"/>
      <w:lvlJc w:val="left"/>
      <w:pPr>
        <w:ind w:left="720" w:hanging="360"/>
      </w:pPr>
      <w:rPr>
        <w:rFonts w:ascii="Calibri" w:eastAsiaTheme="minorEastAsia" w:hAnsi="Calibri" w:cstheme="minorBidi" w:hint="default"/>
      </w:rPr>
    </w:lvl>
    <w:lvl w:ilvl="1" w:tplc="EE806554">
      <w:start w:val="1"/>
      <w:numFmt w:val="bullet"/>
      <w:lvlText w:val="o"/>
      <w:lvlJc w:val="left"/>
      <w:pPr>
        <w:ind w:left="1440" w:hanging="360"/>
      </w:pPr>
      <w:rPr>
        <w:rFonts w:ascii="Courier New" w:hAnsi="Courier New" w:hint="default"/>
      </w:rPr>
    </w:lvl>
    <w:lvl w:ilvl="2" w:tplc="DEA05742">
      <w:start w:val="1"/>
      <w:numFmt w:val="bullet"/>
      <w:lvlText w:val=""/>
      <w:lvlJc w:val="left"/>
      <w:pPr>
        <w:ind w:left="2160" w:hanging="360"/>
      </w:pPr>
      <w:rPr>
        <w:rFonts w:ascii="Wingdings" w:hAnsi="Wingdings" w:hint="default"/>
      </w:rPr>
    </w:lvl>
    <w:lvl w:ilvl="3" w:tplc="16FE7DA4">
      <w:start w:val="1"/>
      <w:numFmt w:val="bullet"/>
      <w:lvlText w:val=""/>
      <w:lvlJc w:val="left"/>
      <w:pPr>
        <w:ind w:left="2880" w:hanging="360"/>
      </w:pPr>
      <w:rPr>
        <w:rFonts w:ascii="Symbol" w:hAnsi="Symbol" w:hint="default"/>
      </w:rPr>
    </w:lvl>
    <w:lvl w:ilvl="4" w:tplc="A0044E1C">
      <w:start w:val="1"/>
      <w:numFmt w:val="bullet"/>
      <w:lvlText w:val="o"/>
      <w:lvlJc w:val="left"/>
      <w:pPr>
        <w:ind w:left="3600" w:hanging="360"/>
      </w:pPr>
      <w:rPr>
        <w:rFonts w:ascii="Courier New" w:hAnsi="Courier New" w:hint="default"/>
      </w:rPr>
    </w:lvl>
    <w:lvl w:ilvl="5" w:tplc="05B8CC84">
      <w:start w:val="1"/>
      <w:numFmt w:val="bullet"/>
      <w:lvlText w:val=""/>
      <w:lvlJc w:val="left"/>
      <w:pPr>
        <w:ind w:left="4320" w:hanging="360"/>
      </w:pPr>
      <w:rPr>
        <w:rFonts w:ascii="Wingdings" w:hAnsi="Wingdings" w:hint="default"/>
      </w:rPr>
    </w:lvl>
    <w:lvl w:ilvl="6" w:tplc="A0266FC0">
      <w:start w:val="1"/>
      <w:numFmt w:val="bullet"/>
      <w:lvlText w:val=""/>
      <w:lvlJc w:val="left"/>
      <w:pPr>
        <w:ind w:left="5040" w:hanging="360"/>
      </w:pPr>
      <w:rPr>
        <w:rFonts w:ascii="Symbol" w:hAnsi="Symbol" w:hint="default"/>
      </w:rPr>
    </w:lvl>
    <w:lvl w:ilvl="7" w:tplc="7F6A8F46">
      <w:start w:val="1"/>
      <w:numFmt w:val="bullet"/>
      <w:lvlText w:val="o"/>
      <w:lvlJc w:val="left"/>
      <w:pPr>
        <w:ind w:left="5760" w:hanging="360"/>
      </w:pPr>
      <w:rPr>
        <w:rFonts w:ascii="Courier New" w:hAnsi="Courier New" w:hint="default"/>
      </w:rPr>
    </w:lvl>
    <w:lvl w:ilvl="8" w:tplc="F886C928">
      <w:start w:val="1"/>
      <w:numFmt w:val="bullet"/>
      <w:lvlText w:val=""/>
      <w:lvlJc w:val="left"/>
      <w:pPr>
        <w:ind w:left="6480" w:hanging="360"/>
      </w:pPr>
      <w:rPr>
        <w:rFonts w:ascii="Wingdings" w:hAnsi="Wingdings" w:hint="default"/>
      </w:rPr>
    </w:lvl>
  </w:abstractNum>
  <w:abstractNum w:abstractNumId="69">
    <w:nsid w:val="637F3F8F"/>
    <w:multiLevelType w:val="hybridMultilevel"/>
    <w:tmpl w:val="6D908732"/>
    <w:lvl w:ilvl="0" w:tplc="E74E27E6">
      <w:start w:val="4"/>
      <w:numFmt w:val="bullet"/>
      <w:lvlText w:val="-"/>
      <w:lvlJc w:val="left"/>
      <w:pPr>
        <w:ind w:left="1429" w:hanging="360"/>
      </w:pPr>
      <w:rPr>
        <w:rFonts w:ascii="Calibri" w:eastAsiaTheme="minorEastAsia" w:hAnsi="Calibri" w:cstheme="minorBidi" w:hint="default"/>
      </w:rPr>
    </w:lvl>
    <w:lvl w:ilvl="1" w:tplc="040C0003" w:tentative="1">
      <w:start w:val="1"/>
      <w:numFmt w:val="bullet"/>
      <w:lvlText w:val="o"/>
      <w:lvlJc w:val="left"/>
      <w:pPr>
        <w:ind w:left="2149" w:hanging="360"/>
      </w:pPr>
      <w:rPr>
        <w:rFonts w:ascii="Courier New" w:hAnsi="Courier New" w:hint="default"/>
      </w:rPr>
    </w:lvl>
    <w:lvl w:ilvl="2" w:tplc="040C0005" w:tentative="1">
      <w:start w:val="1"/>
      <w:numFmt w:val="bullet"/>
      <w:lvlText w:val=""/>
      <w:lvlJc w:val="left"/>
      <w:pPr>
        <w:ind w:left="2869" w:hanging="360"/>
      </w:pPr>
      <w:rPr>
        <w:rFonts w:ascii="Wingdings" w:hAnsi="Wingdings" w:hint="default"/>
      </w:rPr>
    </w:lvl>
    <w:lvl w:ilvl="3" w:tplc="040C0001" w:tentative="1">
      <w:start w:val="1"/>
      <w:numFmt w:val="bullet"/>
      <w:lvlText w:val=""/>
      <w:lvlJc w:val="left"/>
      <w:pPr>
        <w:ind w:left="3589" w:hanging="360"/>
      </w:pPr>
      <w:rPr>
        <w:rFonts w:ascii="Symbol" w:hAnsi="Symbol" w:hint="default"/>
      </w:rPr>
    </w:lvl>
    <w:lvl w:ilvl="4" w:tplc="040C0003" w:tentative="1">
      <w:start w:val="1"/>
      <w:numFmt w:val="bullet"/>
      <w:lvlText w:val="o"/>
      <w:lvlJc w:val="left"/>
      <w:pPr>
        <w:ind w:left="4309" w:hanging="360"/>
      </w:pPr>
      <w:rPr>
        <w:rFonts w:ascii="Courier New" w:hAnsi="Courier New" w:hint="default"/>
      </w:rPr>
    </w:lvl>
    <w:lvl w:ilvl="5" w:tplc="040C0005" w:tentative="1">
      <w:start w:val="1"/>
      <w:numFmt w:val="bullet"/>
      <w:lvlText w:val=""/>
      <w:lvlJc w:val="left"/>
      <w:pPr>
        <w:ind w:left="5029" w:hanging="360"/>
      </w:pPr>
      <w:rPr>
        <w:rFonts w:ascii="Wingdings" w:hAnsi="Wingdings" w:hint="default"/>
      </w:rPr>
    </w:lvl>
    <w:lvl w:ilvl="6" w:tplc="040C0001" w:tentative="1">
      <w:start w:val="1"/>
      <w:numFmt w:val="bullet"/>
      <w:lvlText w:val=""/>
      <w:lvlJc w:val="left"/>
      <w:pPr>
        <w:ind w:left="5749" w:hanging="360"/>
      </w:pPr>
      <w:rPr>
        <w:rFonts w:ascii="Symbol" w:hAnsi="Symbol" w:hint="default"/>
      </w:rPr>
    </w:lvl>
    <w:lvl w:ilvl="7" w:tplc="040C0003" w:tentative="1">
      <w:start w:val="1"/>
      <w:numFmt w:val="bullet"/>
      <w:lvlText w:val="o"/>
      <w:lvlJc w:val="left"/>
      <w:pPr>
        <w:ind w:left="6469" w:hanging="360"/>
      </w:pPr>
      <w:rPr>
        <w:rFonts w:ascii="Courier New" w:hAnsi="Courier New" w:hint="default"/>
      </w:rPr>
    </w:lvl>
    <w:lvl w:ilvl="8" w:tplc="040C0005" w:tentative="1">
      <w:start w:val="1"/>
      <w:numFmt w:val="bullet"/>
      <w:lvlText w:val=""/>
      <w:lvlJc w:val="left"/>
      <w:pPr>
        <w:ind w:left="7189" w:hanging="360"/>
      </w:pPr>
      <w:rPr>
        <w:rFonts w:ascii="Wingdings" w:hAnsi="Wingdings" w:hint="default"/>
      </w:rPr>
    </w:lvl>
  </w:abstractNum>
  <w:abstractNum w:abstractNumId="70">
    <w:nsid w:val="657756E2"/>
    <w:multiLevelType w:val="hybridMultilevel"/>
    <w:tmpl w:val="C0C2540E"/>
    <w:lvl w:ilvl="0" w:tplc="DA9C0A92">
      <w:numFmt w:val="bullet"/>
      <w:lvlText w:val="-"/>
      <w:lvlJc w:val="left"/>
      <w:pPr>
        <w:ind w:left="720" w:hanging="360"/>
      </w:pPr>
      <w:rPr>
        <w:rFonts w:ascii="Georgia" w:eastAsia="Calibri" w:hAnsi="Georgia" w:cs="Times New Roman"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71">
    <w:nsid w:val="660757C3"/>
    <w:multiLevelType w:val="hybridMultilevel"/>
    <w:tmpl w:val="6FE4EC9A"/>
    <w:lvl w:ilvl="0" w:tplc="A9165C8A">
      <w:start w:val="1"/>
      <w:numFmt w:val="bullet"/>
      <w:lvlText w:val="-"/>
      <w:lvlJc w:val="left"/>
      <w:pPr>
        <w:ind w:left="720" w:hanging="360"/>
      </w:pPr>
      <w:rPr>
        <w:rFonts w:ascii="Calibri" w:hAnsi="Calibri"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2">
    <w:nsid w:val="662A33DB"/>
    <w:multiLevelType w:val="hybridMultilevel"/>
    <w:tmpl w:val="217A8948"/>
    <w:lvl w:ilvl="0" w:tplc="E044151A">
      <w:start w:val="1"/>
      <w:numFmt w:val="bullet"/>
      <w:pStyle w:val="Listenumros"/>
      <w:lvlText w:val="◘"/>
      <w:lvlJc w:val="left"/>
      <w:pPr>
        <w:tabs>
          <w:tab w:val="num" w:pos="720"/>
        </w:tabs>
        <w:ind w:left="720" w:hanging="360"/>
      </w:pPr>
      <w:rPr>
        <w:rFonts w:ascii="Arial" w:hAnsi="Arial" w:cs="Arial" w:hint="default"/>
        <w:sz w:val="14"/>
        <w:szCs w:val="14"/>
      </w:rPr>
    </w:lvl>
    <w:lvl w:ilvl="1" w:tplc="07209722">
      <w:start w:val="1"/>
      <w:numFmt w:val="bullet"/>
      <w:pStyle w:val="Bulletniveau2"/>
      <w:lvlText w:val="–"/>
      <w:lvlJc w:val="left"/>
      <w:pPr>
        <w:tabs>
          <w:tab w:val="num" w:pos="1080"/>
        </w:tabs>
        <w:ind w:left="1080" w:hanging="360"/>
      </w:pPr>
      <w:rPr>
        <w:rFonts w:ascii="Times New Roman" w:hAnsi="Times New Roman" w:cs="Times New Roman" w:hint="default"/>
        <w:sz w:val="14"/>
        <w:szCs w:val="14"/>
      </w:rPr>
    </w:lvl>
    <w:lvl w:ilvl="2" w:tplc="78446D34">
      <w:start w:val="1"/>
      <w:numFmt w:val="bullet"/>
      <w:pStyle w:val="BulletNiveau3"/>
      <w:lvlText w:val="–"/>
      <w:lvlJc w:val="left"/>
      <w:pPr>
        <w:tabs>
          <w:tab w:val="num" w:pos="2917"/>
        </w:tabs>
        <w:ind w:left="2917" w:hanging="360"/>
      </w:pPr>
      <w:rPr>
        <w:rFonts w:ascii="Times New Roman" w:hAnsi="Times New Roman" w:cs="Times New Roman" w:hint="default"/>
        <w:szCs w:val="14"/>
      </w:rPr>
    </w:lvl>
    <w:lvl w:ilvl="3" w:tplc="E9AAAD84">
      <w:start w:val="1"/>
      <w:numFmt w:val="decimal"/>
      <w:lvlText w:val="(%4)"/>
      <w:lvlJc w:val="left"/>
      <w:pPr>
        <w:tabs>
          <w:tab w:val="num" w:pos="1800"/>
        </w:tabs>
        <w:ind w:left="1800" w:hanging="360"/>
      </w:pPr>
      <w:rPr>
        <w:rFonts w:hint="default"/>
      </w:rPr>
    </w:lvl>
    <w:lvl w:ilvl="4" w:tplc="43DA6DB2">
      <w:start w:val="1"/>
      <w:numFmt w:val="lowerLetter"/>
      <w:lvlText w:val="(%5)"/>
      <w:lvlJc w:val="left"/>
      <w:pPr>
        <w:tabs>
          <w:tab w:val="num" w:pos="2160"/>
        </w:tabs>
        <w:ind w:left="2160" w:hanging="360"/>
      </w:pPr>
      <w:rPr>
        <w:rFonts w:hint="default"/>
      </w:rPr>
    </w:lvl>
    <w:lvl w:ilvl="5" w:tplc="D7E27AF6">
      <w:start w:val="1"/>
      <w:numFmt w:val="lowerRoman"/>
      <w:lvlText w:val="(%6)"/>
      <w:lvlJc w:val="left"/>
      <w:pPr>
        <w:tabs>
          <w:tab w:val="num" w:pos="2520"/>
        </w:tabs>
        <w:ind w:left="2520" w:hanging="360"/>
      </w:pPr>
      <w:rPr>
        <w:rFonts w:hint="default"/>
      </w:rPr>
    </w:lvl>
    <w:lvl w:ilvl="6" w:tplc="D4880F90">
      <w:start w:val="1"/>
      <w:numFmt w:val="upperRoman"/>
      <w:lvlText w:val="%7."/>
      <w:lvlJc w:val="left"/>
      <w:pPr>
        <w:tabs>
          <w:tab w:val="num" w:pos="2880"/>
        </w:tabs>
        <w:ind w:left="2880" w:hanging="360"/>
      </w:pPr>
      <w:rPr>
        <w:rFonts w:hint="default"/>
      </w:rPr>
    </w:lvl>
    <w:lvl w:ilvl="7" w:tplc="7728AB5A">
      <w:start w:val="1"/>
      <w:numFmt w:val="lowerLetter"/>
      <w:lvlText w:val="%8."/>
      <w:lvlJc w:val="left"/>
      <w:pPr>
        <w:tabs>
          <w:tab w:val="num" w:pos="3240"/>
        </w:tabs>
        <w:ind w:left="3240" w:hanging="360"/>
      </w:pPr>
      <w:rPr>
        <w:rFonts w:hint="default"/>
      </w:rPr>
    </w:lvl>
    <w:lvl w:ilvl="8" w:tplc="0694CEA4">
      <w:start w:val="1"/>
      <w:numFmt w:val="lowerRoman"/>
      <w:lvlText w:val="%9."/>
      <w:lvlJc w:val="left"/>
      <w:pPr>
        <w:tabs>
          <w:tab w:val="num" w:pos="3600"/>
        </w:tabs>
        <w:ind w:left="3600" w:hanging="360"/>
      </w:pPr>
      <w:rPr>
        <w:rFonts w:hint="default"/>
      </w:rPr>
    </w:lvl>
  </w:abstractNum>
  <w:abstractNum w:abstractNumId="73">
    <w:nsid w:val="675445D5"/>
    <w:multiLevelType w:val="hybridMultilevel"/>
    <w:tmpl w:val="7150A612"/>
    <w:lvl w:ilvl="0" w:tplc="E74E27E6">
      <w:start w:val="4"/>
      <w:numFmt w:val="bullet"/>
      <w:lvlText w:val="-"/>
      <w:lvlJc w:val="left"/>
      <w:pPr>
        <w:ind w:left="720" w:hanging="360"/>
      </w:pPr>
      <w:rPr>
        <w:rFonts w:ascii="Calibri" w:eastAsiaTheme="minorEastAsia" w:hAnsi="Calibri" w:cstheme="minorBidi" w:hint="default"/>
      </w:r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74">
    <w:nsid w:val="68251F6D"/>
    <w:multiLevelType w:val="hybridMultilevel"/>
    <w:tmpl w:val="BD9ECFD4"/>
    <w:lvl w:ilvl="0" w:tplc="A9165C8A">
      <w:start w:val="1"/>
      <w:numFmt w:val="bullet"/>
      <w:lvlText w:val="-"/>
      <w:lvlJc w:val="left"/>
      <w:pPr>
        <w:ind w:left="720" w:hanging="360"/>
      </w:pPr>
      <w:rPr>
        <w:rFonts w:ascii="Calibri" w:hAnsi="Calibri"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5">
    <w:nsid w:val="6AE929B1"/>
    <w:multiLevelType w:val="hybridMultilevel"/>
    <w:tmpl w:val="2398E920"/>
    <w:lvl w:ilvl="0" w:tplc="7CE01634">
      <w:start w:val="4"/>
      <w:numFmt w:val="bullet"/>
      <w:lvlText w:val="-"/>
      <w:lvlJc w:val="left"/>
      <w:pPr>
        <w:ind w:left="720" w:hanging="360"/>
      </w:pPr>
      <w:rPr>
        <w:rFonts w:ascii="Calibri" w:eastAsia="Times New Roman" w:hAnsi="Calibri"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6">
    <w:nsid w:val="6AF32F9E"/>
    <w:multiLevelType w:val="hybridMultilevel"/>
    <w:tmpl w:val="12B649E2"/>
    <w:lvl w:ilvl="0" w:tplc="E74E27E6">
      <w:start w:val="4"/>
      <w:numFmt w:val="bullet"/>
      <w:lvlText w:val="-"/>
      <w:lvlJc w:val="left"/>
      <w:pPr>
        <w:ind w:left="720" w:hanging="360"/>
      </w:pPr>
      <w:rPr>
        <w:rFonts w:ascii="Calibri" w:eastAsiaTheme="minorEastAsia" w:hAnsi="Calibri" w:cstheme="minorBidi" w:hint="default"/>
      </w:rPr>
    </w:lvl>
    <w:lvl w:ilvl="1" w:tplc="EE806554">
      <w:start w:val="1"/>
      <w:numFmt w:val="bullet"/>
      <w:lvlText w:val="o"/>
      <w:lvlJc w:val="left"/>
      <w:pPr>
        <w:ind w:left="1440" w:hanging="360"/>
      </w:pPr>
      <w:rPr>
        <w:rFonts w:ascii="Courier New" w:hAnsi="Courier New" w:hint="default"/>
      </w:rPr>
    </w:lvl>
    <w:lvl w:ilvl="2" w:tplc="DEA05742">
      <w:start w:val="1"/>
      <w:numFmt w:val="bullet"/>
      <w:lvlText w:val=""/>
      <w:lvlJc w:val="left"/>
      <w:pPr>
        <w:ind w:left="2160" w:hanging="360"/>
      </w:pPr>
      <w:rPr>
        <w:rFonts w:ascii="Wingdings" w:hAnsi="Wingdings" w:hint="default"/>
      </w:rPr>
    </w:lvl>
    <w:lvl w:ilvl="3" w:tplc="16FE7DA4">
      <w:start w:val="1"/>
      <w:numFmt w:val="bullet"/>
      <w:lvlText w:val=""/>
      <w:lvlJc w:val="left"/>
      <w:pPr>
        <w:ind w:left="2880" w:hanging="360"/>
      </w:pPr>
      <w:rPr>
        <w:rFonts w:ascii="Symbol" w:hAnsi="Symbol" w:hint="default"/>
      </w:rPr>
    </w:lvl>
    <w:lvl w:ilvl="4" w:tplc="A0044E1C">
      <w:start w:val="1"/>
      <w:numFmt w:val="bullet"/>
      <w:lvlText w:val="o"/>
      <w:lvlJc w:val="left"/>
      <w:pPr>
        <w:ind w:left="3600" w:hanging="360"/>
      </w:pPr>
      <w:rPr>
        <w:rFonts w:ascii="Courier New" w:hAnsi="Courier New" w:hint="default"/>
      </w:rPr>
    </w:lvl>
    <w:lvl w:ilvl="5" w:tplc="05B8CC84">
      <w:start w:val="1"/>
      <w:numFmt w:val="bullet"/>
      <w:lvlText w:val=""/>
      <w:lvlJc w:val="left"/>
      <w:pPr>
        <w:ind w:left="4320" w:hanging="360"/>
      </w:pPr>
      <w:rPr>
        <w:rFonts w:ascii="Wingdings" w:hAnsi="Wingdings" w:hint="default"/>
      </w:rPr>
    </w:lvl>
    <w:lvl w:ilvl="6" w:tplc="A0266FC0">
      <w:start w:val="1"/>
      <w:numFmt w:val="bullet"/>
      <w:lvlText w:val=""/>
      <w:lvlJc w:val="left"/>
      <w:pPr>
        <w:ind w:left="5040" w:hanging="360"/>
      </w:pPr>
      <w:rPr>
        <w:rFonts w:ascii="Symbol" w:hAnsi="Symbol" w:hint="default"/>
      </w:rPr>
    </w:lvl>
    <w:lvl w:ilvl="7" w:tplc="7F6A8F46">
      <w:start w:val="1"/>
      <w:numFmt w:val="bullet"/>
      <w:lvlText w:val="o"/>
      <w:lvlJc w:val="left"/>
      <w:pPr>
        <w:ind w:left="5760" w:hanging="360"/>
      </w:pPr>
      <w:rPr>
        <w:rFonts w:ascii="Courier New" w:hAnsi="Courier New" w:hint="default"/>
      </w:rPr>
    </w:lvl>
    <w:lvl w:ilvl="8" w:tplc="F886C928">
      <w:start w:val="1"/>
      <w:numFmt w:val="bullet"/>
      <w:lvlText w:val=""/>
      <w:lvlJc w:val="left"/>
      <w:pPr>
        <w:ind w:left="6480" w:hanging="360"/>
      </w:pPr>
      <w:rPr>
        <w:rFonts w:ascii="Wingdings" w:hAnsi="Wingdings" w:hint="default"/>
      </w:rPr>
    </w:lvl>
  </w:abstractNum>
  <w:abstractNum w:abstractNumId="77">
    <w:nsid w:val="6E4E658B"/>
    <w:multiLevelType w:val="hybridMultilevel"/>
    <w:tmpl w:val="BEAECA1A"/>
    <w:lvl w:ilvl="0" w:tplc="E74E27E6">
      <w:start w:val="4"/>
      <w:numFmt w:val="bullet"/>
      <w:lvlText w:val="-"/>
      <w:lvlJc w:val="left"/>
      <w:pPr>
        <w:ind w:left="720" w:hanging="360"/>
      </w:pPr>
      <w:rPr>
        <w:rFonts w:ascii="Calibri" w:eastAsiaTheme="minorEastAsia" w:hAnsi="Calibri" w:cstheme="minorBidi"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8">
    <w:nsid w:val="6FE16201"/>
    <w:multiLevelType w:val="hybridMultilevel"/>
    <w:tmpl w:val="C274651E"/>
    <w:lvl w:ilvl="0" w:tplc="A9165C8A">
      <w:start w:val="1"/>
      <w:numFmt w:val="bullet"/>
      <w:lvlText w:val="-"/>
      <w:lvlJc w:val="left"/>
      <w:pPr>
        <w:ind w:left="720" w:hanging="360"/>
      </w:pPr>
      <w:rPr>
        <w:rFonts w:ascii="Calibri" w:hAnsi="Calibri"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9">
    <w:nsid w:val="70CC173B"/>
    <w:multiLevelType w:val="hybridMultilevel"/>
    <w:tmpl w:val="BBC4EC30"/>
    <w:lvl w:ilvl="0" w:tplc="E74E27E6">
      <w:start w:val="4"/>
      <w:numFmt w:val="bullet"/>
      <w:lvlText w:val="-"/>
      <w:lvlJc w:val="left"/>
      <w:pPr>
        <w:ind w:left="720" w:hanging="360"/>
      </w:pPr>
      <w:rPr>
        <w:rFonts w:ascii="Calibri" w:eastAsiaTheme="minorEastAsia" w:hAnsi="Calibri" w:cstheme="minorBidi" w:hint="default"/>
      </w:rPr>
    </w:lvl>
    <w:lvl w:ilvl="1" w:tplc="EE806554">
      <w:start w:val="1"/>
      <w:numFmt w:val="bullet"/>
      <w:lvlText w:val="o"/>
      <w:lvlJc w:val="left"/>
      <w:pPr>
        <w:ind w:left="1440" w:hanging="360"/>
      </w:pPr>
      <w:rPr>
        <w:rFonts w:ascii="Courier New" w:hAnsi="Courier New" w:hint="default"/>
      </w:rPr>
    </w:lvl>
    <w:lvl w:ilvl="2" w:tplc="DEA05742">
      <w:start w:val="1"/>
      <w:numFmt w:val="bullet"/>
      <w:lvlText w:val=""/>
      <w:lvlJc w:val="left"/>
      <w:pPr>
        <w:ind w:left="2160" w:hanging="360"/>
      </w:pPr>
      <w:rPr>
        <w:rFonts w:ascii="Wingdings" w:hAnsi="Wingdings" w:hint="default"/>
      </w:rPr>
    </w:lvl>
    <w:lvl w:ilvl="3" w:tplc="16FE7DA4">
      <w:start w:val="1"/>
      <w:numFmt w:val="bullet"/>
      <w:lvlText w:val=""/>
      <w:lvlJc w:val="left"/>
      <w:pPr>
        <w:ind w:left="2880" w:hanging="360"/>
      </w:pPr>
      <w:rPr>
        <w:rFonts w:ascii="Symbol" w:hAnsi="Symbol" w:hint="default"/>
      </w:rPr>
    </w:lvl>
    <w:lvl w:ilvl="4" w:tplc="A0044E1C">
      <w:start w:val="1"/>
      <w:numFmt w:val="bullet"/>
      <w:lvlText w:val="o"/>
      <w:lvlJc w:val="left"/>
      <w:pPr>
        <w:ind w:left="3600" w:hanging="360"/>
      </w:pPr>
      <w:rPr>
        <w:rFonts w:ascii="Courier New" w:hAnsi="Courier New" w:hint="default"/>
      </w:rPr>
    </w:lvl>
    <w:lvl w:ilvl="5" w:tplc="05B8CC84">
      <w:start w:val="1"/>
      <w:numFmt w:val="bullet"/>
      <w:lvlText w:val=""/>
      <w:lvlJc w:val="left"/>
      <w:pPr>
        <w:ind w:left="4320" w:hanging="360"/>
      </w:pPr>
      <w:rPr>
        <w:rFonts w:ascii="Wingdings" w:hAnsi="Wingdings" w:hint="default"/>
      </w:rPr>
    </w:lvl>
    <w:lvl w:ilvl="6" w:tplc="A0266FC0">
      <w:start w:val="1"/>
      <w:numFmt w:val="bullet"/>
      <w:lvlText w:val=""/>
      <w:lvlJc w:val="left"/>
      <w:pPr>
        <w:ind w:left="5040" w:hanging="360"/>
      </w:pPr>
      <w:rPr>
        <w:rFonts w:ascii="Symbol" w:hAnsi="Symbol" w:hint="default"/>
      </w:rPr>
    </w:lvl>
    <w:lvl w:ilvl="7" w:tplc="7F6A8F46">
      <w:start w:val="1"/>
      <w:numFmt w:val="bullet"/>
      <w:lvlText w:val="o"/>
      <w:lvlJc w:val="left"/>
      <w:pPr>
        <w:ind w:left="5760" w:hanging="360"/>
      </w:pPr>
      <w:rPr>
        <w:rFonts w:ascii="Courier New" w:hAnsi="Courier New" w:hint="default"/>
      </w:rPr>
    </w:lvl>
    <w:lvl w:ilvl="8" w:tplc="F886C928">
      <w:start w:val="1"/>
      <w:numFmt w:val="bullet"/>
      <w:lvlText w:val=""/>
      <w:lvlJc w:val="left"/>
      <w:pPr>
        <w:ind w:left="6480" w:hanging="360"/>
      </w:pPr>
      <w:rPr>
        <w:rFonts w:ascii="Wingdings" w:hAnsi="Wingdings" w:hint="default"/>
      </w:rPr>
    </w:lvl>
  </w:abstractNum>
  <w:abstractNum w:abstractNumId="80">
    <w:nsid w:val="710E0385"/>
    <w:multiLevelType w:val="hybridMultilevel"/>
    <w:tmpl w:val="6A5E3A34"/>
    <w:lvl w:ilvl="0" w:tplc="E74E27E6">
      <w:start w:val="4"/>
      <w:numFmt w:val="bullet"/>
      <w:lvlText w:val="-"/>
      <w:lvlJc w:val="left"/>
      <w:pPr>
        <w:ind w:left="1429" w:hanging="360"/>
      </w:pPr>
      <w:rPr>
        <w:rFonts w:ascii="Calibri" w:eastAsiaTheme="minorEastAsia" w:hAnsi="Calibri" w:cstheme="minorBidi" w:hint="default"/>
      </w:rPr>
    </w:lvl>
    <w:lvl w:ilvl="1" w:tplc="040C0003" w:tentative="1">
      <w:start w:val="1"/>
      <w:numFmt w:val="bullet"/>
      <w:lvlText w:val="o"/>
      <w:lvlJc w:val="left"/>
      <w:pPr>
        <w:ind w:left="2149" w:hanging="360"/>
      </w:pPr>
      <w:rPr>
        <w:rFonts w:ascii="Courier New" w:hAnsi="Courier New" w:hint="default"/>
      </w:rPr>
    </w:lvl>
    <w:lvl w:ilvl="2" w:tplc="040C0005" w:tentative="1">
      <w:start w:val="1"/>
      <w:numFmt w:val="bullet"/>
      <w:lvlText w:val=""/>
      <w:lvlJc w:val="left"/>
      <w:pPr>
        <w:ind w:left="2869" w:hanging="360"/>
      </w:pPr>
      <w:rPr>
        <w:rFonts w:ascii="Wingdings" w:hAnsi="Wingdings" w:hint="default"/>
      </w:rPr>
    </w:lvl>
    <w:lvl w:ilvl="3" w:tplc="040C0001" w:tentative="1">
      <w:start w:val="1"/>
      <w:numFmt w:val="bullet"/>
      <w:lvlText w:val=""/>
      <w:lvlJc w:val="left"/>
      <w:pPr>
        <w:ind w:left="3589" w:hanging="360"/>
      </w:pPr>
      <w:rPr>
        <w:rFonts w:ascii="Symbol" w:hAnsi="Symbol" w:hint="default"/>
      </w:rPr>
    </w:lvl>
    <w:lvl w:ilvl="4" w:tplc="040C0003" w:tentative="1">
      <w:start w:val="1"/>
      <w:numFmt w:val="bullet"/>
      <w:lvlText w:val="o"/>
      <w:lvlJc w:val="left"/>
      <w:pPr>
        <w:ind w:left="4309" w:hanging="360"/>
      </w:pPr>
      <w:rPr>
        <w:rFonts w:ascii="Courier New" w:hAnsi="Courier New" w:hint="default"/>
      </w:rPr>
    </w:lvl>
    <w:lvl w:ilvl="5" w:tplc="040C0005" w:tentative="1">
      <w:start w:val="1"/>
      <w:numFmt w:val="bullet"/>
      <w:lvlText w:val=""/>
      <w:lvlJc w:val="left"/>
      <w:pPr>
        <w:ind w:left="5029" w:hanging="360"/>
      </w:pPr>
      <w:rPr>
        <w:rFonts w:ascii="Wingdings" w:hAnsi="Wingdings" w:hint="default"/>
      </w:rPr>
    </w:lvl>
    <w:lvl w:ilvl="6" w:tplc="040C0001" w:tentative="1">
      <w:start w:val="1"/>
      <w:numFmt w:val="bullet"/>
      <w:lvlText w:val=""/>
      <w:lvlJc w:val="left"/>
      <w:pPr>
        <w:ind w:left="5749" w:hanging="360"/>
      </w:pPr>
      <w:rPr>
        <w:rFonts w:ascii="Symbol" w:hAnsi="Symbol" w:hint="default"/>
      </w:rPr>
    </w:lvl>
    <w:lvl w:ilvl="7" w:tplc="040C0003" w:tentative="1">
      <w:start w:val="1"/>
      <w:numFmt w:val="bullet"/>
      <w:lvlText w:val="o"/>
      <w:lvlJc w:val="left"/>
      <w:pPr>
        <w:ind w:left="6469" w:hanging="360"/>
      </w:pPr>
      <w:rPr>
        <w:rFonts w:ascii="Courier New" w:hAnsi="Courier New" w:hint="default"/>
      </w:rPr>
    </w:lvl>
    <w:lvl w:ilvl="8" w:tplc="040C0005" w:tentative="1">
      <w:start w:val="1"/>
      <w:numFmt w:val="bullet"/>
      <w:lvlText w:val=""/>
      <w:lvlJc w:val="left"/>
      <w:pPr>
        <w:ind w:left="7189" w:hanging="360"/>
      </w:pPr>
      <w:rPr>
        <w:rFonts w:ascii="Wingdings" w:hAnsi="Wingdings" w:hint="default"/>
      </w:rPr>
    </w:lvl>
  </w:abstractNum>
  <w:abstractNum w:abstractNumId="81">
    <w:nsid w:val="725902E5"/>
    <w:multiLevelType w:val="hybridMultilevel"/>
    <w:tmpl w:val="CAF6F09C"/>
    <w:lvl w:ilvl="0" w:tplc="E74E27E6">
      <w:start w:val="4"/>
      <w:numFmt w:val="bullet"/>
      <w:lvlText w:val="-"/>
      <w:lvlJc w:val="left"/>
      <w:pPr>
        <w:ind w:left="720" w:hanging="360"/>
      </w:pPr>
      <w:rPr>
        <w:rFonts w:ascii="Calibri" w:eastAsiaTheme="minorEastAsia" w:hAnsi="Calibri" w:cstheme="minorBidi"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2">
    <w:nsid w:val="74065FC1"/>
    <w:multiLevelType w:val="hybridMultilevel"/>
    <w:tmpl w:val="9EC208F6"/>
    <w:lvl w:ilvl="0" w:tplc="12B06184">
      <w:start w:val="509"/>
      <w:numFmt w:val="bullet"/>
      <w:lvlText w:val="-"/>
      <w:lvlJc w:val="left"/>
      <w:pPr>
        <w:ind w:left="1080" w:hanging="360"/>
      </w:pPr>
      <w:rPr>
        <w:rFonts w:ascii="Segoe UI" w:eastAsia="Times New Roman" w:hAnsi="Segoe UI" w:cs="Segoe UI"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83">
    <w:nsid w:val="740960DE"/>
    <w:multiLevelType w:val="hybridMultilevel"/>
    <w:tmpl w:val="1E1C8058"/>
    <w:lvl w:ilvl="0" w:tplc="27C64F42">
      <w:start w:val="4"/>
      <w:numFmt w:val="bullet"/>
      <w:lvlText w:val="-"/>
      <w:lvlJc w:val="left"/>
      <w:pPr>
        <w:ind w:left="720" w:hanging="360"/>
      </w:pPr>
      <w:rPr>
        <w:rFonts w:ascii="Calibri" w:eastAsiaTheme="minorEastAsia"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4">
    <w:nsid w:val="7459571C"/>
    <w:multiLevelType w:val="hybridMultilevel"/>
    <w:tmpl w:val="4048703C"/>
    <w:lvl w:ilvl="0" w:tplc="E74E27E6">
      <w:start w:val="4"/>
      <w:numFmt w:val="bullet"/>
      <w:lvlText w:val="-"/>
      <w:lvlJc w:val="left"/>
      <w:pPr>
        <w:ind w:left="1080" w:hanging="360"/>
      </w:pPr>
      <w:rPr>
        <w:rFonts w:ascii="Calibri" w:eastAsiaTheme="minorEastAsia" w:hAnsi="Calibri" w:cstheme="minorBidi" w:hint="default"/>
      </w:rPr>
    </w:lvl>
    <w:lvl w:ilvl="1" w:tplc="040C0003" w:tentative="1">
      <w:start w:val="1"/>
      <w:numFmt w:val="bullet"/>
      <w:lvlText w:val="o"/>
      <w:lvlJc w:val="left"/>
      <w:pPr>
        <w:ind w:left="1800" w:hanging="360"/>
      </w:pPr>
      <w:rPr>
        <w:rFonts w:ascii="Courier New" w:hAnsi="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85">
    <w:nsid w:val="77041664"/>
    <w:multiLevelType w:val="hybridMultilevel"/>
    <w:tmpl w:val="19E8244A"/>
    <w:lvl w:ilvl="0" w:tplc="E74E27E6">
      <w:start w:val="4"/>
      <w:numFmt w:val="bullet"/>
      <w:lvlText w:val="-"/>
      <w:lvlJc w:val="left"/>
      <w:pPr>
        <w:ind w:left="720" w:hanging="360"/>
      </w:pPr>
      <w:rPr>
        <w:rFonts w:ascii="Calibri" w:eastAsiaTheme="minorEastAsia" w:hAnsi="Calibri" w:cstheme="minorBidi"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6">
    <w:nsid w:val="775F57F4"/>
    <w:multiLevelType w:val="hybridMultilevel"/>
    <w:tmpl w:val="F18899D6"/>
    <w:lvl w:ilvl="0" w:tplc="040C0003">
      <w:start w:val="1"/>
      <w:numFmt w:val="bullet"/>
      <w:lvlText w:val="o"/>
      <w:lvlJc w:val="left"/>
      <w:pPr>
        <w:tabs>
          <w:tab w:val="num" w:pos="-64"/>
        </w:tabs>
        <w:ind w:left="-64" w:hanging="360"/>
      </w:pPr>
      <w:rPr>
        <w:rFonts w:ascii="Courier New" w:hAnsi="Courier New" w:cs="Courier New" w:hint="default"/>
      </w:rPr>
    </w:lvl>
    <w:lvl w:ilvl="1" w:tplc="040C0003" w:tentative="1">
      <w:start w:val="1"/>
      <w:numFmt w:val="bullet"/>
      <w:lvlText w:val="o"/>
      <w:lvlJc w:val="left"/>
      <w:pPr>
        <w:ind w:left="656" w:hanging="360"/>
      </w:pPr>
      <w:rPr>
        <w:rFonts w:ascii="Courier New" w:hAnsi="Courier New" w:hint="default"/>
      </w:rPr>
    </w:lvl>
    <w:lvl w:ilvl="2" w:tplc="040C0005" w:tentative="1">
      <w:start w:val="1"/>
      <w:numFmt w:val="bullet"/>
      <w:lvlText w:val=""/>
      <w:lvlJc w:val="left"/>
      <w:pPr>
        <w:ind w:left="1376" w:hanging="360"/>
      </w:pPr>
      <w:rPr>
        <w:rFonts w:ascii="Wingdings" w:hAnsi="Wingdings" w:hint="default"/>
      </w:rPr>
    </w:lvl>
    <w:lvl w:ilvl="3" w:tplc="040C0001" w:tentative="1">
      <w:start w:val="1"/>
      <w:numFmt w:val="bullet"/>
      <w:lvlText w:val=""/>
      <w:lvlJc w:val="left"/>
      <w:pPr>
        <w:ind w:left="2096" w:hanging="360"/>
      </w:pPr>
      <w:rPr>
        <w:rFonts w:ascii="Symbol" w:hAnsi="Symbol" w:hint="default"/>
      </w:rPr>
    </w:lvl>
    <w:lvl w:ilvl="4" w:tplc="040C0003" w:tentative="1">
      <w:start w:val="1"/>
      <w:numFmt w:val="bullet"/>
      <w:lvlText w:val="o"/>
      <w:lvlJc w:val="left"/>
      <w:pPr>
        <w:ind w:left="2816" w:hanging="360"/>
      </w:pPr>
      <w:rPr>
        <w:rFonts w:ascii="Courier New" w:hAnsi="Courier New" w:hint="default"/>
      </w:rPr>
    </w:lvl>
    <w:lvl w:ilvl="5" w:tplc="040C0005" w:tentative="1">
      <w:start w:val="1"/>
      <w:numFmt w:val="bullet"/>
      <w:lvlText w:val=""/>
      <w:lvlJc w:val="left"/>
      <w:pPr>
        <w:ind w:left="3536" w:hanging="360"/>
      </w:pPr>
      <w:rPr>
        <w:rFonts w:ascii="Wingdings" w:hAnsi="Wingdings" w:hint="default"/>
      </w:rPr>
    </w:lvl>
    <w:lvl w:ilvl="6" w:tplc="040C0001" w:tentative="1">
      <w:start w:val="1"/>
      <w:numFmt w:val="bullet"/>
      <w:lvlText w:val=""/>
      <w:lvlJc w:val="left"/>
      <w:pPr>
        <w:ind w:left="4256" w:hanging="360"/>
      </w:pPr>
      <w:rPr>
        <w:rFonts w:ascii="Symbol" w:hAnsi="Symbol" w:hint="default"/>
      </w:rPr>
    </w:lvl>
    <w:lvl w:ilvl="7" w:tplc="040C0003" w:tentative="1">
      <w:start w:val="1"/>
      <w:numFmt w:val="bullet"/>
      <w:lvlText w:val="o"/>
      <w:lvlJc w:val="left"/>
      <w:pPr>
        <w:ind w:left="4976" w:hanging="360"/>
      </w:pPr>
      <w:rPr>
        <w:rFonts w:ascii="Courier New" w:hAnsi="Courier New" w:hint="default"/>
      </w:rPr>
    </w:lvl>
    <w:lvl w:ilvl="8" w:tplc="040C0005" w:tentative="1">
      <w:start w:val="1"/>
      <w:numFmt w:val="bullet"/>
      <w:lvlText w:val=""/>
      <w:lvlJc w:val="left"/>
      <w:pPr>
        <w:ind w:left="5696" w:hanging="360"/>
      </w:pPr>
      <w:rPr>
        <w:rFonts w:ascii="Wingdings" w:hAnsi="Wingdings" w:hint="default"/>
      </w:rPr>
    </w:lvl>
  </w:abstractNum>
  <w:abstractNum w:abstractNumId="87">
    <w:nsid w:val="77F07643"/>
    <w:multiLevelType w:val="hybridMultilevel"/>
    <w:tmpl w:val="97AAC0A4"/>
    <w:lvl w:ilvl="0" w:tplc="0EA6688A">
      <w:start w:val="1"/>
      <w:numFmt w:val="bullet"/>
      <w:lvlText w:val=""/>
      <w:lvlJc w:val="left"/>
      <w:pPr>
        <w:tabs>
          <w:tab w:val="num" w:pos="1440"/>
        </w:tabs>
        <w:ind w:left="1440" w:hanging="360"/>
      </w:pPr>
      <w:rPr>
        <w:rFonts w:ascii="Symbol" w:hAnsi="Symbol" w:hint="default"/>
        <w:sz w:val="16"/>
      </w:rPr>
    </w:lvl>
    <w:lvl w:ilvl="1" w:tplc="040C0003">
      <w:start w:val="1"/>
      <w:numFmt w:val="bullet"/>
      <w:lvlText w:val="o"/>
      <w:lvlJc w:val="left"/>
      <w:pPr>
        <w:tabs>
          <w:tab w:val="num" w:pos="1440"/>
        </w:tabs>
        <w:ind w:left="1440" w:hanging="360"/>
      </w:pPr>
      <w:rPr>
        <w:rFonts w:ascii="Courier New" w:hAnsi="Courier New" w:cs="Courier New" w:hint="default"/>
      </w:rPr>
    </w:lvl>
    <w:lvl w:ilvl="2" w:tplc="040C0005">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88">
    <w:nsid w:val="781767C2"/>
    <w:multiLevelType w:val="hybridMultilevel"/>
    <w:tmpl w:val="B6789152"/>
    <w:lvl w:ilvl="0" w:tplc="8DF8EF24">
      <w:start w:val="1"/>
      <w:numFmt w:val="bullet"/>
      <w:lvlText w:val=""/>
      <w:lvlJc w:val="left"/>
      <w:pPr>
        <w:tabs>
          <w:tab w:val="num" w:pos="720"/>
        </w:tabs>
        <w:ind w:left="720" w:hanging="360"/>
      </w:pPr>
      <w:rPr>
        <w:rFonts w:ascii="Symbol" w:hAnsi="Symbol" w:hint="default"/>
        <w:sz w:val="20"/>
      </w:rPr>
    </w:lvl>
    <w:lvl w:ilvl="1" w:tplc="D6DEB236" w:tentative="1">
      <w:start w:val="1"/>
      <w:numFmt w:val="bullet"/>
      <w:lvlText w:val=""/>
      <w:lvlJc w:val="left"/>
      <w:pPr>
        <w:tabs>
          <w:tab w:val="num" w:pos="1440"/>
        </w:tabs>
        <w:ind w:left="1440" w:hanging="360"/>
      </w:pPr>
      <w:rPr>
        <w:rFonts w:ascii="Symbol" w:hAnsi="Symbol" w:hint="default"/>
        <w:sz w:val="20"/>
      </w:rPr>
    </w:lvl>
    <w:lvl w:ilvl="2" w:tplc="5162A302" w:tentative="1">
      <w:start w:val="1"/>
      <w:numFmt w:val="bullet"/>
      <w:lvlText w:val=""/>
      <w:lvlJc w:val="left"/>
      <w:pPr>
        <w:tabs>
          <w:tab w:val="num" w:pos="2160"/>
        </w:tabs>
        <w:ind w:left="2160" w:hanging="360"/>
      </w:pPr>
      <w:rPr>
        <w:rFonts w:ascii="Symbol" w:hAnsi="Symbol" w:hint="default"/>
        <w:sz w:val="20"/>
      </w:rPr>
    </w:lvl>
    <w:lvl w:ilvl="3" w:tplc="315ACFD2" w:tentative="1">
      <w:start w:val="1"/>
      <w:numFmt w:val="bullet"/>
      <w:lvlText w:val=""/>
      <w:lvlJc w:val="left"/>
      <w:pPr>
        <w:tabs>
          <w:tab w:val="num" w:pos="2880"/>
        </w:tabs>
        <w:ind w:left="2880" w:hanging="360"/>
      </w:pPr>
      <w:rPr>
        <w:rFonts w:ascii="Symbol" w:hAnsi="Symbol" w:hint="default"/>
        <w:sz w:val="20"/>
      </w:rPr>
    </w:lvl>
    <w:lvl w:ilvl="4" w:tplc="59161E12" w:tentative="1">
      <w:start w:val="1"/>
      <w:numFmt w:val="bullet"/>
      <w:lvlText w:val=""/>
      <w:lvlJc w:val="left"/>
      <w:pPr>
        <w:tabs>
          <w:tab w:val="num" w:pos="3600"/>
        </w:tabs>
        <w:ind w:left="3600" w:hanging="360"/>
      </w:pPr>
      <w:rPr>
        <w:rFonts w:ascii="Symbol" w:hAnsi="Symbol" w:hint="default"/>
        <w:sz w:val="20"/>
      </w:rPr>
    </w:lvl>
    <w:lvl w:ilvl="5" w:tplc="F836BCCE" w:tentative="1">
      <w:start w:val="1"/>
      <w:numFmt w:val="bullet"/>
      <w:lvlText w:val=""/>
      <w:lvlJc w:val="left"/>
      <w:pPr>
        <w:tabs>
          <w:tab w:val="num" w:pos="4320"/>
        </w:tabs>
        <w:ind w:left="4320" w:hanging="360"/>
      </w:pPr>
      <w:rPr>
        <w:rFonts w:ascii="Symbol" w:hAnsi="Symbol" w:hint="default"/>
        <w:sz w:val="20"/>
      </w:rPr>
    </w:lvl>
    <w:lvl w:ilvl="6" w:tplc="A4A60DBE" w:tentative="1">
      <w:start w:val="1"/>
      <w:numFmt w:val="bullet"/>
      <w:lvlText w:val=""/>
      <w:lvlJc w:val="left"/>
      <w:pPr>
        <w:tabs>
          <w:tab w:val="num" w:pos="5040"/>
        </w:tabs>
        <w:ind w:left="5040" w:hanging="360"/>
      </w:pPr>
      <w:rPr>
        <w:rFonts w:ascii="Symbol" w:hAnsi="Symbol" w:hint="default"/>
        <w:sz w:val="20"/>
      </w:rPr>
    </w:lvl>
    <w:lvl w:ilvl="7" w:tplc="75B05C42" w:tentative="1">
      <w:start w:val="1"/>
      <w:numFmt w:val="bullet"/>
      <w:lvlText w:val=""/>
      <w:lvlJc w:val="left"/>
      <w:pPr>
        <w:tabs>
          <w:tab w:val="num" w:pos="5760"/>
        </w:tabs>
        <w:ind w:left="5760" w:hanging="360"/>
      </w:pPr>
      <w:rPr>
        <w:rFonts w:ascii="Symbol" w:hAnsi="Symbol" w:hint="default"/>
        <w:sz w:val="20"/>
      </w:rPr>
    </w:lvl>
    <w:lvl w:ilvl="8" w:tplc="AABC6532" w:tentative="1">
      <w:start w:val="1"/>
      <w:numFmt w:val="bullet"/>
      <w:lvlText w:val=""/>
      <w:lvlJc w:val="left"/>
      <w:pPr>
        <w:tabs>
          <w:tab w:val="num" w:pos="6480"/>
        </w:tabs>
        <w:ind w:left="6480" w:hanging="360"/>
      </w:pPr>
      <w:rPr>
        <w:rFonts w:ascii="Symbol" w:hAnsi="Symbol" w:hint="default"/>
        <w:sz w:val="20"/>
      </w:rPr>
    </w:lvl>
  </w:abstractNum>
  <w:abstractNum w:abstractNumId="89">
    <w:nsid w:val="7AB97059"/>
    <w:multiLevelType w:val="hybridMultilevel"/>
    <w:tmpl w:val="A164EB5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0">
    <w:nsid w:val="7C1B7C12"/>
    <w:multiLevelType w:val="hybridMultilevel"/>
    <w:tmpl w:val="2006EABA"/>
    <w:lvl w:ilvl="0" w:tplc="E74E27E6">
      <w:start w:val="4"/>
      <w:numFmt w:val="bullet"/>
      <w:lvlText w:val="-"/>
      <w:lvlJc w:val="left"/>
      <w:pPr>
        <w:ind w:left="720" w:hanging="360"/>
      </w:pPr>
      <w:rPr>
        <w:rFonts w:ascii="Calibri" w:eastAsiaTheme="minorEastAsia" w:hAnsi="Calibri" w:cstheme="minorBidi"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27"/>
  </w:num>
  <w:num w:numId="2">
    <w:abstractNumId w:val="37"/>
  </w:num>
  <w:num w:numId="3">
    <w:abstractNumId w:val="6"/>
  </w:num>
  <w:num w:numId="4">
    <w:abstractNumId w:val="17"/>
  </w:num>
  <w:num w:numId="5">
    <w:abstractNumId w:val="28"/>
  </w:num>
  <w:num w:numId="6">
    <w:abstractNumId w:val="72"/>
  </w:num>
  <w:num w:numId="7">
    <w:abstractNumId w:val="85"/>
  </w:num>
  <w:num w:numId="8">
    <w:abstractNumId w:val="46"/>
  </w:num>
  <w:num w:numId="9">
    <w:abstractNumId w:val="65"/>
  </w:num>
  <w:num w:numId="10">
    <w:abstractNumId w:val="29"/>
  </w:num>
  <w:num w:numId="11">
    <w:abstractNumId w:val="26"/>
  </w:num>
  <w:num w:numId="12">
    <w:abstractNumId w:val="32"/>
  </w:num>
  <w:num w:numId="13">
    <w:abstractNumId w:val="10"/>
  </w:num>
  <w:num w:numId="14">
    <w:abstractNumId w:val="56"/>
  </w:num>
  <w:num w:numId="15">
    <w:abstractNumId w:val="24"/>
  </w:num>
  <w:num w:numId="16">
    <w:abstractNumId w:val="67"/>
  </w:num>
  <w:num w:numId="17">
    <w:abstractNumId w:val="40"/>
  </w:num>
  <w:num w:numId="18">
    <w:abstractNumId w:val="61"/>
  </w:num>
  <w:num w:numId="19">
    <w:abstractNumId w:val="86"/>
  </w:num>
  <w:num w:numId="20">
    <w:abstractNumId w:val="25"/>
  </w:num>
  <w:num w:numId="21">
    <w:abstractNumId w:val="87"/>
  </w:num>
  <w:num w:numId="22">
    <w:abstractNumId w:val="44"/>
  </w:num>
  <w:num w:numId="23">
    <w:abstractNumId w:val="15"/>
  </w:num>
  <w:num w:numId="24">
    <w:abstractNumId w:val="48"/>
  </w:num>
  <w:num w:numId="25">
    <w:abstractNumId w:val="62"/>
  </w:num>
  <w:num w:numId="26">
    <w:abstractNumId w:val="74"/>
  </w:num>
  <w:num w:numId="27">
    <w:abstractNumId w:val="64"/>
  </w:num>
  <w:num w:numId="28">
    <w:abstractNumId w:val="55"/>
  </w:num>
  <w:num w:numId="29">
    <w:abstractNumId w:val="42"/>
  </w:num>
  <w:num w:numId="30">
    <w:abstractNumId w:val="41"/>
  </w:num>
  <w:num w:numId="31">
    <w:abstractNumId w:val="53"/>
  </w:num>
  <w:num w:numId="32">
    <w:abstractNumId w:val="9"/>
  </w:num>
  <w:num w:numId="33">
    <w:abstractNumId w:val="23"/>
  </w:num>
  <w:num w:numId="34">
    <w:abstractNumId w:val="8"/>
  </w:num>
  <w:num w:numId="35">
    <w:abstractNumId w:val="71"/>
  </w:num>
  <w:num w:numId="36">
    <w:abstractNumId w:val="89"/>
  </w:num>
  <w:num w:numId="37">
    <w:abstractNumId w:val="63"/>
  </w:num>
  <w:num w:numId="38">
    <w:abstractNumId w:val="5"/>
  </w:num>
  <w:num w:numId="39">
    <w:abstractNumId w:val="84"/>
  </w:num>
  <w:num w:numId="40">
    <w:abstractNumId w:val="58"/>
  </w:num>
  <w:num w:numId="41">
    <w:abstractNumId w:val="16"/>
  </w:num>
  <w:num w:numId="42">
    <w:abstractNumId w:val="21"/>
  </w:num>
  <w:num w:numId="43">
    <w:abstractNumId w:val="30"/>
  </w:num>
  <w:num w:numId="44">
    <w:abstractNumId w:val="45"/>
  </w:num>
  <w:num w:numId="45">
    <w:abstractNumId w:val="11"/>
  </w:num>
  <w:num w:numId="46">
    <w:abstractNumId w:val="39"/>
  </w:num>
  <w:num w:numId="47">
    <w:abstractNumId w:val="73"/>
  </w:num>
  <w:num w:numId="48">
    <w:abstractNumId w:val="3"/>
  </w:num>
  <w:num w:numId="49">
    <w:abstractNumId w:val="49"/>
  </w:num>
  <w:num w:numId="50">
    <w:abstractNumId w:val="12"/>
  </w:num>
  <w:num w:numId="51">
    <w:abstractNumId w:val="38"/>
  </w:num>
  <w:num w:numId="52">
    <w:abstractNumId w:val="22"/>
  </w:num>
  <w:num w:numId="53">
    <w:abstractNumId w:val="0"/>
  </w:num>
  <w:num w:numId="54">
    <w:abstractNumId w:val="34"/>
  </w:num>
  <w:num w:numId="55">
    <w:abstractNumId w:val="33"/>
  </w:num>
  <w:num w:numId="56">
    <w:abstractNumId w:val="54"/>
  </w:num>
  <w:num w:numId="57">
    <w:abstractNumId w:val="31"/>
  </w:num>
  <w:num w:numId="58">
    <w:abstractNumId w:val="75"/>
  </w:num>
  <w:num w:numId="59">
    <w:abstractNumId w:val="7"/>
  </w:num>
  <w:num w:numId="60">
    <w:abstractNumId w:val="35"/>
  </w:num>
  <w:num w:numId="61">
    <w:abstractNumId w:val="36"/>
  </w:num>
  <w:num w:numId="62">
    <w:abstractNumId w:val="82"/>
  </w:num>
  <w:num w:numId="63">
    <w:abstractNumId w:val="81"/>
  </w:num>
  <w:num w:numId="64">
    <w:abstractNumId w:val="2"/>
  </w:num>
  <w:num w:numId="65">
    <w:abstractNumId w:val="1"/>
  </w:num>
  <w:num w:numId="66">
    <w:abstractNumId w:val="51"/>
  </w:num>
  <w:num w:numId="67">
    <w:abstractNumId w:val="4"/>
  </w:num>
  <w:num w:numId="68">
    <w:abstractNumId w:val="78"/>
  </w:num>
  <w:num w:numId="69">
    <w:abstractNumId w:val="77"/>
  </w:num>
  <w:num w:numId="70">
    <w:abstractNumId w:val="14"/>
  </w:num>
  <w:num w:numId="71">
    <w:abstractNumId w:val="50"/>
  </w:num>
  <w:num w:numId="72">
    <w:abstractNumId w:val="76"/>
  </w:num>
  <w:num w:numId="73">
    <w:abstractNumId w:val="79"/>
  </w:num>
  <w:num w:numId="74">
    <w:abstractNumId w:val="52"/>
  </w:num>
  <w:num w:numId="75">
    <w:abstractNumId w:val="59"/>
  </w:num>
  <w:num w:numId="76">
    <w:abstractNumId w:val="68"/>
  </w:num>
  <w:num w:numId="77">
    <w:abstractNumId w:val="19"/>
  </w:num>
  <w:num w:numId="78">
    <w:abstractNumId w:val="57"/>
  </w:num>
  <w:num w:numId="79">
    <w:abstractNumId w:val="66"/>
  </w:num>
  <w:num w:numId="80">
    <w:abstractNumId w:val="69"/>
  </w:num>
  <w:num w:numId="81">
    <w:abstractNumId w:val="18"/>
  </w:num>
  <w:num w:numId="82">
    <w:abstractNumId w:val="88"/>
  </w:num>
  <w:num w:numId="83">
    <w:abstractNumId w:val="13"/>
  </w:num>
  <w:num w:numId="84">
    <w:abstractNumId w:val="20"/>
  </w:num>
  <w:num w:numId="85">
    <w:abstractNumId w:val="70"/>
  </w:num>
  <w:num w:numId="86">
    <w:abstractNumId w:val="70"/>
  </w:num>
  <w:num w:numId="87">
    <w:abstractNumId w:val="83"/>
  </w:num>
  <w:num w:numId="88">
    <w:abstractNumId w:val="43"/>
  </w:num>
  <w:num w:numId="89">
    <w:abstractNumId w:val="80"/>
  </w:num>
  <w:num w:numId="90">
    <w:abstractNumId w:val="60"/>
  </w:num>
  <w:num w:numId="91">
    <w:abstractNumId w:val="90"/>
  </w:num>
  <w:num w:numId="92">
    <w:abstractNumId w:val="47"/>
  </w:num>
  <w:numIdMacAtCleanup w:val="91"/>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5:person w15:author="Alix AUCLAIR">
    <w15:presenceInfo w15:providerId="AD" w15:userId="S::aauclair@desfilisavocats.com::9aad723c-d965-4555-b449-61799bc53480"/>
  </w15:person>
  <w15:person w15:author="Lucie DEDEYSTERE">
    <w15:presenceInfo w15:providerId="AD" w15:userId="S::ldedeystere@desfilisavocats.com::f53cd7ce-1cd9-4bf1-82f7-e3b9b755f021"/>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220"/>
  <w:proofState w:grammar="clean"/>
  <w:defaultTabStop w:val="709"/>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52316"/>
    <w:rsid w:val="00001B74"/>
    <w:rsid w:val="00002E0C"/>
    <w:rsid w:val="00003029"/>
    <w:rsid w:val="00003105"/>
    <w:rsid w:val="000038E8"/>
    <w:rsid w:val="0000421D"/>
    <w:rsid w:val="00004267"/>
    <w:rsid w:val="000050CE"/>
    <w:rsid w:val="0000533D"/>
    <w:rsid w:val="00005861"/>
    <w:rsid w:val="0000697D"/>
    <w:rsid w:val="0000711A"/>
    <w:rsid w:val="00010CE7"/>
    <w:rsid w:val="00011158"/>
    <w:rsid w:val="000113EC"/>
    <w:rsid w:val="000120D9"/>
    <w:rsid w:val="0001251E"/>
    <w:rsid w:val="00013796"/>
    <w:rsid w:val="00013B5B"/>
    <w:rsid w:val="00013F26"/>
    <w:rsid w:val="0001419E"/>
    <w:rsid w:val="00014625"/>
    <w:rsid w:val="00016CB5"/>
    <w:rsid w:val="00016D04"/>
    <w:rsid w:val="0001790C"/>
    <w:rsid w:val="00017FF9"/>
    <w:rsid w:val="00021917"/>
    <w:rsid w:val="00021C5D"/>
    <w:rsid w:val="00022584"/>
    <w:rsid w:val="00022A58"/>
    <w:rsid w:val="00022F01"/>
    <w:rsid w:val="00022FDF"/>
    <w:rsid w:val="00025118"/>
    <w:rsid w:val="000255AE"/>
    <w:rsid w:val="00026053"/>
    <w:rsid w:val="00026073"/>
    <w:rsid w:val="0002761E"/>
    <w:rsid w:val="000278E1"/>
    <w:rsid w:val="00027A1E"/>
    <w:rsid w:val="00030C77"/>
    <w:rsid w:val="0003216F"/>
    <w:rsid w:val="0003286A"/>
    <w:rsid w:val="00032E3D"/>
    <w:rsid w:val="00033741"/>
    <w:rsid w:val="000340B3"/>
    <w:rsid w:val="000346A8"/>
    <w:rsid w:val="00034711"/>
    <w:rsid w:val="00034A94"/>
    <w:rsid w:val="00034F5D"/>
    <w:rsid w:val="000357E1"/>
    <w:rsid w:val="00035800"/>
    <w:rsid w:val="00035FD4"/>
    <w:rsid w:val="00036C72"/>
    <w:rsid w:val="00036D4A"/>
    <w:rsid w:val="00036E0A"/>
    <w:rsid w:val="000373DC"/>
    <w:rsid w:val="00040C7A"/>
    <w:rsid w:val="00040D9B"/>
    <w:rsid w:val="00041AB8"/>
    <w:rsid w:val="00043124"/>
    <w:rsid w:val="0004486F"/>
    <w:rsid w:val="000455E7"/>
    <w:rsid w:val="00046707"/>
    <w:rsid w:val="00046A70"/>
    <w:rsid w:val="00047523"/>
    <w:rsid w:val="0004761C"/>
    <w:rsid w:val="00047AB0"/>
    <w:rsid w:val="00047AED"/>
    <w:rsid w:val="000501E5"/>
    <w:rsid w:val="000506EF"/>
    <w:rsid w:val="00050AF3"/>
    <w:rsid w:val="00050C18"/>
    <w:rsid w:val="000511BB"/>
    <w:rsid w:val="000512BF"/>
    <w:rsid w:val="000518C0"/>
    <w:rsid w:val="00051CA0"/>
    <w:rsid w:val="00051DDD"/>
    <w:rsid w:val="00052898"/>
    <w:rsid w:val="00052F9D"/>
    <w:rsid w:val="00053CF0"/>
    <w:rsid w:val="00053E2A"/>
    <w:rsid w:val="00054FC3"/>
    <w:rsid w:val="000551EC"/>
    <w:rsid w:val="00055312"/>
    <w:rsid w:val="00055677"/>
    <w:rsid w:val="00055EA2"/>
    <w:rsid w:val="00057280"/>
    <w:rsid w:val="0005742C"/>
    <w:rsid w:val="00057492"/>
    <w:rsid w:val="00057631"/>
    <w:rsid w:val="00057815"/>
    <w:rsid w:val="00057931"/>
    <w:rsid w:val="000616F8"/>
    <w:rsid w:val="00061BCA"/>
    <w:rsid w:val="00061CCA"/>
    <w:rsid w:val="00061FF7"/>
    <w:rsid w:val="00063313"/>
    <w:rsid w:val="00064068"/>
    <w:rsid w:val="000654AF"/>
    <w:rsid w:val="000656E3"/>
    <w:rsid w:val="00065B20"/>
    <w:rsid w:val="00065BE8"/>
    <w:rsid w:val="00065CE7"/>
    <w:rsid w:val="00066468"/>
    <w:rsid w:val="00066A3F"/>
    <w:rsid w:val="00066D29"/>
    <w:rsid w:val="000672F7"/>
    <w:rsid w:val="0006744A"/>
    <w:rsid w:val="000676DC"/>
    <w:rsid w:val="00067E48"/>
    <w:rsid w:val="00071130"/>
    <w:rsid w:val="00074A7D"/>
    <w:rsid w:val="00075E72"/>
    <w:rsid w:val="00081097"/>
    <w:rsid w:val="0008179E"/>
    <w:rsid w:val="00081BBB"/>
    <w:rsid w:val="0008272F"/>
    <w:rsid w:val="00082731"/>
    <w:rsid w:val="00082B08"/>
    <w:rsid w:val="00082BF1"/>
    <w:rsid w:val="000837B3"/>
    <w:rsid w:val="00084469"/>
    <w:rsid w:val="0008467C"/>
    <w:rsid w:val="00085A88"/>
    <w:rsid w:val="00086507"/>
    <w:rsid w:val="000874E7"/>
    <w:rsid w:val="00087B02"/>
    <w:rsid w:val="00087E32"/>
    <w:rsid w:val="00090210"/>
    <w:rsid w:val="000902C9"/>
    <w:rsid w:val="00090C5F"/>
    <w:rsid w:val="000913A4"/>
    <w:rsid w:val="0009168E"/>
    <w:rsid w:val="0009178C"/>
    <w:rsid w:val="0009250D"/>
    <w:rsid w:val="0009322A"/>
    <w:rsid w:val="00093436"/>
    <w:rsid w:val="00093764"/>
    <w:rsid w:val="00094366"/>
    <w:rsid w:val="00094404"/>
    <w:rsid w:val="0009471C"/>
    <w:rsid w:val="000947B1"/>
    <w:rsid w:val="00095E6D"/>
    <w:rsid w:val="00096B93"/>
    <w:rsid w:val="00096F0F"/>
    <w:rsid w:val="0009794C"/>
    <w:rsid w:val="000A0255"/>
    <w:rsid w:val="000A06FA"/>
    <w:rsid w:val="000A0B9E"/>
    <w:rsid w:val="000A0E9B"/>
    <w:rsid w:val="000A1C6C"/>
    <w:rsid w:val="000A2925"/>
    <w:rsid w:val="000A2AE4"/>
    <w:rsid w:val="000A2E0E"/>
    <w:rsid w:val="000A3303"/>
    <w:rsid w:val="000A368E"/>
    <w:rsid w:val="000A3694"/>
    <w:rsid w:val="000A4C6D"/>
    <w:rsid w:val="000A6375"/>
    <w:rsid w:val="000A63B6"/>
    <w:rsid w:val="000A786B"/>
    <w:rsid w:val="000A790B"/>
    <w:rsid w:val="000B02F0"/>
    <w:rsid w:val="000B0329"/>
    <w:rsid w:val="000B09C4"/>
    <w:rsid w:val="000B0CC1"/>
    <w:rsid w:val="000B148E"/>
    <w:rsid w:val="000B1AC0"/>
    <w:rsid w:val="000B2321"/>
    <w:rsid w:val="000B2445"/>
    <w:rsid w:val="000B2B8B"/>
    <w:rsid w:val="000B62AD"/>
    <w:rsid w:val="000B681A"/>
    <w:rsid w:val="000B6C13"/>
    <w:rsid w:val="000B7EF1"/>
    <w:rsid w:val="000C0899"/>
    <w:rsid w:val="000C0913"/>
    <w:rsid w:val="000C10EB"/>
    <w:rsid w:val="000C33D7"/>
    <w:rsid w:val="000C343B"/>
    <w:rsid w:val="000C34D0"/>
    <w:rsid w:val="000C40FA"/>
    <w:rsid w:val="000C4709"/>
    <w:rsid w:val="000C4AB4"/>
    <w:rsid w:val="000C54A5"/>
    <w:rsid w:val="000C554A"/>
    <w:rsid w:val="000C6984"/>
    <w:rsid w:val="000C7345"/>
    <w:rsid w:val="000C7427"/>
    <w:rsid w:val="000C794E"/>
    <w:rsid w:val="000C7DA9"/>
    <w:rsid w:val="000C7E57"/>
    <w:rsid w:val="000D05F3"/>
    <w:rsid w:val="000D07E7"/>
    <w:rsid w:val="000D20A8"/>
    <w:rsid w:val="000D21F9"/>
    <w:rsid w:val="000D2894"/>
    <w:rsid w:val="000D2BA2"/>
    <w:rsid w:val="000D3DD5"/>
    <w:rsid w:val="000D42AC"/>
    <w:rsid w:val="000D4703"/>
    <w:rsid w:val="000D4DCF"/>
    <w:rsid w:val="000D5841"/>
    <w:rsid w:val="000D7065"/>
    <w:rsid w:val="000D7801"/>
    <w:rsid w:val="000E005A"/>
    <w:rsid w:val="000E098C"/>
    <w:rsid w:val="000E15AE"/>
    <w:rsid w:val="000E33DC"/>
    <w:rsid w:val="000E436E"/>
    <w:rsid w:val="000E4D41"/>
    <w:rsid w:val="000E547B"/>
    <w:rsid w:val="000E5B4A"/>
    <w:rsid w:val="000E5E20"/>
    <w:rsid w:val="000E5F9E"/>
    <w:rsid w:val="000E663F"/>
    <w:rsid w:val="000E724A"/>
    <w:rsid w:val="000E74FB"/>
    <w:rsid w:val="000E7CFD"/>
    <w:rsid w:val="000E7EDB"/>
    <w:rsid w:val="000F068A"/>
    <w:rsid w:val="000F06E8"/>
    <w:rsid w:val="000F2700"/>
    <w:rsid w:val="000F27A6"/>
    <w:rsid w:val="000F288A"/>
    <w:rsid w:val="000F54AD"/>
    <w:rsid w:val="000F5CAE"/>
    <w:rsid w:val="000F6707"/>
    <w:rsid w:val="000F7ECE"/>
    <w:rsid w:val="00101118"/>
    <w:rsid w:val="00101BDB"/>
    <w:rsid w:val="00102C75"/>
    <w:rsid w:val="001034DF"/>
    <w:rsid w:val="001036DD"/>
    <w:rsid w:val="00104566"/>
    <w:rsid w:val="0010477F"/>
    <w:rsid w:val="0010482D"/>
    <w:rsid w:val="001048D0"/>
    <w:rsid w:val="0010497F"/>
    <w:rsid w:val="00105356"/>
    <w:rsid w:val="00105403"/>
    <w:rsid w:val="00105918"/>
    <w:rsid w:val="001062E0"/>
    <w:rsid w:val="0010689B"/>
    <w:rsid w:val="00106EE6"/>
    <w:rsid w:val="001076D1"/>
    <w:rsid w:val="00107773"/>
    <w:rsid w:val="001079CA"/>
    <w:rsid w:val="00107A07"/>
    <w:rsid w:val="00110490"/>
    <w:rsid w:val="001106D4"/>
    <w:rsid w:val="001108F0"/>
    <w:rsid w:val="001109AE"/>
    <w:rsid w:val="001117C6"/>
    <w:rsid w:val="00112032"/>
    <w:rsid w:val="00112CB2"/>
    <w:rsid w:val="00113447"/>
    <w:rsid w:val="00114DC7"/>
    <w:rsid w:val="00115718"/>
    <w:rsid w:val="00115DD4"/>
    <w:rsid w:val="00116C90"/>
    <w:rsid w:val="0011747F"/>
    <w:rsid w:val="00117529"/>
    <w:rsid w:val="00117A1A"/>
    <w:rsid w:val="00117B91"/>
    <w:rsid w:val="00120BCE"/>
    <w:rsid w:val="00120CBA"/>
    <w:rsid w:val="00120F98"/>
    <w:rsid w:val="00121433"/>
    <w:rsid w:val="0012188F"/>
    <w:rsid w:val="00121AD2"/>
    <w:rsid w:val="00121B55"/>
    <w:rsid w:val="00121E24"/>
    <w:rsid w:val="0012290E"/>
    <w:rsid w:val="00123213"/>
    <w:rsid w:val="00123421"/>
    <w:rsid w:val="00124725"/>
    <w:rsid w:val="00124BAA"/>
    <w:rsid w:val="00124EF6"/>
    <w:rsid w:val="00125518"/>
    <w:rsid w:val="00130116"/>
    <w:rsid w:val="00131157"/>
    <w:rsid w:val="0013122A"/>
    <w:rsid w:val="001312D2"/>
    <w:rsid w:val="0013181C"/>
    <w:rsid w:val="00132AC1"/>
    <w:rsid w:val="00132DA6"/>
    <w:rsid w:val="00132DE0"/>
    <w:rsid w:val="00132FB9"/>
    <w:rsid w:val="0013412B"/>
    <w:rsid w:val="0013446D"/>
    <w:rsid w:val="00135242"/>
    <w:rsid w:val="00136231"/>
    <w:rsid w:val="001365C7"/>
    <w:rsid w:val="00137834"/>
    <w:rsid w:val="0014005A"/>
    <w:rsid w:val="0014066D"/>
    <w:rsid w:val="00140CFC"/>
    <w:rsid w:val="00141DBF"/>
    <w:rsid w:val="00141FE1"/>
    <w:rsid w:val="001424A2"/>
    <w:rsid w:val="001426C7"/>
    <w:rsid w:val="00142E05"/>
    <w:rsid w:val="00142FA7"/>
    <w:rsid w:val="00143F1C"/>
    <w:rsid w:val="0014468F"/>
    <w:rsid w:val="00145227"/>
    <w:rsid w:val="001456A3"/>
    <w:rsid w:val="00145D5F"/>
    <w:rsid w:val="00147666"/>
    <w:rsid w:val="00150C23"/>
    <w:rsid w:val="00151C2E"/>
    <w:rsid w:val="00152779"/>
    <w:rsid w:val="00152811"/>
    <w:rsid w:val="00152D99"/>
    <w:rsid w:val="0015549E"/>
    <w:rsid w:val="00155B22"/>
    <w:rsid w:val="0015699C"/>
    <w:rsid w:val="00160084"/>
    <w:rsid w:val="00160264"/>
    <w:rsid w:val="0016077D"/>
    <w:rsid w:val="00160A98"/>
    <w:rsid w:val="001614D3"/>
    <w:rsid w:val="00161613"/>
    <w:rsid w:val="0016175C"/>
    <w:rsid w:val="00161865"/>
    <w:rsid w:val="00161929"/>
    <w:rsid w:val="00161B48"/>
    <w:rsid w:val="00161C3A"/>
    <w:rsid w:val="00161DF6"/>
    <w:rsid w:val="00162857"/>
    <w:rsid w:val="00163892"/>
    <w:rsid w:val="00163FB7"/>
    <w:rsid w:val="00165944"/>
    <w:rsid w:val="00165A52"/>
    <w:rsid w:val="00165BDA"/>
    <w:rsid w:val="00170779"/>
    <w:rsid w:val="001709AE"/>
    <w:rsid w:val="00171700"/>
    <w:rsid w:val="00171BE1"/>
    <w:rsid w:val="00172B24"/>
    <w:rsid w:val="001730FE"/>
    <w:rsid w:val="00173A1E"/>
    <w:rsid w:val="00173EEE"/>
    <w:rsid w:val="00176DCB"/>
    <w:rsid w:val="00177680"/>
    <w:rsid w:val="00181B6C"/>
    <w:rsid w:val="00183117"/>
    <w:rsid w:val="00184855"/>
    <w:rsid w:val="00184AA7"/>
    <w:rsid w:val="00184CAC"/>
    <w:rsid w:val="00185ED5"/>
    <w:rsid w:val="001876EF"/>
    <w:rsid w:val="001917E8"/>
    <w:rsid w:val="00191DED"/>
    <w:rsid w:val="00192E8C"/>
    <w:rsid w:val="00192F40"/>
    <w:rsid w:val="00193296"/>
    <w:rsid w:val="0019333D"/>
    <w:rsid w:val="00193CB7"/>
    <w:rsid w:val="00194C23"/>
    <w:rsid w:val="00195759"/>
    <w:rsid w:val="00195B7D"/>
    <w:rsid w:val="00195D3C"/>
    <w:rsid w:val="00196847"/>
    <w:rsid w:val="00196B96"/>
    <w:rsid w:val="00196F9C"/>
    <w:rsid w:val="001974D2"/>
    <w:rsid w:val="00197E60"/>
    <w:rsid w:val="001A03ED"/>
    <w:rsid w:val="001A0F0C"/>
    <w:rsid w:val="001A143F"/>
    <w:rsid w:val="001A21CB"/>
    <w:rsid w:val="001A284D"/>
    <w:rsid w:val="001A400F"/>
    <w:rsid w:val="001A599D"/>
    <w:rsid w:val="001A5AA0"/>
    <w:rsid w:val="001B0BF5"/>
    <w:rsid w:val="001B0F81"/>
    <w:rsid w:val="001B1C30"/>
    <w:rsid w:val="001B2C12"/>
    <w:rsid w:val="001B2FE9"/>
    <w:rsid w:val="001B488F"/>
    <w:rsid w:val="001B4A2F"/>
    <w:rsid w:val="001B4D5A"/>
    <w:rsid w:val="001B4DD7"/>
    <w:rsid w:val="001B4DE1"/>
    <w:rsid w:val="001B5100"/>
    <w:rsid w:val="001B5106"/>
    <w:rsid w:val="001C1414"/>
    <w:rsid w:val="001C1D65"/>
    <w:rsid w:val="001C2044"/>
    <w:rsid w:val="001C279E"/>
    <w:rsid w:val="001C2C48"/>
    <w:rsid w:val="001C2F71"/>
    <w:rsid w:val="001C309A"/>
    <w:rsid w:val="001C30B9"/>
    <w:rsid w:val="001C336B"/>
    <w:rsid w:val="001C345C"/>
    <w:rsid w:val="001C3FCF"/>
    <w:rsid w:val="001C46EF"/>
    <w:rsid w:val="001C52DE"/>
    <w:rsid w:val="001C6219"/>
    <w:rsid w:val="001C6ED8"/>
    <w:rsid w:val="001C73F5"/>
    <w:rsid w:val="001C7AB5"/>
    <w:rsid w:val="001C7CB9"/>
    <w:rsid w:val="001D0FCA"/>
    <w:rsid w:val="001D164B"/>
    <w:rsid w:val="001D23C7"/>
    <w:rsid w:val="001D2A07"/>
    <w:rsid w:val="001D2B3D"/>
    <w:rsid w:val="001D2C4A"/>
    <w:rsid w:val="001D31AC"/>
    <w:rsid w:val="001D389C"/>
    <w:rsid w:val="001D3A7A"/>
    <w:rsid w:val="001D3BDE"/>
    <w:rsid w:val="001D55DF"/>
    <w:rsid w:val="001D6252"/>
    <w:rsid w:val="001D698C"/>
    <w:rsid w:val="001D7260"/>
    <w:rsid w:val="001E08C6"/>
    <w:rsid w:val="001E0A93"/>
    <w:rsid w:val="001E1929"/>
    <w:rsid w:val="001E3CF6"/>
    <w:rsid w:val="001E58AD"/>
    <w:rsid w:val="001E5AB0"/>
    <w:rsid w:val="001E5B02"/>
    <w:rsid w:val="001E7EDB"/>
    <w:rsid w:val="001F0C2E"/>
    <w:rsid w:val="001F23CC"/>
    <w:rsid w:val="001F24BF"/>
    <w:rsid w:val="001F374E"/>
    <w:rsid w:val="001F382C"/>
    <w:rsid w:val="001F4AD9"/>
    <w:rsid w:val="001F53C3"/>
    <w:rsid w:val="001F56BC"/>
    <w:rsid w:val="001F5803"/>
    <w:rsid w:val="001F5843"/>
    <w:rsid w:val="001F6BD8"/>
    <w:rsid w:val="001F6D19"/>
    <w:rsid w:val="001F7A1E"/>
    <w:rsid w:val="002008D9"/>
    <w:rsid w:val="002011B6"/>
    <w:rsid w:val="00203486"/>
    <w:rsid w:val="00203655"/>
    <w:rsid w:val="00203EAC"/>
    <w:rsid w:val="00204112"/>
    <w:rsid w:val="00204B1A"/>
    <w:rsid w:val="0020594F"/>
    <w:rsid w:val="00205D41"/>
    <w:rsid w:val="00205FE8"/>
    <w:rsid w:val="00206CCC"/>
    <w:rsid w:val="00206EA5"/>
    <w:rsid w:val="002100F8"/>
    <w:rsid w:val="0021010F"/>
    <w:rsid w:val="00210978"/>
    <w:rsid w:val="002109BF"/>
    <w:rsid w:val="00211C43"/>
    <w:rsid w:val="00212890"/>
    <w:rsid w:val="00212F74"/>
    <w:rsid w:val="0021392A"/>
    <w:rsid w:val="0021413A"/>
    <w:rsid w:val="00214C99"/>
    <w:rsid w:val="00214CD1"/>
    <w:rsid w:val="002152CF"/>
    <w:rsid w:val="00217519"/>
    <w:rsid w:val="00217765"/>
    <w:rsid w:val="00217B21"/>
    <w:rsid w:val="00217CE3"/>
    <w:rsid w:val="00220302"/>
    <w:rsid w:val="002212F9"/>
    <w:rsid w:val="0022188B"/>
    <w:rsid w:val="00221B50"/>
    <w:rsid w:val="00222D8D"/>
    <w:rsid w:val="00222F98"/>
    <w:rsid w:val="0022369E"/>
    <w:rsid w:val="00223CCC"/>
    <w:rsid w:val="00224C3B"/>
    <w:rsid w:val="00225A7A"/>
    <w:rsid w:val="00226662"/>
    <w:rsid w:val="00227ADC"/>
    <w:rsid w:val="00227C51"/>
    <w:rsid w:val="0023075C"/>
    <w:rsid w:val="00231D44"/>
    <w:rsid w:val="00233E1C"/>
    <w:rsid w:val="0023493C"/>
    <w:rsid w:val="00240088"/>
    <w:rsid w:val="002409A5"/>
    <w:rsid w:val="00240C8B"/>
    <w:rsid w:val="0024262E"/>
    <w:rsid w:val="002426BD"/>
    <w:rsid w:val="00242C24"/>
    <w:rsid w:val="00244549"/>
    <w:rsid w:val="002451F8"/>
    <w:rsid w:val="00245596"/>
    <w:rsid w:val="0024620A"/>
    <w:rsid w:val="002462CE"/>
    <w:rsid w:val="00246BC8"/>
    <w:rsid w:val="00247184"/>
    <w:rsid w:val="0025022E"/>
    <w:rsid w:val="0025074C"/>
    <w:rsid w:val="00250A42"/>
    <w:rsid w:val="00251144"/>
    <w:rsid w:val="00252030"/>
    <w:rsid w:val="00252109"/>
    <w:rsid w:val="00252316"/>
    <w:rsid w:val="00253870"/>
    <w:rsid w:val="00253B3E"/>
    <w:rsid w:val="00253C49"/>
    <w:rsid w:val="002541DB"/>
    <w:rsid w:val="0025481D"/>
    <w:rsid w:val="0025482B"/>
    <w:rsid w:val="00254F9C"/>
    <w:rsid w:val="002561C6"/>
    <w:rsid w:val="0025641B"/>
    <w:rsid w:val="00257572"/>
    <w:rsid w:val="00257D30"/>
    <w:rsid w:val="00257E1A"/>
    <w:rsid w:val="0026003E"/>
    <w:rsid w:val="00260197"/>
    <w:rsid w:val="0026066E"/>
    <w:rsid w:val="002613E5"/>
    <w:rsid w:val="002628F4"/>
    <w:rsid w:val="00262C15"/>
    <w:rsid w:val="002630BB"/>
    <w:rsid w:val="0026356D"/>
    <w:rsid w:val="00263F89"/>
    <w:rsid w:val="0026422D"/>
    <w:rsid w:val="0026442A"/>
    <w:rsid w:val="0026543A"/>
    <w:rsid w:val="002661A0"/>
    <w:rsid w:val="00270A44"/>
    <w:rsid w:val="00270BD5"/>
    <w:rsid w:val="0027124D"/>
    <w:rsid w:val="00272590"/>
    <w:rsid w:val="0027332A"/>
    <w:rsid w:val="002734A4"/>
    <w:rsid w:val="00275A9A"/>
    <w:rsid w:val="00275F1E"/>
    <w:rsid w:val="00276A60"/>
    <w:rsid w:val="00276BC8"/>
    <w:rsid w:val="00276D16"/>
    <w:rsid w:val="00276D17"/>
    <w:rsid w:val="00276F8F"/>
    <w:rsid w:val="00277EFE"/>
    <w:rsid w:val="00280C8F"/>
    <w:rsid w:val="00280CAF"/>
    <w:rsid w:val="00280E99"/>
    <w:rsid w:val="00280FDF"/>
    <w:rsid w:val="0028234A"/>
    <w:rsid w:val="00282BD4"/>
    <w:rsid w:val="00283558"/>
    <w:rsid w:val="00283632"/>
    <w:rsid w:val="00283A99"/>
    <w:rsid w:val="00283D1D"/>
    <w:rsid w:val="0028511E"/>
    <w:rsid w:val="00285EF9"/>
    <w:rsid w:val="002867A6"/>
    <w:rsid w:val="00286997"/>
    <w:rsid w:val="00290173"/>
    <w:rsid w:val="00290322"/>
    <w:rsid w:val="00290F12"/>
    <w:rsid w:val="00291506"/>
    <w:rsid w:val="00291E88"/>
    <w:rsid w:val="00292B6C"/>
    <w:rsid w:val="00292CCB"/>
    <w:rsid w:val="00292DF2"/>
    <w:rsid w:val="0029312C"/>
    <w:rsid w:val="002935B7"/>
    <w:rsid w:val="00293789"/>
    <w:rsid w:val="00293AB7"/>
    <w:rsid w:val="002942C7"/>
    <w:rsid w:val="00294954"/>
    <w:rsid w:val="00294E04"/>
    <w:rsid w:val="00295061"/>
    <w:rsid w:val="002950BC"/>
    <w:rsid w:val="00296158"/>
    <w:rsid w:val="00296261"/>
    <w:rsid w:val="0029636C"/>
    <w:rsid w:val="002964BC"/>
    <w:rsid w:val="00296EB8"/>
    <w:rsid w:val="002974C5"/>
    <w:rsid w:val="00297582"/>
    <w:rsid w:val="002978F7"/>
    <w:rsid w:val="002A05D7"/>
    <w:rsid w:val="002A0E97"/>
    <w:rsid w:val="002A0FE0"/>
    <w:rsid w:val="002A1669"/>
    <w:rsid w:val="002A2692"/>
    <w:rsid w:val="002A2B6B"/>
    <w:rsid w:val="002A2DBE"/>
    <w:rsid w:val="002A2DD3"/>
    <w:rsid w:val="002A40F2"/>
    <w:rsid w:val="002A47AD"/>
    <w:rsid w:val="002A5AC4"/>
    <w:rsid w:val="002A5D35"/>
    <w:rsid w:val="002A740F"/>
    <w:rsid w:val="002A7CB3"/>
    <w:rsid w:val="002A7DFB"/>
    <w:rsid w:val="002B1EAD"/>
    <w:rsid w:val="002B20FB"/>
    <w:rsid w:val="002B2A72"/>
    <w:rsid w:val="002B2CBC"/>
    <w:rsid w:val="002B3EB6"/>
    <w:rsid w:val="002B5861"/>
    <w:rsid w:val="002B60C6"/>
    <w:rsid w:val="002B6609"/>
    <w:rsid w:val="002B692D"/>
    <w:rsid w:val="002B74FE"/>
    <w:rsid w:val="002B7F3C"/>
    <w:rsid w:val="002C1665"/>
    <w:rsid w:val="002C292E"/>
    <w:rsid w:val="002C3249"/>
    <w:rsid w:val="002C37F7"/>
    <w:rsid w:val="002C431B"/>
    <w:rsid w:val="002C4EE5"/>
    <w:rsid w:val="002C5473"/>
    <w:rsid w:val="002C5DF5"/>
    <w:rsid w:val="002C5E5B"/>
    <w:rsid w:val="002C62BD"/>
    <w:rsid w:val="002C656F"/>
    <w:rsid w:val="002C6C5E"/>
    <w:rsid w:val="002C767A"/>
    <w:rsid w:val="002D0B40"/>
    <w:rsid w:val="002D19EA"/>
    <w:rsid w:val="002D3EE7"/>
    <w:rsid w:val="002D4196"/>
    <w:rsid w:val="002D491A"/>
    <w:rsid w:val="002D5A31"/>
    <w:rsid w:val="002D6F35"/>
    <w:rsid w:val="002D7346"/>
    <w:rsid w:val="002D7659"/>
    <w:rsid w:val="002D7816"/>
    <w:rsid w:val="002D7F3B"/>
    <w:rsid w:val="002E0E45"/>
    <w:rsid w:val="002E16AE"/>
    <w:rsid w:val="002E1755"/>
    <w:rsid w:val="002E181A"/>
    <w:rsid w:val="002E1D9E"/>
    <w:rsid w:val="002E34C1"/>
    <w:rsid w:val="002E381F"/>
    <w:rsid w:val="002E3891"/>
    <w:rsid w:val="002E3B9F"/>
    <w:rsid w:val="002E3DE0"/>
    <w:rsid w:val="002E4F69"/>
    <w:rsid w:val="002E56B4"/>
    <w:rsid w:val="002E5831"/>
    <w:rsid w:val="002E6794"/>
    <w:rsid w:val="002E748B"/>
    <w:rsid w:val="002F14D6"/>
    <w:rsid w:val="002F153A"/>
    <w:rsid w:val="002F203B"/>
    <w:rsid w:val="002F260C"/>
    <w:rsid w:val="002F31F9"/>
    <w:rsid w:val="002F32B7"/>
    <w:rsid w:val="002F453A"/>
    <w:rsid w:val="002F52EB"/>
    <w:rsid w:val="002F5B2C"/>
    <w:rsid w:val="002F7842"/>
    <w:rsid w:val="002F7850"/>
    <w:rsid w:val="002F7C21"/>
    <w:rsid w:val="002F7E32"/>
    <w:rsid w:val="002F7FE4"/>
    <w:rsid w:val="00300ED6"/>
    <w:rsid w:val="00301412"/>
    <w:rsid w:val="00301A28"/>
    <w:rsid w:val="00302CFF"/>
    <w:rsid w:val="00302E86"/>
    <w:rsid w:val="0030320A"/>
    <w:rsid w:val="0030335D"/>
    <w:rsid w:val="003034A5"/>
    <w:rsid w:val="00303768"/>
    <w:rsid w:val="00304AAA"/>
    <w:rsid w:val="003050CB"/>
    <w:rsid w:val="00306656"/>
    <w:rsid w:val="00306759"/>
    <w:rsid w:val="00306976"/>
    <w:rsid w:val="003102C0"/>
    <w:rsid w:val="00310D5C"/>
    <w:rsid w:val="0031149A"/>
    <w:rsid w:val="00311A05"/>
    <w:rsid w:val="00311B9C"/>
    <w:rsid w:val="00311FFE"/>
    <w:rsid w:val="003133E6"/>
    <w:rsid w:val="00313484"/>
    <w:rsid w:val="00313851"/>
    <w:rsid w:val="00313A5D"/>
    <w:rsid w:val="00313CA4"/>
    <w:rsid w:val="003143B5"/>
    <w:rsid w:val="003151A8"/>
    <w:rsid w:val="00315B35"/>
    <w:rsid w:val="0031630F"/>
    <w:rsid w:val="0031659A"/>
    <w:rsid w:val="0031717C"/>
    <w:rsid w:val="00317309"/>
    <w:rsid w:val="00320039"/>
    <w:rsid w:val="0032072A"/>
    <w:rsid w:val="00320C8C"/>
    <w:rsid w:val="003213BF"/>
    <w:rsid w:val="00321631"/>
    <w:rsid w:val="00321B64"/>
    <w:rsid w:val="00322974"/>
    <w:rsid w:val="00323A61"/>
    <w:rsid w:val="00323C3B"/>
    <w:rsid w:val="00324068"/>
    <w:rsid w:val="00324674"/>
    <w:rsid w:val="003254A9"/>
    <w:rsid w:val="003255D7"/>
    <w:rsid w:val="00325633"/>
    <w:rsid w:val="00325B85"/>
    <w:rsid w:val="0032684B"/>
    <w:rsid w:val="0032696E"/>
    <w:rsid w:val="003269F7"/>
    <w:rsid w:val="00327122"/>
    <w:rsid w:val="003279AA"/>
    <w:rsid w:val="00327A06"/>
    <w:rsid w:val="00327B58"/>
    <w:rsid w:val="00330558"/>
    <w:rsid w:val="003311B2"/>
    <w:rsid w:val="00331565"/>
    <w:rsid w:val="00331641"/>
    <w:rsid w:val="00332D67"/>
    <w:rsid w:val="00334050"/>
    <w:rsid w:val="00336167"/>
    <w:rsid w:val="00336491"/>
    <w:rsid w:val="00336F56"/>
    <w:rsid w:val="00337E78"/>
    <w:rsid w:val="0034041A"/>
    <w:rsid w:val="00340503"/>
    <w:rsid w:val="003408AB"/>
    <w:rsid w:val="00340A7B"/>
    <w:rsid w:val="00340C5F"/>
    <w:rsid w:val="00341807"/>
    <w:rsid w:val="00342248"/>
    <w:rsid w:val="003427BA"/>
    <w:rsid w:val="00342C14"/>
    <w:rsid w:val="00342E89"/>
    <w:rsid w:val="00343744"/>
    <w:rsid w:val="00343F64"/>
    <w:rsid w:val="00344603"/>
    <w:rsid w:val="0034553A"/>
    <w:rsid w:val="00346F5D"/>
    <w:rsid w:val="00347593"/>
    <w:rsid w:val="00347A8D"/>
    <w:rsid w:val="00347D06"/>
    <w:rsid w:val="00350058"/>
    <w:rsid w:val="003507AE"/>
    <w:rsid w:val="003511CA"/>
    <w:rsid w:val="0035246C"/>
    <w:rsid w:val="00354271"/>
    <w:rsid w:val="00354CC5"/>
    <w:rsid w:val="003569B3"/>
    <w:rsid w:val="00356BD7"/>
    <w:rsid w:val="00357009"/>
    <w:rsid w:val="00357B7C"/>
    <w:rsid w:val="00360C55"/>
    <w:rsid w:val="00360EDE"/>
    <w:rsid w:val="00361210"/>
    <w:rsid w:val="003629E1"/>
    <w:rsid w:val="00362AB7"/>
    <w:rsid w:val="00362E31"/>
    <w:rsid w:val="00363614"/>
    <w:rsid w:val="003656A7"/>
    <w:rsid w:val="00365C9D"/>
    <w:rsid w:val="00366566"/>
    <w:rsid w:val="00366668"/>
    <w:rsid w:val="00366F6C"/>
    <w:rsid w:val="0037002E"/>
    <w:rsid w:val="003705DE"/>
    <w:rsid w:val="0037068E"/>
    <w:rsid w:val="00370A1A"/>
    <w:rsid w:val="00371400"/>
    <w:rsid w:val="003714E8"/>
    <w:rsid w:val="003721BF"/>
    <w:rsid w:val="00372786"/>
    <w:rsid w:val="003727B4"/>
    <w:rsid w:val="0037290C"/>
    <w:rsid w:val="00372D4F"/>
    <w:rsid w:val="00373D7A"/>
    <w:rsid w:val="0037444F"/>
    <w:rsid w:val="00374932"/>
    <w:rsid w:val="0037609D"/>
    <w:rsid w:val="003764F2"/>
    <w:rsid w:val="003769BD"/>
    <w:rsid w:val="00376A66"/>
    <w:rsid w:val="00376E36"/>
    <w:rsid w:val="0037702B"/>
    <w:rsid w:val="003770BC"/>
    <w:rsid w:val="00377840"/>
    <w:rsid w:val="00377FD1"/>
    <w:rsid w:val="0038060C"/>
    <w:rsid w:val="00380F0E"/>
    <w:rsid w:val="00380FC1"/>
    <w:rsid w:val="00381549"/>
    <w:rsid w:val="00381B0B"/>
    <w:rsid w:val="00381E72"/>
    <w:rsid w:val="00383275"/>
    <w:rsid w:val="00384655"/>
    <w:rsid w:val="003852A8"/>
    <w:rsid w:val="00385FBC"/>
    <w:rsid w:val="00386C43"/>
    <w:rsid w:val="00387C79"/>
    <w:rsid w:val="00387C8F"/>
    <w:rsid w:val="00390309"/>
    <w:rsid w:val="003919B7"/>
    <w:rsid w:val="00392896"/>
    <w:rsid w:val="00392A7B"/>
    <w:rsid w:val="00393BDD"/>
    <w:rsid w:val="00393ECB"/>
    <w:rsid w:val="003953A5"/>
    <w:rsid w:val="00396B14"/>
    <w:rsid w:val="003974EF"/>
    <w:rsid w:val="003A062F"/>
    <w:rsid w:val="003A08BA"/>
    <w:rsid w:val="003A0AD1"/>
    <w:rsid w:val="003A0DFD"/>
    <w:rsid w:val="003A15C1"/>
    <w:rsid w:val="003A2A22"/>
    <w:rsid w:val="003A2BE1"/>
    <w:rsid w:val="003A2DB7"/>
    <w:rsid w:val="003A314F"/>
    <w:rsid w:val="003A3434"/>
    <w:rsid w:val="003A3E8B"/>
    <w:rsid w:val="003A4614"/>
    <w:rsid w:val="003A54E1"/>
    <w:rsid w:val="003A5B0D"/>
    <w:rsid w:val="003A65B2"/>
    <w:rsid w:val="003A70E6"/>
    <w:rsid w:val="003A794F"/>
    <w:rsid w:val="003A7A61"/>
    <w:rsid w:val="003B0FA4"/>
    <w:rsid w:val="003B136B"/>
    <w:rsid w:val="003B137B"/>
    <w:rsid w:val="003B1AED"/>
    <w:rsid w:val="003B25CE"/>
    <w:rsid w:val="003B317F"/>
    <w:rsid w:val="003B339A"/>
    <w:rsid w:val="003B5293"/>
    <w:rsid w:val="003B580F"/>
    <w:rsid w:val="003B5FB5"/>
    <w:rsid w:val="003B63D3"/>
    <w:rsid w:val="003B7190"/>
    <w:rsid w:val="003B722B"/>
    <w:rsid w:val="003B7962"/>
    <w:rsid w:val="003B7F25"/>
    <w:rsid w:val="003C0942"/>
    <w:rsid w:val="003C0FC4"/>
    <w:rsid w:val="003C2827"/>
    <w:rsid w:val="003C2D04"/>
    <w:rsid w:val="003C4108"/>
    <w:rsid w:val="003C5B4A"/>
    <w:rsid w:val="003C64EC"/>
    <w:rsid w:val="003C6FF2"/>
    <w:rsid w:val="003C7B78"/>
    <w:rsid w:val="003C7C93"/>
    <w:rsid w:val="003C7FC4"/>
    <w:rsid w:val="003D1BAA"/>
    <w:rsid w:val="003D388A"/>
    <w:rsid w:val="003D39CC"/>
    <w:rsid w:val="003D408D"/>
    <w:rsid w:val="003D4A28"/>
    <w:rsid w:val="003D5C0D"/>
    <w:rsid w:val="003D75B7"/>
    <w:rsid w:val="003D7824"/>
    <w:rsid w:val="003D7CB7"/>
    <w:rsid w:val="003E0030"/>
    <w:rsid w:val="003E0334"/>
    <w:rsid w:val="003E0AF8"/>
    <w:rsid w:val="003E1DCD"/>
    <w:rsid w:val="003E1F32"/>
    <w:rsid w:val="003E204E"/>
    <w:rsid w:val="003E3076"/>
    <w:rsid w:val="003E31F9"/>
    <w:rsid w:val="003E36BA"/>
    <w:rsid w:val="003E4394"/>
    <w:rsid w:val="003E5435"/>
    <w:rsid w:val="003E5665"/>
    <w:rsid w:val="003E5863"/>
    <w:rsid w:val="003E6BCC"/>
    <w:rsid w:val="003E6F86"/>
    <w:rsid w:val="003E7DBE"/>
    <w:rsid w:val="003F1935"/>
    <w:rsid w:val="003F1CCF"/>
    <w:rsid w:val="003F231B"/>
    <w:rsid w:val="003F345D"/>
    <w:rsid w:val="003F369B"/>
    <w:rsid w:val="003F3F03"/>
    <w:rsid w:val="003F3FF8"/>
    <w:rsid w:val="003F425D"/>
    <w:rsid w:val="003F51AF"/>
    <w:rsid w:val="003F597B"/>
    <w:rsid w:val="003F5FA5"/>
    <w:rsid w:val="003F6411"/>
    <w:rsid w:val="003F650E"/>
    <w:rsid w:val="003F69B5"/>
    <w:rsid w:val="003F6F51"/>
    <w:rsid w:val="003F742B"/>
    <w:rsid w:val="0040012B"/>
    <w:rsid w:val="0040037C"/>
    <w:rsid w:val="004007B6"/>
    <w:rsid w:val="00400DDD"/>
    <w:rsid w:val="00400FD5"/>
    <w:rsid w:val="00401384"/>
    <w:rsid w:val="004027C1"/>
    <w:rsid w:val="00402A0B"/>
    <w:rsid w:val="00402A37"/>
    <w:rsid w:val="0040365B"/>
    <w:rsid w:val="00403CDB"/>
    <w:rsid w:val="00405B22"/>
    <w:rsid w:val="004069D2"/>
    <w:rsid w:val="004077DA"/>
    <w:rsid w:val="00407A59"/>
    <w:rsid w:val="00410BFC"/>
    <w:rsid w:val="00410E9B"/>
    <w:rsid w:val="00411288"/>
    <w:rsid w:val="00412282"/>
    <w:rsid w:val="0041234E"/>
    <w:rsid w:val="00414887"/>
    <w:rsid w:val="00414C2A"/>
    <w:rsid w:val="004165F3"/>
    <w:rsid w:val="0042075F"/>
    <w:rsid w:val="00420935"/>
    <w:rsid w:val="00421183"/>
    <w:rsid w:val="004221D0"/>
    <w:rsid w:val="00422573"/>
    <w:rsid w:val="00423380"/>
    <w:rsid w:val="00423675"/>
    <w:rsid w:val="004237F8"/>
    <w:rsid w:val="00423EE0"/>
    <w:rsid w:val="004247D2"/>
    <w:rsid w:val="0042482A"/>
    <w:rsid w:val="00426C8B"/>
    <w:rsid w:val="0042743F"/>
    <w:rsid w:val="00430252"/>
    <w:rsid w:val="00430429"/>
    <w:rsid w:val="004313B7"/>
    <w:rsid w:val="00432138"/>
    <w:rsid w:val="004329DE"/>
    <w:rsid w:val="00433D5C"/>
    <w:rsid w:val="004341F7"/>
    <w:rsid w:val="00434A2B"/>
    <w:rsid w:val="00434BAD"/>
    <w:rsid w:val="00435296"/>
    <w:rsid w:val="00435C19"/>
    <w:rsid w:val="00436C52"/>
    <w:rsid w:val="00437670"/>
    <w:rsid w:val="00437782"/>
    <w:rsid w:val="004378F4"/>
    <w:rsid w:val="00437EAD"/>
    <w:rsid w:val="004406A9"/>
    <w:rsid w:val="00441129"/>
    <w:rsid w:val="004415D1"/>
    <w:rsid w:val="0044188B"/>
    <w:rsid w:val="00441DA8"/>
    <w:rsid w:val="00441E19"/>
    <w:rsid w:val="0044260E"/>
    <w:rsid w:val="00442B9B"/>
    <w:rsid w:val="004437E9"/>
    <w:rsid w:val="0044385F"/>
    <w:rsid w:val="00443920"/>
    <w:rsid w:val="0044426D"/>
    <w:rsid w:val="00444301"/>
    <w:rsid w:val="00446FA9"/>
    <w:rsid w:val="004477F3"/>
    <w:rsid w:val="00451481"/>
    <w:rsid w:val="0045163C"/>
    <w:rsid w:val="004522EC"/>
    <w:rsid w:val="0045432D"/>
    <w:rsid w:val="00454346"/>
    <w:rsid w:val="00454E78"/>
    <w:rsid w:val="00455788"/>
    <w:rsid w:val="00455997"/>
    <w:rsid w:val="004568B5"/>
    <w:rsid w:val="00460E16"/>
    <w:rsid w:val="0046174D"/>
    <w:rsid w:val="00461DF9"/>
    <w:rsid w:val="00462170"/>
    <w:rsid w:val="00462922"/>
    <w:rsid w:val="00462BD9"/>
    <w:rsid w:val="00462C92"/>
    <w:rsid w:val="00462E90"/>
    <w:rsid w:val="0046328F"/>
    <w:rsid w:val="00466042"/>
    <w:rsid w:val="00466153"/>
    <w:rsid w:val="0046616B"/>
    <w:rsid w:val="00466256"/>
    <w:rsid w:val="00466E94"/>
    <w:rsid w:val="00466FCE"/>
    <w:rsid w:val="0046787E"/>
    <w:rsid w:val="00467964"/>
    <w:rsid w:val="00467BA6"/>
    <w:rsid w:val="004706C5"/>
    <w:rsid w:val="0047154F"/>
    <w:rsid w:val="00471A0D"/>
    <w:rsid w:val="004721A9"/>
    <w:rsid w:val="00472262"/>
    <w:rsid w:val="0047258D"/>
    <w:rsid w:val="00472B19"/>
    <w:rsid w:val="00473E85"/>
    <w:rsid w:val="004741AD"/>
    <w:rsid w:val="0047495F"/>
    <w:rsid w:val="00474EDF"/>
    <w:rsid w:val="00475D6D"/>
    <w:rsid w:val="0047609E"/>
    <w:rsid w:val="00476C52"/>
    <w:rsid w:val="00476D29"/>
    <w:rsid w:val="004774C3"/>
    <w:rsid w:val="0048002B"/>
    <w:rsid w:val="004803C6"/>
    <w:rsid w:val="004809B6"/>
    <w:rsid w:val="00481E3D"/>
    <w:rsid w:val="004837BA"/>
    <w:rsid w:val="00484B06"/>
    <w:rsid w:val="00485FCF"/>
    <w:rsid w:val="00486FD1"/>
    <w:rsid w:val="00487520"/>
    <w:rsid w:val="004878AF"/>
    <w:rsid w:val="00490E81"/>
    <w:rsid w:val="00490F6A"/>
    <w:rsid w:val="004911DF"/>
    <w:rsid w:val="0049256F"/>
    <w:rsid w:val="00494090"/>
    <w:rsid w:val="0049475C"/>
    <w:rsid w:val="00494965"/>
    <w:rsid w:val="00495543"/>
    <w:rsid w:val="00496C35"/>
    <w:rsid w:val="00496D80"/>
    <w:rsid w:val="00496F6A"/>
    <w:rsid w:val="004A0656"/>
    <w:rsid w:val="004A075E"/>
    <w:rsid w:val="004A11DC"/>
    <w:rsid w:val="004A1C2B"/>
    <w:rsid w:val="004A3253"/>
    <w:rsid w:val="004A32C7"/>
    <w:rsid w:val="004A34E0"/>
    <w:rsid w:val="004A3649"/>
    <w:rsid w:val="004A6B04"/>
    <w:rsid w:val="004A6E09"/>
    <w:rsid w:val="004B0363"/>
    <w:rsid w:val="004B0467"/>
    <w:rsid w:val="004B0B1B"/>
    <w:rsid w:val="004B1BB4"/>
    <w:rsid w:val="004B1CD1"/>
    <w:rsid w:val="004B1DD3"/>
    <w:rsid w:val="004B2D6A"/>
    <w:rsid w:val="004B4D19"/>
    <w:rsid w:val="004B5469"/>
    <w:rsid w:val="004B5C07"/>
    <w:rsid w:val="004B67F8"/>
    <w:rsid w:val="004B761D"/>
    <w:rsid w:val="004B78CD"/>
    <w:rsid w:val="004B7C45"/>
    <w:rsid w:val="004C045B"/>
    <w:rsid w:val="004C2174"/>
    <w:rsid w:val="004C243D"/>
    <w:rsid w:val="004C255D"/>
    <w:rsid w:val="004C2D44"/>
    <w:rsid w:val="004C30D2"/>
    <w:rsid w:val="004C3C36"/>
    <w:rsid w:val="004C4F66"/>
    <w:rsid w:val="004C56EF"/>
    <w:rsid w:val="004C5DC8"/>
    <w:rsid w:val="004C5FA1"/>
    <w:rsid w:val="004C6346"/>
    <w:rsid w:val="004C65DE"/>
    <w:rsid w:val="004C65E3"/>
    <w:rsid w:val="004C6CD0"/>
    <w:rsid w:val="004D03AE"/>
    <w:rsid w:val="004D14C2"/>
    <w:rsid w:val="004D1699"/>
    <w:rsid w:val="004D2222"/>
    <w:rsid w:val="004D2635"/>
    <w:rsid w:val="004D3481"/>
    <w:rsid w:val="004D451D"/>
    <w:rsid w:val="004D4B19"/>
    <w:rsid w:val="004D4B1A"/>
    <w:rsid w:val="004D5712"/>
    <w:rsid w:val="004D5A05"/>
    <w:rsid w:val="004D5A28"/>
    <w:rsid w:val="004D72C1"/>
    <w:rsid w:val="004E13E9"/>
    <w:rsid w:val="004E148D"/>
    <w:rsid w:val="004E14DB"/>
    <w:rsid w:val="004E1C77"/>
    <w:rsid w:val="004E290F"/>
    <w:rsid w:val="004E2D5C"/>
    <w:rsid w:val="004E2D6A"/>
    <w:rsid w:val="004E4453"/>
    <w:rsid w:val="004E48EF"/>
    <w:rsid w:val="004E575A"/>
    <w:rsid w:val="004E60F5"/>
    <w:rsid w:val="004E6A71"/>
    <w:rsid w:val="004E7269"/>
    <w:rsid w:val="004F00BE"/>
    <w:rsid w:val="004F0FFF"/>
    <w:rsid w:val="004F1708"/>
    <w:rsid w:val="004F231D"/>
    <w:rsid w:val="004F28F0"/>
    <w:rsid w:val="004F2A6B"/>
    <w:rsid w:val="004F3B01"/>
    <w:rsid w:val="004F3B4C"/>
    <w:rsid w:val="004F3FF8"/>
    <w:rsid w:val="004F3FFB"/>
    <w:rsid w:val="004F4484"/>
    <w:rsid w:val="004F55C4"/>
    <w:rsid w:val="004F602E"/>
    <w:rsid w:val="004F623C"/>
    <w:rsid w:val="004F6FB2"/>
    <w:rsid w:val="0050094E"/>
    <w:rsid w:val="00500978"/>
    <w:rsid w:val="00500A7A"/>
    <w:rsid w:val="0050175F"/>
    <w:rsid w:val="00501A26"/>
    <w:rsid w:val="00501CB5"/>
    <w:rsid w:val="00502053"/>
    <w:rsid w:val="005033E1"/>
    <w:rsid w:val="00503F6F"/>
    <w:rsid w:val="0050412D"/>
    <w:rsid w:val="005042FD"/>
    <w:rsid w:val="00504E33"/>
    <w:rsid w:val="00505D23"/>
    <w:rsid w:val="00505D63"/>
    <w:rsid w:val="0050686B"/>
    <w:rsid w:val="00506BE1"/>
    <w:rsid w:val="00507201"/>
    <w:rsid w:val="00510EFE"/>
    <w:rsid w:val="00512582"/>
    <w:rsid w:val="0051295C"/>
    <w:rsid w:val="00512A4E"/>
    <w:rsid w:val="005136C1"/>
    <w:rsid w:val="00513BB3"/>
    <w:rsid w:val="00513D40"/>
    <w:rsid w:val="00513ED6"/>
    <w:rsid w:val="00513EEF"/>
    <w:rsid w:val="0051494A"/>
    <w:rsid w:val="005149FC"/>
    <w:rsid w:val="005152D7"/>
    <w:rsid w:val="0051556E"/>
    <w:rsid w:val="00515705"/>
    <w:rsid w:val="00515916"/>
    <w:rsid w:val="00515D2E"/>
    <w:rsid w:val="005164DC"/>
    <w:rsid w:val="00516762"/>
    <w:rsid w:val="0051679A"/>
    <w:rsid w:val="0051691B"/>
    <w:rsid w:val="00516995"/>
    <w:rsid w:val="005179C6"/>
    <w:rsid w:val="00517DC3"/>
    <w:rsid w:val="00517F43"/>
    <w:rsid w:val="0052029C"/>
    <w:rsid w:val="00520A73"/>
    <w:rsid w:val="00520D4B"/>
    <w:rsid w:val="00520D6F"/>
    <w:rsid w:val="00521ED9"/>
    <w:rsid w:val="00522215"/>
    <w:rsid w:val="00522552"/>
    <w:rsid w:val="00522966"/>
    <w:rsid w:val="0052365D"/>
    <w:rsid w:val="0052434A"/>
    <w:rsid w:val="005261F9"/>
    <w:rsid w:val="005267E2"/>
    <w:rsid w:val="00527140"/>
    <w:rsid w:val="00527404"/>
    <w:rsid w:val="00527642"/>
    <w:rsid w:val="00527F22"/>
    <w:rsid w:val="00531BFF"/>
    <w:rsid w:val="00531E8F"/>
    <w:rsid w:val="00532C94"/>
    <w:rsid w:val="00532F8C"/>
    <w:rsid w:val="00533173"/>
    <w:rsid w:val="00533AEF"/>
    <w:rsid w:val="00533C95"/>
    <w:rsid w:val="00533F0A"/>
    <w:rsid w:val="005345C1"/>
    <w:rsid w:val="00534B42"/>
    <w:rsid w:val="005356E8"/>
    <w:rsid w:val="00535831"/>
    <w:rsid w:val="00536301"/>
    <w:rsid w:val="00540AEE"/>
    <w:rsid w:val="00540C89"/>
    <w:rsid w:val="005412D1"/>
    <w:rsid w:val="005417A9"/>
    <w:rsid w:val="00541807"/>
    <w:rsid w:val="005419EF"/>
    <w:rsid w:val="00541BB6"/>
    <w:rsid w:val="00541FB7"/>
    <w:rsid w:val="005425F1"/>
    <w:rsid w:val="00542E41"/>
    <w:rsid w:val="00543FB3"/>
    <w:rsid w:val="00543FE2"/>
    <w:rsid w:val="005448BF"/>
    <w:rsid w:val="0054546F"/>
    <w:rsid w:val="00546195"/>
    <w:rsid w:val="0054664A"/>
    <w:rsid w:val="00546AF5"/>
    <w:rsid w:val="00546BE4"/>
    <w:rsid w:val="00547BDC"/>
    <w:rsid w:val="00550362"/>
    <w:rsid w:val="005516B3"/>
    <w:rsid w:val="005517AD"/>
    <w:rsid w:val="005524E2"/>
    <w:rsid w:val="00552EA4"/>
    <w:rsid w:val="00552FDC"/>
    <w:rsid w:val="005531CA"/>
    <w:rsid w:val="00553522"/>
    <w:rsid w:val="00554D75"/>
    <w:rsid w:val="00554E8B"/>
    <w:rsid w:val="005562EC"/>
    <w:rsid w:val="00556A07"/>
    <w:rsid w:val="00556CC6"/>
    <w:rsid w:val="005575F4"/>
    <w:rsid w:val="00557D39"/>
    <w:rsid w:val="005603B7"/>
    <w:rsid w:val="00561A15"/>
    <w:rsid w:val="00562D56"/>
    <w:rsid w:val="005632E6"/>
    <w:rsid w:val="00565D1A"/>
    <w:rsid w:val="00566515"/>
    <w:rsid w:val="0056705E"/>
    <w:rsid w:val="00567150"/>
    <w:rsid w:val="00567243"/>
    <w:rsid w:val="00567CA8"/>
    <w:rsid w:val="00570565"/>
    <w:rsid w:val="005707A5"/>
    <w:rsid w:val="00571A3E"/>
    <w:rsid w:val="005727F5"/>
    <w:rsid w:val="00572B3A"/>
    <w:rsid w:val="00573517"/>
    <w:rsid w:val="00573659"/>
    <w:rsid w:val="00574159"/>
    <w:rsid w:val="00574466"/>
    <w:rsid w:val="00575F71"/>
    <w:rsid w:val="00576D6F"/>
    <w:rsid w:val="0057712A"/>
    <w:rsid w:val="0057758C"/>
    <w:rsid w:val="00577E75"/>
    <w:rsid w:val="00577F66"/>
    <w:rsid w:val="00580966"/>
    <w:rsid w:val="00580EEE"/>
    <w:rsid w:val="0058164C"/>
    <w:rsid w:val="00582200"/>
    <w:rsid w:val="00582DB7"/>
    <w:rsid w:val="0058303C"/>
    <w:rsid w:val="00583698"/>
    <w:rsid w:val="00584A4E"/>
    <w:rsid w:val="00584FB2"/>
    <w:rsid w:val="00584FCB"/>
    <w:rsid w:val="00585D51"/>
    <w:rsid w:val="00585FBE"/>
    <w:rsid w:val="0058645B"/>
    <w:rsid w:val="005864E3"/>
    <w:rsid w:val="00586729"/>
    <w:rsid w:val="0058687C"/>
    <w:rsid w:val="005870DD"/>
    <w:rsid w:val="0058762D"/>
    <w:rsid w:val="0059060F"/>
    <w:rsid w:val="0059085A"/>
    <w:rsid w:val="00590880"/>
    <w:rsid w:val="00590B51"/>
    <w:rsid w:val="00590C59"/>
    <w:rsid w:val="005914EC"/>
    <w:rsid w:val="0059388C"/>
    <w:rsid w:val="00593E83"/>
    <w:rsid w:val="00595AF9"/>
    <w:rsid w:val="00596BB2"/>
    <w:rsid w:val="00597B8A"/>
    <w:rsid w:val="005A0092"/>
    <w:rsid w:val="005A1559"/>
    <w:rsid w:val="005A2369"/>
    <w:rsid w:val="005A2B64"/>
    <w:rsid w:val="005A30B1"/>
    <w:rsid w:val="005A4460"/>
    <w:rsid w:val="005A4F34"/>
    <w:rsid w:val="005A5DF9"/>
    <w:rsid w:val="005A6B06"/>
    <w:rsid w:val="005A6F61"/>
    <w:rsid w:val="005A7FD3"/>
    <w:rsid w:val="005B060D"/>
    <w:rsid w:val="005B1A60"/>
    <w:rsid w:val="005B1B23"/>
    <w:rsid w:val="005B2043"/>
    <w:rsid w:val="005B2304"/>
    <w:rsid w:val="005B28F0"/>
    <w:rsid w:val="005B2A99"/>
    <w:rsid w:val="005B2BFD"/>
    <w:rsid w:val="005B2E52"/>
    <w:rsid w:val="005B3A74"/>
    <w:rsid w:val="005B3DC1"/>
    <w:rsid w:val="005B3FF4"/>
    <w:rsid w:val="005B42F0"/>
    <w:rsid w:val="005B4AC5"/>
    <w:rsid w:val="005B4F5A"/>
    <w:rsid w:val="005B7948"/>
    <w:rsid w:val="005B7D4D"/>
    <w:rsid w:val="005C0180"/>
    <w:rsid w:val="005C0AB9"/>
    <w:rsid w:val="005C1952"/>
    <w:rsid w:val="005C25E4"/>
    <w:rsid w:val="005C291B"/>
    <w:rsid w:val="005C347F"/>
    <w:rsid w:val="005C3F69"/>
    <w:rsid w:val="005C4786"/>
    <w:rsid w:val="005C4A13"/>
    <w:rsid w:val="005C538B"/>
    <w:rsid w:val="005C5AF7"/>
    <w:rsid w:val="005C6614"/>
    <w:rsid w:val="005C6874"/>
    <w:rsid w:val="005D044A"/>
    <w:rsid w:val="005D07A1"/>
    <w:rsid w:val="005D2E4B"/>
    <w:rsid w:val="005D488B"/>
    <w:rsid w:val="005D4E4D"/>
    <w:rsid w:val="005D513E"/>
    <w:rsid w:val="005D5BB6"/>
    <w:rsid w:val="005D5DAC"/>
    <w:rsid w:val="005D6EA1"/>
    <w:rsid w:val="005D79D6"/>
    <w:rsid w:val="005E045B"/>
    <w:rsid w:val="005E063A"/>
    <w:rsid w:val="005E0AE2"/>
    <w:rsid w:val="005E0E4A"/>
    <w:rsid w:val="005E455E"/>
    <w:rsid w:val="005E4C8C"/>
    <w:rsid w:val="005E5A44"/>
    <w:rsid w:val="005E636F"/>
    <w:rsid w:val="005E694E"/>
    <w:rsid w:val="005E7ABE"/>
    <w:rsid w:val="005E7F0A"/>
    <w:rsid w:val="005F1F11"/>
    <w:rsid w:val="005F2021"/>
    <w:rsid w:val="005F2EA0"/>
    <w:rsid w:val="005F4903"/>
    <w:rsid w:val="005F4C31"/>
    <w:rsid w:val="005F537A"/>
    <w:rsid w:val="005F5798"/>
    <w:rsid w:val="005F6BC9"/>
    <w:rsid w:val="005F6C54"/>
    <w:rsid w:val="005F74E5"/>
    <w:rsid w:val="006016E5"/>
    <w:rsid w:val="00601E69"/>
    <w:rsid w:val="006022A0"/>
    <w:rsid w:val="0060238E"/>
    <w:rsid w:val="00602F7A"/>
    <w:rsid w:val="00603C11"/>
    <w:rsid w:val="00604412"/>
    <w:rsid w:val="0060558A"/>
    <w:rsid w:val="006056EC"/>
    <w:rsid w:val="00606609"/>
    <w:rsid w:val="006067B3"/>
    <w:rsid w:val="00606D69"/>
    <w:rsid w:val="006070D7"/>
    <w:rsid w:val="006073D5"/>
    <w:rsid w:val="0060754B"/>
    <w:rsid w:val="00607755"/>
    <w:rsid w:val="00607CC9"/>
    <w:rsid w:val="00610091"/>
    <w:rsid w:val="006100DC"/>
    <w:rsid w:val="00610D31"/>
    <w:rsid w:val="00611259"/>
    <w:rsid w:val="00611662"/>
    <w:rsid w:val="006118BF"/>
    <w:rsid w:val="00611C16"/>
    <w:rsid w:val="00613195"/>
    <w:rsid w:val="00613F6D"/>
    <w:rsid w:val="0061422C"/>
    <w:rsid w:val="00614A76"/>
    <w:rsid w:val="00614AD0"/>
    <w:rsid w:val="00615769"/>
    <w:rsid w:val="00616173"/>
    <w:rsid w:val="00616C5E"/>
    <w:rsid w:val="00617A33"/>
    <w:rsid w:val="00617CE6"/>
    <w:rsid w:val="006204A8"/>
    <w:rsid w:val="00620C8A"/>
    <w:rsid w:val="006219E7"/>
    <w:rsid w:val="00621FD2"/>
    <w:rsid w:val="0062232B"/>
    <w:rsid w:val="00622AF3"/>
    <w:rsid w:val="00622DF3"/>
    <w:rsid w:val="00624108"/>
    <w:rsid w:val="0062458A"/>
    <w:rsid w:val="00624F6F"/>
    <w:rsid w:val="00625A59"/>
    <w:rsid w:val="00626C61"/>
    <w:rsid w:val="00626E55"/>
    <w:rsid w:val="00627765"/>
    <w:rsid w:val="00627798"/>
    <w:rsid w:val="006278D9"/>
    <w:rsid w:val="00627C29"/>
    <w:rsid w:val="006315B3"/>
    <w:rsid w:val="00633002"/>
    <w:rsid w:val="00633619"/>
    <w:rsid w:val="0063448B"/>
    <w:rsid w:val="00635000"/>
    <w:rsid w:val="00635279"/>
    <w:rsid w:val="006357A8"/>
    <w:rsid w:val="006361A0"/>
    <w:rsid w:val="006367EE"/>
    <w:rsid w:val="00636983"/>
    <w:rsid w:val="006370A8"/>
    <w:rsid w:val="0063770E"/>
    <w:rsid w:val="006403BE"/>
    <w:rsid w:val="0064128D"/>
    <w:rsid w:val="00641393"/>
    <w:rsid w:val="00641A04"/>
    <w:rsid w:val="00641B78"/>
    <w:rsid w:val="00642174"/>
    <w:rsid w:val="00642259"/>
    <w:rsid w:val="00642762"/>
    <w:rsid w:val="00642C56"/>
    <w:rsid w:val="00642EF8"/>
    <w:rsid w:val="006439DE"/>
    <w:rsid w:val="006444BE"/>
    <w:rsid w:val="00645770"/>
    <w:rsid w:val="00647A05"/>
    <w:rsid w:val="006504BB"/>
    <w:rsid w:val="00652631"/>
    <w:rsid w:val="00653056"/>
    <w:rsid w:val="0065323B"/>
    <w:rsid w:val="006533A0"/>
    <w:rsid w:val="00653548"/>
    <w:rsid w:val="00653A70"/>
    <w:rsid w:val="00654318"/>
    <w:rsid w:val="006545DA"/>
    <w:rsid w:val="00654A92"/>
    <w:rsid w:val="00654DAF"/>
    <w:rsid w:val="0065561B"/>
    <w:rsid w:val="00655B78"/>
    <w:rsid w:val="00655EF3"/>
    <w:rsid w:val="00656A05"/>
    <w:rsid w:val="0065732E"/>
    <w:rsid w:val="006579A2"/>
    <w:rsid w:val="00657D6A"/>
    <w:rsid w:val="0066016B"/>
    <w:rsid w:val="00660D5F"/>
    <w:rsid w:val="00661935"/>
    <w:rsid w:val="00662284"/>
    <w:rsid w:val="006634B7"/>
    <w:rsid w:val="00663878"/>
    <w:rsid w:val="00663C5C"/>
    <w:rsid w:val="006644FC"/>
    <w:rsid w:val="0066458E"/>
    <w:rsid w:val="00664F09"/>
    <w:rsid w:val="00665AD7"/>
    <w:rsid w:val="0066654D"/>
    <w:rsid w:val="006670CD"/>
    <w:rsid w:val="00667723"/>
    <w:rsid w:val="00671771"/>
    <w:rsid w:val="00671966"/>
    <w:rsid w:val="006720B5"/>
    <w:rsid w:val="0067311E"/>
    <w:rsid w:val="006734B3"/>
    <w:rsid w:val="00673B98"/>
    <w:rsid w:val="00674465"/>
    <w:rsid w:val="006746E8"/>
    <w:rsid w:val="00674914"/>
    <w:rsid w:val="00675356"/>
    <w:rsid w:val="00675901"/>
    <w:rsid w:val="00676C25"/>
    <w:rsid w:val="00676C5E"/>
    <w:rsid w:val="00676F75"/>
    <w:rsid w:val="006776F9"/>
    <w:rsid w:val="0068048C"/>
    <w:rsid w:val="006820DC"/>
    <w:rsid w:val="00682716"/>
    <w:rsid w:val="006841F9"/>
    <w:rsid w:val="006851C9"/>
    <w:rsid w:val="006853A9"/>
    <w:rsid w:val="0068578D"/>
    <w:rsid w:val="00685B86"/>
    <w:rsid w:val="00686359"/>
    <w:rsid w:val="006868D7"/>
    <w:rsid w:val="00687057"/>
    <w:rsid w:val="00687428"/>
    <w:rsid w:val="006910DD"/>
    <w:rsid w:val="006928E0"/>
    <w:rsid w:val="00692BC9"/>
    <w:rsid w:val="006946F1"/>
    <w:rsid w:val="006951B8"/>
    <w:rsid w:val="00695EA3"/>
    <w:rsid w:val="00696043"/>
    <w:rsid w:val="00696AF6"/>
    <w:rsid w:val="006972C2"/>
    <w:rsid w:val="006979EE"/>
    <w:rsid w:val="006A005D"/>
    <w:rsid w:val="006A0704"/>
    <w:rsid w:val="006A1142"/>
    <w:rsid w:val="006A1378"/>
    <w:rsid w:val="006A1385"/>
    <w:rsid w:val="006A2CAD"/>
    <w:rsid w:val="006A4207"/>
    <w:rsid w:val="006A47A3"/>
    <w:rsid w:val="006A4C74"/>
    <w:rsid w:val="006A5E81"/>
    <w:rsid w:val="006A5FF0"/>
    <w:rsid w:val="006A68A0"/>
    <w:rsid w:val="006A69A4"/>
    <w:rsid w:val="006A705F"/>
    <w:rsid w:val="006B00AB"/>
    <w:rsid w:val="006B01B1"/>
    <w:rsid w:val="006B11B4"/>
    <w:rsid w:val="006B1B37"/>
    <w:rsid w:val="006B227A"/>
    <w:rsid w:val="006B2AB2"/>
    <w:rsid w:val="006B30BB"/>
    <w:rsid w:val="006B37A2"/>
    <w:rsid w:val="006B3A83"/>
    <w:rsid w:val="006B453C"/>
    <w:rsid w:val="006B4A45"/>
    <w:rsid w:val="006B5324"/>
    <w:rsid w:val="006B5458"/>
    <w:rsid w:val="006B6719"/>
    <w:rsid w:val="006B6E3D"/>
    <w:rsid w:val="006B70F7"/>
    <w:rsid w:val="006B7777"/>
    <w:rsid w:val="006C0302"/>
    <w:rsid w:val="006C0D2A"/>
    <w:rsid w:val="006C171D"/>
    <w:rsid w:val="006C1E05"/>
    <w:rsid w:val="006C2D5C"/>
    <w:rsid w:val="006C2D62"/>
    <w:rsid w:val="006C3BBD"/>
    <w:rsid w:val="006C3DA1"/>
    <w:rsid w:val="006C6066"/>
    <w:rsid w:val="006C60B6"/>
    <w:rsid w:val="006C7C5A"/>
    <w:rsid w:val="006D09DC"/>
    <w:rsid w:val="006D0B22"/>
    <w:rsid w:val="006D1958"/>
    <w:rsid w:val="006D1EBF"/>
    <w:rsid w:val="006D262A"/>
    <w:rsid w:val="006D3873"/>
    <w:rsid w:val="006D3AE2"/>
    <w:rsid w:val="006D3CD6"/>
    <w:rsid w:val="006D42BD"/>
    <w:rsid w:val="006D4EA6"/>
    <w:rsid w:val="006D549B"/>
    <w:rsid w:val="006D5FCB"/>
    <w:rsid w:val="006D6247"/>
    <w:rsid w:val="006D70CB"/>
    <w:rsid w:val="006E0122"/>
    <w:rsid w:val="006E02F9"/>
    <w:rsid w:val="006E08DC"/>
    <w:rsid w:val="006E0CA4"/>
    <w:rsid w:val="006E1D1E"/>
    <w:rsid w:val="006E2D8A"/>
    <w:rsid w:val="006E335E"/>
    <w:rsid w:val="006E462E"/>
    <w:rsid w:val="006E5281"/>
    <w:rsid w:val="006E6815"/>
    <w:rsid w:val="006E6F18"/>
    <w:rsid w:val="006E7B83"/>
    <w:rsid w:val="006E7FB7"/>
    <w:rsid w:val="006F06C0"/>
    <w:rsid w:val="006F091C"/>
    <w:rsid w:val="006F09A3"/>
    <w:rsid w:val="006F1325"/>
    <w:rsid w:val="006F1660"/>
    <w:rsid w:val="006F1829"/>
    <w:rsid w:val="006F409B"/>
    <w:rsid w:val="006F4308"/>
    <w:rsid w:val="006F463A"/>
    <w:rsid w:val="006F4A96"/>
    <w:rsid w:val="006F4B52"/>
    <w:rsid w:val="006F5420"/>
    <w:rsid w:val="006F56FE"/>
    <w:rsid w:val="006F5BEF"/>
    <w:rsid w:val="006F63B4"/>
    <w:rsid w:val="006F6AEA"/>
    <w:rsid w:val="006F6E7F"/>
    <w:rsid w:val="006F7652"/>
    <w:rsid w:val="0070045A"/>
    <w:rsid w:val="007006ED"/>
    <w:rsid w:val="007008D0"/>
    <w:rsid w:val="00700984"/>
    <w:rsid w:val="00700AC0"/>
    <w:rsid w:val="00700C1A"/>
    <w:rsid w:val="007015DE"/>
    <w:rsid w:val="0070193A"/>
    <w:rsid w:val="00701FFD"/>
    <w:rsid w:val="00702E50"/>
    <w:rsid w:val="0070460D"/>
    <w:rsid w:val="00705318"/>
    <w:rsid w:val="007075FF"/>
    <w:rsid w:val="007108F1"/>
    <w:rsid w:val="0071125C"/>
    <w:rsid w:val="0071134A"/>
    <w:rsid w:val="0071166F"/>
    <w:rsid w:val="00711E25"/>
    <w:rsid w:val="007122A5"/>
    <w:rsid w:val="0071288E"/>
    <w:rsid w:val="00712B8F"/>
    <w:rsid w:val="00713CB5"/>
    <w:rsid w:val="0071419C"/>
    <w:rsid w:val="00714E25"/>
    <w:rsid w:val="00714E3C"/>
    <w:rsid w:val="00715910"/>
    <w:rsid w:val="00715BF7"/>
    <w:rsid w:val="007161BA"/>
    <w:rsid w:val="0071637B"/>
    <w:rsid w:val="007172EB"/>
    <w:rsid w:val="0071767B"/>
    <w:rsid w:val="00717FC7"/>
    <w:rsid w:val="00721886"/>
    <w:rsid w:val="00722F08"/>
    <w:rsid w:val="00722FD3"/>
    <w:rsid w:val="00723724"/>
    <w:rsid w:val="00723D14"/>
    <w:rsid w:val="00724E9C"/>
    <w:rsid w:val="00725648"/>
    <w:rsid w:val="00727AB4"/>
    <w:rsid w:val="00727DCD"/>
    <w:rsid w:val="0073053E"/>
    <w:rsid w:val="00730889"/>
    <w:rsid w:val="00732075"/>
    <w:rsid w:val="00732084"/>
    <w:rsid w:val="00732D5D"/>
    <w:rsid w:val="00733071"/>
    <w:rsid w:val="007335F5"/>
    <w:rsid w:val="00733977"/>
    <w:rsid w:val="00733A84"/>
    <w:rsid w:val="0073491C"/>
    <w:rsid w:val="00735365"/>
    <w:rsid w:val="00740D3B"/>
    <w:rsid w:val="00740ED6"/>
    <w:rsid w:val="00741256"/>
    <w:rsid w:val="00741317"/>
    <w:rsid w:val="00746FC5"/>
    <w:rsid w:val="007470C7"/>
    <w:rsid w:val="00747695"/>
    <w:rsid w:val="00747985"/>
    <w:rsid w:val="007519F0"/>
    <w:rsid w:val="00752968"/>
    <w:rsid w:val="00752B94"/>
    <w:rsid w:val="0075415C"/>
    <w:rsid w:val="00754689"/>
    <w:rsid w:val="00754BAD"/>
    <w:rsid w:val="00755620"/>
    <w:rsid w:val="00755B30"/>
    <w:rsid w:val="00755C8A"/>
    <w:rsid w:val="00757078"/>
    <w:rsid w:val="0076004C"/>
    <w:rsid w:val="00760928"/>
    <w:rsid w:val="0076092B"/>
    <w:rsid w:val="00760C79"/>
    <w:rsid w:val="00761377"/>
    <w:rsid w:val="0076161F"/>
    <w:rsid w:val="00761C0E"/>
    <w:rsid w:val="00762673"/>
    <w:rsid w:val="00766463"/>
    <w:rsid w:val="00766A89"/>
    <w:rsid w:val="00767733"/>
    <w:rsid w:val="007705D4"/>
    <w:rsid w:val="00770CE5"/>
    <w:rsid w:val="00771204"/>
    <w:rsid w:val="0077192E"/>
    <w:rsid w:val="007720C9"/>
    <w:rsid w:val="007737F6"/>
    <w:rsid w:val="00773971"/>
    <w:rsid w:val="00773FB5"/>
    <w:rsid w:val="007740E5"/>
    <w:rsid w:val="00774EFD"/>
    <w:rsid w:val="00775828"/>
    <w:rsid w:val="007759F8"/>
    <w:rsid w:val="0077647E"/>
    <w:rsid w:val="00776A76"/>
    <w:rsid w:val="00777843"/>
    <w:rsid w:val="00777B37"/>
    <w:rsid w:val="00781789"/>
    <w:rsid w:val="00781838"/>
    <w:rsid w:val="00782B22"/>
    <w:rsid w:val="00782B86"/>
    <w:rsid w:val="00783001"/>
    <w:rsid w:val="00783A4A"/>
    <w:rsid w:val="007841DE"/>
    <w:rsid w:val="00784819"/>
    <w:rsid w:val="00786397"/>
    <w:rsid w:val="007875DF"/>
    <w:rsid w:val="00787862"/>
    <w:rsid w:val="00787B82"/>
    <w:rsid w:val="00790D46"/>
    <w:rsid w:val="007915CE"/>
    <w:rsid w:val="0079175A"/>
    <w:rsid w:val="00791B75"/>
    <w:rsid w:val="007923D8"/>
    <w:rsid w:val="00792B91"/>
    <w:rsid w:val="007933D9"/>
    <w:rsid w:val="007939EC"/>
    <w:rsid w:val="00793CC5"/>
    <w:rsid w:val="00794520"/>
    <w:rsid w:val="007948E9"/>
    <w:rsid w:val="0079557E"/>
    <w:rsid w:val="00795F52"/>
    <w:rsid w:val="007967F0"/>
    <w:rsid w:val="00796851"/>
    <w:rsid w:val="00797059"/>
    <w:rsid w:val="0079738B"/>
    <w:rsid w:val="00797975"/>
    <w:rsid w:val="00797987"/>
    <w:rsid w:val="00797D5B"/>
    <w:rsid w:val="007A0BA8"/>
    <w:rsid w:val="007A2AB0"/>
    <w:rsid w:val="007A30B2"/>
    <w:rsid w:val="007A3C8F"/>
    <w:rsid w:val="007A414B"/>
    <w:rsid w:val="007A427B"/>
    <w:rsid w:val="007A45B4"/>
    <w:rsid w:val="007A5340"/>
    <w:rsid w:val="007A711C"/>
    <w:rsid w:val="007A72B3"/>
    <w:rsid w:val="007A74D3"/>
    <w:rsid w:val="007A74F7"/>
    <w:rsid w:val="007B0271"/>
    <w:rsid w:val="007B0379"/>
    <w:rsid w:val="007B2151"/>
    <w:rsid w:val="007B3CBC"/>
    <w:rsid w:val="007B42F3"/>
    <w:rsid w:val="007B4551"/>
    <w:rsid w:val="007B5764"/>
    <w:rsid w:val="007B5AD8"/>
    <w:rsid w:val="007B5B82"/>
    <w:rsid w:val="007B63F1"/>
    <w:rsid w:val="007B666D"/>
    <w:rsid w:val="007C05E2"/>
    <w:rsid w:val="007C06DB"/>
    <w:rsid w:val="007C12A6"/>
    <w:rsid w:val="007C13E9"/>
    <w:rsid w:val="007C1464"/>
    <w:rsid w:val="007C2450"/>
    <w:rsid w:val="007C2F5D"/>
    <w:rsid w:val="007C4180"/>
    <w:rsid w:val="007C48E6"/>
    <w:rsid w:val="007C76B5"/>
    <w:rsid w:val="007C78EA"/>
    <w:rsid w:val="007D2011"/>
    <w:rsid w:val="007D2E71"/>
    <w:rsid w:val="007D394D"/>
    <w:rsid w:val="007D39AE"/>
    <w:rsid w:val="007D3BA1"/>
    <w:rsid w:val="007D4018"/>
    <w:rsid w:val="007D4D1A"/>
    <w:rsid w:val="007D4D33"/>
    <w:rsid w:val="007D4E3E"/>
    <w:rsid w:val="007D4EC9"/>
    <w:rsid w:val="007D590B"/>
    <w:rsid w:val="007D5927"/>
    <w:rsid w:val="007D6147"/>
    <w:rsid w:val="007D6830"/>
    <w:rsid w:val="007D6B61"/>
    <w:rsid w:val="007E1055"/>
    <w:rsid w:val="007E2AA9"/>
    <w:rsid w:val="007E2ABC"/>
    <w:rsid w:val="007E389B"/>
    <w:rsid w:val="007E4712"/>
    <w:rsid w:val="007E486E"/>
    <w:rsid w:val="007E6309"/>
    <w:rsid w:val="007E65CD"/>
    <w:rsid w:val="007E72BA"/>
    <w:rsid w:val="007F1FDD"/>
    <w:rsid w:val="007F222A"/>
    <w:rsid w:val="007F231A"/>
    <w:rsid w:val="007F2EA5"/>
    <w:rsid w:val="007F3A63"/>
    <w:rsid w:val="007F40CA"/>
    <w:rsid w:val="007F4BCE"/>
    <w:rsid w:val="007F742F"/>
    <w:rsid w:val="007F7769"/>
    <w:rsid w:val="007F797D"/>
    <w:rsid w:val="007F7C8F"/>
    <w:rsid w:val="00800EFE"/>
    <w:rsid w:val="008017FB"/>
    <w:rsid w:val="00801F96"/>
    <w:rsid w:val="008039D9"/>
    <w:rsid w:val="0080400C"/>
    <w:rsid w:val="008045C6"/>
    <w:rsid w:val="0080471D"/>
    <w:rsid w:val="00805041"/>
    <w:rsid w:val="008106DB"/>
    <w:rsid w:val="00810986"/>
    <w:rsid w:val="00810B95"/>
    <w:rsid w:val="00810C46"/>
    <w:rsid w:val="00811829"/>
    <w:rsid w:val="00811979"/>
    <w:rsid w:val="00812397"/>
    <w:rsid w:val="00813933"/>
    <w:rsid w:val="00813FA4"/>
    <w:rsid w:val="008140D0"/>
    <w:rsid w:val="0081531C"/>
    <w:rsid w:val="00815F2F"/>
    <w:rsid w:val="008161D1"/>
    <w:rsid w:val="00816E37"/>
    <w:rsid w:val="0081753C"/>
    <w:rsid w:val="00820008"/>
    <w:rsid w:val="0082006D"/>
    <w:rsid w:val="008201A6"/>
    <w:rsid w:val="00820B03"/>
    <w:rsid w:val="0082100A"/>
    <w:rsid w:val="008259BC"/>
    <w:rsid w:val="0082638B"/>
    <w:rsid w:val="00826FB5"/>
    <w:rsid w:val="00827751"/>
    <w:rsid w:val="00827C94"/>
    <w:rsid w:val="008301A7"/>
    <w:rsid w:val="008301B6"/>
    <w:rsid w:val="00830394"/>
    <w:rsid w:val="00831C38"/>
    <w:rsid w:val="00831E3D"/>
    <w:rsid w:val="0083250F"/>
    <w:rsid w:val="008337FE"/>
    <w:rsid w:val="00833AAF"/>
    <w:rsid w:val="00833CD9"/>
    <w:rsid w:val="008348BE"/>
    <w:rsid w:val="0083565E"/>
    <w:rsid w:val="00835663"/>
    <w:rsid w:val="00835CAB"/>
    <w:rsid w:val="0083672A"/>
    <w:rsid w:val="0083698A"/>
    <w:rsid w:val="008374D0"/>
    <w:rsid w:val="0083783E"/>
    <w:rsid w:val="00837AF3"/>
    <w:rsid w:val="00837DF9"/>
    <w:rsid w:val="00840899"/>
    <w:rsid w:val="0084225F"/>
    <w:rsid w:val="00842700"/>
    <w:rsid w:val="00842E19"/>
    <w:rsid w:val="00843A06"/>
    <w:rsid w:val="0084408A"/>
    <w:rsid w:val="00844A4E"/>
    <w:rsid w:val="00845183"/>
    <w:rsid w:val="0084661C"/>
    <w:rsid w:val="00847F04"/>
    <w:rsid w:val="008505BC"/>
    <w:rsid w:val="008516CC"/>
    <w:rsid w:val="00851FA9"/>
    <w:rsid w:val="00852E9C"/>
    <w:rsid w:val="008539A5"/>
    <w:rsid w:val="00853EBF"/>
    <w:rsid w:val="0085439B"/>
    <w:rsid w:val="008561D0"/>
    <w:rsid w:val="00856450"/>
    <w:rsid w:val="00856761"/>
    <w:rsid w:val="0086060E"/>
    <w:rsid w:val="0086207B"/>
    <w:rsid w:val="00862486"/>
    <w:rsid w:val="00862665"/>
    <w:rsid w:val="0086276E"/>
    <w:rsid w:val="00863821"/>
    <w:rsid w:val="00863CC3"/>
    <w:rsid w:val="00864F84"/>
    <w:rsid w:val="00866310"/>
    <w:rsid w:val="00866719"/>
    <w:rsid w:val="008716E2"/>
    <w:rsid w:val="00871921"/>
    <w:rsid w:val="008726D2"/>
    <w:rsid w:val="00872F8A"/>
    <w:rsid w:val="00873124"/>
    <w:rsid w:val="00873DF8"/>
    <w:rsid w:val="00874119"/>
    <w:rsid w:val="00874431"/>
    <w:rsid w:val="00874AE0"/>
    <w:rsid w:val="008757EE"/>
    <w:rsid w:val="00875F17"/>
    <w:rsid w:val="00876A26"/>
    <w:rsid w:val="00877039"/>
    <w:rsid w:val="00877D85"/>
    <w:rsid w:val="008811F2"/>
    <w:rsid w:val="008812B9"/>
    <w:rsid w:val="00881501"/>
    <w:rsid w:val="00882FA4"/>
    <w:rsid w:val="00883341"/>
    <w:rsid w:val="008839B5"/>
    <w:rsid w:val="00885C50"/>
    <w:rsid w:val="00885DE4"/>
    <w:rsid w:val="00885ECF"/>
    <w:rsid w:val="008866E0"/>
    <w:rsid w:val="00886A86"/>
    <w:rsid w:val="00887DF4"/>
    <w:rsid w:val="00890147"/>
    <w:rsid w:val="00891C05"/>
    <w:rsid w:val="00892DDB"/>
    <w:rsid w:val="00893209"/>
    <w:rsid w:val="0089337F"/>
    <w:rsid w:val="008934D8"/>
    <w:rsid w:val="00893A53"/>
    <w:rsid w:val="00893A79"/>
    <w:rsid w:val="00894266"/>
    <w:rsid w:val="00894693"/>
    <w:rsid w:val="00895027"/>
    <w:rsid w:val="0089543A"/>
    <w:rsid w:val="00896762"/>
    <w:rsid w:val="00897818"/>
    <w:rsid w:val="00897F4F"/>
    <w:rsid w:val="008A37A0"/>
    <w:rsid w:val="008A3D78"/>
    <w:rsid w:val="008A480D"/>
    <w:rsid w:val="008A4C56"/>
    <w:rsid w:val="008A4D90"/>
    <w:rsid w:val="008A5C88"/>
    <w:rsid w:val="008A5CA4"/>
    <w:rsid w:val="008A67C8"/>
    <w:rsid w:val="008A6C00"/>
    <w:rsid w:val="008A73B0"/>
    <w:rsid w:val="008A76AF"/>
    <w:rsid w:val="008A7DBD"/>
    <w:rsid w:val="008B0D33"/>
    <w:rsid w:val="008B1BFA"/>
    <w:rsid w:val="008B20DC"/>
    <w:rsid w:val="008B26B1"/>
    <w:rsid w:val="008B2B3E"/>
    <w:rsid w:val="008B2D34"/>
    <w:rsid w:val="008B3269"/>
    <w:rsid w:val="008B3B4B"/>
    <w:rsid w:val="008B49D2"/>
    <w:rsid w:val="008B6603"/>
    <w:rsid w:val="008C014D"/>
    <w:rsid w:val="008C04B3"/>
    <w:rsid w:val="008C19D6"/>
    <w:rsid w:val="008C2D05"/>
    <w:rsid w:val="008C3671"/>
    <w:rsid w:val="008C3ABE"/>
    <w:rsid w:val="008C6861"/>
    <w:rsid w:val="008C7A05"/>
    <w:rsid w:val="008D0673"/>
    <w:rsid w:val="008D1181"/>
    <w:rsid w:val="008D15DB"/>
    <w:rsid w:val="008D2210"/>
    <w:rsid w:val="008D23AF"/>
    <w:rsid w:val="008D2F03"/>
    <w:rsid w:val="008D300B"/>
    <w:rsid w:val="008D480C"/>
    <w:rsid w:val="008D48C2"/>
    <w:rsid w:val="008D5118"/>
    <w:rsid w:val="008D5308"/>
    <w:rsid w:val="008D72B4"/>
    <w:rsid w:val="008D7AE5"/>
    <w:rsid w:val="008D7C43"/>
    <w:rsid w:val="008E23B1"/>
    <w:rsid w:val="008E265C"/>
    <w:rsid w:val="008E28C2"/>
    <w:rsid w:val="008E2D24"/>
    <w:rsid w:val="008E3461"/>
    <w:rsid w:val="008E369E"/>
    <w:rsid w:val="008E5861"/>
    <w:rsid w:val="008E65FA"/>
    <w:rsid w:val="008E6B52"/>
    <w:rsid w:val="008E7EA0"/>
    <w:rsid w:val="008F0731"/>
    <w:rsid w:val="008F0D87"/>
    <w:rsid w:val="008F206D"/>
    <w:rsid w:val="008F2188"/>
    <w:rsid w:val="008F2A30"/>
    <w:rsid w:val="008F2E0E"/>
    <w:rsid w:val="008F3458"/>
    <w:rsid w:val="008F383B"/>
    <w:rsid w:val="008F40A7"/>
    <w:rsid w:val="008F4139"/>
    <w:rsid w:val="008F4833"/>
    <w:rsid w:val="008F5386"/>
    <w:rsid w:val="008F5737"/>
    <w:rsid w:val="008F6572"/>
    <w:rsid w:val="008F6CA7"/>
    <w:rsid w:val="008F6F0E"/>
    <w:rsid w:val="008F7346"/>
    <w:rsid w:val="0090011B"/>
    <w:rsid w:val="00900E3A"/>
    <w:rsid w:val="0090269D"/>
    <w:rsid w:val="009031FE"/>
    <w:rsid w:val="009038D4"/>
    <w:rsid w:val="009045B2"/>
    <w:rsid w:val="00904E9D"/>
    <w:rsid w:val="00904EDE"/>
    <w:rsid w:val="00906725"/>
    <w:rsid w:val="00906C17"/>
    <w:rsid w:val="009100CF"/>
    <w:rsid w:val="009107CD"/>
    <w:rsid w:val="00910F50"/>
    <w:rsid w:val="009124D1"/>
    <w:rsid w:val="00912B16"/>
    <w:rsid w:val="00913E29"/>
    <w:rsid w:val="0091459B"/>
    <w:rsid w:val="00915449"/>
    <w:rsid w:val="009162FE"/>
    <w:rsid w:val="00916B5A"/>
    <w:rsid w:val="0091770D"/>
    <w:rsid w:val="00917805"/>
    <w:rsid w:val="00920621"/>
    <w:rsid w:val="00920ADD"/>
    <w:rsid w:val="00920D86"/>
    <w:rsid w:val="00920DEB"/>
    <w:rsid w:val="00920EFC"/>
    <w:rsid w:val="00921DB7"/>
    <w:rsid w:val="00921F8C"/>
    <w:rsid w:val="00923A62"/>
    <w:rsid w:val="00926004"/>
    <w:rsid w:val="00927DC6"/>
    <w:rsid w:val="009300CB"/>
    <w:rsid w:val="00930167"/>
    <w:rsid w:val="009304D7"/>
    <w:rsid w:val="00930C2A"/>
    <w:rsid w:val="00931087"/>
    <w:rsid w:val="00931426"/>
    <w:rsid w:val="00931A22"/>
    <w:rsid w:val="0093228C"/>
    <w:rsid w:val="00932C55"/>
    <w:rsid w:val="00932C70"/>
    <w:rsid w:val="009333B8"/>
    <w:rsid w:val="009335E2"/>
    <w:rsid w:val="0093399E"/>
    <w:rsid w:val="009348D2"/>
    <w:rsid w:val="00935746"/>
    <w:rsid w:val="00936189"/>
    <w:rsid w:val="0093693F"/>
    <w:rsid w:val="00936FA7"/>
    <w:rsid w:val="009373DA"/>
    <w:rsid w:val="00937911"/>
    <w:rsid w:val="00937AFD"/>
    <w:rsid w:val="00942110"/>
    <w:rsid w:val="00942634"/>
    <w:rsid w:val="00942A4F"/>
    <w:rsid w:val="00942D46"/>
    <w:rsid w:val="009431C9"/>
    <w:rsid w:val="00943513"/>
    <w:rsid w:val="00943724"/>
    <w:rsid w:val="00943F87"/>
    <w:rsid w:val="0094440F"/>
    <w:rsid w:val="00944DB2"/>
    <w:rsid w:val="00945642"/>
    <w:rsid w:val="00945B16"/>
    <w:rsid w:val="00946167"/>
    <w:rsid w:val="00946FDB"/>
    <w:rsid w:val="00947D2A"/>
    <w:rsid w:val="00947F4F"/>
    <w:rsid w:val="009503B7"/>
    <w:rsid w:val="00950997"/>
    <w:rsid w:val="00950C70"/>
    <w:rsid w:val="00951764"/>
    <w:rsid w:val="009517F2"/>
    <w:rsid w:val="00952F7B"/>
    <w:rsid w:val="0095586D"/>
    <w:rsid w:val="00955E27"/>
    <w:rsid w:val="0095661F"/>
    <w:rsid w:val="00957D99"/>
    <w:rsid w:val="00961102"/>
    <w:rsid w:val="009612AD"/>
    <w:rsid w:val="00962123"/>
    <w:rsid w:val="009624DD"/>
    <w:rsid w:val="00962B10"/>
    <w:rsid w:val="00962C43"/>
    <w:rsid w:val="00962E51"/>
    <w:rsid w:val="00962FE3"/>
    <w:rsid w:val="009630F7"/>
    <w:rsid w:val="0096386F"/>
    <w:rsid w:val="00964BA2"/>
    <w:rsid w:val="00964F0E"/>
    <w:rsid w:val="009650D2"/>
    <w:rsid w:val="009654B5"/>
    <w:rsid w:val="00965723"/>
    <w:rsid w:val="00966617"/>
    <w:rsid w:val="00966C5B"/>
    <w:rsid w:val="00966FDD"/>
    <w:rsid w:val="009678E1"/>
    <w:rsid w:val="00967D6C"/>
    <w:rsid w:val="009700A4"/>
    <w:rsid w:val="009700D5"/>
    <w:rsid w:val="009702FE"/>
    <w:rsid w:val="00970AAA"/>
    <w:rsid w:val="00972862"/>
    <w:rsid w:val="00973811"/>
    <w:rsid w:val="00974215"/>
    <w:rsid w:val="0097456A"/>
    <w:rsid w:val="009755E4"/>
    <w:rsid w:val="009758CB"/>
    <w:rsid w:val="00975C5B"/>
    <w:rsid w:val="00976142"/>
    <w:rsid w:val="00976300"/>
    <w:rsid w:val="00976507"/>
    <w:rsid w:val="00976532"/>
    <w:rsid w:val="00976621"/>
    <w:rsid w:val="009769D0"/>
    <w:rsid w:val="00976C36"/>
    <w:rsid w:val="009771D0"/>
    <w:rsid w:val="0098016E"/>
    <w:rsid w:val="009809BD"/>
    <w:rsid w:val="00980FD9"/>
    <w:rsid w:val="00981E5E"/>
    <w:rsid w:val="0098216E"/>
    <w:rsid w:val="009829EC"/>
    <w:rsid w:val="00983264"/>
    <w:rsid w:val="00984900"/>
    <w:rsid w:val="00984F30"/>
    <w:rsid w:val="00984FCC"/>
    <w:rsid w:val="00985D13"/>
    <w:rsid w:val="00985DC0"/>
    <w:rsid w:val="00987065"/>
    <w:rsid w:val="009870EA"/>
    <w:rsid w:val="00987C76"/>
    <w:rsid w:val="009903B0"/>
    <w:rsid w:val="0099137E"/>
    <w:rsid w:val="009918CB"/>
    <w:rsid w:val="00991C6E"/>
    <w:rsid w:val="009925B5"/>
    <w:rsid w:val="00992B76"/>
    <w:rsid w:val="00993802"/>
    <w:rsid w:val="009950DA"/>
    <w:rsid w:val="009950DC"/>
    <w:rsid w:val="009955A4"/>
    <w:rsid w:val="0099584A"/>
    <w:rsid w:val="00996170"/>
    <w:rsid w:val="009962BA"/>
    <w:rsid w:val="009968B5"/>
    <w:rsid w:val="009968C6"/>
    <w:rsid w:val="00996E65"/>
    <w:rsid w:val="0099776D"/>
    <w:rsid w:val="00997AF9"/>
    <w:rsid w:val="009A012B"/>
    <w:rsid w:val="009A0223"/>
    <w:rsid w:val="009A0B8B"/>
    <w:rsid w:val="009A1E2A"/>
    <w:rsid w:val="009A1E61"/>
    <w:rsid w:val="009A1F11"/>
    <w:rsid w:val="009A1F39"/>
    <w:rsid w:val="009A299F"/>
    <w:rsid w:val="009A46F0"/>
    <w:rsid w:val="009A59CE"/>
    <w:rsid w:val="009A5AB1"/>
    <w:rsid w:val="009A6A31"/>
    <w:rsid w:val="009A707C"/>
    <w:rsid w:val="009A726C"/>
    <w:rsid w:val="009B00E7"/>
    <w:rsid w:val="009B0CFC"/>
    <w:rsid w:val="009B0FBC"/>
    <w:rsid w:val="009B1056"/>
    <w:rsid w:val="009B14B7"/>
    <w:rsid w:val="009B14F5"/>
    <w:rsid w:val="009B1948"/>
    <w:rsid w:val="009B2C80"/>
    <w:rsid w:val="009B33F4"/>
    <w:rsid w:val="009B375F"/>
    <w:rsid w:val="009B3926"/>
    <w:rsid w:val="009B43B2"/>
    <w:rsid w:val="009B459D"/>
    <w:rsid w:val="009B45BA"/>
    <w:rsid w:val="009B4D95"/>
    <w:rsid w:val="009B5FD9"/>
    <w:rsid w:val="009B6059"/>
    <w:rsid w:val="009B634D"/>
    <w:rsid w:val="009B635D"/>
    <w:rsid w:val="009B63F6"/>
    <w:rsid w:val="009B68DD"/>
    <w:rsid w:val="009B6BED"/>
    <w:rsid w:val="009B6BFB"/>
    <w:rsid w:val="009B7A57"/>
    <w:rsid w:val="009B7B06"/>
    <w:rsid w:val="009B7CC7"/>
    <w:rsid w:val="009C0452"/>
    <w:rsid w:val="009C0779"/>
    <w:rsid w:val="009C0870"/>
    <w:rsid w:val="009C0F51"/>
    <w:rsid w:val="009C1229"/>
    <w:rsid w:val="009C2E60"/>
    <w:rsid w:val="009C367A"/>
    <w:rsid w:val="009C4380"/>
    <w:rsid w:val="009C43B9"/>
    <w:rsid w:val="009C468F"/>
    <w:rsid w:val="009C49C2"/>
    <w:rsid w:val="009C55B6"/>
    <w:rsid w:val="009C6D28"/>
    <w:rsid w:val="009C781E"/>
    <w:rsid w:val="009D027C"/>
    <w:rsid w:val="009D0480"/>
    <w:rsid w:val="009D12B7"/>
    <w:rsid w:val="009D1356"/>
    <w:rsid w:val="009D17FC"/>
    <w:rsid w:val="009D1EA3"/>
    <w:rsid w:val="009D3433"/>
    <w:rsid w:val="009D4B96"/>
    <w:rsid w:val="009D4F73"/>
    <w:rsid w:val="009D557E"/>
    <w:rsid w:val="009D5655"/>
    <w:rsid w:val="009D5AD4"/>
    <w:rsid w:val="009D6091"/>
    <w:rsid w:val="009D7908"/>
    <w:rsid w:val="009E0455"/>
    <w:rsid w:val="009E0619"/>
    <w:rsid w:val="009E06A8"/>
    <w:rsid w:val="009E0D78"/>
    <w:rsid w:val="009E19B6"/>
    <w:rsid w:val="009E1AA7"/>
    <w:rsid w:val="009E1CD5"/>
    <w:rsid w:val="009E2307"/>
    <w:rsid w:val="009E2AA5"/>
    <w:rsid w:val="009E3394"/>
    <w:rsid w:val="009E3905"/>
    <w:rsid w:val="009E472E"/>
    <w:rsid w:val="009E4BC5"/>
    <w:rsid w:val="009E4EA3"/>
    <w:rsid w:val="009E5440"/>
    <w:rsid w:val="009E5B16"/>
    <w:rsid w:val="009E5FC4"/>
    <w:rsid w:val="009E62B8"/>
    <w:rsid w:val="009E6378"/>
    <w:rsid w:val="009E7272"/>
    <w:rsid w:val="009F013C"/>
    <w:rsid w:val="009F0CB3"/>
    <w:rsid w:val="009F2CDB"/>
    <w:rsid w:val="009F2E0C"/>
    <w:rsid w:val="009F3AC9"/>
    <w:rsid w:val="009F3E3B"/>
    <w:rsid w:val="009F3FB6"/>
    <w:rsid w:val="009F4A42"/>
    <w:rsid w:val="009F4CDB"/>
    <w:rsid w:val="009F5579"/>
    <w:rsid w:val="009F56EC"/>
    <w:rsid w:val="009F587F"/>
    <w:rsid w:val="009F670D"/>
    <w:rsid w:val="009F6ADE"/>
    <w:rsid w:val="009F7C84"/>
    <w:rsid w:val="00A00708"/>
    <w:rsid w:val="00A0099D"/>
    <w:rsid w:val="00A00B06"/>
    <w:rsid w:val="00A019AF"/>
    <w:rsid w:val="00A030B1"/>
    <w:rsid w:val="00A032F8"/>
    <w:rsid w:val="00A03E68"/>
    <w:rsid w:val="00A04529"/>
    <w:rsid w:val="00A04854"/>
    <w:rsid w:val="00A04A07"/>
    <w:rsid w:val="00A04F41"/>
    <w:rsid w:val="00A063B4"/>
    <w:rsid w:val="00A066DD"/>
    <w:rsid w:val="00A0729C"/>
    <w:rsid w:val="00A1051E"/>
    <w:rsid w:val="00A124FB"/>
    <w:rsid w:val="00A1257B"/>
    <w:rsid w:val="00A13329"/>
    <w:rsid w:val="00A137AC"/>
    <w:rsid w:val="00A13ADD"/>
    <w:rsid w:val="00A14135"/>
    <w:rsid w:val="00A1450B"/>
    <w:rsid w:val="00A160A6"/>
    <w:rsid w:val="00A169B1"/>
    <w:rsid w:val="00A17F90"/>
    <w:rsid w:val="00A20212"/>
    <w:rsid w:val="00A2190C"/>
    <w:rsid w:val="00A21D7C"/>
    <w:rsid w:val="00A21EB0"/>
    <w:rsid w:val="00A22111"/>
    <w:rsid w:val="00A234AF"/>
    <w:rsid w:val="00A246E0"/>
    <w:rsid w:val="00A247E0"/>
    <w:rsid w:val="00A24EE2"/>
    <w:rsid w:val="00A25165"/>
    <w:rsid w:val="00A2613A"/>
    <w:rsid w:val="00A26900"/>
    <w:rsid w:val="00A26C49"/>
    <w:rsid w:val="00A271C1"/>
    <w:rsid w:val="00A273DA"/>
    <w:rsid w:val="00A27AD7"/>
    <w:rsid w:val="00A27F04"/>
    <w:rsid w:val="00A27F37"/>
    <w:rsid w:val="00A305A8"/>
    <w:rsid w:val="00A30B8B"/>
    <w:rsid w:val="00A30D01"/>
    <w:rsid w:val="00A30FB0"/>
    <w:rsid w:val="00A310CD"/>
    <w:rsid w:val="00A3175C"/>
    <w:rsid w:val="00A32753"/>
    <w:rsid w:val="00A328BF"/>
    <w:rsid w:val="00A3412E"/>
    <w:rsid w:val="00A348A0"/>
    <w:rsid w:val="00A34990"/>
    <w:rsid w:val="00A34BEE"/>
    <w:rsid w:val="00A35556"/>
    <w:rsid w:val="00A359F7"/>
    <w:rsid w:val="00A35A4C"/>
    <w:rsid w:val="00A35A6F"/>
    <w:rsid w:val="00A40B7F"/>
    <w:rsid w:val="00A415A3"/>
    <w:rsid w:val="00A41BA2"/>
    <w:rsid w:val="00A42F78"/>
    <w:rsid w:val="00A4331D"/>
    <w:rsid w:val="00A434C3"/>
    <w:rsid w:val="00A43544"/>
    <w:rsid w:val="00A43E77"/>
    <w:rsid w:val="00A442E4"/>
    <w:rsid w:val="00A444F4"/>
    <w:rsid w:val="00A45423"/>
    <w:rsid w:val="00A4630C"/>
    <w:rsid w:val="00A46449"/>
    <w:rsid w:val="00A47AF0"/>
    <w:rsid w:val="00A500E2"/>
    <w:rsid w:val="00A5043E"/>
    <w:rsid w:val="00A5064A"/>
    <w:rsid w:val="00A51F3D"/>
    <w:rsid w:val="00A529B7"/>
    <w:rsid w:val="00A52B80"/>
    <w:rsid w:val="00A54F19"/>
    <w:rsid w:val="00A54FC0"/>
    <w:rsid w:val="00A558CE"/>
    <w:rsid w:val="00A56242"/>
    <w:rsid w:val="00A56A96"/>
    <w:rsid w:val="00A57171"/>
    <w:rsid w:val="00A601E8"/>
    <w:rsid w:val="00A60999"/>
    <w:rsid w:val="00A60C43"/>
    <w:rsid w:val="00A61DF4"/>
    <w:rsid w:val="00A61FD1"/>
    <w:rsid w:val="00A63713"/>
    <w:rsid w:val="00A648E8"/>
    <w:rsid w:val="00A64C93"/>
    <w:rsid w:val="00A64EEA"/>
    <w:rsid w:val="00A650CC"/>
    <w:rsid w:val="00A6521F"/>
    <w:rsid w:val="00A65AA1"/>
    <w:rsid w:val="00A65ECF"/>
    <w:rsid w:val="00A66139"/>
    <w:rsid w:val="00A66D01"/>
    <w:rsid w:val="00A66D94"/>
    <w:rsid w:val="00A7052E"/>
    <w:rsid w:val="00A70D60"/>
    <w:rsid w:val="00A7151A"/>
    <w:rsid w:val="00A71590"/>
    <w:rsid w:val="00A71666"/>
    <w:rsid w:val="00A71C3B"/>
    <w:rsid w:val="00A73776"/>
    <w:rsid w:val="00A7395A"/>
    <w:rsid w:val="00A73AA0"/>
    <w:rsid w:val="00A7412F"/>
    <w:rsid w:val="00A7555C"/>
    <w:rsid w:val="00A76DF0"/>
    <w:rsid w:val="00A8181C"/>
    <w:rsid w:val="00A8194C"/>
    <w:rsid w:val="00A8216A"/>
    <w:rsid w:val="00A8220D"/>
    <w:rsid w:val="00A8260B"/>
    <w:rsid w:val="00A82C21"/>
    <w:rsid w:val="00A848E4"/>
    <w:rsid w:val="00A85023"/>
    <w:rsid w:val="00A85262"/>
    <w:rsid w:val="00A85438"/>
    <w:rsid w:val="00A859F5"/>
    <w:rsid w:val="00A85BA9"/>
    <w:rsid w:val="00A86815"/>
    <w:rsid w:val="00A878BB"/>
    <w:rsid w:val="00A87C39"/>
    <w:rsid w:val="00A87F24"/>
    <w:rsid w:val="00A917EB"/>
    <w:rsid w:val="00A9269A"/>
    <w:rsid w:val="00A92E93"/>
    <w:rsid w:val="00A92EDB"/>
    <w:rsid w:val="00A93107"/>
    <w:rsid w:val="00A93B29"/>
    <w:rsid w:val="00A94AFA"/>
    <w:rsid w:val="00A95F06"/>
    <w:rsid w:val="00A9656E"/>
    <w:rsid w:val="00A97416"/>
    <w:rsid w:val="00AA02A2"/>
    <w:rsid w:val="00AA157E"/>
    <w:rsid w:val="00AA2141"/>
    <w:rsid w:val="00AA22B8"/>
    <w:rsid w:val="00AA3B89"/>
    <w:rsid w:val="00AA42EB"/>
    <w:rsid w:val="00AA4D57"/>
    <w:rsid w:val="00AA4F32"/>
    <w:rsid w:val="00AA5121"/>
    <w:rsid w:val="00AA68DE"/>
    <w:rsid w:val="00AA7391"/>
    <w:rsid w:val="00AA74B8"/>
    <w:rsid w:val="00AA7BD9"/>
    <w:rsid w:val="00AB150C"/>
    <w:rsid w:val="00AB15B0"/>
    <w:rsid w:val="00AB2B74"/>
    <w:rsid w:val="00AB2CCD"/>
    <w:rsid w:val="00AB4FCF"/>
    <w:rsid w:val="00AB504A"/>
    <w:rsid w:val="00AB61C8"/>
    <w:rsid w:val="00AB7AF3"/>
    <w:rsid w:val="00AC0DAA"/>
    <w:rsid w:val="00AC1FEC"/>
    <w:rsid w:val="00AC2250"/>
    <w:rsid w:val="00AC2DB5"/>
    <w:rsid w:val="00AC3B77"/>
    <w:rsid w:val="00AC463B"/>
    <w:rsid w:val="00AC48C4"/>
    <w:rsid w:val="00AC4D56"/>
    <w:rsid w:val="00AC4E21"/>
    <w:rsid w:val="00AC693A"/>
    <w:rsid w:val="00AC73ED"/>
    <w:rsid w:val="00AC789E"/>
    <w:rsid w:val="00AD0820"/>
    <w:rsid w:val="00AD1B24"/>
    <w:rsid w:val="00AD1F24"/>
    <w:rsid w:val="00AD25AB"/>
    <w:rsid w:val="00AD3B74"/>
    <w:rsid w:val="00AD3C40"/>
    <w:rsid w:val="00AD4792"/>
    <w:rsid w:val="00AD49CA"/>
    <w:rsid w:val="00AD4F0A"/>
    <w:rsid w:val="00AD5118"/>
    <w:rsid w:val="00AD60EE"/>
    <w:rsid w:val="00AD623C"/>
    <w:rsid w:val="00AD68DD"/>
    <w:rsid w:val="00AD6989"/>
    <w:rsid w:val="00AD6B86"/>
    <w:rsid w:val="00AD71B5"/>
    <w:rsid w:val="00AD7492"/>
    <w:rsid w:val="00AD7914"/>
    <w:rsid w:val="00AE07B9"/>
    <w:rsid w:val="00AE115A"/>
    <w:rsid w:val="00AE14A9"/>
    <w:rsid w:val="00AE300A"/>
    <w:rsid w:val="00AE4259"/>
    <w:rsid w:val="00AE461D"/>
    <w:rsid w:val="00AE525B"/>
    <w:rsid w:val="00AE5876"/>
    <w:rsid w:val="00AE609D"/>
    <w:rsid w:val="00AF00B1"/>
    <w:rsid w:val="00AF00F6"/>
    <w:rsid w:val="00AF086E"/>
    <w:rsid w:val="00AF0A74"/>
    <w:rsid w:val="00AF2092"/>
    <w:rsid w:val="00AF4446"/>
    <w:rsid w:val="00AF72F6"/>
    <w:rsid w:val="00AF7595"/>
    <w:rsid w:val="00AF7CB2"/>
    <w:rsid w:val="00B016C8"/>
    <w:rsid w:val="00B024A3"/>
    <w:rsid w:val="00B03B79"/>
    <w:rsid w:val="00B03F67"/>
    <w:rsid w:val="00B0467F"/>
    <w:rsid w:val="00B049A3"/>
    <w:rsid w:val="00B06ADA"/>
    <w:rsid w:val="00B10A5E"/>
    <w:rsid w:val="00B118AE"/>
    <w:rsid w:val="00B120A1"/>
    <w:rsid w:val="00B12444"/>
    <w:rsid w:val="00B12D9D"/>
    <w:rsid w:val="00B130C4"/>
    <w:rsid w:val="00B1553A"/>
    <w:rsid w:val="00B15656"/>
    <w:rsid w:val="00B15CFE"/>
    <w:rsid w:val="00B160B6"/>
    <w:rsid w:val="00B1796E"/>
    <w:rsid w:val="00B20EE2"/>
    <w:rsid w:val="00B20EE8"/>
    <w:rsid w:val="00B21BD4"/>
    <w:rsid w:val="00B22209"/>
    <w:rsid w:val="00B2272B"/>
    <w:rsid w:val="00B22E53"/>
    <w:rsid w:val="00B231D3"/>
    <w:rsid w:val="00B23376"/>
    <w:rsid w:val="00B24062"/>
    <w:rsid w:val="00B244D6"/>
    <w:rsid w:val="00B24553"/>
    <w:rsid w:val="00B246B9"/>
    <w:rsid w:val="00B246C0"/>
    <w:rsid w:val="00B24C65"/>
    <w:rsid w:val="00B250F1"/>
    <w:rsid w:val="00B251AC"/>
    <w:rsid w:val="00B258B4"/>
    <w:rsid w:val="00B269B1"/>
    <w:rsid w:val="00B27F51"/>
    <w:rsid w:val="00B3057A"/>
    <w:rsid w:val="00B3157D"/>
    <w:rsid w:val="00B322C7"/>
    <w:rsid w:val="00B32317"/>
    <w:rsid w:val="00B3351F"/>
    <w:rsid w:val="00B34229"/>
    <w:rsid w:val="00B343DF"/>
    <w:rsid w:val="00B34B51"/>
    <w:rsid w:val="00B35256"/>
    <w:rsid w:val="00B36B1E"/>
    <w:rsid w:val="00B426F0"/>
    <w:rsid w:val="00B43384"/>
    <w:rsid w:val="00B4452B"/>
    <w:rsid w:val="00B44646"/>
    <w:rsid w:val="00B458E2"/>
    <w:rsid w:val="00B45A13"/>
    <w:rsid w:val="00B46D58"/>
    <w:rsid w:val="00B503AE"/>
    <w:rsid w:val="00B507E3"/>
    <w:rsid w:val="00B51308"/>
    <w:rsid w:val="00B51E7A"/>
    <w:rsid w:val="00B52D33"/>
    <w:rsid w:val="00B52D4F"/>
    <w:rsid w:val="00B52FE8"/>
    <w:rsid w:val="00B53719"/>
    <w:rsid w:val="00B53AF9"/>
    <w:rsid w:val="00B53DC6"/>
    <w:rsid w:val="00B5423A"/>
    <w:rsid w:val="00B544F5"/>
    <w:rsid w:val="00B545BF"/>
    <w:rsid w:val="00B554FD"/>
    <w:rsid w:val="00B56583"/>
    <w:rsid w:val="00B569D0"/>
    <w:rsid w:val="00B56A34"/>
    <w:rsid w:val="00B61205"/>
    <w:rsid w:val="00B6124F"/>
    <w:rsid w:val="00B61B63"/>
    <w:rsid w:val="00B627DF"/>
    <w:rsid w:val="00B62A1C"/>
    <w:rsid w:val="00B64FB8"/>
    <w:rsid w:val="00B652DD"/>
    <w:rsid w:val="00B6580F"/>
    <w:rsid w:val="00B65825"/>
    <w:rsid w:val="00B6623E"/>
    <w:rsid w:val="00B66286"/>
    <w:rsid w:val="00B66E99"/>
    <w:rsid w:val="00B670B8"/>
    <w:rsid w:val="00B7009D"/>
    <w:rsid w:val="00B700C7"/>
    <w:rsid w:val="00B708D3"/>
    <w:rsid w:val="00B70C9B"/>
    <w:rsid w:val="00B7171C"/>
    <w:rsid w:val="00B719E8"/>
    <w:rsid w:val="00B71B63"/>
    <w:rsid w:val="00B71E96"/>
    <w:rsid w:val="00B722A2"/>
    <w:rsid w:val="00B7238A"/>
    <w:rsid w:val="00B72BF3"/>
    <w:rsid w:val="00B72EE8"/>
    <w:rsid w:val="00B732EA"/>
    <w:rsid w:val="00B735CE"/>
    <w:rsid w:val="00B747C8"/>
    <w:rsid w:val="00B75658"/>
    <w:rsid w:val="00B75BF1"/>
    <w:rsid w:val="00B7635C"/>
    <w:rsid w:val="00B774CB"/>
    <w:rsid w:val="00B778F3"/>
    <w:rsid w:val="00B806CD"/>
    <w:rsid w:val="00B813F0"/>
    <w:rsid w:val="00B829CB"/>
    <w:rsid w:val="00B857DE"/>
    <w:rsid w:val="00B85DB7"/>
    <w:rsid w:val="00B871FB"/>
    <w:rsid w:val="00B9046F"/>
    <w:rsid w:val="00B9197A"/>
    <w:rsid w:val="00B92528"/>
    <w:rsid w:val="00B93B0F"/>
    <w:rsid w:val="00B951A1"/>
    <w:rsid w:val="00B95BCB"/>
    <w:rsid w:val="00B95FDC"/>
    <w:rsid w:val="00B962FE"/>
    <w:rsid w:val="00B9781E"/>
    <w:rsid w:val="00B97AEC"/>
    <w:rsid w:val="00BA09C8"/>
    <w:rsid w:val="00BA180C"/>
    <w:rsid w:val="00BA2091"/>
    <w:rsid w:val="00BA22BC"/>
    <w:rsid w:val="00BA2848"/>
    <w:rsid w:val="00BA54D5"/>
    <w:rsid w:val="00BA5D13"/>
    <w:rsid w:val="00BA6002"/>
    <w:rsid w:val="00BA69E7"/>
    <w:rsid w:val="00BA6B63"/>
    <w:rsid w:val="00BB1089"/>
    <w:rsid w:val="00BB1379"/>
    <w:rsid w:val="00BB17F9"/>
    <w:rsid w:val="00BB278F"/>
    <w:rsid w:val="00BB2DFE"/>
    <w:rsid w:val="00BB311F"/>
    <w:rsid w:val="00BB419F"/>
    <w:rsid w:val="00BB5AD6"/>
    <w:rsid w:val="00BB5B53"/>
    <w:rsid w:val="00BB5EAA"/>
    <w:rsid w:val="00BB6484"/>
    <w:rsid w:val="00BB69CE"/>
    <w:rsid w:val="00BB72B8"/>
    <w:rsid w:val="00BB78F2"/>
    <w:rsid w:val="00BB795C"/>
    <w:rsid w:val="00BB7DD0"/>
    <w:rsid w:val="00BC0656"/>
    <w:rsid w:val="00BC2487"/>
    <w:rsid w:val="00BC280A"/>
    <w:rsid w:val="00BC2C66"/>
    <w:rsid w:val="00BC2C9F"/>
    <w:rsid w:val="00BC5C4C"/>
    <w:rsid w:val="00BC5D47"/>
    <w:rsid w:val="00BC6599"/>
    <w:rsid w:val="00BC75F6"/>
    <w:rsid w:val="00BD1181"/>
    <w:rsid w:val="00BD1301"/>
    <w:rsid w:val="00BD13A5"/>
    <w:rsid w:val="00BD2593"/>
    <w:rsid w:val="00BD25B1"/>
    <w:rsid w:val="00BD4BE5"/>
    <w:rsid w:val="00BD4FED"/>
    <w:rsid w:val="00BD5328"/>
    <w:rsid w:val="00BD62BB"/>
    <w:rsid w:val="00BD646E"/>
    <w:rsid w:val="00BD6651"/>
    <w:rsid w:val="00BD68F7"/>
    <w:rsid w:val="00BD6E4B"/>
    <w:rsid w:val="00BD6F1C"/>
    <w:rsid w:val="00BD6F5B"/>
    <w:rsid w:val="00BD7551"/>
    <w:rsid w:val="00BD78EA"/>
    <w:rsid w:val="00BD79BD"/>
    <w:rsid w:val="00BE0410"/>
    <w:rsid w:val="00BE0A71"/>
    <w:rsid w:val="00BE14A6"/>
    <w:rsid w:val="00BE1BE7"/>
    <w:rsid w:val="00BE1D53"/>
    <w:rsid w:val="00BE1DBF"/>
    <w:rsid w:val="00BE2327"/>
    <w:rsid w:val="00BE2FC0"/>
    <w:rsid w:val="00BE38D2"/>
    <w:rsid w:val="00BE3BB4"/>
    <w:rsid w:val="00BE4C49"/>
    <w:rsid w:val="00BE5103"/>
    <w:rsid w:val="00BE512B"/>
    <w:rsid w:val="00BE554C"/>
    <w:rsid w:val="00BE65BD"/>
    <w:rsid w:val="00BE703B"/>
    <w:rsid w:val="00BE7797"/>
    <w:rsid w:val="00BE7C70"/>
    <w:rsid w:val="00BE7EE6"/>
    <w:rsid w:val="00BF0758"/>
    <w:rsid w:val="00BF1646"/>
    <w:rsid w:val="00BF2024"/>
    <w:rsid w:val="00BF23A8"/>
    <w:rsid w:val="00BF3147"/>
    <w:rsid w:val="00BF3368"/>
    <w:rsid w:val="00BF3F21"/>
    <w:rsid w:val="00BF4AC1"/>
    <w:rsid w:val="00BF55D1"/>
    <w:rsid w:val="00C00530"/>
    <w:rsid w:val="00C00CEB"/>
    <w:rsid w:val="00C01CC8"/>
    <w:rsid w:val="00C01E74"/>
    <w:rsid w:val="00C032EC"/>
    <w:rsid w:val="00C03311"/>
    <w:rsid w:val="00C03606"/>
    <w:rsid w:val="00C03CF1"/>
    <w:rsid w:val="00C04905"/>
    <w:rsid w:val="00C04A17"/>
    <w:rsid w:val="00C05678"/>
    <w:rsid w:val="00C05A82"/>
    <w:rsid w:val="00C064BC"/>
    <w:rsid w:val="00C0725B"/>
    <w:rsid w:val="00C077A4"/>
    <w:rsid w:val="00C079F9"/>
    <w:rsid w:val="00C07BB1"/>
    <w:rsid w:val="00C100D4"/>
    <w:rsid w:val="00C1098C"/>
    <w:rsid w:val="00C11434"/>
    <w:rsid w:val="00C11727"/>
    <w:rsid w:val="00C11DB2"/>
    <w:rsid w:val="00C1284B"/>
    <w:rsid w:val="00C131C9"/>
    <w:rsid w:val="00C132C2"/>
    <w:rsid w:val="00C13CF7"/>
    <w:rsid w:val="00C13E34"/>
    <w:rsid w:val="00C13FF2"/>
    <w:rsid w:val="00C1404E"/>
    <w:rsid w:val="00C145F5"/>
    <w:rsid w:val="00C1684F"/>
    <w:rsid w:val="00C216CC"/>
    <w:rsid w:val="00C22A03"/>
    <w:rsid w:val="00C22D11"/>
    <w:rsid w:val="00C235D3"/>
    <w:rsid w:val="00C23E4D"/>
    <w:rsid w:val="00C30771"/>
    <w:rsid w:val="00C31726"/>
    <w:rsid w:val="00C3187C"/>
    <w:rsid w:val="00C31BC5"/>
    <w:rsid w:val="00C31E6F"/>
    <w:rsid w:val="00C32059"/>
    <w:rsid w:val="00C3349F"/>
    <w:rsid w:val="00C339A0"/>
    <w:rsid w:val="00C34F7A"/>
    <w:rsid w:val="00C366DF"/>
    <w:rsid w:val="00C36806"/>
    <w:rsid w:val="00C371A8"/>
    <w:rsid w:val="00C37954"/>
    <w:rsid w:val="00C40798"/>
    <w:rsid w:val="00C424C6"/>
    <w:rsid w:val="00C43583"/>
    <w:rsid w:val="00C43F2B"/>
    <w:rsid w:val="00C44038"/>
    <w:rsid w:val="00C44391"/>
    <w:rsid w:val="00C44BC0"/>
    <w:rsid w:val="00C458D5"/>
    <w:rsid w:val="00C45E1C"/>
    <w:rsid w:val="00C45FFC"/>
    <w:rsid w:val="00C46420"/>
    <w:rsid w:val="00C465E8"/>
    <w:rsid w:val="00C46B06"/>
    <w:rsid w:val="00C46FB4"/>
    <w:rsid w:val="00C47039"/>
    <w:rsid w:val="00C471F6"/>
    <w:rsid w:val="00C47B52"/>
    <w:rsid w:val="00C5156F"/>
    <w:rsid w:val="00C52AA2"/>
    <w:rsid w:val="00C53231"/>
    <w:rsid w:val="00C54B14"/>
    <w:rsid w:val="00C55E92"/>
    <w:rsid w:val="00C567A8"/>
    <w:rsid w:val="00C56909"/>
    <w:rsid w:val="00C57509"/>
    <w:rsid w:val="00C577E0"/>
    <w:rsid w:val="00C6029F"/>
    <w:rsid w:val="00C60303"/>
    <w:rsid w:val="00C6048B"/>
    <w:rsid w:val="00C61125"/>
    <w:rsid w:val="00C6149B"/>
    <w:rsid w:val="00C622C2"/>
    <w:rsid w:val="00C62CEE"/>
    <w:rsid w:val="00C62CF5"/>
    <w:rsid w:val="00C63530"/>
    <w:rsid w:val="00C64B88"/>
    <w:rsid w:val="00C65457"/>
    <w:rsid w:val="00C65D0A"/>
    <w:rsid w:val="00C65D38"/>
    <w:rsid w:val="00C65D48"/>
    <w:rsid w:val="00C66913"/>
    <w:rsid w:val="00C66951"/>
    <w:rsid w:val="00C67FBC"/>
    <w:rsid w:val="00C7024D"/>
    <w:rsid w:val="00C704FF"/>
    <w:rsid w:val="00C70F6F"/>
    <w:rsid w:val="00C72048"/>
    <w:rsid w:val="00C721AC"/>
    <w:rsid w:val="00C722C4"/>
    <w:rsid w:val="00C75BA3"/>
    <w:rsid w:val="00C76393"/>
    <w:rsid w:val="00C770E4"/>
    <w:rsid w:val="00C775AA"/>
    <w:rsid w:val="00C80FBF"/>
    <w:rsid w:val="00C80FCD"/>
    <w:rsid w:val="00C81B63"/>
    <w:rsid w:val="00C825C0"/>
    <w:rsid w:val="00C84759"/>
    <w:rsid w:val="00C85297"/>
    <w:rsid w:val="00C85548"/>
    <w:rsid w:val="00C8671C"/>
    <w:rsid w:val="00C86D04"/>
    <w:rsid w:val="00C90039"/>
    <w:rsid w:val="00C91840"/>
    <w:rsid w:val="00C92D25"/>
    <w:rsid w:val="00C934E9"/>
    <w:rsid w:val="00C93588"/>
    <w:rsid w:val="00C93B96"/>
    <w:rsid w:val="00C94CAF"/>
    <w:rsid w:val="00C954A9"/>
    <w:rsid w:val="00C96135"/>
    <w:rsid w:val="00C964BC"/>
    <w:rsid w:val="00C96920"/>
    <w:rsid w:val="00C97443"/>
    <w:rsid w:val="00CA19F0"/>
    <w:rsid w:val="00CA1BD4"/>
    <w:rsid w:val="00CA202F"/>
    <w:rsid w:val="00CA21AA"/>
    <w:rsid w:val="00CA3905"/>
    <w:rsid w:val="00CA3B5A"/>
    <w:rsid w:val="00CA4115"/>
    <w:rsid w:val="00CA411F"/>
    <w:rsid w:val="00CA4377"/>
    <w:rsid w:val="00CA46FE"/>
    <w:rsid w:val="00CA5E30"/>
    <w:rsid w:val="00CA60DD"/>
    <w:rsid w:val="00CA76BC"/>
    <w:rsid w:val="00CA7ECC"/>
    <w:rsid w:val="00CB2614"/>
    <w:rsid w:val="00CB2ED9"/>
    <w:rsid w:val="00CB35DF"/>
    <w:rsid w:val="00CB39EC"/>
    <w:rsid w:val="00CB4576"/>
    <w:rsid w:val="00CB52BB"/>
    <w:rsid w:val="00CB5401"/>
    <w:rsid w:val="00CB5810"/>
    <w:rsid w:val="00CB674E"/>
    <w:rsid w:val="00CB68D7"/>
    <w:rsid w:val="00CB6B13"/>
    <w:rsid w:val="00CB6CEC"/>
    <w:rsid w:val="00CB6D42"/>
    <w:rsid w:val="00CB789E"/>
    <w:rsid w:val="00CB7D13"/>
    <w:rsid w:val="00CC11D4"/>
    <w:rsid w:val="00CC20A8"/>
    <w:rsid w:val="00CC2CC2"/>
    <w:rsid w:val="00CC2CE5"/>
    <w:rsid w:val="00CC309D"/>
    <w:rsid w:val="00CC4135"/>
    <w:rsid w:val="00CC44E9"/>
    <w:rsid w:val="00CC68AB"/>
    <w:rsid w:val="00CD0E36"/>
    <w:rsid w:val="00CD1157"/>
    <w:rsid w:val="00CD16EB"/>
    <w:rsid w:val="00CD1999"/>
    <w:rsid w:val="00CD1A34"/>
    <w:rsid w:val="00CD2D19"/>
    <w:rsid w:val="00CD3538"/>
    <w:rsid w:val="00CD4A62"/>
    <w:rsid w:val="00CD54C5"/>
    <w:rsid w:val="00CD5A25"/>
    <w:rsid w:val="00CD73CF"/>
    <w:rsid w:val="00CD7CDB"/>
    <w:rsid w:val="00CE3119"/>
    <w:rsid w:val="00CE4A44"/>
    <w:rsid w:val="00CE54DE"/>
    <w:rsid w:val="00CE7001"/>
    <w:rsid w:val="00CE7017"/>
    <w:rsid w:val="00CE77BE"/>
    <w:rsid w:val="00CF0642"/>
    <w:rsid w:val="00CF0C5B"/>
    <w:rsid w:val="00CF2009"/>
    <w:rsid w:val="00CF2063"/>
    <w:rsid w:val="00CF21A4"/>
    <w:rsid w:val="00CF22CF"/>
    <w:rsid w:val="00CF2B2B"/>
    <w:rsid w:val="00CF37CD"/>
    <w:rsid w:val="00CF3AF7"/>
    <w:rsid w:val="00CF3ED7"/>
    <w:rsid w:val="00CF46CD"/>
    <w:rsid w:val="00CF46F3"/>
    <w:rsid w:val="00CF550A"/>
    <w:rsid w:val="00CF59E3"/>
    <w:rsid w:val="00CF658F"/>
    <w:rsid w:val="00D00733"/>
    <w:rsid w:val="00D00AC7"/>
    <w:rsid w:val="00D019E1"/>
    <w:rsid w:val="00D02C00"/>
    <w:rsid w:val="00D02EAF"/>
    <w:rsid w:val="00D038FB"/>
    <w:rsid w:val="00D03F2B"/>
    <w:rsid w:val="00D041C7"/>
    <w:rsid w:val="00D044C2"/>
    <w:rsid w:val="00D10872"/>
    <w:rsid w:val="00D10CBE"/>
    <w:rsid w:val="00D10E8D"/>
    <w:rsid w:val="00D1106B"/>
    <w:rsid w:val="00D11BDB"/>
    <w:rsid w:val="00D11C45"/>
    <w:rsid w:val="00D11F15"/>
    <w:rsid w:val="00D14141"/>
    <w:rsid w:val="00D14426"/>
    <w:rsid w:val="00D14DD9"/>
    <w:rsid w:val="00D163D1"/>
    <w:rsid w:val="00D1681B"/>
    <w:rsid w:val="00D16E63"/>
    <w:rsid w:val="00D1755C"/>
    <w:rsid w:val="00D17706"/>
    <w:rsid w:val="00D1781C"/>
    <w:rsid w:val="00D178A6"/>
    <w:rsid w:val="00D17944"/>
    <w:rsid w:val="00D17D9F"/>
    <w:rsid w:val="00D2091A"/>
    <w:rsid w:val="00D20AB7"/>
    <w:rsid w:val="00D2150E"/>
    <w:rsid w:val="00D22794"/>
    <w:rsid w:val="00D228D6"/>
    <w:rsid w:val="00D2329C"/>
    <w:rsid w:val="00D233EA"/>
    <w:rsid w:val="00D244A3"/>
    <w:rsid w:val="00D24545"/>
    <w:rsid w:val="00D2456F"/>
    <w:rsid w:val="00D2485D"/>
    <w:rsid w:val="00D262F2"/>
    <w:rsid w:val="00D26A33"/>
    <w:rsid w:val="00D27136"/>
    <w:rsid w:val="00D31723"/>
    <w:rsid w:val="00D318BE"/>
    <w:rsid w:val="00D32FBC"/>
    <w:rsid w:val="00D3397A"/>
    <w:rsid w:val="00D34CD2"/>
    <w:rsid w:val="00D3523C"/>
    <w:rsid w:val="00D35C6A"/>
    <w:rsid w:val="00D35F08"/>
    <w:rsid w:val="00D36694"/>
    <w:rsid w:val="00D36C5A"/>
    <w:rsid w:val="00D37089"/>
    <w:rsid w:val="00D3740A"/>
    <w:rsid w:val="00D3771A"/>
    <w:rsid w:val="00D403B6"/>
    <w:rsid w:val="00D41D59"/>
    <w:rsid w:val="00D41E44"/>
    <w:rsid w:val="00D43B78"/>
    <w:rsid w:val="00D44279"/>
    <w:rsid w:val="00D448E1"/>
    <w:rsid w:val="00D453A6"/>
    <w:rsid w:val="00D455FD"/>
    <w:rsid w:val="00D45C24"/>
    <w:rsid w:val="00D46CE9"/>
    <w:rsid w:val="00D46E29"/>
    <w:rsid w:val="00D474C8"/>
    <w:rsid w:val="00D47DB6"/>
    <w:rsid w:val="00D47EB2"/>
    <w:rsid w:val="00D5042D"/>
    <w:rsid w:val="00D50611"/>
    <w:rsid w:val="00D51386"/>
    <w:rsid w:val="00D5172F"/>
    <w:rsid w:val="00D51DA4"/>
    <w:rsid w:val="00D5205F"/>
    <w:rsid w:val="00D5241E"/>
    <w:rsid w:val="00D526D1"/>
    <w:rsid w:val="00D536BA"/>
    <w:rsid w:val="00D53D80"/>
    <w:rsid w:val="00D547F0"/>
    <w:rsid w:val="00D54878"/>
    <w:rsid w:val="00D560A9"/>
    <w:rsid w:val="00D56CAF"/>
    <w:rsid w:val="00D57388"/>
    <w:rsid w:val="00D57EDD"/>
    <w:rsid w:val="00D6117E"/>
    <w:rsid w:val="00D624B5"/>
    <w:rsid w:val="00D6269A"/>
    <w:rsid w:val="00D6279E"/>
    <w:rsid w:val="00D62B04"/>
    <w:rsid w:val="00D62C76"/>
    <w:rsid w:val="00D63161"/>
    <w:rsid w:val="00D65040"/>
    <w:rsid w:val="00D65566"/>
    <w:rsid w:val="00D65D46"/>
    <w:rsid w:val="00D65EA8"/>
    <w:rsid w:val="00D661D9"/>
    <w:rsid w:val="00D6736C"/>
    <w:rsid w:val="00D7025D"/>
    <w:rsid w:val="00D71477"/>
    <w:rsid w:val="00D71895"/>
    <w:rsid w:val="00D71B49"/>
    <w:rsid w:val="00D721C1"/>
    <w:rsid w:val="00D7396E"/>
    <w:rsid w:val="00D76198"/>
    <w:rsid w:val="00D76323"/>
    <w:rsid w:val="00D76683"/>
    <w:rsid w:val="00D76C89"/>
    <w:rsid w:val="00D76CD8"/>
    <w:rsid w:val="00D80456"/>
    <w:rsid w:val="00D8065E"/>
    <w:rsid w:val="00D825EF"/>
    <w:rsid w:val="00D826FE"/>
    <w:rsid w:val="00D83421"/>
    <w:rsid w:val="00D83600"/>
    <w:rsid w:val="00D84227"/>
    <w:rsid w:val="00D85600"/>
    <w:rsid w:val="00D85F13"/>
    <w:rsid w:val="00D85F23"/>
    <w:rsid w:val="00D8708A"/>
    <w:rsid w:val="00D87438"/>
    <w:rsid w:val="00D87D62"/>
    <w:rsid w:val="00D9024E"/>
    <w:rsid w:val="00D90713"/>
    <w:rsid w:val="00D907AC"/>
    <w:rsid w:val="00D90F76"/>
    <w:rsid w:val="00D91401"/>
    <w:rsid w:val="00D91FA0"/>
    <w:rsid w:val="00D92E6E"/>
    <w:rsid w:val="00D93A07"/>
    <w:rsid w:val="00D96CEF"/>
    <w:rsid w:val="00DA0D27"/>
    <w:rsid w:val="00DA0DEF"/>
    <w:rsid w:val="00DA1280"/>
    <w:rsid w:val="00DA165B"/>
    <w:rsid w:val="00DA1AB4"/>
    <w:rsid w:val="00DA2D38"/>
    <w:rsid w:val="00DA309E"/>
    <w:rsid w:val="00DA4354"/>
    <w:rsid w:val="00DA50E9"/>
    <w:rsid w:val="00DA524E"/>
    <w:rsid w:val="00DA6434"/>
    <w:rsid w:val="00DA70EB"/>
    <w:rsid w:val="00DA717F"/>
    <w:rsid w:val="00DA74F5"/>
    <w:rsid w:val="00DB1BBD"/>
    <w:rsid w:val="00DB1E26"/>
    <w:rsid w:val="00DB256D"/>
    <w:rsid w:val="00DB3638"/>
    <w:rsid w:val="00DB46B4"/>
    <w:rsid w:val="00DB4A32"/>
    <w:rsid w:val="00DB5270"/>
    <w:rsid w:val="00DB53B7"/>
    <w:rsid w:val="00DB5F26"/>
    <w:rsid w:val="00DB5FDD"/>
    <w:rsid w:val="00DB6028"/>
    <w:rsid w:val="00DB668C"/>
    <w:rsid w:val="00DB6BFD"/>
    <w:rsid w:val="00DB77DB"/>
    <w:rsid w:val="00DB7E98"/>
    <w:rsid w:val="00DC1292"/>
    <w:rsid w:val="00DC394F"/>
    <w:rsid w:val="00DC3B11"/>
    <w:rsid w:val="00DC3B46"/>
    <w:rsid w:val="00DC53E1"/>
    <w:rsid w:val="00DC548D"/>
    <w:rsid w:val="00DC5A4E"/>
    <w:rsid w:val="00DC6E72"/>
    <w:rsid w:val="00DC6E98"/>
    <w:rsid w:val="00DC7352"/>
    <w:rsid w:val="00DC7D3E"/>
    <w:rsid w:val="00DD06DD"/>
    <w:rsid w:val="00DD06F3"/>
    <w:rsid w:val="00DD0A7D"/>
    <w:rsid w:val="00DD0E83"/>
    <w:rsid w:val="00DD1A01"/>
    <w:rsid w:val="00DD1E02"/>
    <w:rsid w:val="00DD2092"/>
    <w:rsid w:val="00DD3415"/>
    <w:rsid w:val="00DD3EBC"/>
    <w:rsid w:val="00DD4B79"/>
    <w:rsid w:val="00DD4C6B"/>
    <w:rsid w:val="00DD4DA7"/>
    <w:rsid w:val="00DD4F68"/>
    <w:rsid w:val="00DD588B"/>
    <w:rsid w:val="00DD6746"/>
    <w:rsid w:val="00DD6EE1"/>
    <w:rsid w:val="00DD7767"/>
    <w:rsid w:val="00DD7A57"/>
    <w:rsid w:val="00DE0431"/>
    <w:rsid w:val="00DE0EFC"/>
    <w:rsid w:val="00DE125D"/>
    <w:rsid w:val="00DE1EAC"/>
    <w:rsid w:val="00DE23F4"/>
    <w:rsid w:val="00DE2A34"/>
    <w:rsid w:val="00DE2C69"/>
    <w:rsid w:val="00DE3279"/>
    <w:rsid w:val="00DE37F3"/>
    <w:rsid w:val="00DE4D6E"/>
    <w:rsid w:val="00DE548A"/>
    <w:rsid w:val="00DE583B"/>
    <w:rsid w:val="00DE5BA1"/>
    <w:rsid w:val="00DE5DD2"/>
    <w:rsid w:val="00DE5FEC"/>
    <w:rsid w:val="00DE605D"/>
    <w:rsid w:val="00DE60F2"/>
    <w:rsid w:val="00DE6126"/>
    <w:rsid w:val="00DE68AB"/>
    <w:rsid w:val="00DE746D"/>
    <w:rsid w:val="00DE76D8"/>
    <w:rsid w:val="00DF043A"/>
    <w:rsid w:val="00DF090A"/>
    <w:rsid w:val="00DF0A6D"/>
    <w:rsid w:val="00DF0BFA"/>
    <w:rsid w:val="00DF0DBD"/>
    <w:rsid w:val="00DF15DB"/>
    <w:rsid w:val="00DF230F"/>
    <w:rsid w:val="00DF2673"/>
    <w:rsid w:val="00DF34C2"/>
    <w:rsid w:val="00DF41BF"/>
    <w:rsid w:val="00DF42D7"/>
    <w:rsid w:val="00DF499C"/>
    <w:rsid w:val="00DF5566"/>
    <w:rsid w:val="00DF57EB"/>
    <w:rsid w:val="00DF58E8"/>
    <w:rsid w:val="00DF62C5"/>
    <w:rsid w:val="00DF6893"/>
    <w:rsid w:val="00DF7AD7"/>
    <w:rsid w:val="00E001EE"/>
    <w:rsid w:val="00E004F2"/>
    <w:rsid w:val="00E007D1"/>
    <w:rsid w:val="00E014FF"/>
    <w:rsid w:val="00E025F7"/>
    <w:rsid w:val="00E02949"/>
    <w:rsid w:val="00E02C5E"/>
    <w:rsid w:val="00E040DB"/>
    <w:rsid w:val="00E0545B"/>
    <w:rsid w:val="00E05DC4"/>
    <w:rsid w:val="00E07BCE"/>
    <w:rsid w:val="00E120CC"/>
    <w:rsid w:val="00E13339"/>
    <w:rsid w:val="00E13461"/>
    <w:rsid w:val="00E13954"/>
    <w:rsid w:val="00E13B23"/>
    <w:rsid w:val="00E13ED9"/>
    <w:rsid w:val="00E15270"/>
    <w:rsid w:val="00E15542"/>
    <w:rsid w:val="00E1564C"/>
    <w:rsid w:val="00E16D6C"/>
    <w:rsid w:val="00E1703E"/>
    <w:rsid w:val="00E173A3"/>
    <w:rsid w:val="00E17603"/>
    <w:rsid w:val="00E20427"/>
    <w:rsid w:val="00E208D3"/>
    <w:rsid w:val="00E20B57"/>
    <w:rsid w:val="00E22DFD"/>
    <w:rsid w:val="00E23321"/>
    <w:rsid w:val="00E247C1"/>
    <w:rsid w:val="00E247D9"/>
    <w:rsid w:val="00E25ECA"/>
    <w:rsid w:val="00E2621E"/>
    <w:rsid w:val="00E270DF"/>
    <w:rsid w:val="00E303E7"/>
    <w:rsid w:val="00E30553"/>
    <w:rsid w:val="00E32719"/>
    <w:rsid w:val="00E33486"/>
    <w:rsid w:val="00E334D8"/>
    <w:rsid w:val="00E3355C"/>
    <w:rsid w:val="00E3450E"/>
    <w:rsid w:val="00E35130"/>
    <w:rsid w:val="00E3588F"/>
    <w:rsid w:val="00E35D90"/>
    <w:rsid w:val="00E36309"/>
    <w:rsid w:val="00E36D76"/>
    <w:rsid w:val="00E36EDF"/>
    <w:rsid w:val="00E36F86"/>
    <w:rsid w:val="00E40959"/>
    <w:rsid w:val="00E40B37"/>
    <w:rsid w:val="00E41A64"/>
    <w:rsid w:val="00E41D83"/>
    <w:rsid w:val="00E41DE7"/>
    <w:rsid w:val="00E42D60"/>
    <w:rsid w:val="00E43869"/>
    <w:rsid w:val="00E4488F"/>
    <w:rsid w:val="00E46B2C"/>
    <w:rsid w:val="00E4796C"/>
    <w:rsid w:val="00E50128"/>
    <w:rsid w:val="00E50867"/>
    <w:rsid w:val="00E513E0"/>
    <w:rsid w:val="00E525BB"/>
    <w:rsid w:val="00E52C27"/>
    <w:rsid w:val="00E533F6"/>
    <w:rsid w:val="00E53E2F"/>
    <w:rsid w:val="00E54A80"/>
    <w:rsid w:val="00E54D79"/>
    <w:rsid w:val="00E56CAE"/>
    <w:rsid w:val="00E570C6"/>
    <w:rsid w:val="00E57321"/>
    <w:rsid w:val="00E573A2"/>
    <w:rsid w:val="00E6081D"/>
    <w:rsid w:val="00E61182"/>
    <w:rsid w:val="00E6347D"/>
    <w:rsid w:val="00E63502"/>
    <w:rsid w:val="00E65290"/>
    <w:rsid w:val="00E65625"/>
    <w:rsid w:val="00E65709"/>
    <w:rsid w:val="00E65768"/>
    <w:rsid w:val="00E673A0"/>
    <w:rsid w:val="00E679A6"/>
    <w:rsid w:val="00E7041F"/>
    <w:rsid w:val="00E7064F"/>
    <w:rsid w:val="00E708AB"/>
    <w:rsid w:val="00E7129F"/>
    <w:rsid w:val="00E712B1"/>
    <w:rsid w:val="00E72591"/>
    <w:rsid w:val="00E72CF9"/>
    <w:rsid w:val="00E74F57"/>
    <w:rsid w:val="00E75E8B"/>
    <w:rsid w:val="00E7708F"/>
    <w:rsid w:val="00E77E34"/>
    <w:rsid w:val="00E80163"/>
    <w:rsid w:val="00E815A9"/>
    <w:rsid w:val="00E8175E"/>
    <w:rsid w:val="00E81BFC"/>
    <w:rsid w:val="00E82577"/>
    <w:rsid w:val="00E82625"/>
    <w:rsid w:val="00E8322F"/>
    <w:rsid w:val="00E84508"/>
    <w:rsid w:val="00E85593"/>
    <w:rsid w:val="00E85CB0"/>
    <w:rsid w:val="00E8687C"/>
    <w:rsid w:val="00E86E05"/>
    <w:rsid w:val="00E9039D"/>
    <w:rsid w:val="00E91B2C"/>
    <w:rsid w:val="00E9214F"/>
    <w:rsid w:val="00E93CE4"/>
    <w:rsid w:val="00E93F28"/>
    <w:rsid w:val="00E9489F"/>
    <w:rsid w:val="00E94ABE"/>
    <w:rsid w:val="00E94B0F"/>
    <w:rsid w:val="00E95347"/>
    <w:rsid w:val="00E96618"/>
    <w:rsid w:val="00EA034D"/>
    <w:rsid w:val="00EA100B"/>
    <w:rsid w:val="00EA1998"/>
    <w:rsid w:val="00EA2593"/>
    <w:rsid w:val="00EA25B1"/>
    <w:rsid w:val="00EA3784"/>
    <w:rsid w:val="00EA3CC9"/>
    <w:rsid w:val="00EA4956"/>
    <w:rsid w:val="00EA560D"/>
    <w:rsid w:val="00EA7319"/>
    <w:rsid w:val="00EA7D80"/>
    <w:rsid w:val="00EB02BC"/>
    <w:rsid w:val="00EB03FF"/>
    <w:rsid w:val="00EB0877"/>
    <w:rsid w:val="00EB0FFD"/>
    <w:rsid w:val="00EB148F"/>
    <w:rsid w:val="00EB1800"/>
    <w:rsid w:val="00EB1A17"/>
    <w:rsid w:val="00EB1EC4"/>
    <w:rsid w:val="00EB20EE"/>
    <w:rsid w:val="00EB28B6"/>
    <w:rsid w:val="00EB32C7"/>
    <w:rsid w:val="00EB546B"/>
    <w:rsid w:val="00EB60E7"/>
    <w:rsid w:val="00EB633B"/>
    <w:rsid w:val="00EB6E01"/>
    <w:rsid w:val="00EB7D02"/>
    <w:rsid w:val="00EC0689"/>
    <w:rsid w:val="00EC06F6"/>
    <w:rsid w:val="00EC12A0"/>
    <w:rsid w:val="00EC1ABA"/>
    <w:rsid w:val="00EC1DC0"/>
    <w:rsid w:val="00EC21C7"/>
    <w:rsid w:val="00EC4143"/>
    <w:rsid w:val="00EC41B1"/>
    <w:rsid w:val="00EC4878"/>
    <w:rsid w:val="00EC4C5B"/>
    <w:rsid w:val="00EC5EB0"/>
    <w:rsid w:val="00EC6294"/>
    <w:rsid w:val="00EC719C"/>
    <w:rsid w:val="00EC746C"/>
    <w:rsid w:val="00EC78E8"/>
    <w:rsid w:val="00EC79E5"/>
    <w:rsid w:val="00ED12B5"/>
    <w:rsid w:val="00ED176E"/>
    <w:rsid w:val="00ED1880"/>
    <w:rsid w:val="00ED31BA"/>
    <w:rsid w:val="00ED330A"/>
    <w:rsid w:val="00ED68D8"/>
    <w:rsid w:val="00ED7320"/>
    <w:rsid w:val="00ED745B"/>
    <w:rsid w:val="00ED761B"/>
    <w:rsid w:val="00ED7E44"/>
    <w:rsid w:val="00EE05DF"/>
    <w:rsid w:val="00EE0DAE"/>
    <w:rsid w:val="00EE2534"/>
    <w:rsid w:val="00EE2F72"/>
    <w:rsid w:val="00EE394C"/>
    <w:rsid w:val="00EE3CE8"/>
    <w:rsid w:val="00EE50DB"/>
    <w:rsid w:val="00EE58D3"/>
    <w:rsid w:val="00EE77F6"/>
    <w:rsid w:val="00EF2065"/>
    <w:rsid w:val="00EF3111"/>
    <w:rsid w:val="00EF313A"/>
    <w:rsid w:val="00EF35C8"/>
    <w:rsid w:val="00EF397F"/>
    <w:rsid w:val="00EF3B70"/>
    <w:rsid w:val="00EF3C9D"/>
    <w:rsid w:val="00EF3F18"/>
    <w:rsid w:val="00EF453F"/>
    <w:rsid w:val="00EF474C"/>
    <w:rsid w:val="00EF7265"/>
    <w:rsid w:val="00EF768A"/>
    <w:rsid w:val="00EF7E83"/>
    <w:rsid w:val="00F0057F"/>
    <w:rsid w:val="00F00CDA"/>
    <w:rsid w:val="00F00ED2"/>
    <w:rsid w:val="00F011AB"/>
    <w:rsid w:val="00F011BA"/>
    <w:rsid w:val="00F0198A"/>
    <w:rsid w:val="00F03516"/>
    <w:rsid w:val="00F05524"/>
    <w:rsid w:val="00F057D3"/>
    <w:rsid w:val="00F05A67"/>
    <w:rsid w:val="00F05E66"/>
    <w:rsid w:val="00F05FB7"/>
    <w:rsid w:val="00F06079"/>
    <w:rsid w:val="00F06086"/>
    <w:rsid w:val="00F06824"/>
    <w:rsid w:val="00F06F5C"/>
    <w:rsid w:val="00F0793A"/>
    <w:rsid w:val="00F10826"/>
    <w:rsid w:val="00F10CFA"/>
    <w:rsid w:val="00F11A5A"/>
    <w:rsid w:val="00F11CA0"/>
    <w:rsid w:val="00F12C04"/>
    <w:rsid w:val="00F13840"/>
    <w:rsid w:val="00F13A4F"/>
    <w:rsid w:val="00F1504E"/>
    <w:rsid w:val="00F15F57"/>
    <w:rsid w:val="00F17555"/>
    <w:rsid w:val="00F177C8"/>
    <w:rsid w:val="00F205CB"/>
    <w:rsid w:val="00F210A3"/>
    <w:rsid w:val="00F210C6"/>
    <w:rsid w:val="00F212BB"/>
    <w:rsid w:val="00F21476"/>
    <w:rsid w:val="00F22E0F"/>
    <w:rsid w:val="00F245A2"/>
    <w:rsid w:val="00F24D6A"/>
    <w:rsid w:val="00F256DC"/>
    <w:rsid w:val="00F2585E"/>
    <w:rsid w:val="00F25BA5"/>
    <w:rsid w:val="00F26863"/>
    <w:rsid w:val="00F27A8E"/>
    <w:rsid w:val="00F30702"/>
    <w:rsid w:val="00F307E3"/>
    <w:rsid w:val="00F308A3"/>
    <w:rsid w:val="00F31DF7"/>
    <w:rsid w:val="00F32098"/>
    <w:rsid w:val="00F32B22"/>
    <w:rsid w:val="00F346BC"/>
    <w:rsid w:val="00F364A2"/>
    <w:rsid w:val="00F36D46"/>
    <w:rsid w:val="00F372A0"/>
    <w:rsid w:val="00F379C8"/>
    <w:rsid w:val="00F40873"/>
    <w:rsid w:val="00F40C63"/>
    <w:rsid w:val="00F41022"/>
    <w:rsid w:val="00F4211D"/>
    <w:rsid w:val="00F42716"/>
    <w:rsid w:val="00F42E8F"/>
    <w:rsid w:val="00F44398"/>
    <w:rsid w:val="00F44E7C"/>
    <w:rsid w:val="00F453EC"/>
    <w:rsid w:val="00F46042"/>
    <w:rsid w:val="00F46A72"/>
    <w:rsid w:val="00F51E3A"/>
    <w:rsid w:val="00F5246F"/>
    <w:rsid w:val="00F52521"/>
    <w:rsid w:val="00F52711"/>
    <w:rsid w:val="00F532CC"/>
    <w:rsid w:val="00F54373"/>
    <w:rsid w:val="00F545A4"/>
    <w:rsid w:val="00F54BE0"/>
    <w:rsid w:val="00F56B5E"/>
    <w:rsid w:val="00F5737F"/>
    <w:rsid w:val="00F57900"/>
    <w:rsid w:val="00F604A1"/>
    <w:rsid w:val="00F61517"/>
    <w:rsid w:val="00F61F93"/>
    <w:rsid w:val="00F62549"/>
    <w:rsid w:val="00F627C6"/>
    <w:rsid w:val="00F62D06"/>
    <w:rsid w:val="00F62DCF"/>
    <w:rsid w:val="00F65380"/>
    <w:rsid w:val="00F657FA"/>
    <w:rsid w:val="00F65E0C"/>
    <w:rsid w:val="00F66199"/>
    <w:rsid w:val="00F662A9"/>
    <w:rsid w:val="00F6643C"/>
    <w:rsid w:val="00F66D90"/>
    <w:rsid w:val="00F705B3"/>
    <w:rsid w:val="00F71128"/>
    <w:rsid w:val="00F718D0"/>
    <w:rsid w:val="00F724DF"/>
    <w:rsid w:val="00F72D2F"/>
    <w:rsid w:val="00F73AAC"/>
    <w:rsid w:val="00F73D47"/>
    <w:rsid w:val="00F74B94"/>
    <w:rsid w:val="00F75CF0"/>
    <w:rsid w:val="00F7632A"/>
    <w:rsid w:val="00F76DDE"/>
    <w:rsid w:val="00F773C2"/>
    <w:rsid w:val="00F77880"/>
    <w:rsid w:val="00F80590"/>
    <w:rsid w:val="00F80B8D"/>
    <w:rsid w:val="00F80B8F"/>
    <w:rsid w:val="00F816F9"/>
    <w:rsid w:val="00F8288E"/>
    <w:rsid w:val="00F82ADE"/>
    <w:rsid w:val="00F833D6"/>
    <w:rsid w:val="00F836B1"/>
    <w:rsid w:val="00F84270"/>
    <w:rsid w:val="00F84A9E"/>
    <w:rsid w:val="00F851AA"/>
    <w:rsid w:val="00F86446"/>
    <w:rsid w:val="00F868F0"/>
    <w:rsid w:val="00F87F22"/>
    <w:rsid w:val="00F905D2"/>
    <w:rsid w:val="00F90633"/>
    <w:rsid w:val="00F90D74"/>
    <w:rsid w:val="00F92476"/>
    <w:rsid w:val="00F92646"/>
    <w:rsid w:val="00F92961"/>
    <w:rsid w:val="00F93925"/>
    <w:rsid w:val="00F93D6C"/>
    <w:rsid w:val="00F943CE"/>
    <w:rsid w:val="00F947DB"/>
    <w:rsid w:val="00F94EA4"/>
    <w:rsid w:val="00F95E28"/>
    <w:rsid w:val="00F96468"/>
    <w:rsid w:val="00F9674B"/>
    <w:rsid w:val="00F96D4B"/>
    <w:rsid w:val="00F97116"/>
    <w:rsid w:val="00F975F7"/>
    <w:rsid w:val="00F97980"/>
    <w:rsid w:val="00FA001C"/>
    <w:rsid w:val="00FA034F"/>
    <w:rsid w:val="00FA1902"/>
    <w:rsid w:val="00FA2560"/>
    <w:rsid w:val="00FA2D87"/>
    <w:rsid w:val="00FA4039"/>
    <w:rsid w:val="00FA4108"/>
    <w:rsid w:val="00FA4813"/>
    <w:rsid w:val="00FA4B34"/>
    <w:rsid w:val="00FA4F4C"/>
    <w:rsid w:val="00FA522E"/>
    <w:rsid w:val="00FA6096"/>
    <w:rsid w:val="00FA6FFD"/>
    <w:rsid w:val="00FA7143"/>
    <w:rsid w:val="00FA76DA"/>
    <w:rsid w:val="00FA7B4A"/>
    <w:rsid w:val="00FA7EDD"/>
    <w:rsid w:val="00FB001F"/>
    <w:rsid w:val="00FB17FB"/>
    <w:rsid w:val="00FB2331"/>
    <w:rsid w:val="00FB3136"/>
    <w:rsid w:val="00FB3E32"/>
    <w:rsid w:val="00FB4325"/>
    <w:rsid w:val="00FB436E"/>
    <w:rsid w:val="00FB4393"/>
    <w:rsid w:val="00FB4A01"/>
    <w:rsid w:val="00FB4F26"/>
    <w:rsid w:val="00FB72AA"/>
    <w:rsid w:val="00FB75BE"/>
    <w:rsid w:val="00FB7791"/>
    <w:rsid w:val="00FC027E"/>
    <w:rsid w:val="00FC0670"/>
    <w:rsid w:val="00FC0BEA"/>
    <w:rsid w:val="00FC0F6D"/>
    <w:rsid w:val="00FC17EF"/>
    <w:rsid w:val="00FC1C04"/>
    <w:rsid w:val="00FC2E97"/>
    <w:rsid w:val="00FC3181"/>
    <w:rsid w:val="00FC353F"/>
    <w:rsid w:val="00FC3BCE"/>
    <w:rsid w:val="00FC4B3C"/>
    <w:rsid w:val="00FC4CA2"/>
    <w:rsid w:val="00FC54FF"/>
    <w:rsid w:val="00FC73E4"/>
    <w:rsid w:val="00FC7685"/>
    <w:rsid w:val="00FD0CE7"/>
    <w:rsid w:val="00FD0EB6"/>
    <w:rsid w:val="00FD2B9E"/>
    <w:rsid w:val="00FD2FDC"/>
    <w:rsid w:val="00FD31E6"/>
    <w:rsid w:val="00FD32AB"/>
    <w:rsid w:val="00FD365D"/>
    <w:rsid w:val="00FD3691"/>
    <w:rsid w:val="00FD490C"/>
    <w:rsid w:val="00FD4EEA"/>
    <w:rsid w:val="00FD6757"/>
    <w:rsid w:val="00FD6DBE"/>
    <w:rsid w:val="00FD6EE8"/>
    <w:rsid w:val="00FD714B"/>
    <w:rsid w:val="00FD7B3C"/>
    <w:rsid w:val="00FE0087"/>
    <w:rsid w:val="00FE0E1D"/>
    <w:rsid w:val="00FE15B2"/>
    <w:rsid w:val="00FE23E8"/>
    <w:rsid w:val="00FE2E8B"/>
    <w:rsid w:val="00FE32A0"/>
    <w:rsid w:val="00FE4AE6"/>
    <w:rsid w:val="00FE57D8"/>
    <w:rsid w:val="00FE6C67"/>
    <w:rsid w:val="00FE74A0"/>
    <w:rsid w:val="00FF0251"/>
    <w:rsid w:val="00FF1A75"/>
    <w:rsid w:val="00FF1ACB"/>
    <w:rsid w:val="00FF1BE1"/>
    <w:rsid w:val="00FF23E5"/>
    <w:rsid w:val="00FF27C1"/>
    <w:rsid w:val="00FF37DF"/>
    <w:rsid w:val="00FF3CA3"/>
    <w:rsid w:val="00FF4BAC"/>
    <w:rsid w:val="00FF7A59"/>
    <w:rsid w:val="00FF7B0F"/>
    <w:rsid w:val="00FF7D12"/>
    <w:rsid w:val="01257A3D"/>
    <w:rsid w:val="045DF780"/>
    <w:rsid w:val="180B6AA3"/>
    <w:rsid w:val="188C713A"/>
    <w:rsid w:val="1E50E944"/>
    <w:rsid w:val="245A6EAB"/>
    <w:rsid w:val="2479607B"/>
    <w:rsid w:val="2AE87FA7"/>
    <w:rsid w:val="2C42CE3F"/>
    <w:rsid w:val="2EBE6B66"/>
    <w:rsid w:val="3FF7E03D"/>
    <w:rsid w:val="47E243A0"/>
    <w:rsid w:val="47EBF693"/>
    <w:rsid w:val="4DE1D9E4"/>
    <w:rsid w:val="51F81F3C"/>
    <w:rsid w:val="54FDD3F0"/>
    <w:rsid w:val="5F1F329D"/>
    <w:rsid w:val="6622BF98"/>
    <w:rsid w:val="7EC2240E"/>
  </w:rsids>
  <m:mathPr>
    <m:mathFont m:val="Cambria Math"/>
    <m:brkBin m:val="before"/>
    <m:brkBinSub m:val="--"/>
    <m:smallFrac m:val="0"/>
    <m:dispDef/>
    <m:lMargin m:val="0"/>
    <m:rMargin m:val="0"/>
    <m:defJc m:val="centerGroup"/>
    <m:wrapIndent m:val="1440"/>
    <m:intLim m:val="subSup"/>
    <m:naryLim m:val="undOvr"/>
  </m:mathPr>
  <w:themeFontLang w:val="fr-FR"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14:docId w14:val="3519F84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fr-FR" w:eastAsia="fr-FR"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0" w:qFormat="1"/>
    <w:lsdException w:name="heading 6" w:uiPriority="9" w:qFormat="1"/>
    <w:lsdException w:name="heading 7" w:uiPriority="9"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header" w:uiPriority="0"/>
    <w:lsdException w:name="footer" w:uiPriority="0"/>
    <w:lsdException w:name="caption" w:uiPriority="35" w:qFormat="1"/>
    <w:lsdException w:name="footnote reference" w:uiPriority="0"/>
    <w:lsdException w:name="page number" w:uiPriority="0"/>
    <w:lsdException w:name="List Number"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Balloon Text" w:uiPriority="0"/>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C4786"/>
    <w:pPr>
      <w:jc w:val="both"/>
    </w:pPr>
    <w:rPr>
      <w:rFonts w:asciiTheme="majorHAnsi" w:hAnsiTheme="majorHAnsi"/>
      <w:sz w:val="20"/>
    </w:rPr>
  </w:style>
  <w:style w:type="paragraph" w:styleId="Titre1">
    <w:name w:val="heading 1"/>
    <w:basedOn w:val="Normal"/>
    <w:next w:val="Normal"/>
    <w:link w:val="Titre1Car"/>
    <w:qFormat/>
    <w:rsid w:val="00913E29"/>
    <w:pPr>
      <w:keepNext/>
      <w:keepLines/>
      <w:pBdr>
        <w:bottom w:val="single" w:sz="4" w:space="1" w:color="auto"/>
      </w:pBdr>
      <w:spacing w:before="480"/>
      <w:outlineLvl w:val="0"/>
    </w:pPr>
    <w:rPr>
      <w:rFonts w:eastAsiaTheme="majorEastAsia" w:cstheme="majorBidi"/>
      <w:b/>
      <w:bCs/>
      <w:color w:val="345A8A" w:themeColor="accent1" w:themeShade="B5"/>
      <w:sz w:val="32"/>
      <w:szCs w:val="32"/>
    </w:rPr>
  </w:style>
  <w:style w:type="paragraph" w:styleId="Titre2">
    <w:name w:val="heading 2"/>
    <w:basedOn w:val="Normal"/>
    <w:next w:val="Normal"/>
    <w:link w:val="Titre2Car"/>
    <w:uiPriority w:val="9"/>
    <w:unhideWhenUsed/>
    <w:qFormat/>
    <w:rsid w:val="00036E0A"/>
    <w:pPr>
      <w:keepNext/>
      <w:keepLines/>
      <w:spacing w:before="200"/>
      <w:outlineLvl w:val="1"/>
    </w:pPr>
    <w:rPr>
      <w:rFonts w:eastAsiaTheme="majorEastAsia" w:cstheme="majorBidi"/>
      <w:b/>
      <w:bCs/>
      <w:smallCaps/>
      <w:color w:val="4F81BD" w:themeColor="accent1"/>
      <w:sz w:val="26"/>
      <w:szCs w:val="26"/>
    </w:rPr>
  </w:style>
  <w:style w:type="paragraph" w:styleId="Titre3">
    <w:name w:val="heading 3"/>
    <w:basedOn w:val="Normal"/>
    <w:next w:val="Normal"/>
    <w:link w:val="Titre3Car"/>
    <w:uiPriority w:val="9"/>
    <w:unhideWhenUsed/>
    <w:qFormat/>
    <w:rsid w:val="00A601E8"/>
    <w:pPr>
      <w:keepNext/>
      <w:keepLines/>
      <w:spacing w:before="200"/>
      <w:outlineLvl w:val="2"/>
    </w:pPr>
    <w:rPr>
      <w:rFonts w:eastAsiaTheme="majorEastAsia" w:cstheme="majorBidi"/>
      <w:b/>
      <w:bCs/>
      <w:color w:val="4F81BD" w:themeColor="accent1"/>
    </w:rPr>
  </w:style>
  <w:style w:type="paragraph" w:styleId="Titre4">
    <w:name w:val="heading 4"/>
    <w:basedOn w:val="Normal"/>
    <w:next w:val="Normal"/>
    <w:link w:val="Titre4Car"/>
    <w:uiPriority w:val="9"/>
    <w:unhideWhenUsed/>
    <w:qFormat/>
    <w:rsid w:val="00AD71B5"/>
    <w:pPr>
      <w:keepNext/>
      <w:keepLines/>
      <w:spacing w:before="200"/>
      <w:outlineLvl w:val="3"/>
    </w:pPr>
    <w:rPr>
      <w:rFonts w:eastAsiaTheme="majorEastAsia" w:cstheme="majorBidi"/>
      <w:b/>
      <w:bCs/>
      <w:i/>
      <w:iCs/>
      <w:color w:val="4F81BD" w:themeColor="accent1"/>
    </w:rPr>
  </w:style>
  <w:style w:type="paragraph" w:styleId="Titre5">
    <w:name w:val="heading 5"/>
    <w:basedOn w:val="Normal"/>
    <w:next w:val="Normal"/>
    <w:link w:val="Titre5Car"/>
    <w:qFormat/>
    <w:rsid w:val="008D23AF"/>
    <w:pPr>
      <w:keepNext/>
      <w:spacing w:before="480" w:after="120"/>
      <w:outlineLvl w:val="4"/>
    </w:pPr>
    <w:rPr>
      <w:rFonts w:ascii="Compatil Fact LT Com" w:eastAsia="Times New Roman" w:hAnsi="Compatil Fact LT Com" w:cs="Times New Roman"/>
      <w:b/>
      <w:bCs/>
      <w:lang w:eastAsia="en-US"/>
    </w:rPr>
  </w:style>
  <w:style w:type="paragraph" w:styleId="Titre6">
    <w:name w:val="heading 6"/>
    <w:basedOn w:val="Normal"/>
    <w:next w:val="Normal"/>
    <w:link w:val="Titre6Car"/>
    <w:uiPriority w:val="9"/>
    <w:unhideWhenUsed/>
    <w:qFormat/>
    <w:rsid w:val="003A794F"/>
    <w:pPr>
      <w:keepNext/>
      <w:keepLines/>
      <w:spacing w:before="200"/>
      <w:outlineLvl w:val="5"/>
    </w:pPr>
    <w:rPr>
      <w:rFonts w:eastAsiaTheme="majorEastAsia" w:cstheme="majorBidi"/>
      <w:i/>
      <w:iCs/>
      <w:color w:val="243F60" w:themeColor="accent1" w:themeShade="7F"/>
    </w:rPr>
  </w:style>
  <w:style w:type="paragraph" w:styleId="Titre8">
    <w:name w:val="heading 8"/>
    <w:basedOn w:val="Normal"/>
    <w:next w:val="Normal"/>
    <w:link w:val="Titre8Car"/>
    <w:qFormat/>
    <w:rsid w:val="00722F08"/>
    <w:pPr>
      <w:keepNext/>
      <w:jc w:val="center"/>
      <w:outlineLvl w:val="7"/>
    </w:pPr>
    <w:rPr>
      <w:rFonts w:ascii="Times New Roman" w:eastAsia="Times New Roman" w:hAnsi="Times New Roman" w:cs="Times New Roman"/>
      <w:sz w:val="24"/>
      <w:szCs w:val="20"/>
    </w:rPr>
  </w:style>
  <w:style w:type="paragraph" w:styleId="Titre9">
    <w:name w:val="heading 9"/>
    <w:basedOn w:val="Normal"/>
    <w:next w:val="Normal"/>
    <w:link w:val="Titre9Car"/>
    <w:qFormat/>
    <w:rsid w:val="00722F08"/>
    <w:pPr>
      <w:keepNext/>
      <w:jc w:val="center"/>
      <w:outlineLvl w:val="8"/>
    </w:pPr>
    <w:rPr>
      <w:rFonts w:ascii="Times New Roman" w:eastAsia="Times New Roman" w:hAnsi="Times New Roman" w:cs="Times New Roman"/>
      <w:b/>
      <w:sz w:val="28"/>
      <w:szCs w:val="20"/>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913E29"/>
    <w:rPr>
      <w:rFonts w:asciiTheme="majorHAnsi" w:eastAsiaTheme="majorEastAsia" w:hAnsiTheme="majorHAnsi" w:cstheme="majorBidi"/>
      <w:b/>
      <w:bCs/>
      <w:color w:val="345A8A" w:themeColor="accent1" w:themeShade="B5"/>
      <w:sz w:val="32"/>
      <w:szCs w:val="32"/>
    </w:rPr>
  </w:style>
  <w:style w:type="character" w:customStyle="1" w:styleId="Titre2Car">
    <w:name w:val="Titre 2 Car"/>
    <w:basedOn w:val="Policepardfaut"/>
    <w:link w:val="Titre2"/>
    <w:uiPriority w:val="9"/>
    <w:rsid w:val="00036E0A"/>
    <w:rPr>
      <w:rFonts w:asciiTheme="majorHAnsi" w:eastAsiaTheme="majorEastAsia" w:hAnsiTheme="majorHAnsi" w:cstheme="majorBidi"/>
      <w:b/>
      <w:bCs/>
      <w:smallCaps/>
      <w:color w:val="4F81BD" w:themeColor="accent1"/>
      <w:sz w:val="26"/>
      <w:szCs w:val="26"/>
    </w:rPr>
  </w:style>
  <w:style w:type="character" w:customStyle="1" w:styleId="Titre3Car">
    <w:name w:val="Titre 3 Car"/>
    <w:basedOn w:val="Policepardfaut"/>
    <w:link w:val="Titre3"/>
    <w:uiPriority w:val="9"/>
    <w:rsid w:val="00A601E8"/>
    <w:rPr>
      <w:rFonts w:asciiTheme="majorHAnsi" w:eastAsiaTheme="majorEastAsia" w:hAnsiTheme="majorHAnsi" w:cstheme="majorBidi"/>
      <w:b/>
      <w:bCs/>
      <w:color w:val="4F81BD" w:themeColor="accent1"/>
    </w:rPr>
  </w:style>
  <w:style w:type="character" w:customStyle="1" w:styleId="Titre5Car">
    <w:name w:val="Titre 5 Car"/>
    <w:basedOn w:val="Policepardfaut"/>
    <w:link w:val="Titre5"/>
    <w:rsid w:val="008D23AF"/>
    <w:rPr>
      <w:rFonts w:ascii="Compatil Fact LT Com" w:eastAsia="Times New Roman" w:hAnsi="Compatil Fact LT Com" w:cs="Times New Roman"/>
      <w:b/>
      <w:bCs/>
      <w:lang w:eastAsia="en-US"/>
    </w:rPr>
  </w:style>
  <w:style w:type="character" w:customStyle="1" w:styleId="Titre6Car">
    <w:name w:val="Titre 6 Car"/>
    <w:basedOn w:val="Policepardfaut"/>
    <w:link w:val="Titre6"/>
    <w:uiPriority w:val="9"/>
    <w:rsid w:val="003A794F"/>
    <w:rPr>
      <w:rFonts w:asciiTheme="majorHAnsi" w:eastAsiaTheme="majorEastAsia" w:hAnsiTheme="majorHAnsi" w:cstheme="majorBidi"/>
      <w:i/>
      <w:iCs/>
      <w:color w:val="243F60" w:themeColor="accent1" w:themeShade="7F"/>
    </w:rPr>
  </w:style>
  <w:style w:type="character" w:customStyle="1" w:styleId="Titre8Car">
    <w:name w:val="Titre 8 Car"/>
    <w:basedOn w:val="Policepardfaut"/>
    <w:link w:val="Titre8"/>
    <w:rsid w:val="00722F08"/>
    <w:rPr>
      <w:rFonts w:ascii="Times New Roman" w:eastAsia="Times New Roman" w:hAnsi="Times New Roman" w:cs="Times New Roman"/>
      <w:szCs w:val="20"/>
    </w:rPr>
  </w:style>
  <w:style w:type="character" w:customStyle="1" w:styleId="Titre9Car">
    <w:name w:val="Titre 9 Car"/>
    <w:basedOn w:val="Policepardfaut"/>
    <w:link w:val="Titre9"/>
    <w:rsid w:val="00722F08"/>
    <w:rPr>
      <w:rFonts w:ascii="Times New Roman" w:eastAsia="Times New Roman" w:hAnsi="Times New Roman" w:cs="Times New Roman"/>
      <w:b/>
      <w:sz w:val="28"/>
      <w:szCs w:val="20"/>
    </w:rPr>
  </w:style>
  <w:style w:type="paragraph" w:styleId="Textedebulles">
    <w:name w:val="Balloon Text"/>
    <w:basedOn w:val="Normal"/>
    <w:link w:val="TextedebullesCar"/>
    <w:semiHidden/>
    <w:unhideWhenUsed/>
    <w:rsid w:val="00252316"/>
    <w:rPr>
      <w:rFonts w:ascii="Lucida Grande" w:hAnsi="Lucida Grande" w:cs="Lucida Grande"/>
      <w:sz w:val="18"/>
      <w:szCs w:val="18"/>
    </w:rPr>
  </w:style>
  <w:style w:type="character" w:customStyle="1" w:styleId="TextedebullesCar">
    <w:name w:val="Texte de bulles Car"/>
    <w:basedOn w:val="Policepardfaut"/>
    <w:link w:val="Textedebulles"/>
    <w:semiHidden/>
    <w:rsid w:val="00252316"/>
    <w:rPr>
      <w:rFonts w:ascii="Lucida Grande" w:hAnsi="Lucida Grande" w:cs="Lucida Grande"/>
      <w:sz w:val="18"/>
      <w:szCs w:val="18"/>
    </w:rPr>
  </w:style>
  <w:style w:type="paragraph" w:styleId="Pieddepage">
    <w:name w:val="footer"/>
    <w:basedOn w:val="Normal"/>
    <w:link w:val="PieddepageCar"/>
    <w:rsid w:val="00342C14"/>
    <w:pPr>
      <w:tabs>
        <w:tab w:val="center" w:pos="4536"/>
        <w:tab w:val="right" w:pos="9072"/>
      </w:tabs>
    </w:pPr>
    <w:rPr>
      <w:rFonts w:ascii="Compatil Fact LT Com" w:eastAsia="Times New Roman" w:hAnsi="Compatil Fact LT Com" w:cs="Times New Roman"/>
      <w:sz w:val="22"/>
      <w:lang w:eastAsia="en-US"/>
    </w:rPr>
  </w:style>
  <w:style w:type="character" w:customStyle="1" w:styleId="PieddepageCar">
    <w:name w:val="Pied de page Car"/>
    <w:basedOn w:val="Policepardfaut"/>
    <w:link w:val="Pieddepage"/>
    <w:uiPriority w:val="99"/>
    <w:rsid w:val="00342C14"/>
    <w:rPr>
      <w:rFonts w:ascii="Compatil Fact LT Com" w:eastAsia="Times New Roman" w:hAnsi="Compatil Fact LT Com" w:cs="Times New Roman"/>
      <w:sz w:val="22"/>
      <w:lang w:eastAsia="en-US"/>
    </w:rPr>
  </w:style>
  <w:style w:type="character" w:styleId="Numrodepage">
    <w:name w:val="page number"/>
    <w:basedOn w:val="Policepardfaut"/>
    <w:rsid w:val="00342C14"/>
  </w:style>
  <w:style w:type="character" w:styleId="Lienhypertexte">
    <w:name w:val="Hyperlink"/>
    <w:uiPriority w:val="99"/>
    <w:rsid w:val="00342C14"/>
    <w:rPr>
      <w:color w:val="0000FF"/>
      <w:u w:val="single"/>
    </w:rPr>
  </w:style>
  <w:style w:type="paragraph" w:customStyle="1" w:styleId="TitreSection">
    <w:name w:val="Titre Section"/>
    <w:basedOn w:val="Normal"/>
    <w:rsid w:val="003E0334"/>
    <w:pPr>
      <w:pageBreakBefore/>
    </w:pPr>
    <w:rPr>
      <w:rFonts w:ascii="Compatil Fact LT Com" w:eastAsia="Times New Roman" w:hAnsi="Compatil Fact LT Com" w:cs="Times New Roman"/>
      <w:b/>
      <w:bCs/>
      <w:sz w:val="28"/>
      <w:szCs w:val="28"/>
      <w:lang w:eastAsia="en-US"/>
    </w:rPr>
  </w:style>
  <w:style w:type="paragraph" w:styleId="Paragraphedeliste">
    <w:name w:val="List Paragraph"/>
    <w:aliases w:val="TEXTE,ANNEXE"/>
    <w:basedOn w:val="Normal"/>
    <w:link w:val="ParagraphedelisteCar"/>
    <w:uiPriority w:val="34"/>
    <w:qFormat/>
    <w:rsid w:val="003E0334"/>
    <w:pPr>
      <w:ind w:left="720"/>
      <w:contextualSpacing/>
    </w:pPr>
  </w:style>
  <w:style w:type="paragraph" w:customStyle="1" w:styleId="Bulletniveau2">
    <w:name w:val="Bullet niveau 2"/>
    <w:basedOn w:val="Listenumros"/>
    <w:rsid w:val="008D23AF"/>
    <w:pPr>
      <w:numPr>
        <w:ilvl w:val="1"/>
      </w:numPr>
      <w:tabs>
        <w:tab w:val="clear" w:pos="1080"/>
        <w:tab w:val="num" w:pos="851"/>
      </w:tabs>
      <w:ind w:left="851" w:hanging="425"/>
    </w:pPr>
  </w:style>
  <w:style w:type="paragraph" w:styleId="Listenumros">
    <w:name w:val="List Number"/>
    <w:aliases w:val="Bullet niveau 1"/>
    <w:basedOn w:val="Normal"/>
    <w:link w:val="ListenumrosCar"/>
    <w:rsid w:val="008D23AF"/>
    <w:pPr>
      <w:keepNext/>
      <w:numPr>
        <w:numId w:val="6"/>
      </w:numPr>
    </w:pPr>
    <w:rPr>
      <w:rFonts w:ascii="Compatil Fact LT Com" w:eastAsia="Times New Roman" w:hAnsi="Compatil Fact LT Com" w:cs="Times New Roman"/>
      <w:sz w:val="22"/>
      <w:lang w:eastAsia="en-US"/>
    </w:rPr>
  </w:style>
  <w:style w:type="character" w:customStyle="1" w:styleId="ListenumrosCar">
    <w:name w:val="Liste à numéros Car"/>
    <w:aliases w:val="Bullet niveau 1 Car"/>
    <w:link w:val="Listenumros"/>
    <w:rsid w:val="008D23AF"/>
    <w:rPr>
      <w:rFonts w:ascii="Compatil Fact LT Com" w:eastAsia="Times New Roman" w:hAnsi="Compatil Fact LT Com" w:cs="Times New Roman"/>
      <w:sz w:val="22"/>
      <w:lang w:eastAsia="en-US"/>
    </w:rPr>
  </w:style>
  <w:style w:type="paragraph" w:customStyle="1" w:styleId="BulletNiveau3">
    <w:name w:val="Bullet Niveau 3"/>
    <w:basedOn w:val="Bulletniveau2"/>
    <w:rsid w:val="008D23AF"/>
    <w:pPr>
      <w:numPr>
        <w:ilvl w:val="2"/>
      </w:numPr>
      <w:tabs>
        <w:tab w:val="clear" w:pos="2917"/>
        <w:tab w:val="num" w:pos="1276"/>
      </w:tabs>
      <w:ind w:left="1276" w:hanging="426"/>
    </w:pPr>
  </w:style>
  <w:style w:type="character" w:customStyle="1" w:styleId="Lgendegraph">
    <w:name w:val="Légende graph"/>
    <w:rsid w:val="003A794F"/>
    <w:rPr>
      <w:i/>
      <w:iCs/>
      <w:color w:val="000000"/>
      <w:sz w:val="18"/>
      <w:szCs w:val="18"/>
    </w:rPr>
  </w:style>
  <w:style w:type="paragraph" w:styleId="En-tte">
    <w:name w:val="header"/>
    <w:basedOn w:val="Normal"/>
    <w:link w:val="En-tteCar"/>
    <w:unhideWhenUsed/>
    <w:rsid w:val="00A601E8"/>
    <w:pPr>
      <w:tabs>
        <w:tab w:val="center" w:pos="4536"/>
        <w:tab w:val="right" w:pos="9072"/>
      </w:tabs>
    </w:pPr>
  </w:style>
  <w:style w:type="character" w:customStyle="1" w:styleId="En-tteCar">
    <w:name w:val="En-tête Car"/>
    <w:basedOn w:val="Policepardfaut"/>
    <w:link w:val="En-tte"/>
    <w:rsid w:val="00A601E8"/>
  </w:style>
  <w:style w:type="paragraph" w:styleId="TM1">
    <w:name w:val="toc 1"/>
    <w:basedOn w:val="Normal"/>
    <w:next w:val="Normal"/>
    <w:autoRedefine/>
    <w:uiPriority w:val="39"/>
    <w:unhideWhenUsed/>
    <w:rsid w:val="003F345D"/>
    <w:pPr>
      <w:tabs>
        <w:tab w:val="right" w:leader="dot" w:pos="9356"/>
      </w:tabs>
      <w:spacing w:before="120"/>
    </w:pPr>
    <w:rPr>
      <w:b/>
      <w:noProof/>
      <w:color w:val="548DD4"/>
      <w:sz w:val="22"/>
      <w:szCs w:val="22"/>
    </w:rPr>
  </w:style>
  <w:style w:type="paragraph" w:styleId="TM2">
    <w:name w:val="toc 2"/>
    <w:basedOn w:val="Normal"/>
    <w:next w:val="Normal"/>
    <w:autoRedefine/>
    <w:uiPriority w:val="39"/>
    <w:unhideWhenUsed/>
    <w:rsid w:val="005D79D6"/>
    <w:pPr>
      <w:tabs>
        <w:tab w:val="right" w:leader="dot" w:pos="9356"/>
      </w:tabs>
    </w:pPr>
    <w:rPr>
      <w:noProof/>
      <w:sz w:val="22"/>
      <w:szCs w:val="22"/>
    </w:rPr>
  </w:style>
  <w:style w:type="paragraph" w:styleId="TM3">
    <w:name w:val="toc 3"/>
    <w:basedOn w:val="Normal"/>
    <w:next w:val="Normal"/>
    <w:autoRedefine/>
    <w:uiPriority w:val="39"/>
    <w:unhideWhenUsed/>
    <w:rsid w:val="00A42F78"/>
    <w:pPr>
      <w:tabs>
        <w:tab w:val="right" w:leader="dot" w:pos="9344"/>
      </w:tabs>
      <w:ind w:left="240"/>
    </w:pPr>
    <w:rPr>
      <w:i/>
      <w:sz w:val="22"/>
      <w:szCs w:val="22"/>
    </w:rPr>
  </w:style>
  <w:style w:type="paragraph" w:styleId="TM4">
    <w:name w:val="toc 4"/>
    <w:basedOn w:val="Normal"/>
    <w:next w:val="Normal"/>
    <w:autoRedefine/>
    <w:uiPriority w:val="39"/>
    <w:unhideWhenUsed/>
    <w:rsid w:val="00A601E8"/>
    <w:pPr>
      <w:pBdr>
        <w:between w:val="double" w:sz="6" w:space="0" w:color="auto"/>
      </w:pBdr>
      <w:ind w:left="480"/>
    </w:pPr>
    <w:rPr>
      <w:szCs w:val="20"/>
    </w:rPr>
  </w:style>
  <w:style w:type="paragraph" w:styleId="TM5">
    <w:name w:val="toc 5"/>
    <w:basedOn w:val="Normal"/>
    <w:next w:val="Normal"/>
    <w:autoRedefine/>
    <w:uiPriority w:val="39"/>
    <w:unhideWhenUsed/>
    <w:rsid w:val="00A601E8"/>
    <w:pPr>
      <w:pBdr>
        <w:between w:val="double" w:sz="6" w:space="0" w:color="auto"/>
      </w:pBdr>
      <w:ind w:left="720"/>
    </w:pPr>
    <w:rPr>
      <w:szCs w:val="20"/>
    </w:rPr>
  </w:style>
  <w:style w:type="paragraph" w:styleId="TM6">
    <w:name w:val="toc 6"/>
    <w:basedOn w:val="Normal"/>
    <w:next w:val="Normal"/>
    <w:autoRedefine/>
    <w:uiPriority w:val="39"/>
    <w:unhideWhenUsed/>
    <w:rsid w:val="00A601E8"/>
    <w:pPr>
      <w:pBdr>
        <w:between w:val="double" w:sz="6" w:space="0" w:color="auto"/>
      </w:pBdr>
      <w:ind w:left="960"/>
    </w:pPr>
    <w:rPr>
      <w:szCs w:val="20"/>
    </w:rPr>
  </w:style>
  <w:style w:type="paragraph" w:styleId="TM7">
    <w:name w:val="toc 7"/>
    <w:basedOn w:val="Normal"/>
    <w:next w:val="Normal"/>
    <w:autoRedefine/>
    <w:uiPriority w:val="39"/>
    <w:unhideWhenUsed/>
    <w:rsid w:val="00A601E8"/>
    <w:pPr>
      <w:pBdr>
        <w:between w:val="double" w:sz="6" w:space="0" w:color="auto"/>
      </w:pBdr>
      <w:ind w:left="1200"/>
    </w:pPr>
    <w:rPr>
      <w:szCs w:val="20"/>
    </w:rPr>
  </w:style>
  <w:style w:type="paragraph" w:styleId="TM8">
    <w:name w:val="toc 8"/>
    <w:basedOn w:val="Normal"/>
    <w:next w:val="Normal"/>
    <w:autoRedefine/>
    <w:uiPriority w:val="39"/>
    <w:unhideWhenUsed/>
    <w:rsid w:val="00A601E8"/>
    <w:pPr>
      <w:pBdr>
        <w:between w:val="double" w:sz="6" w:space="0" w:color="auto"/>
      </w:pBdr>
      <w:ind w:left="1440"/>
    </w:pPr>
    <w:rPr>
      <w:szCs w:val="20"/>
    </w:rPr>
  </w:style>
  <w:style w:type="paragraph" w:styleId="TM9">
    <w:name w:val="toc 9"/>
    <w:basedOn w:val="Normal"/>
    <w:next w:val="Normal"/>
    <w:autoRedefine/>
    <w:uiPriority w:val="39"/>
    <w:unhideWhenUsed/>
    <w:rsid w:val="00A601E8"/>
    <w:pPr>
      <w:pBdr>
        <w:between w:val="double" w:sz="6" w:space="0" w:color="auto"/>
      </w:pBdr>
      <w:ind w:left="1680"/>
    </w:pPr>
    <w:rPr>
      <w:szCs w:val="20"/>
    </w:rPr>
  </w:style>
  <w:style w:type="table" w:styleId="Grille">
    <w:name w:val="Table Grid"/>
    <w:basedOn w:val="TableauNormal"/>
    <w:uiPriority w:val="59"/>
    <w:rsid w:val="00FA190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efault">
    <w:name w:val="Default"/>
    <w:rsid w:val="00FA1902"/>
    <w:pPr>
      <w:widowControl w:val="0"/>
      <w:autoSpaceDE w:val="0"/>
      <w:autoSpaceDN w:val="0"/>
      <w:adjustRightInd w:val="0"/>
    </w:pPr>
    <w:rPr>
      <w:rFonts w:ascii="Calibri" w:hAnsi="Calibri" w:cs="Calibri"/>
      <w:color w:val="000000"/>
    </w:rPr>
  </w:style>
  <w:style w:type="character" w:customStyle="1" w:styleId="apple-converted-space">
    <w:name w:val="apple-converted-space"/>
    <w:basedOn w:val="Policepardfaut"/>
    <w:rsid w:val="00E35130"/>
  </w:style>
  <w:style w:type="paragraph" w:styleId="NormalWeb">
    <w:name w:val="Normal (Web)"/>
    <w:basedOn w:val="Normal"/>
    <w:uiPriority w:val="99"/>
    <w:unhideWhenUsed/>
    <w:rsid w:val="00715910"/>
    <w:pPr>
      <w:spacing w:before="100" w:beforeAutospacing="1" w:after="100" w:afterAutospacing="1"/>
    </w:pPr>
    <w:rPr>
      <w:rFonts w:ascii="Times" w:hAnsi="Times" w:cs="Times New Roman"/>
      <w:szCs w:val="20"/>
    </w:rPr>
  </w:style>
  <w:style w:type="paragraph" w:customStyle="1" w:styleId="Corps">
    <w:name w:val="Corps"/>
    <w:rsid w:val="00A30B8B"/>
    <w:pPr>
      <w:pBdr>
        <w:top w:val="nil"/>
        <w:left w:val="nil"/>
        <w:bottom w:val="nil"/>
        <w:right w:val="nil"/>
        <w:between w:val="nil"/>
        <w:bar w:val="nil"/>
      </w:pBdr>
      <w:jc w:val="both"/>
    </w:pPr>
    <w:rPr>
      <w:rFonts w:ascii="Garamond" w:eastAsia="Garamond" w:hAnsi="Garamond" w:cs="Garamond"/>
      <w:color w:val="000000"/>
      <w:sz w:val="20"/>
      <w:szCs w:val="20"/>
      <w:u w:color="000000"/>
      <w:bdr w:val="nil"/>
    </w:rPr>
  </w:style>
  <w:style w:type="character" w:styleId="lev">
    <w:name w:val="Strong"/>
    <w:basedOn w:val="Policepardfaut"/>
    <w:uiPriority w:val="22"/>
    <w:qFormat/>
    <w:rsid w:val="003C2827"/>
    <w:rPr>
      <w:b/>
      <w:bCs/>
    </w:rPr>
  </w:style>
  <w:style w:type="table" w:customStyle="1" w:styleId="Ombrageclair1">
    <w:name w:val="Ombrage clair1"/>
    <w:basedOn w:val="TableauNormal"/>
    <w:uiPriority w:val="60"/>
    <w:rsid w:val="003C2827"/>
    <w:rPr>
      <w:rFonts w:eastAsiaTheme="minorHAnsi"/>
      <w:color w:val="000000" w:themeColor="text1" w:themeShade="BF"/>
      <w:sz w:val="22"/>
      <w:szCs w:val="22"/>
      <w:lang w:eastAsia="en-US"/>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Ombrageclair2">
    <w:name w:val="Ombrage clair2"/>
    <w:basedOn w:val="TableauNormal"/>
    <w:uiPriority w:val="60"/>
    <w:rsid w:val="003C2827"/>
    <w:rPr>
      <w:rFonts w:eastAsiaTheme="minorHAnsi"/>
      <w:color w:val="000000" w:themeColor="text1" w:themeShade="BF"/>
      <w:sz w:val="22"/>
      <w:szCs w:val="22"/>
      <w:lang w:eastAsia="en-US"/>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styleId="Notedebasdepage">
    <w:name w:val="footnote text"/>
    <w:aliases w:val="fn"/>
    <w:basedOn w:val="Normal"/>
    <w:link w:val="NotedebasdepageCar"/>
    <w:unhideWhenUsed/>
    <w:rsid w:val="003C2827"/>
    <w:pPr>
      <w:jc w:val="left"/>
    </w:pPr>
    <w:rPr>
      <w:rFonts w:asciiTheme="minorHAnsi" w:eastAsiaTheme="minorHAnsi" w:hAnsiTheme="minorHAnsi"/>
      <w:szCs w:val="20"/>
      <w:lang w:eastAsia="en-US"/>
    </w:rPr>
  </w:style>
  <w:style w:type="character" w:customStyle="1" w:styleId="NotedebasdepageCar">
    <w:name w:val="Note de bas de page Car"/>
    <w:aliases w:val="fn Car"/>
    <w:basedOn w:val="Policepardfaut"/>
    <w:link w:val="Notedebasdepage"/>
    <w:rsid w:val="003C2827"/>
    <w:rPr>
      <w:rFonts w:eastAsiaTheme="minorHAnsi"/>
      <w:sz w:val="20"/>
      <w:szCs w:val="20"/>
      <w:lang w:eastAsia="en-US"/>
    </w:rPr>
  </w:style>
  <w:style w:type="character" w:styleId="Marquenotebasdepage">
    <w:name w:val="footnote reference"/>
    <w:basedOn w:val="Policepardfaut"/>
    <w:unhideWhenUsed/>
    <w:rsid w:val="003C2827"/>
    <w:rPr>
      <w:vertAlign w:val="superscript"/>
    </w:rPr>
  </w:style>
  <w:style w:type="table" w:customStyle="1" w:styleId="Ombrageclair3">
    <w:name w:val="Ombrage clair3"/>
    <w:basedOn w:val="TableauNormal"/>
    <w:uiPriority w:val="60"/>
    <w:rsid w:val="003C2827"/>
    <w:rPr>
      <w:rFonts w:eastAsiaTheme="minorHAnsi"/>
      <w:color w:val="000000" w:themeColor="text1" w:themeShade="BF"/>
      <w:sz w:val="22"/>
      <w:szCs w:val="22"/>
      <w:lang w:eastAsia="en-US"/>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styleId="En-ttedetabledesmatires">
    <w:name w:val="TOC Heading"/>
    <w:basedOn w:val="Titre1"/>
    <w:next w:val="Normal"/>
    <w:uiPriority w:val="39"/>
    <w:unhideWhenUsed/>
    <w:qFormat/>
    <w:rsid w:val="003C2827"/>
    <w:pPr>
      <w:pBdr>
        <w:bottom w:val="none" w:sz="0" w:space="0" w:color="auto"/>
      </w:pBdr>
      <w:spacing w:before="240" w:line="259" w:lineRule="auto"/>
      <w:jc w:val="left"/>
      <w:outlineLvl w:val="9"/>
    </w:pPr>
    <w:rPr>
      <w:b w:val="0"/>
      <w:bCs w:val="0"/>
      <w:color w:val="365F91" w:themeColor="accent1" w:themeShade="BF"/>
    </w:rPr>
  </w:style>
  <w:style w:type="character" w:styleId="Accentuationdiscrte">
    <w:name w:val="Subtle Emphasis"/>
    <w:uiPriority w:val="19"/>
    <w:qFormat/>
    <w:rsid w:val="00722F08"/>
    <w:rPr>
      <w:i/>
      <w:iCs/>
      <w:color w:val="808080"/>
    </w:rPr>
  </w:style>
  <w:style w:type="paragraph" w:styleId="Corpsdetexte">
    <w:name w:val="Body Text"/>
    <w:basedOn w:val="Normal"/>
    <w:link w:val="CorpsdetexteCar"/>
    <w:rsid w:val="00B45A13"/>
    <w:pPr>
      <w:spacing w:before="130" w:after="130" w:line="260" w:lineRule="atLeast"/>
      <w:jc w:val="left"/>
    </w:pPr>
    <w:rPr>
      <w:rFonts w:ascii="Times New Roman" w:eastAsia="Times New Roman" w:hAnsi="Times New Roman" w:cs="Times New Roman"/>
      <w:sz w:val="22"/>
      <w:szCs w:val="20"/>
      <w:lang w:eastAsia="en-US"/>
    </w:rPr>
  </w:style>
  <w:style w:type="character" w:customStyle="1" w:styleId="CorpsdetexteCar">
    <w:name w:val="Corps de texte Car"/>
    <w:basedOn w:val="Policepardfaut"/>
    <w:link w:val="Corpsdetexte"/>
    <w:rsid w:val="00B45A13"/>
    <w:rPr>
      <w:rFonts w:ascii="Times New Roman" w:eastAsia="Times New Roman" w:hAnsi="Times New Roman" w:cs="Times New Roman"/>
      <w:sz w:val="22"/>
      <w:szCs w:val="20"/>
      <w:lang w:eastAsia="en-US"/>
    </w:rPr>
  </w:style>
  <w:style w:type="paragraph" w:customStyle="1" w:styleId="Paragraphedeliste1">
    <w:name w:val="Paragraphe de liste1"/>
    <w:basedOn w:val="Normal"/>
    <w:rsid w:val="00374932"/>
    <w:pPr>
      <w:spacing w:after="200"/>
      <w:ind w:left="720"/>
      <w:jc w:val="left"/>
    </w:pPr>
    <w:rPr>
      <w:rFonts w:ascii="Cambria" w:eastAsia="MS Mincho" w:hAnsi="Cambria" w:cs="Times New Roman"/>
      <w:sz w:val="24"/>
      <w:lang w:eastAsia="ja-JP"/>
    </w:rPr>
  </w:style>
  <w:style w:type="paragraph" w:styleId="Rvision">
    <w:name w:val="Revision"/>
    <w:hidden/>
    <w:uiPriority w:val="99"/>
    <w:semiHidden/>
    <w:rsid w:val="003F3FF8"/>
    <w:rPr>
      <w:rFonts w:asciiTheme="majorHAnsi" w:hAnsiTheme="majorHAnsi"/>
      <w:sz w:val="20"/>
    </w:rPr>
  </w:style>
  <w:style w:type="table" w:styleId="Trameclaire-Accent1">
    <w:name w:val="Light Shading Accent 1"/>
    <w:basedOn w:val="TableauNormal"/>
    <w:uiPriority w:val="60"/>
    <w:rsid w:val="00CD4A62"/>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character" w:styleId="Marquedannotation">
    <w:name w:val="annotation reference"/>
    <w:basedOn w:val="Policepardfaut"/>
    <w:uiPriority w:val="99"/>
    <w:semiHidden/>
    <w:unhideWhenUsed/>
    <w:rsid w:val="00EB28B6"/>
    <w:rPr>
      <w:sz w:val="16"/>
      <w:szCs w:val="16"/>
    </w:rPr>
  </w:style>
  <w:style w:type="paragraph" w:styleId="Commentaire">
    <w:name w:val="annotation text"/>
    <w:basedOn w:val="Normal"/>
    <w:link w:val="CommentaireCar"/>
    <w:uiPriority w:val="99"/>
    <w:unhideWhenUsed/>
    <w:rsid w:val="00EB28B6"/>
    <w:rPr>
      <w:szCs w:val="20"/>
    </w:rPr>
  </w:style>
  <w:style w:type="character" w:customStyle="1" w:styleId="CommentaireCar">
    <w:name w:val="Commentaire Car"/>
    <w:basedOn w:val="Policepardfaut"/>
    <w:link w:val="Commentaire"/>
    <w:uiPriority w:val="99"/>
    <w:rsid w:val="00EB28B6"/>
    <w:rPr>
      <w:rFonts w:asciiTheme="majorHAnsi" w:hAnsiTheme="majorHAnsi"/>
      <w:sz w:val="20"/>
      <w:szCs w:val="20"/>
    </w:rPr>
  </w:style>
  <w:style w:type="paragraph" w:styleId="Objetducommentaire">
    <w:name w:val="annotation subject"/>
    <w:basedOn w:val="Commentaire"/>
    <w:next w:val="Commentaire"/>
    <w:link w:val="ObjetducommentaireCar"/>
    <w:uiPriority w:val="99"/>
    <w:semiHidden/>
    <w:unhideWhenUsed/>
    <w:rsid w:val="00E36EDF"/>
    <w:rPr>
      <w:b/>
      <w:bCs/>
    </w:rPr>
  </w:style>
  <w:style w:type="character" w:customStyle="1" w:styleId="ObjetducommentaireCar">
    <w:name w:val="Objet du commentaire Car"/>
    <w:basedOn w:val="CommentaireCar"/>
    <w:link w:val="Objetducommentaire"/>
    <w:uiPriority w:val="99"/>
    <w:semiHidden/>
    <w:rsid w:val="00E36EDF"/>
    <w:rPr>
      <w:rFonts w:asciiTheme="majorHAnsi" w:hAnsiTheme="majorHAnsi"/>
      <w:b/>
      <w:bCs/>
      <w:sz w:val="20"/>
      <w:szCs w:val="20"/>
    </w:rPr>
  </w:style>
  <w:style w:type="paragraph" w:customStyle="1" w:styleId="Axendo-Texte">
    <w:name w:val="Axendo - Texte"/>
    <w:basedOn w:val="Normal"/>
    <w:link w:val="Axendo-TexteCar"/>
    <w:rsid w:val="00653A70"/>
    <w:pPr>
      <w:spacing w:before="240" w:line="360" w:lineRule="exact"/>
    </w:pPr>
    <w:rPr>
      <w:rFonts w:ascii="Times New Roman" w:eastAsia="Times New Roman" w:hAnsi="Times New Roman" w:cs="Times New Roman"/>
      <w:sz w:val="24"/>
    </w:rPr>
  </w:style>
  <w:style w:type="character" w:customStyle="1" w:styleId="Axendo-TexteCar">
    <w:name w:val="Axendo - Texte Car"/>
    <w:basedOn w:val="Policepardfaut"/>
    <w:link w:val="Axendo-Texte"/>
    <w:rsid w:val="00653A70"/>
    <w:rPr>
      <w:rFonts w:ascii="Times New Roman" w:eastAsia="Times New Roman" w:hAnsi="Times New Roman" w:cs="Times New Roman"/>
    </w:rPr>
  </w:style>
  <w:style w:type="paragraph" w:styleId="Explorateurdedocument">
    <w:name w:val="Document Map"/>
    <w:basedOn w:val="Normal"/>
    <w:link w:val="ExplorateurdedocumentCar"/>
    <w:uiPriority w:val="99"/>
    <w:semiHidden/>
    <w:unhideWhenUsed/>
    <w:rsid w:val="00E91B2C"/>
    <w:rPr>
      <w:rFonts w:ascii="Lucida Grande" w:hAnsi="Lucida Grande" w:cs="Lucida Grande"/>
      <w:sz w:val="24"/>
    </w:rPr>
  </w:style>
  <w:style w:type="character" w:customStyle="1" w:styleId="ExplorateurdedocumentCar">
    <w:name w:val="Explorateur de document Car"/>
    <w:basedOn w:val="Policepardfaut"/>
    <w:link w:val="Explorateurdedocument"/>
    <w:uiPriority w:val="99"/>
    <w:semiHidden/>
    <w:rsid w:val="00E91B2C"/>
    <w:rPr>
      <w:rFonts w:ascii="Lucida Grande" w:hAnsi="Lucida Grande" w:cs="Lucida Grande"/>
    </w:rPr>
  </w:style>
  <w:style w:type="character" w:customStyle="1" w:styleId="longtext1">
    <w:name w:val="long_text1"/>
    <w:uiPriority w:val="9"/>
    <w:semiHidden/>
    <w:rsid w:val="00054FC3"/>
  </w:style>
  <w:style w:type="paragraph" w:customStyle="1" w:styleId="Soulign">
    <w:name w:val="Souligné"/>
    <w:basedOn w:val="Normal"/>
    <w:next w:val="Normal"/>
    <w:rsid w:val="0061422C"/>
    <w:rPr>
      <w:rFonts w:ascii="Times New Roman" w:eastAsia="Times New Roman" w:hAnsi="Times New Roman" w:cs="Times New Roman"/>
      <w:sz w:val="24"/>
      <w:szCs w:val="20"/>
      <w:u w:val="single"/>
    </w:rPr>
  </w:style>
  <w:style w:type="character" w:customStyle="1" w:styleId="Titre4Car">
    <w:name w:val="Titre 4 Car"/>
    <w:basedOn w:val="Policepardfaut"/>
    <w:link w:val="Titre4"/>
    <w:uiPriority w:val="9"/>
    <w:rsid w:val="00AD71B5"/>
    <w:rPr>
      <w:rFonts w:asciiTheme="majorHAnsi" w:eastAsiaTheme="majorEastAsia" w:hAnsiTheme="majorHAnsi" w:cstheme="majorBidi"/>
      <w:b/>
      <w:bCs/>
      <w:i/>
      <w:iCs/>
      <w:color w:val="4F81BD" w:themeColor="accent1"/>
      <w:sz w:val="20"/>
    </w:rPr>
  </w:style>
  <w:style w:type="paragraph" w:customStyle="1" w:styleId="CM1">
    <w:name w:val="CM1"/>
    <w:basedOn w:val="Default"/>
    <w:next w:val="Default"/>
    <w:uiPriority w:val="99"/>
    <w:rsid w:val="00D47DB6"/>
    <w:rPr>
      <w:rFonts w:ascii="EUAlbertina" w:hAnsi="EUAlbertina" w:cs="Times New Roman"/>
      <w:color w:val="auto"/>
    </w:rPr>
  </w:style>
  <w:style w:type="paragraph" w:customStyle="1" w:styleId="CM3">
    <w:name w:val="CM3"/>
    <w:basedOn w:val="Default"/>
    <w:next w:val="Default"/>
    <w:uiPriority w:val="99"/>
    <w:rsid w:val="00D47DB6"/>
    <w:rPr>
      <w:rFonts w:ascii="EUAlbertina" w:hAnsi="EUAlbertina" w:cs="Times New Roman"/>
      <w:color w:val="auto"/>
    </w:rPr>
  </w:style>
  <w:style w:type="paragraph" w:customStyle="1" w:styleId="CM4">
    <w:name w:val="CM4"/>
    <w:basedOn w:val="Default"/>
    <w:next w:val="Default"/>
    <w:uiPriority w:val="99"/>
    <w:rsid w:val="00D47DB6"/>
    <w:rPr>
      <w:rFonts w:ascii="EUAlbertina" w:hAnsi="EUAlbertina" w:cs="Times New Roman"/>
      <w:color w:val="auto"/>
    </w:rPr>
  </w:style>
  <w:style w:type="paragraph" w:customStyle="1" w:styleId="Grilleclaire-Accent31">
    <w:name w:val="Grille claire - Accent 31"/>
    <w:basedOn w:val="Normal"/>
    <w:uiPriority w:val="34"/>
    <w:qFormat/>
    <w:rsid w:val="002F52EB"/>
    <w:pPr>
      <w:spacing w:after="200" w:line="276" w:lineRule="auto"/>
      <w:ind w:left="720"/>
      <w:contextualSpacing/>
      <w:jc w:val="left"/>
    </w:pPr>
    <w:rPr>
      <w:rFonts w:ascii="Calibri" w:eastAsia="Calibri" w:hAnsi="Calibri" w:cs="Times New Roman"/>
      <w:sz w:val="22"/>
      <w:szCs w:val="22"/>
      <w:lang w:eastAsia="en-US"/>
    </w:rPr>
  </w:style>
  <w:style w:type="character" w:customStyle="1" w:styleId="jlqj4b">
    <w:name w:val="jlqj4b"/>
    <w:basedOn w:val="Policepardfaut"/>
    <w:rsid w:val="009D17FC"/>
  </w:style>
  <w:style w:type="paragraph" w:customStyle="1" w:styleId="font7">
    <w:name w:val="font_7"/>
    <w:basedOn w:val="Normal"/>
    <w:rsid w:val="005D79D6"/>
    <w:pPr>
      <w:spacing w:before="100" w:beforeAutospacing="1" w:after="100" w:afterAutospacing="1"/>
      <w:jc w:val="left"/>
    </w:pPr>
    <w:rPr>
      <w:rFonts w:ascii="Times New Roman" w:hAnsi="Times New Roman" w:cs="Times New Roman"/>
      <w:szCs w:val="20"/>
    </w:rPr>
  </w:style>
  <w:style w:type="character" w:customStyle="1" w:styleId="ccoutputtrail">
    <w:name w:val="ccoutputtrail"/>
    <w:basedOn w:val="Policepardfaut"/>
    <w:rsid w:val="00A04F41"/>
  </w:style>
  <w:style w:type="character" w:customStyle="1" w:styleId="ParagraphedelisteCar">
    <w:name w:val="Paragraphe de liste Car"/>
    <w:aliases w:val="TEXTE Car,ANNEXE Car"/>
    <w:link w:val="Paragraphedeliste"/>
    <w:uiPriority w:val="99"/>
    <w:rsid w:val="00F24D6A"/>
    <w:rPr>
      <w:rFonts w:asciiTheme="majorHAnsi" w:hAnsiTheme="majorHAnsi"/>
      <w:sz w:val="20"/>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fr-FR" w:eastAsia="fr-FR"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0" w:qFormat="1"/>
    <w:lsdException w:name="heading 6" w:uiPriority="9" w:qFormat="1"/>
    <w:lsdException w:name="heading 7" w:uiPriority="9"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header" w:uiPriority="0"/>
    <w:lsdException w:name="footer" w:uiPriority="0"/>
    <w:lsdException w:name="caption" w:uiPriority="35" w:qFormat="1"/>
    <w:lsdException w:name="footnote reference" w:uiPriority="0"/>
    <w:lsdException w:name="page number" w:uiPriority="0"/>
    <w:lsdException w:name="List Number"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Balloon Text" w:uiPriority="0"/>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C4786"/>
    <w:pPr>
      <w:jc w:val="both"/>
    </w:pPr>
    <w:rPr>
      <w:rFonts w:asciiTheme="majorHAnsi" w:hAnsiTheme="majorHAnsi"/>
      <w:sz w:val="20"/>
    </w:rPr>
  </w:style>
  <w:style w:type="paragraph" w:styleId="Titre1">
    <w:name w:val="heading 1"/>
    <w:basedOn w:val="Normal"/>
    <w:next w:val="Normal"/>
    <w:link w:val="Titre1Car"/>
    <w:qFormat/>
    <w:rsid w:val="00913E29"/>
    <w:pPr>
      <w:keepNext/>
      <w:keepLines/>
      <w:pBdr>
        <w:bottom w:val="single" w:sz="4" w:space="1" w:color="auto"/>
      </w:pBdr>
      <w:spacing w:before="480"/>
      <w:outlineLvl w:val="0"/>
    </w:pPr>
    <w:rPr>
      <w:rFonts w:eastAsiaTheme="majorEastAsia" w:cstheme="majorBidi"/>
      <w:b/>
      <w:bCs/>
      <w:color w:val="345A8A" w:themeColor="accent1" w:themeShade="B5"/>
      <w:sz w:val="32"/>
      <w:szCs w:val="32"/>
    </w:rPr>
  </w:style>
  <w:style w:type="paragraph" w:styleId="Titre2">
    <w:name w:val="heading 2"/>
    <w:basedOn w:val="Normal"/>
    <w:next w:val="Normal"/>
    <w:link w:val="Titre2Car"/>
    <w:uiPriority w:val="9"/>
    <w:unhideWhenUsed/>
    <w:qFormat/>
    <w:rsid w:val="00036E0A"/>
    <w:pPr>
      <w:keepNext/>
      <w:keepLines/>
      <w:spacing w:before="200"/>
      <w:outlineLvl w:val="1"/>
    </w:pPr>
    <w:rPr>
      <w:rFonts w:eastAsiaTheme="majorEastAsia" w:cstheme="majorBidi"/>
      <w:b/>
      <w:bCs/>
      <w:smallCaps/>
      <w:color w:val="4F81BD" w:themeColor="accent1"/>
      <w:sz w:val="26"/>
      <w:szCs w:val="26"/>
    </w:rPr>
  </w:style>
  <w:style w:type="paragraph" w:styleId="Titre3">
    <w:name w:val="heading 3"/>
    <w:basedOn w:val="Normal"/>
    <w:next w:val="Normal"/>
    <w:link w:val="Titre3Car"/>
    <w:uiPriority w:val="9"/>
    <w:unhideWhenUsed/>
    <w:qFormat/>
    <w:rsid w:val="00A601E8"/>
    <w:pPr>
      <w:keepNext/>
      <w:keepLines/>
      <w:spacing w:before="200"/>
      <w:outlineLvl w:val="2"/>
    </w:pPr>
    <w:rPr>
      <w:rFonts w:eastAsiaTheme="majorEastAsia" w:cstheme="majorBidi"/>
      <w:b/>
      <w:bCs/>
      <w:color w:val="4F81BD" w:themeColor="accent1"/>
    </w:rPr>
  </w:style>
  <w:style w:type="paragraph" w:styleId="Titre4">
    <w:name w:val="heading 4"/>
    <w:basedOn w:val="Normal"/>
    <w:next w:val="Normal"/>
    <w:link w:val="Titre4Car"/>
    <w:uiPriority w:val="9"/>
    <w:unhideWhenUsed/>
    <w:qFormat/>
    <w:rsid w:val="00AD71B5"/>
    <w:pPr>
      <w:keepNext/>
      <w:keepLines/>
      <w:spacing w:before="200"/>
      <w:outlineLvl w:val="3"/>
    </w:pPr>
    <w:rPr>
      <w:rFonts w:eastAsiaTheme="majorEastAsia" w:cstheme="majorBidi"/>
      <w:b/>
      <w:bCs/>
      <w:i/>
      <w:iCs/>
      <w:color w:val="4F81BD" w:themeColor="accent1"/>
    </w:rPr>
  </w:style>
  <w:style w:type="paragraph" w:styleId="Titre5">
    <w:name w:val="heading 5"/>
    <w:basedOn w:val="Normal"/>
    <w:next w:val="Normal"/>
    <w:link w:val="Titre5Car"/>
    <w:qFormat/>
    <w:rsid w:val="008D23AF"/>
    <w:pPr>
      <w:keepNext/>
      <w:spacing w:before="480" w:after="120"/>
      <w:outlineLvl w:val="4"/>
    </w:pPr>
    <w:rPr>
      <w:rFonts w:ascii="Compatil Fact LT Com" w:eastAsia="Times New Roman" w:hAnsi="Compatil Fact LT Com" w:cs="Times New Roman"/>
      <w:b/>
      <w:bCs/>
      <w:lang w:eastAsia="en-US"/>
    </w:rPr>
  </w:style>
  <w:style w:type="paragraph" w:styleId="Titre6">
    <w:name w:val="heading 6"/>
    <w:basedOn w:val="Normal"/>
    <w:next w:val="Normal"/>
    <w:link w:val="Titre6Car"/>
    <w:uiPriority w:val="9"/>
    <w:unhideWhenUsed/>
    <w:qFormat/>
    <w:rsid w:val="003A794F"/>
    <w:pPr>
      <w:keepNext/>
      <w:keepLines/>
      <w:spacing w:before="200"/>
      <w:outlineLvl w:val="5"/>
    </w:pPr>
    <w:rPr>
      <w:rFonts w:eastAsiaTheme="majorEastAsia" w:cstheme="majorBidi"/>
      <w:i/>
      <w:iCs/>
      <w:color w:val="243F60" w:themeColor="accent1" w:themeShade="7F"/>
    </w:rPr>
  </w:style>
  <w:style w:type="paragraph" w:styleId="Titre8">
    <w:name w:val="heading 8"/>
    <w:basedOn w:val="Normal"/>
    <w:next w:val="Normal"/>
    <w:link w:val="Titre8Car"/>
    <w:qFormat/>
    <w:rsid w:val="00722F08"/>
    <w:pPr>
      <w:keepNext/>
      <w:jc w:val="center"/>
      <w:outlineLvl w:val="7"/>
    </w:pPr>
    <w:rPr>
      <w:rFonts w:ascii="Times New Roman" w:eastAsia="Times New Roman" w:hAnsi="Times New Roman" w:cs="Times New Roman"/>
      <w:sz w:val="24"/>
      <w:szCs w:val="20"/>
    </w:rPr>
  </w:style>
  <w:style w:type="paragraph" w:styleId="Titre9">
    <w:name w:val="heading 9"/>
    <w:basedOn w:val="Normal"/>
    <w:next w:val="Normal"/>
    <w:link w:val="Titre9Car"/>
    <w:qFormat/>
    <w:rsid w:val="00722F08"/>
    <w:pPr>
      <w:keepNext/>
      <w:jc w:val="center"/>
      <w:outlineLvl w:val="8"/>
    </w:pPr>
    <w:rPr>
      <w:rFonts w:ascii="Times New Roman" w:eastAsia="Times New Roman" w:hAnsi="Times New Roman" w:cs="Times New Roman"/>
      <w:b/>
      <w:sz w:val="28"/>
      <w:szCs w:val="20"/>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913E29"/>
    <w:rPr>
      <w:rFonts w:asciiTheme="majorHAnsi" w:eastAsiaTheme="majorEastAsia" w:hAnsiTheme="majorHAnsi" w:cstheme="majorBidi"/>
      <w:b/>
      <w:bCs/>
      <w:color w:val="345A8A" w:themeColor="accent1" w:themeShade="B5"/>
      <w:sz w:val="32"/>
      <w:szCs w:val="32"/>
    </w:rPr>
  </w:style>
  <w:style w:type="character" w:customStyle="1" w:styleId="Titre2Car">
    <w:name w:val="Titre 2 Car"/>
    <w:basedOn w:val="Policepardfaut"/>
    <w:link w:val="Titre2"/>
    <w:uiPriority w:val="9"/>
    <w:rsid w:val="00036E0A"/>
    <w:rPr>
      <w:rFonts w:asciiTheme="majorHAnsi" w:eastAsiaTheme="majorEastAsia" w:hAnsiTheme="majorHAnsi" w:cstheme="majorBidi"/>
      <w:b/>
      <w:bCs/>
      <w:smallCaps/>
      <w:color w:val="4F81BD" w:themeColor="accent1"/>
      <w:sz w:val="26"/>
      <w:szCs w:val="26"/>
    </w:rPr>
  </w:style>
  <w:style w:type="character" w:customStyle="1" w:styleId="Titre3Car">
    <w:name w:val="Titre 3 Car"/>
    <w:basedOn w:val="Policepardfaut"/>
    <w:link w:val="Titre3"/>
    <w:uiPriority w:val="9"/>
    <w:rsid w:val="00A601E8"/>
    <w:rPr>
      <w:rFonts w:asciiTheme="majorHAnsi" w:eastAsiaTheme="majorEastAsia" w:hAnsiTheme="majorHAnsi" w:cstheme="majorBidi"/>
      <w:b/>
      <w:bCs/>
      <w:color w:val="4F81BD" w:themeColor="accent1"/>
    </w:rPr>
  </w:style>
  <w:style w:type="character" w:customStyle="1" w:styleId="Titre5Car">
    <w:name w:val="Titre 5 Car"/>
    <w:basedOn w:val="Policepardfaut"/>
    <w:link w:val="Titre5"/>
    <w:rsid w:val="008D23AF"/>
    <w:rPr>
      <w:rFonts w:ascii="Compatil Fact LT Com" w:eastAsia="Times New Roman" w:hAnsi="Compatil Fact LT Com" w:cs="Times New Roman"/>
      <w:b/>
      <w:bCs/>
      <w:lang w:eastAsia="en-US"/>
    </w:rPr>
  </w:style>
  <w:style w:type="character" w:customStyle="1" w:styleId="Titre6Car">
    <w:name w:val="Titre 6 Car"/>
    <w:basedOn w:val="Policepardfaut"/>
    <w:link w:val="Titre6"/>
    <w:uiPriority w:val="9"/>
    <w:rsid w:val="003A794F"/>
    <w:rPr>
      <w:rFonts w:asciiTheme="majorHAnsi" w:eastAsiaTheme="majorEastAsia" w:hAnsiTheme="majorHAnsi" w:cstheme="majorBidi"/>
      <w:i/>
      <w:iCs/>
      <w:color w:val="243F60" w:themeColor="accent1" w:themeShade="7F"/>
    </w:rPr>
  </w:style>
  <w:style w:type="character" w:customStyle="1" w:styleId="Titre8Car">
    <w:name w:val="Titre 8 Car"/>
    <w:basedOn w:val="Policepardfaut"/>
    <w:link w:val="Titre8"/>
    <w:rsid w:val="00722F08"/>
    <w:rPr>
      <w:rFonts w:ascii="Times New Roman" w:eastAsia="Times New Roman" w:hAnsi="Times New Roman" w:cs="Times New Roman"/>
      <w:szCs w:val="20"/>
    </w:rPr>
  </w:style>
  <w:style w:type="character" w:customStyle="1" w:styleId="Titre9Car">
    <w:name w:val="Titre 9 Car"/>
    <w:basedOn w:val="Policepardfaut"/>
    <w:link w:val="Titre9"/>
    <w:rsid w:val="00722F08"/>
    <w:rPr>
      <w:rFonts w:ascii="Times New Roman" w:eastAsia="Times New Roman" w:hAnsi="Times New Roman" w:cs="Times New Roman"/>
      <w:b/>
      <w:sz w:val="28"/>
      <w:szCs w:val="20"/>
    </w:rPr>
  </w:style>
  <w:style w:type="paragraph" w:styleId="Textedebulles">
    <w:name w:val="Balloon Text"/>
    <w:basedOn w:val="Normal"/>
    <w:link w:val="TextedebullesCar"/>
    <w:semiHidden/>
    <w:unhideWhenUsed/>
    <w:rsid w:val="00252316"/>
    <w:rPr>
      <w:rFonts w:ascii="Lucida Grande" w:hAnsi="Lucida Grande" w:cs="Lucida Grande"/>
      <w:sz w:val="18"/>
      <w:szCs w:val="18"/>
    </w:rPr>
  </w:style>
  <w:style w:type="character" w:customStyle="1" w:styleId="TextedebullesCar">
    <w:name w:val="Texte de bulles Car"/>
    <w:basedOn w:val="Policepardfaut"/>
    <w:link w:val="Textedebulles"/>
    <w:semiHidden/>
    <w:rsid w:val="00252316"/>
    <w:rPr>
      <w:rFonts w:ascii="Lucida Grande" w:hAnsi="Lucida Grande" w:cs="Lucida Grande"/>
      <w:sz w:val="18"/>
      <w:szCs w:val="18"/>
    </w:rPr>
  </w:style>
  <w:style w:type="paragraph" w:styleId="Pieddepage">
    <w:name w:val="footer"/>
    <w:basedOn w:val="Normal"/>
    <w:link w:val="PieddepageCar"/>
    <w:rsid w:val="00342C14"/>
    <w:pPr>
      <w:tabs>
        <w:tab w:val="center" w:pos="4536"/>
        <w:tab w:val="right" w:pos="9072"/>
      </w:tabs>
    </w:pPr>
    <w:rPr>
      <w:rFonts w:ascii="Compatil Fact LT Com" w:eastAsia="Times New Roman" w:hAnsi="Compatil Fact LT Com" w:cs="Times New Roman"/>
      <w:sz w:val="22"/>
      <w:lang w:eastAsia="en-US"/>
    </w:rPr>
  </w:style>
  <w:style w:type="character" w:customStyle="1" w:styleId="PieddepageCar">
    <w:name w:val="Pied de page Car"/>
    <w:basedOn w:val="Policepardfaut"/>
    <w:link w:val="Pieddepage"/>
    <w:uiPriority w:val="99"/>
    <w:rsid w:val="00342C14"/>
    <w:rPr>
      <w:rFonts w:ascii="Compatil Fact LT Com" w:eastAsia="Times New Roman" w:hAnsi="Compatil Fact LT Com" w:cs="Times New Roman"/>
      <w:sz w:val="22"/>
      <w:lang w:eastAsia="en-US"/>
    </w:rPr>
  </w:style>
  <w:style w:type="character" w:styleId="Numrodepage">
    <w:name w:val="page number"/>
    <w:basedOn w:val="Policepardfaut"/>
    <w:rsid w:val="00342C14"/>
  </w:style>
  <w:style w:type="character" w:styleId="Lienhypertexte">
    <w:name w:val="Hyperlink"/>
    <w:uiPriority w:val="99"/>
    <w:rsid w:val="00342C14"/>
    <w:rPr>
      <w:color w:val="0000FF"/>
      <w:u w:val="single"/>
    </w:rPr>
  </w:style>
  <w:style w:type="paragraph" w:customStyle="1" w:styleId="TitreSection">
    <w:name w:val="Titre Section"/>
    <w:basedOn w:val="Normal"/>
    <w:rsid w:val="003E0334"/>
    <w:pPr>
      <w:pageBreakBefore/>
    </w:pPr>
    <w:rPr>
      <w:rFonts w:ascii="Compatil Fact LT Com" w:eastAsia="Times New Roman" w:hAnsi="Compatil Fact LT Com" w:cs="Times New Roman"/>
      <w:b/>
      <w:bCs/>
      <w:sz w:val="28"/>
      <w:szCs w:val="28"/>
      <w:lang w:eastAsia="en-US"/>
    </w:rPr>
  </w:style>
  <w:style w:type="paragraph" w:styleId="Paragraphedeliste">
    <w:name w:val="List Paragraph"/>
    <w:aliases w:val="TEXTE,ANNEXE"/>
    <w:basedOn w:val="Normal"/>
    <w:link w:val="ParagraphedelisteCar"/>
    <w:uiPriority w:val="34"/>
    <w:qFormat/>
    <w:rsid w:val="003E0334"/>
    <w:pPr>
      <w:ind w:left="720"/>
      <w:contextualSpacing/>
    </w:pPr>
  </w:style>
  <w:style w:type="paragraph" w:customStyle="1" w:styleId="Bulletniveau2">
    <w:name w:val="Bullet niveau 2"/>
    <w:basedOn w:val="Listenumros"/>
    <w:rsid w:val="008D23AF"/>
    <w:pPr>
      <w:numPr>
        <w:ilvl w:val="1"/>
      </w:numPr>
      <w:tabs>
        <w:tab w:val="clear" w:pos="1080"/>
        <w:tab w:val="num" w:pos="851"/>
      </w:tabs>
      <w:ind w:left="851" w:hanging="425"/>
    </w:pPr>
  </w:style>
  <w:style w:type="paragraph" w:styleId="Listenumros">
    <w:name w:val="List Number"/>
    <w:aliases w:val="Bullet niveau 1"/>
    <w:basedOn w:val="Normal"/>
    <w:link w:val="ListenumrosCar"/>
    <w:rsid w:val="008D23AF"/>
    <w:pPr>
      <w:keepNext/>
      <w:numPr>
        <w:numId w:val="6"/>
      </w:numPr>
    </w:pPr>
    <w:rPr>
      <w:rFonts w:ascii="Compatil Fact LT Com" w:eastAsia="Times New Roman" w:hAnsi="Compatil Fact LT Com" w:cs="Times New Roman"/>
      <w:sz w:val="22"/>
      <w:lang w:eastAsia="en-US"/>
    </w:rPr>
  </w:style>
  <w:style w:type="character" w:customStyle="1" w:styleId="ListenumrosCar">
    <w:name w:val="Liste à numéros Car"/>
    <w:aliases w:val="Bullet niveau 1 Car"/>
    <w:link w:val="Listenumros"/>
    <w:rsid w:val="008D23AF"/>
    <w:rPr>
      <w:rFonts w:ascii="Compatil Fact LT Com" w:eastAsia="Times New Roman" w:hAnsi="Compatil Fact LT Com" w:cs="Times New Roman"/>
      <w:sz w:val="22"/>
      <w:lang w:eastAsia="en-US"/>
    </w:rPr>
  </w:style>
  <w:style w:type="paragraph" w:customStyle="1" w:styleId="BulletNiveau3">
    <w:name w:val="Bullet Niveau 3"/>
    <w:basedOn w:val="Bulletniveau2"/>
    <w:rsid w:val="008D23AF"/>
    <w:pPr>
      <w:numPr>
        <w:ilvl w:val="2"/>
      </w:numPr>
      <w:tabs>
        <w:tab w:val="clear" w:pos="2917"/>
        <w:tab w:val="num" w:pos="1276"/>
      </w:tabs>
      <w:ind w:left="1276" w:hanging="426"/>
    </w:pPr>
  </w:style>
  <w:style w:type="character" w:customStyle="1" w:styleId="Lgendegraph">
    <w:name w:val="Légende graph"/>
    <w:rsid w:val="003A794F"/>
    <w:rPr>
      <w:i/>
      <w:iCs/>
      <w:color w:val="000000"/>
      <w:sz w:val="18"/>
      <w:szCs w:val="18"/>
    </w:rPr>
  </w:style>
  <w:style w:type="paragraph" w:styleId="En-tte">
    <w:name w:val="header"/>
    <w:basedOn w:val="Normal"/>
    <w:link w:val="En-tteCar"/>
    <w:unhideWhenUsed/>
    <w:rsid w:val="00A601E8"/>
    <w:pPr>
      <w:tabs>
        <w:tab w:val="center" w:pos="4536"/>
        <w:tab w:val="right" w:pos="9072"/>
      </w:tabs>
    </w:pPr>
  </w:style>
  <w:style w:type="character" w:customStyle="1" w:styleId="En-tteCar">
    <w:name w:val="En-tête Car"/>
    <w:basedOn w:val="Policepardfaut"/>
    <w:link w:val="En-tte"/>
    <w:rsid w:val="00A601E8"/>
  </w:style>
  <w:style w:type="paragraph" w:styleId="TM1">
    <w:name w:val="toc 1"/>
    <w:basedOn w:val="Normal"/>
    <w:next w:val="Normal"/>
    <w:autoRedefine/>
    <w:uiPriority w:val="39"/>
    <w:unhideWhenUsed/>
    <w:rsid w:val="003F345D"/>
    <w:pPr>
      <w:tabs>
        <w:tab w:val="right" w:leader="dot" w:pos="9356"/>
      </w:tabs>
      <w:spacing w:before="120"/>
    </w:pPr>
    <w:rPr>
      <w:b/>
      <w:noProof/>
      <w:color w:val="548DD4"/>
      <w:sz w:val="22"/>
      <w:szCs w:val="22"/>
    </w:rPr>
  </w:style>
  <w:style w:type="paragraph" w:styleId="TM2">
    <w:name w:val="toc 2"/>
    <w:basedOn w:val="Normal"/>
    <w:next w:val="Normal"/>
    <w:autoRedefine/>
    <w:uiPriority w:val="39"/>
    <w:unhideWhenUsed/>
    <w:rsid w:val="005D79D6"/>
    <w:pPr>
      <w:tabs>
        <w:tab w:val="right" w:leader="dot" w:pos="9356"/>
      </w:tabs>
    </w:pPr>
    <w:rPr>
      <w:noProof/>
      <w:sz w:val="22"/>
      <w:szCs w:val="22"/>
    </w:rPr>
  </w:style>
  <w:style w:type="paragraph" w:styleId="TM3">
    <w:name w:val="toc 3"/>
    <w:basedOn w:val="Normal"/>
    <w:next w:val="Normal"/>
    <w:autoRedefine/>
    <w:uiPriority w:val="39"/>
    <w:unhideWhenUsed/>
    <w:rsid w:val="00A42F78"/>
    <w:pPr>
      <w:tabs>
        <w:tab w:val="right" w:leader="dot" w:pos="9344"/>
      </w:tabs>
      <w:ind w:left="240"/>
    </w:pPr>
    <w:rPr>
      <w:i/>
      <w:sz w:val="22"/>
      <w:szCs w:val="22"/>
    </w:rPr>
  </w:style>
  <w:style w:type="paragraph" w:styleId="TM4">
    <w:name w:val="toc 4"/>
    <w:basedOn w:val="Normal"/>
    <w:next w:val="Normal"/>
    <w:autoRedefine/>
    <w:uiPriority w:val="39"/>
    <w:unhideWhenUsed/>
    <w:rsid w:val="00A601E8"/>
    <w:pPr>
      <w:pBdr>
        <w:between w:val="double" w:sz="6" w:space="0" w:color="auto"/>
      </w:pBdr>
      <w:ind w:left="480"/>
    </w:pPr>
    <w:rPr>
      <w:szCs w:val="20"/>
    </w:rPr>
  </w:style>
  <w:style w:type="paragraph" w:styleId="TM5">
    <w:name w:val="toc 5"/>
    <w:basedOn w:val="Normal"/>
    <w:next w:val="Normal"/>
    <w:autoRedefine/>
    <w:uiPriority w:val="39"/>
    <w:unhideWhenUsed/>
    <w:rsid w:val="00A601E8"/>
    <w:pPr>
      <w:pBdr>
        <w:between w:val="double" w:sz="6" w:space="0" w:color="auto"/>
      </w:pBdr>
      <w:ind w:left="720"/>
    </w:pPr>
    <w:rPr>
      <w:szCs w:val="20"/>
    </w:rPr>
  </w:style>
  <w:style w:type="paragraph" w:styleId="TM6">
    <w:name w:val="toc 6"/>
    <w:basedOn w:val="Normal"/>
    <w:next w:val="Normal"/>
    <w:autoRedefine/>
    <w:uiPriority w:val="39"/>
    <w:unhideWhenUsed/>
    <w:rsid w:val="00A601E8"/>
    <w:pPr>
      <w:pBdr>
        <w:between w:val="double" w:sz="6" w:space="0" w:color="auto"/>
      </w:pBdr>
      <w:ind w:left="960"/>
    </w:pPr>
    <w:rPr>
      <w:szCs w:val="20"/>
    </w:rPr>
  </w:style>
  <w:style w:type="paragraph" w:styleId="TM7">
    <w:name w:val="toc 7"/>
    <w:basedOn w:val="Normal"/>
    <w:next w:val="Normal"/>
    <w:autoRedefine/>
    <w:uiPriority w:val="39"/>
    <w:unhideWhenUsed/>
    <w:rsid w:val="00A601E8"/>
    <w:pPr>
      <w:pBdr>
        <w:between w:val="double" w:sz="6" w:space="0" w:color="auto"/>
      </w:pBdr>
      <w:ind w:left="1200"/>
    </w:pPr>
    <w:rPr>
      <w:szCs w:val="20"/>
    </w:rPr>
  </w:style>
  <w:style w:type="paragraph" w:styleId="TM8">
    <w:name w:val="toc 8"/>
    <w:basedOn w:val="Normal"/>
    <w:next w:val="Normal"/>
    <w:autoRedefine/>
    <w:uiPriority w:val="39"/>
    <w:unhideWhenUsed/>
    <w:rsid w:val="00A601E8"/>
    <w:pPr>
      <w:pBdr>
        <w:between w:val="double" w:sz="6" w:space="0" w:color="auto"/>
      </w:pBdr>
      <w:ind w:left="1440"/>
    </w:pPr>
    <w:rPr>
      <w:szCs w:val="20"/>
    </w:rPr>
  </w:style>
  <w:style w:type="paragraph" w:styleId="TM9">
    <w:name w:val="toc 9"/>
    <w:basedOn w:val="Normal"/>
    <w:next w:val="Normal"/>
    <w:autoRedefine/>
    <w:uiPriority w:val="39"/>
    <w:unhideWhenUsed/>
    <w:rsid w:val="00A601E8"/>
    <w:pPr>
      <w:pBdr>
        <w:between w:val="double" w:sz="6" w:space="0" w:color="auto"/>
      </w:pBdr>
      <w:ind w:left="1680"/>
    </w:pPr>
    <w:rPr>
      <w:szCs w:val="20"/>
    </w:rPr>
  </w:style>
  <w:style w:type="table" w:styleId="Grille">
    <w:name w:val="Table Grid"/>
    <w:basedOn w:val="TableauNormal"/>
    <w:uiPriority w:val="59"/>
    <w:rsid w:val="00FA190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efault">
    <w:name w:val="Default"/>
    <w:rsid w:val="00FA1902"/>
    <w:pPr>
      <w:widowControl w:val="0"/>
      <w:autoSpaceDE w:val="0"/>
      <w:autoSpaceDN w:val="0"/>
      <w:adjustRightInd w:val="0"/>
    </w:pPr>
    <w:rPr>
      <w:rFonts w:ascii="Calibri" w:hAnsi="Calibri" w:cs="Calibri"/>
      <w:color w:val="000000"/>
    </w:rPr>
  </w:style>
  <w:style w:type="character" w:customStyle="1" w:styleId="apple-converted-space">
    <w:name w:val="apple-converted-space"/>
    <w:basedOn w:val="Policepardfaut"/>
    <w:rsid w:val="00E35130"/>
  </w:style>
  <w:style w:type="paragraph" w:styleId="NormalWeb">
    <w:name w:val="Normal (Web)"/>
    <w:basedOn w:val="Normal"/>
    <w:uiPriority w:val="99"/>
    <w:unhideWhenUsed/>
    <w:rsid w:val="00715910"/>
    <w:pPr>
      <w:spacing w:before="100" w:beforeAutospacing="1" w:after="100" w:afterAutospacing="1"/>
    </w:pPr>
    <w:rPr>
      <w:rFonts w:ascii="Times" w:hAnsi="Times" w:cs="Times New Roman"/>
      <w:szCs w:val="20"/>
    </w:rPr>
  </w:style>
  <w:style w:type="paragraph" w:customStyle="1" w:styleId="Corps">
    <w:name w:val="Corps"/>
    <w:rsid w:val="00A30B8B"/>
    <w:pPr>
      <w:pBdr>
        <w:top w:val="nil"/>
        <w:left w:val="nil"/>
        <w:bottom w:val="nil"/>
        <w:right w:val="nil"/>
        <w:between w:val="nil"/>
        <w:bar w:val="nil"/>
      </w:pBdr>
      <w:jc w:val="both"/>
    </w:pPr>
    <w:rPr>
      <w:rFonts w:ascii="Garamond" w:eastAsia="Garamond" w:hAnsi="Garamond" w:cs="Garamond"/>
      <w:color w:val="000000"/>
      <w:sz w:val="20"/>
      <w:szCs w:val="20"/>
      <w:u w:color="000000"/>
      <w:bdr w:val="nil"/>
    </w:rPr>
  </w:style>
  <w:style w:type="character" w:styleId="lev">
    <w:name w:val="Strong"/>
    <w:basedOn w:val="Policepardfaut"/>
    <w:uiPriority w:val="22"/>
    <w:qFormat/>
    <w:rsid w:val="003C2827"/>
    <w:rPr>
      <w:b/>
      <w:bCs/>
    </w:rPr>
  </w:style>
  <w:style w:type="table" w:customStyle="1" w:styleId="Ombrageclair1">
    <w:name w:val="Ombrage clair1"/>
    <w:basedOn w:val="TableauNormal"/>
    <w:uiPriority w:val="60"/>
    <w:rsid w:val="003C2827"/>
    <w:rPr>
      <w:rFonts w:eastAsiaTheme="minorHAnsi"/>
      <w:color w:val="000000" w:themeColor="text1" w:themeShade="BF"/>
      <w:sz w:val="22"/>
      <w:szCs w:val="22"/>
      <w:lang w:eastAsia="en-US"/>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Ombrageclair2">
    <w:name w:val="Ombrage clair2"/>
    <w:basedOn w:val="TableauNormal"/>
    <w:uiPriority w:val="60"/>
    <w:rsid w:val="003C2827"/>
    <w:rPr>
      <w:rFonts w:eastAsiaTheme="minorHAnsi"/>
      <w:color w:val="000000" w:themeColor="text1" w:themeShade="BF"/>
      <w:sz w:val="22"/>
      <w:szCs w:val="22"/>
      <w:lang w:eastAsia="en-US"/>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styleId="Notedebasdepage">
    <w:name w:val="footnote text"/>
    <w:aliases w:val="fn"/>
    <w:basedOn w:val="Normal"/>
    <w:link w:val="NotedebasdepageCar"/>
    <w:unhideWhenUsed/>
    <w:rsid w:val="003C2827"/>
    <w:pPr>
      <w:jc w:val="left"/>
    </w:pPr>
    <w:rPr>
      <w:rFonts w:asciiTheme="minorHAnsi" w:eastAsiaTheme="minorHAnsi" w:hAnsiTheme="minorHAnsi"/>
      <w:szCs w:val="20"/>
      <w:lang w:eastAsia="en-US"/>
    </w:rPr>
  </w:style>
  <w:style w:type="character" w:customStyle="1" w:styleId="NotedebasdepageCar">
    <w:name w:val="Note de bas de page Car"/>
    <w:aliases w:val="fn Car"/>
    <w:basedOn w:val="Policepardfaut"/>
    <w:link w:val="Notedebasdepage"/>
    <w:rsid w:val="003C2827"/>
    <w:rPr>
      <w:rFonts w:eastAsiaTheme="minorHAnsi"/>
      <w:sz w:val="20"/>
      <w:szCs w:val="20"/>
      <w:lang w:eastAsia="en-US"/>
    </w:rPr>
  </w:style>
  <w:style w:type="character" w:styleId="Marquenotebasdepage">
    <w:name w:val="footnote reference"/>
    <w:basedOn w:val="Policepardfaut"/>
    <w:unhideWhenUsed/>
    <w:rsid w:val="003C2827"/>
    <w:rPr>
      <w:vertAlign w:val="superscript"/>
    </w:rPr>
  </w:style>
  <w:style w:type="table" w:customStyle="1" w:styleId="Ombrageclair3">
    <w:name w:val="Ombrage clair3"/>
    <w:basedOn w:val="TableauNormal"/>
    <w:uiPriority w:val="60"/>
    <w:rsid w:val="003C2827"/>
    <w:rPr>
      <w:rFonts w:eastAsiaTheme="minorHAnsi"/>
      <w:color w:val="000000" w:themeColor="text1" w:themeShade="BF"/>
      <w:sz w:val="22"/>
      <w:szCs w:val="22"/>
      <w:lang w:eastAsia="en-US"/>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styleId="En-ttedetabledesmatires">
    <w:name w:val="TOC Heading"/>
    <w:basedOn w:val="Titre1"/>
    <w:next w:val="Normal"/>
    <w:uiPriority w:val="39"/>
    <w:unhideWhenUsed/>
    <w:qFormat/>
    <w:rsid w:val="003C2827"/>
    <w:pPr>
      <w:pBdr>
        <w:bottom w:val="none" w:sz="0" w:space="0" w:color="auto"/>
      </w:pBdr>
      <w:spacing w:before="240" w:line="259" w:lineRule="auto"/>
      <w:jc w:val="left"/>
      <w:outlineLvl w:val="9"/>
    </w:pPr>
    <w:rPr>
      <w:b w:val="0"/>
      <w:bCs w:val="0"/>
      <w:color w:val="365F91" w:themeColor="accent1" w:themeShade="BF"/>
    </w:rPr>
  </w:style>
  <w:style w:type="character" w:styleId="Accentuationdiscrte">
    <w:name w:val="Subtle Emphasis"/>
    <w:uiPriority w:val="19"/>
    <w:qFormat/>
    <w:rsid w:val="00722F08"/>
    <w:rPr>
      <w:i/>
      <w:iCs/>
      <w:color w:val="808080"/>
    </w:rPr>
  </w:style>
  <w:style w:type="paragraph" w:styleId="Corpsdetexte">
    <w:name w:val="Body Text"/>
    <w:basedOn w:val="Normal"/>
    <w:link w:val="CorpsdetexteCar"/>
    <w:rsid w:val="00B45A13"/>
    <w:pPr>
      <w:spacing w:before="130" w:after="130" w:line="260" w:lineRule="atLeast"/>
      <w:jc w:val="left"/>
    </w:pPr>
    <w:rPr>
      <w:rFonts w:ascii="Times New Roman" w:eastAsia="Times New Roman" w:hAnsi="Times New Roman" w:cs="Times New Roman"/>
      <w:sz w:val="22"/>
      <w:szCs w:val="20"/>
      <w:lang w:eastAsia="en-US"/>
    </w:rPr>
  </w:style>
  <w:style w:type="character" w:customStyle="1" w:styleId="CorpsdetexteCar">
    <w:name w:val="Corps de texte Car"/>
    <w:basedOn w:val="Policepardfaut"/>
    <w:link w:val="Corpsdetexte"/>
    <w:rsid w:val="00B45A13"/>
    <w:rPr>
      <w:rFonts w:ascii="Times New Roman" w:eastAsia="Times New Roman" w:hAnsi="Times New Roman" w:cs="Times New Roman"/>
      <w:sz w:val="22"/>
      <w:szCs w:val="20"/>
      <w:lang w:eastAsia="en-US"/>
    </w:rPr>
  </w:style>
  <w:style w:type="paragraph" w:customStyle="1" w:styleId="Paragraphedeliste1">
    <w:name w:val="Paragraphe de liste1"/>
    <w:basedOn w:val="Normal"/>
    <w:rsid w:val="00374932"/>
    <w:pPr>
      <w:spacing w:after="200"/>
      <w:ind w:left="720"/>
      <w:jc w:val="left"/>
    </w:pPr>
    <w:rPr>
      <w:rFonts w:ascii="Cambria" w:eastAsia="MS Mincho" w:hAnsi="Cambria" w:cs="Times New Roman"/>
      <w:sz w:val="24"/>
      <w:lang w:eastAsia="ja-JP"/>
    </w:rPr>
  </w:style>
  <w:style w:type="paragraph" w:styleId="Rvision">
    <w:name w:val="Revision"/>
    <w:hidden/>
    <w:uiPriority w:val="99"/>
    <w:semiHidden/>
    <w:rsid w:val="003F3FF8"/>
    <w:rPr>
      <w:rFonts w:asciiTheme="majorHAnsi" w:hAnsiTheme="majorHAnsi"/>
      <w:sz w:val="20"/>
    </w:rPr>
  </w:style>
  <w:style w:type="table" w:styleId="Trameclaire-Accent1">
    <w:name w:val="Light Shading Accent 1"/>
    <w:basedOn w:val="TableauNormal"/>
    <w:uiPriority w:val="60"/>
    <w:rsid w:val="00CD4A62"/>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character" w:styleId="Marquedannotation">
    <w:name w:val="annotation reference"/>
    <w:basedOn w:val="Policepardfaut"/>
    <w:uiPriority w:val="99"/>
    <w:semiHidden/>
    <w:unhideWhenUsed/>
    <w:rsid w:val="00EB28B6"/>
    <w:rPr>
      <w:sz w:val="16"/>
      <w:szCs w:val="16"/>
    </w:rPr>
  </w:style>
  <w:style w:type="paragraph" w:styleId="Commentaire">
    <w:name w:val="annotation text"/>
    <w:basedOn w:val="Normal"/>
    <w:link w:val="CommentaireCar"/>
    <w:uiPriority w:val="99"/>
    <w:unhideWhenUsed/>
    <w:rsid w:val="00EB28B6"/>
    <w:rPr>
      <w:szCs w:val="20"/>
    </w:rPr>
  </w:style>
  <w:style w:type="character" w:customStyle="1" w:styleId="CommentaireCar">
    <w:name w:val="Commentaire Car"/>
    <w:basedOn w:val="Policepardfaut"/>
    <w:link w:val="Commentaire"/>
    <w:uiPriority w:val="99"/>
    <w:rsid w:val="00EB28B6"/>
    <w:rPr>
      <w:rFonts w:asciiTheme="majorHAnsi" w:hAnsiTheme="majorHAnsi"/>
      <w:sz w:val="20"/>
      <w:szCs w:val="20"/>
    </w:rPr>
  </w:style>
  <w:style w:type="paragraph" w:styleId="Objetducommentaire">
    <w:name w:val="annotation subject"/>
    <w:basedOn w:val="Commentaire"/>
    <w:next w:val="Commentaire"/>
    <w:link w:val="ObjetducommentaireCar"/>
    <w:uiPriority w:val="99"/>
    <w:semiHidden/>
    <w:unhideWhenUsed/>
    <w:rsid w:val="00E36EDF"/>
    <w:rPr>
      <w:b/>
      <w:bCs/>
    </w:rPr>
  </w:style>
  <w:style w:type="character" w:customStyle="1" w:styleId="ObjetducommentaireCar">
    <w:name w:val="Objet du commentaire Car"/>
    <w:basedOn w:val="CommentaireCar"/>
    <w:link w:val="Objetducommentaire"/>
    <w:uiPriority w:val="99"/>
    <w:semiHidden/>
    <w:rsid w:val="00E36EDF"/>
    <w:rPr>
      <w:rFonts w:asciiTheme="majorHAnsi" w:hAnsiTheme="majorHAnsi"/>
      <w:b/>
      <w:bCs/>
      <w:sz w:val="20"/>
      <w:szCs w:val="20"/>
    </w:rPr>
  </w:style>
  <w:style w:type="paragraph" w:customStyle="1" w:styleId="Axendo-Texte">
    <w:name w:val="Axendo - Texte"/>
    <w:basedOn w:val="Normal"/>
    <w:link w:val="Axendo-TexteCar"/>
    <w:rsid w:val="00653A70"/>
    <w:pPr>
      <w:spacing w:before="240" w:line="360" w:lineRule="exact"/>
    </w:pPr>
    <w:rPr>
      <w:rFonts w:ascii="Times New Roman" w:eastAsia="Times New Roman" w:hAnsi="Times New Roman" w:cs="Times New Roman"/>
      <w:sz w:val="24"/>
    </w:rPr>
  </w:style>
  <w:style w:type="character" w:customStyle="1" w:styleId="Axendo-TexteCar">
    <w:name w:val="Axendo - Texte Car"/>
    <w:basedOn w:val="Policepardfaut"/>
    <w:link w:val="Axendo-Texte"/>
    <w:rsid w:val="00653A70"/>
    <w:rPr>
      <w:rFonts w:ascii="Times New Roman" w:eastAsia="Times New Roman" w:hAnsi="Times New Roman" w:cs="Times New Roman"/>
    </w:rPr>
  </w:style>
  <w:style w:type="paragraph" w:styleId="Explorateurdedocument">
    <w:name w:val="Document Map"/>
    <w:basedOn w:val="Normal"/>
    <w:link w:val="ExplorateurdedocumentCar"/>
    <w:uiPriority w:val="99"/>
    <w:semiHidden/>
    <w:unhideWhenUsed/>
    <w:rsid w:val="00E91B2C"/>
    <w:rPr>
      <w:rFonts w:ascii="Lucida Grande" w:hAnsi="Lucida Grande" w:cs="Lucida Grande"/>
      <w:sz w:val="24"/>
    </w:rPr>
  </w:style>
  <w:style w:type="character" w:customStyle="1" w:styleId="ExplorateurdedocumentCar">
    <w:name w:val="Explorateur de document Car"/>
    <w:basedOn w:val="Policepardfaut"/>
    <w:link w:val="Explorateurdedocument"/>
    <w:uiPriority w:val="99"/>
    <w:semiHidden/>
    <w:rsid w:val="00E91B2C"/>
    <w:rPr>
      <w:rFonts w:ascii="Lucida Grande" w:hAnsi="Lucida Grande" w:cs="Lucida Grande"/>
    </w:rPr>
  </w:style>
  <w:style w:type="character" w:customStyle="1" w:styleId="longtext1">
    <w:name w:val="long_text1"/>
    <w:uiPriority w:val="9"/>
    <w:semiHidden/>
    <w:rsid w:val="00054FC3"/>
  </w:style>
  <w:style w:type="paragraph" w:customStyle="1" w:styleId="Soulign">
    <w:name w:val="Souligné"/>
    <w:basedOn w:val="Normal"/>
    <w:next w:val="Normal"/>
    <w:rsid w:val="0061422C"/>
    <w:rPr>
      <w:rFonts w:ascii="Times New Roman" w:eastAsia="Times New Roman" w:hAnsi="Times New Roman" w:cs="Times New Roman"/>
      <w:sz w:val="24"/>
      <w:szCs w:val="20"/>
      <w:u w:val="single"/>
    </w:rPr>
  </w:style>
  <w:style w:type="character" w:customStyle="1" w:styleId="Titre4Car">
    <w:name w:val="Titre 4 Car"/>
    <w:basedOn w:val="Policepardfaut"/>
    <w:link w:val="Titre4"/>
    <w:uiPriority w:val="9"/>
    <w:rsid w:val="00AD71B5"/>
    <w:rPr>
      <w:rFonts w:asciiTheme="majorHAnsi" w:eastAsiaTheme="majorEastAsia" w:hAnsiTheme="majorHAnsi" w:cstheme="majorBidi"/>
      <w:b/>
      <w:bCs/>
      <w:i/>
      <w:iCs/>
      <w:color w:val="4F81BD" w:themeColor="accent1"/>
      <w:sz w:val="20"/>
    </w:rPr>
  </w:style>
  <w:style w:type="paragraph" w:customStyle="1" w:styleId="CM1">
    <w:name w:val="CM1"/>
    <w:basedOn w:val="Default"/>
    <w:next w:val="Default"/>
    <w:uiPriority w:val="99"/>
    <w:rsid w:val="00D47DB6"/>
    <w:rPr>
      <w:rFonts w:ascii="EUAlbertina" w:hAnsi="EUAlbertina" w:cs="Times New Roman"/>
      <w:color w:val="auto"/>
    </w:rPr>
  </w:style>
  <w:style w:type="paragraph" w:customStyle="1" w:styleId="CM3">
    <w:name w:val="CM3"/>
    <w:basedOn w:val="Default"/>
    <w:next w:val="Default"/>
    <w:uiPriority w:val="99"/>
    <w:rsid w:val="00D47DB6"/>
    <w:rPr>
      <w:rFonts w:ascii="EUAlbertina" w:hAnsi="EUAlbertina" w:cs="Times New Roman"/>
      <w:color w:val="auto"/>
    </w:rPr>
  </w:style>
  <w:style w:type="paragraph" w:customStyle="1" w:styleId="CM4">
    <w:name w:val="CM4"/>
    <w:basedOn w:val="Default"/>
    <w:next w:val="Default"/>
    <w:uiPriority w:val="99"/>
    <w:rsid w:val="00D47DB6"/>
    <w:rPr>
      <w:rFonts w:ascii="EUAlbertina" w:hAnsi="EUAlbertina" w:cs="Times New Roman"/>
      <w:color w:val="auto"/>
    </w:rPr>
  </w:style>
  <w:style w:type="paragraph" w:customStyle="1" w:styleId="Grilleclaire-Accent31">
    <w:name w:val="Grille claire - Accent 31"/>
    <w:basedOn w:val="Normal"/>
    <w:uiPriority w:val="34"/>
    <w:qFormat/>
    <w:rsid w:val="002F52EB"/>
    <w:pPr>
      <w:spacing w:after="200" w:line="276" w:lineRule="auto"/>
      <w:ind w:left="720"/>
      <w:contextualSpacing/>
      <w:jc w:val="left"/>
    </w:pPr>
    <w:rPr>
      <w:rFonts w:ascii="Calibri" w:eastAsia="Calibri" w:hAnsi="Calibri" w:cs="Times New Roman"/>
      <w:sz w:val="22"/>
      <w:szCs w:val="22"/>
      <w:lang w:eastAsia="en-US"/>
    </w:rPr>
  </w:style>
  <w:style w:type="character" w:customStyle="1" w:styleId="jlqj4b">
    <w:name w:val="jlqj4b"/>
    <w:basedOn w:val="Policepardfaut"/>
    <w:rsid w:val="009D17FC"/>
  </w:style>
  <w:style w:type="paragraph" w:customStyle="1" w:styleId="font7">
    <w:name w:val="font_7"/>
    <w:basedOn w:val="Normal"/>
    <w:rsid w:val="005D79D6"/>
    <w:pPr>
      <w:spacing w:before="100" w:beforeAutospacing="1" w:after="100" w:afterAutospacing="1"/>
      <w:jc w:val="left"/>
    </w:pPr>
    <w:rPr>
      <w:rFonts w:ascii="Times New Roman" w:hAnsi="Times New Roman" w:cs="Times New Roman"/>
      <w:szCs w:val="20"/>
    </w:rPr>
  </w:style>
  <w:style w:type="character" w:customStyle="1" w:styleId="ccoutputtrail">
    <w:name w:val="ccoutputtrail"/>
    <w:basedOn w:val="Policepardfaut"/>
    <w:rsid w:val="00A04F41"/>
  </w:style>
  <w:style w:type="character" w:customStyle="1" w:styleId="ParagraphedelisteCar">
    <w:name w:val="Paragraphe de liste Car"/>
    <w:aliases w:val="TEXTE Car,ANNEXE Car"/>
    <w:link w:val="Paragraphedeliste"/>
    <w:uiPriority w:val="99"/>
    <w:rsid w:val="00F24D6A"/>
    <w:rPr>
      <w:rFonts w:asciiTheme="majorHAnsi" w:hAnsiTheme="majorHAnsi"/>
      <w:sz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2397">
      <w:bodyDiv w:val="1"/>
      <w:marLeft w:val="0"/>
      <w:marRight w:val="0"/>
      <w:marTop w:val="0"/>
      <w:marBottom w:val="0"/>
      <w:divBdr>
        <w:top w:val="none" w:sz="0" w:space="0" w:color="auto"/>
        <w:left w:val="none" w:sz="0" w:space="0" w:color="auto"/>
        <w:bottom w:val="none" w:sz="0" w:space="0" w:color="auto"/>
        <w:right w:val="none" w:sz="0" w:space="0" w:color="auto"/>
      </w:divBdr>
    </w:div>
    <w:div w:id="6178084">
      <w:bodyDiv w:val="1"/>
      <w:marLeft w:val="0"/>
      <w:marRight w:val="0"/>
      <w:marTop w:val="0"/>
      <w:marBottom w:val="0"/>
      <w:divBdr>
        <w:top w:val="none" w:sz="0" w:space="0" w:color="auto"/>
        <w:left w:val="none" w:sz="0" w:space="0" w:color="auto"/>
        <w:bottom w:val="none" w:sz="0" w:space="0" w:color="auto"/>
        <w:right w:val="none" w:sz="0" w:space="0" w:color="auto"/>
      </w:divBdr>
    </w:div>
    <w:div w:id="7409241">
      <w:bodyDiv w:val="1"/>
      <w:marLeft w:val="0"/>
      <w:marRight w:val="0"/>
      <w:marTop w:val="0"/>
      <w:marBottom w:val="0"/>
      <w:divBdr>
        <w:top w:val="none" w:sz="0" w:space="0" w:color="auto"/>
        <w:left w:val="none" w:sz="0" w:space="0" w:color="auto"/>
        <w:bottom w:val="none" w:sz="0" w:space="0" w:color="auto"/>
        <w:right w:val="none" w:sz="0" w:space="0" w:color="auto"/>
      </w:divBdr>
    </w:div>
    <w:div w:id="17395522">
      <w:bodyDiv w:val="1"/>
      <w:marLeft w:val="0"/>
      <w:marRight w:val="0"/>
      <w:marTop w:val="0"/>
      <w:marBottom w:val="0"/>
      <w:divBdr>
        <w:top w:val="none" w:sz="0" w:space="0" w:color="auto"/>
        <w:left w:val="none" w:sz="0" w:space="0" w:color="auto"/>
        <w:bottom w:val="none" w:sz="0" w:space="0" w:color="auto"/>
        <w:right w:val="none" w:sz="0" w:space="0" w:color="auto"/>
      </w:divBdr>
    </w:div>
    <w:div w:id="32074690">
      <w:bodyDiv w:val="1"/>
      <w:marLeft w:val="0"/>
      <w:marRight w:val="0"/>
      <w:marTop w:val="0"/>
      <w:marBottom w:val="0"/>
      <w:divBdr>
        <w:top w:val="none" w:sz="0" w:space="0" w:color="auto"/>
        <w:left w:val="none" w:sz="0" w:space="0" w:color="auto"/>
        <w:bottom w:val="none" w:sz="0" w:space="0" w:color="auto"/>
        <w:right w:val="none" w:sz="0" w:space="0" w:color="auto"/>
      </w:divBdr>
    </w:div>
    <w:div w:id="34474675">
      <w:bodyDiv w:val="1"/>
      <w:marLeft w:val="0"/>
      <w:marRight w:val="0"/>
      <w:marTop w:val="0"/>
      <w:marBottom w:val="0"/>
      <w:divBdr>
        <w:top w:val="none" w:sz="0" w:space="0" w:color="auto"/>
        <w:left w:val="none" w:sz="0" w:space="0" w:color="auto"/>
        <w:bottom w:val="none" w:sz="0" w:space="0" w:color="auto"/>
        <w:right w:val="none" w:sz="0" w:space="0" w:color="auto"/>
      </w:divBdr>
    </w:div>
    <w:div w:id="38287040">
      <w:bodyDiv w:val="1"/>
      <w:marLeft w:val="0"/>
      <w:marRight w:val="0"/>
      <w:marTop w:val="0"/>
      <w:marBottom w:val="0"/>
      <w:divBdr>
        <w:top w:val="none" w:sz="0" w:space="0" w:color="auto"/>
        <w:left w:val="none" w:sz="0" w:space="0" w:color="auto"/>
        <w:bottom w:val="none" w:sz="0" w:space="0" w:color="auto"/>
        <w:right w:val="none" w:sz="0" w:space="0" w:color="auto"/>
      </w:divBdr>
    </w:div>
    <w:div w:id="40907469">
      <w:bodyDiv w:val="1"/>
      <w:marLeft w:val="0"/>
      <w:marRight w:val="0"/>
      <w:marTop w:val="0"/>
      <w:marBottom w:val="0"/>
      <w:divBdr>
        <w:top w:val="none" w:sz="0" w:space="0" w:color="auto"/>
        <w:left w:val="none" w:sz="0" w:space="0" w:color="auto"/>
        <w:bottom w:val="none" w:sz="0" w:space="0" w:color="auto"/>
        <w:right w:val="none" w:sz="0" w:space="0" w:color="auto"/>
      </w:divBdr>
    </w:div>
    <w:div w:id="41100971">
      <w:bodyDiv w:val="1"/>
      <w:marLeft w:val="0"/>
      <w:marRight w:val="0"/>
      <w:marTop w:val="0"/>
      <w:marBottom w:val="0"/>
      <w:divBdr>
        <w:top w:val="none" w:sz="0" w:space="0" w:color="auto"/>
        <w:left w:val="none" w:sz="0" w:space="0" w:color="auto"/>
        <w:bottom w:val="none" w:sz="0" w:space="0" w:color="auto"/>
        <w:right w:val="none" w:sz="0" w:space="0" w:color="auto"/>
      </w:divBdr>
    </w:div>
    <w:div w:id="59909188">
      <w:bodyDiv w:val="1"/>
      <w:marLeft w:val="0"/>
      <w:marRight w:val="0"/>
      <w:marTop w:val="0"/>
      <w:marBottom w:val="0"/>
      <w:divBdr>
        <w:top w:val="none" w:sz="0" w:space="0" w:color="auto"/>
        <w:left w:val="none" w:sz="0" w:space="0" w:color="auto"/>
        <w:bottom w:val="none" w:sz="0" w:space="0" w:color="auto"/>
        <w:right w:val="none" w:sz="0" w:space="0" w:color="auto"/>
      </w:divBdr>
    </w:div>
    <w:div w:id="62921121">
      <w:bodyDiv w:val="1"/>
      <w:marLeft w:val="0"/>
      <w:marRight w:val="0"/>
      <w:marTop w:val="0"/>
      <w:marBottom w:val="0"/>
      <w:divBdr>
        <w:top w:val="none" w:sz="0" w:space="0" w:color="auto"/>
        <w:left w:val="none" w:sz="0" w:space="0" w:color="auto"/>
        <w:bottom w:val="none" w:sz="0" w:space="0" w:color="auto"/>
        <w:right w:val="none" w:sz="0" w:space="0" w:color="auto"/>
      </w:divBdr>
    </w:div>
    <w:div w:id="64956042">
      <w:bodyDiv w:val="1"/>
      <w:marLeft w:val="0"/>
      <w:marRight w:val="0"/>
      <w:marTop w:val="0"/>
      <w:marBottom w:val="0"/>
      <w:divBdr>
        <w:top w:val="none" w:sz="0" w:space="0" w:color="auto"/>
        <w:left w:val="none" w:sz="0" w:space="0" w:color="auto"/>
        <w:bottom w:val="none" w:sz="0" w:space="0" w:color="auto"/>
        <w:right w:val="none" w:sz="0" w:space="0" w:color="auto"/>
      </w:divBdr>
    </w:div>
    <w:div w:id="65618619">
      <w:bodyDiv w:val="1"/>
      <w:marLeft w:val="0"/>
      <w:marRight w:val="0"/>
      <w:marTop w:val="0"/>
      <w:marBottom w:val="0"/>
      <w:divBdr>
        <w:top w:val="none" w:sz="0" w:space="0" w:color="auto"/>
        <w:left w:val="none" w:sz="0" w:space="0" w:color="auto"/>
        <w:bottom w:val="none" w:sz="0" w:space="0" w:color="auto"/>
        <w:right w:val="none" w:sz="0" w:space="0" w:color="auto"/>
      </w:divBdr>
    </w:div>
    <w:div w:id="69158947">
      <w:bodyDiv w:val="1"/>
      <w:marLeft w:val="0"/>
      <w:marRight w:val="0"/>
      <w:marTop w:val="0"/>
      <w:marBottom w:val="0"/>
      <w:divBdr>
        <w:top w:val="none" w:sz="0" w:space="0" w:color="auto"/>
        <w:left w:val="none" w:sz="0" w:space="0" w:color="auto"/>
        <w:bottom w:val="none" w:sz="0" w:space="0" w:color="auto"/>
        <w:right w:val="none" w:sz="0" w:space="0" w:color="auto"/>
      </w:divBdr>
    </w:div>
    <w:div w:id="72514263">
      <w:bodyDiv w:val="1"/>
      <w:marLeft w:val="0"/>
      <w:marRight w:val="0"/>
      <w:marTop w:val="0"/>
      <w:marBottom w:val="0"/>
      <w:divBdr>
        <w:top w:val="none" w:sz="0" w:space="0" w:color="auto"/>
        <w:left w:val="none" w:sz="0" w:space="0" w:color="auto"/>
        <w:bottom w:val="none" w:sz="0" w:space="0" w:color="auto"/>
        <w:right w:val="none" w:sz="0" w:space="0" w:color="auto"/>
      </w:divBdr>
    </w:div>
    <w:div w:id="73741834">
      <w:bodyDiv w:val="1"/>
      <w:marLeft w:val="0"/>
      <w:marRight w:val="0"/>
      <w:marTop w:val="0"/>
      <w:marBottom w:val="0"/>
      <w:divBdr>
        <w:top w:val="none" w:sz="0" w:space="0" w:color="auto"/>
        <w:left w:val="none" w:sz="0" w:space="0" w:color="auto"/>
        <w:bottom w:val="none" w:sz="0" w:space="0" w:color="auto"/>
        <w:right w:val="none" w:sz="0" w:space="0" w:color="auto"/>
      </w:divBdr>
    </w:div>
    <w:div w:id="88505168">
      <w:bodyDiv w:val="1"/>
      <w:marLeft w:val="0"/>
      <w:marRight w:val="0"/>
      <w:marTop w:val="0"/>
      <w:marBottom w:val="0"/>
      <w:divBdr>
        <w:top w:val="none" w:sz="0" w:space="0" w:color="auto"/>
        <w:left w:val="none" w:sz="0" w:space="0" w:color="auto"/>
        <w:bottom w:val="none" w:sz="0" w:space="0" w:color="auto"/>
        <w:right w:val="none" w:sz="0" w:space="0" w:color="auto"/>
      </w:divBdr>
    </w:div>
    <w:div w:id="90247017">
      <w:bodyDiv w:val="1"/>
      <w:marLeft w:val="0"/>
      <w:marRight w:val="0"/>
      <w:marTop w:val="0"/>
      <w:marBottom w:val="0"/>
      <w:divBdr>
        <w:top w:val="none" w:sz="0" w:space="0" w:color="auto"/>
        <w:left w:val="none" w:sz="0" w:space="0" w:color="auto"/>
        <w:bottom w:val="none" w:sz="0" w:space="0" w:color="auto"/>
        <w:right w:val="none" w:sz="0" w:space="0" w:color="auto"/>
      </w:divBdr>
    </w:div>
    <w:div w:id="92092380">
      <w:bodyDiv w:val="1"/>
      <w:marLeft w:val="0"/>
      <w:marRight w:val="0"/>
      <w:marTop w:val="0"/>
      <w:marBottom w:val="0"/>
      <w:divBdr>
        <w:top w:val="none" w:sz="0" w:space="0" w:color="auto"/>
        <w:left w:val="none" w:sz="0" w:space="0" w:color="auto"/>
        <w:bottom w:val="none" w:sz="0" w:space="0" w:color="auto"/>
        <w:right w:val="none" w:sz="0" w:space="0" w:color="auto"/>
      </w:divBdr>
    </w:div>
    <w:div w:id="97213897">
      <w:bodyDiv w:val="1"/>
      <w:marLeft w:val="0"/>
      <w:marRight w:val="0"/>
      <w:marTop w:val="0"/>
      <w:marBottom w:val="0"/>
      <w:divBdr>
        <w:top w:val="none" w:sz="0" w:space="0" w:color="auto"/>
        <w:left w:val="none" w:sz="0" w:space="0" w:color="auto"/>
        <w:bottom w:val="none" w:sz="0" w:space="0" w:color="auto"/>
        <w:right w:val="none" w:sz="0" w:space="0" w:color="auto"/>
      </w:divBdr>
      <w:divsChild>
        <w:div w:id="815076300">
          <w:marLeft w:val="0"/>
          <w:marRight w:val="0"/>
          <w:marTop w:val="0"/>
          <w:marBottom w:val="0"/>
          <w:divBdr>
            <w:top w:val="none" w:sz="0" w:space="0" w:color="auto"/>
            <w:left w:val="none" w:sz="0" w:space="0" w:color="auto"/>
            <w:bottom w:val="none" w:sz="0" w:space="0" w:color="auto"/>
            <w:right w:val="none" w:sz="0" w:space="0" w:color="auto"/>
          </w:divBdr>
        </w:div>
        <w:div w:id="2047287350">
          <w:marLeft w:val="0"/>
          <w:marRight w:val="0"/>
          <w:marTop w:val="0"/>
          <w:marBottom w:val="0"/>
          <w:divBdr>
            <w:top w:val="none" w:sz="0" w:space="0" w:color="auto"/>
            <w:left w:val="none" w:sz="0" w:space="0" w:color="auto"/>
            <w:bottom w:val="none" w:sz="0" w:space="0" w:color="auto"/>
            <w:right w:val="none" w:sz="0" w:space="0" w:color="auto"/>
          </w:divBdr>
        </w:div>
        <w:div w:id="926229859">
          <w:marLeft w:val="0"/>
          <w:marRight w:val="0"/>
          <w:marTop w:val="0"/>
          <w:marBottom w:val="0"/>
          <w:divBdr>
            <w:top w:val="none" w:sz="0" w:space="0" w:color="auto"/>
            <w:left w:val="none" w:sz="0" w:space="0" w:color="auto"/>
            <w:bottom w:val="none" w:sz="0" w:space="0" w:color="auto"/>
            <w:right w:val="none" w:sz="0" w:space="0" w:color="auto"/>
          </w:divBdr>
        </w:div>
        <w:div w:id="1648587435">
          <w:marLeft w:val="0"/>
          <w:marRight w:val="0"/>
          <w:marTop w:val="0"/>
          <w:marBottom w:val="0"/>
          <w:divBdr>
            <w:top w:val="none" w:sz="0" w:space="0" w:color="auto"/>
            <w:left w:val="none" w:sz="0" w:space="0" w:color="auto"/>
            <w:bottom w:val="none" w:sz="0" w:space="0" w:color="auto"/>
            <w:right w:val="none" w:sz="0" w:space="0" w:color="auto"/>
          </w:divBdr>
        </w:div>
        <w:div w:id="828331614">
          <w:marLeft w:val="0"/>
          <w:marRight w:val="0"/>
          <w:marTop w:val="0"/>
          <w:marBottom w:val="0"/>
          <w:divBdr>
            <w:top w:val="none" w:sz="0" w:space="0" w:color="auto"/>
            <w:left w:val="none" w:sz="0" w:space="0" w:color="auto"/>
            <w:bottom w:val="none" w:sz="0" w:space="0" w:color="auto"/>
            <w:right w:val="none" w:sz="0" w:space="0" w:color="auto"/>
          </w:divBdr>
        </w:div>
      </w:divsChild>
    </w:div>
    <w:div w:id="97988883">
      <w:bodyDiv w:val="1"/>
      <w:marLeft w:val="0"/>
      <w:marRight w:val="0"/>
      <w:marTop w:val="0"/>
      <w:marBottom w:val="0"/>
      <w:divBdr>
        <w:top w:val="none" w:sz="0" w:space="0" w:color="auto"/>
        <w:left w:val="none" w:sz="0" w:space="0" w:color="auto"/>
        <w:bottom w:val="none" w:sz="0" w:space="0" w:color="auto"/>
        <w:right w:val="none" w:sz="0" w:space="0" w:color="auto"/>
      </w:divBdr>
    </w:div>
    <w:div w:id="100416904">
      <w:bodyDiv w:val="1"/>
      <w:marLeft w:val="0"/>
      <w:marRight w:val="0"/>
      <w:marTop w:val="0"/>
      <w:marBottom w:val="0"/>
      <w:divBdr>
        <w:top w:val="none" w:sz="0" w:space="0" w:color="auto"/>
        <w:left w:val="none" w:sz="0" w:space="0" w:color="auto"/>
        <w:bottom w:val="none" w:sz="0" w:space="0" w:color="auto"/>
        <w:right w:val="none" w:sz="0" w:space="0" w:color="auto"/>
      </w:divBdr>
      <w:divsChild>
        <w:div w:id="1640987640">
          <w:marLeft w:val="0"/>
          <w:marRight w:val="0"/>
          <w:marTop w:val="100"/>
          <w:marBottom w:val="0"/>
          <w:divBdr>
            <w:top w:val="none" w:sz="0" w:space="0" w:color="auto"/>
            <w:left w:val="none" w:sz="0" w:space="0" w:color="auto"/>
            <w:bottom w:val="none" w:sz="0" w:space="0" w:color="auto"/>
            <w:right w:val="none" w:sz="0" w:space="0" w:color="auto"/>
          </w:divBdr>
          <w:divsChild>
            <w:div w:id="314914042">
              <w:marLeft w:val="0"/>
              <w:marRight w:val="0"/>
              <w:marTop w:val="60"/>
              <w:marBottom w:val="0"/>
              <w:divBdr>
                <w:top w:val="none" w:sz="0" w:space="0" w:color="auto"/>
                <w:left w:val="none" w:sz="0" w:space="0" w:color="auto"/>
                <w:bottom w:val="none" w:sz="0" w:space="0" w:color="auto"/>
                <w:right w:val="none" w:sz="0" w:space="0" w:color="auto"/>
              </w:divBdr>
            </w:div>
          </w:divsChild>
        </w:div>
        <w:div w:id="121385964">
          <w:marLeft w:val="0"/>
          <w:marRight w:val="0"/>
          <w:marTop w:val="0"/>
          <w:marBottom w:val="0"/>
          <w:divBdr>
            <w:top w:val="none" w:sz="0" w:space="0" w:color="auto"/>
            <w:left w:val="none" w:sz="0" w:space="0" w:color="auto"/>
            <w:bottom w:val="none" w:sz="0" w:space="0" w:color="auto"/>
            <w:right w:val="none" w:sz="0" w:space="0" w:color="auto"/>
          </w:divBdr>
          <w:divsChild>
            <w:div w:id="1558004304">
              <w:marLeft w:val="0"/>
              <w:marRight w:val="0"/>
              <w:marTop w:val="0"/>
              <w:marBottom w:val="0"/>
              <w:divBdr>
                <w:top w:val="none" w:sz="0" w:space="0" w:color="auto"/>
                <w:left w:val="none" w:sz="0" w:space="0" w:color="auto"/>
                <w:bottom w:val="none" w:sz="0" w:space="0" w:color="auto"/>
                <w:right w:val="none" w:sz="0" w:space="0" w:color="auto"/>
              </w:divBdr>
              <w:divsChild>
                <w:div w:id="246887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457329">
      <w:bodyDiv w:val="1"/>
      <w:marLeft w:val="0"/>
      <w:marRight w:val="0"/>
      <w:marTop w:val="0"/>
      <w:marBottom w:val="0"/>
      <w:divBdr>
        <w:top w:val="none" w:sz="0" w:space="0" w:color="auto"/>
        <w:left w:val="none" w:sz="0" w:space="0" w:color="auto"/>
        <w:bottom w:val="none" w:sz="0" w:space="0" w:color="auto"/>
        <w:right w:val="none" w:sz="0" w:space="0" w:color="auto"/>
      </w:divBdr>
    </w:div>
    <w:div w:id="103115008">
      <w:bodyDiv w:val="1"/>
      <w:marLeft w:val="0"/>
      <w:marRight w:val="0"/>
      <w:marTop w:val="0"/>
      <w:marBottom w:val="0"/>
      <w:divBdr>
        <w:top w:val="none" w:sz="0" w:space="0" w:color="auto"/>
        <w:left w:val="none" w:sz="0" w:space="0" w:color="auto"/>
        <w:bottom w:val="none" w:sz="0" w:space="0" w:color="auto"/>
        <w:right w:val="none" w:sz="0" w:space="0" w:color="auto"/>
      </w:divBdr>
    </w:div>
    <w:div w:id="104279237">
      <w:bodyDiv w:val="1"/>
      <w:marLeft w:val="0"/>
      <w:marRight w:val="0"/>
      <w:marTop w:val="0"/>
      <w:marBottom w:val="0"/>
      <w:divBdr>
        <w:top w:val="none" w:sz="0" w:space="0" w:color="auto"/>
        <w:left w:val="none" w:sz="0" w:space="0" w:color="auto"/>
        <w:bottom w:val="none" w:sz="0" w:space="0" w:color="auto"/>
        <w:right w:val="none" w:sz="0" w:space="0" w:color="auto"/>
      </w:divBdr>
    </w:div>
    <w:div w:id="120002050">
      <w:bodyDiv w:val="1"/>
      <w:marLeft w:val="0"/>
      <w:marRight w:val="0"/>
      <w:marTop w:val="0"/>
      <w:marBottom w:val="0"/>
      <w:divBdr>
        <w:top w:val="none" w:sz="0" w:space="0" w:color="auto"/>
        <w:left w:val="none" w:sz="0" w:space="0" w:color="auto"/>
        <w:bottom w:val="none" w:sz="0" w:space="0" w:color="auto"/>
        <w:right w:val="none" w:sz="0" w:space="0" w:color="auto"/>
      </w:divBdr>
      <w:divsChild>
        <w:div w:id="960108196">
          <w:marLeft w:val="0"/>
          <w:marRight w:val="0"/>
          <w:marTop w:val="0"/>
          <w:marBottom w:val="0"/>
          <w:divBdr>
            <w:top w:val="none" w:sz="0" w:space="0" w:color="auto"/>
            <w:left w:val="none" w:sz="0" w:space="0" w:color="auto"/>
            <w:bottom w:val="none" w:sz="0" w:space="0" w:color="auto"/>
            <w:right w:val="none" w:sz="0" w:space="0" w:color="auto"/>
          </w:divBdr>
        </w:div>
        <w:div w:id="226384997">
          <w:marLeft w:val="0"/>
          <w:marRight w:val="0"/>
          <w:marTop w:val="0"/>
          <w:marBottom w:val="0"/>
          <w:divBdr>
            <w:top w:val="none" w:sz="0" w:space="0" w:color="auto"/>
            <w:left w:val="none" w:sz="0" w:space="0" w:color="auto"/>
            <w:bottom w:val="none" w:sz="0" w:space="0" w:color="auto"/>
            <w:right w:val="none" w:sz="0" w:space="0" w:color="auto"/>
          </w:divBdr>
        </w:div>
        <w:div w:id="643195121">
          <w:marLeft w:val="0"/>
          <w:marRight w:val="0"/>
          <w:marTop w:val="0"/>
          <w:marBottom w:val="0"/>
          <w:divBdr>
            <w:top w:val="none" w:sz="0" w:space="0" w:color="auto"/>
            <w:left w:val="none" w:sz="0" w:space="0" w:color="auto"/>
            <w:bottom w:val="none" w:sz="0" w:space="0" w:color="auto"/>
            <w:right w:val="none" w:sz="0" w:space="0" w:color="auto"/>
          </w:divBdr>
        </w:div>
        <w:div w:id="816071148">
          <w:marLeft w:val="0"/>
          <w:marRight w:val="0"/>
          <w:marTop w:val="0"/>
          <w:marBottom w:val="0"/>
          <w:divBdr>
            <w:top w:val="none" w:sz="0" w:space="0" w:color="auto"/>
            <w:left w:val="none" w:sz="0" w:space="0" w:color="auto"/>
            <w:bottom w:val="none" w:sz="0" w:space="0" w:color="auto"/>
            <w:right w:val="none" w:sz="0" w:space="0" w:color="auto"/>
          </w:divBdr>
        </w:div>
        <w:div w:id="284964531">
          <w:marLeft w:val="0"/>
          <w:marRight w:val="0"/>
          <w:marTop w:val="0"/>
          <w:marBottom w:val="0"/>
          <w:divBdr>
            <w:top w:val="none" w:sz="0" w:space="0" w:color="auto"/>
            <w:left w:val="none" w:sz="0" w:space="0" w:color="auto"/>
            <w:bottom w:val="none" w:sz="0" w:space="0" w:color="auto"/>
            <w:right w:val="none" w:sz="0" w:space="0" w:color="auto"/>
          </w:divBdr>
        </w:div>
      </w:divsChild>
    </w:div>
    <w:div w:id="127088249">
      <w:bodyDiv w:val="1"/>
      <w:marLeft w:val="0"/>
      <w:marRight w:val="0"/>
      <w:marTop w:val="0"/>
      <w:marBottom w:val="0"/>
      <w:divBdr>
        <w:top w:val="none" w:sz="0" w:space="0" w:color="auto"/>
        <w:left w:val="none" w:sz="0" w:space="0" w:color="auto"/>
        <w:bottom w:val="none" w:sz="0" w:space="0" w:color="auto"/>
        <w:right w:val="none" w:sz="0" w:space="0" w:color="auto"/>
      </w:divBdr>
    </w:div>
    <w:div w:id="130171627">
      <w:bodyDiv w:val="1"/>
      <w:marLeft w:val="0"/>
      <w:marRight w:val="0"/>
      <w:marTop w:val="0"/>
      <w:marBottom w:val="0"/>
      <w:divBdr>
        <w:top w:val="none" w:sz="0" w:space="0" w:color="auto"/>
        <w:left w:val="none" w:sz="0" w:space="0" w:color="auto"/>
        <w:bottom w:val="none" w:sz="0" w:space="0" w:color="auto"/>
        <w:right w:val="none" w:sz="0" w:space="0" w:color="auto"/>
      </w:divBdr>
    </w:div>
    <w:div w:id="133644415">
      <w:bodyDiv w:val="1"/>
      <w:marLeft w:val="0"/>
      <w:marRight w:val="0"/>
      <w:marTop w:val="0"/>
      <w:marBottom w:val="0"/>
      <w:divBdr>
        <w:top w:val="none" w:sz="0" w:space="0" w:color="auto"/>
        <w:left w:val="none" w:sz="0" w:space="0" w:color="auto"/>
        <w:bottom w:val="none" w:sz="0" w:space="0" w:color="auto"/>
        <w:right w:val="none" w:sz="0" w:space="0" w:color="auto"/>
      </w:divBdr>
    </w:div>
    <w:div w:id="138153199">
      <w:bodyDiv w:val="1"/>
      <w:marLeft w:val="0"/>
      <w:marRight w:val="0"/>
      <w:marTop w:val="0"/>
      <w:marBottom w:val="0"/>
      <w:divBdr>
        <w:top w:val="none" w:sz="0" w:space="0" w:color="auto"/>
        <w:left w:val="none" w:sz="0" w:space="0" w:color="auto"/>
        <w:bottom w:val="none" w:sz="0" w:space="0" w:color="auto"/>
        <w:right w:val="none" w:sz="0" w:space="0" w:color="auto"/>
      </w:divBdr>
    </w:div>
    <w:div w:id="140192774">
      <w:bodyDiv w:val="1"/>
      <w:marLeft w:val="0"/>
      <w:marRight w:val="0"/>
      <w:marTop w:val="0"/>
      <w:marBottom w:val="0"/>
      <w:divBdr>
        <w:top w:val="none" w:sz="0" w:space="0" w:color="auto"/>
        <w:left w:val="none" w:sz="0" w:space="0" w:color="auto"/>
        <w:bottom w:val="none" w:sz="0" w:space="0" w:color="auto"/>
        <w:right w:val="none" w:sz="0" w:space="0" w:color="auto"/>
      </w:divBdr>
    </w:div>
    <w:div w:id="161313369">
      <w:bodyDiv w:val="1"/>
      <w:marLeft w:val="0"/>
      <w:marRight w:val="0"/>
      <w:marTop w:val="0"/>
      <w:marBottom w:val="0"/>
      <w:divBdr>
        <w:top w:val="none" w:sz="0" w:space="0" w:color="auto"/>
        <w:left w:val="none" w:sz="0" w:space="0" w:color="auto"/>
        <w:bottom w:val="none" w:sz="0" w:space="0" w:color="auto"/>
        <w:right w:val="none" w:sz="0" w:space="0" w:color="auto"/>
      </w:divBdr>
    </w:div>
    <w:div w:id="171187873">
      <w:bodyDiv w:val="1"/>
      <w:marLeft w:val="0"/>
      <w:marRight w:val="0"/>
      <w:marTop w:val="0"/>
      <w:marBottom w:val="0"/>
      <w:divBdr>
        <w:top w:val="none" w:sz="0" w:space="0" w:color="auto"/>
        <w:left w:val="none" w:sz="0" w:space="0" w:color="auto"/>
        <w:bottom w:val="none" w:sz="0" w:space="0" w:color="auto"/>
        <w:right w:val="none" w:sz="0" w:space="0" w:color="auto"/>
      </w:divBdr>
    </w:div>
    <w:div w:id="173155266">
      <w:bodyDiv w:val="1"/>
      <w:marLeft w:val="0"/>
      <w:marRight w:val="0"/>
      <w:marTop w:val="0"/>
      <w:marBottom w:val="0"/>
      <w:divBdr>
        <w:top w:val="none" w:sz="0" w:space="0" w:color="auto"/>
        <w:left w:val="none" w:sz="0" w:space="0" w:color="auto"/>
        <w:bottom w:val="none" w:sz="0" w:space="0" w:color="auto"/>
        <w:right w:val="none" w:sz="0" w:space="0" w:color="auto"/>
      </w:divBdr>
    </w:div>
    <w:div w:id="180507620">
      <w:bodyDiv w:val="1"/>
      <w:marLeft w:val="0"/>
      <w:marRight w:val="0"/>
      <w:marTop w:val="0"/>
      <w:marBottom w:val="0"/>
      <w:divBdr>
        <w:top w:val="none" w:sz="0" w:space="0" w:color="auto"/>
        <w:left w:val="none" w:sz="0" w:space="0" w:color="auto"/>
        <w:bottom w:val="none" w:sz="0" w:space="0" w:color="auto"/>
        <w:right w:val="none" w:sz="0" w:space="0" w:color="auto"/>
      </w:divBdr>
    </w:div>
    <w:div w:id="184754676">
      <w:bodyDiv w:val="1"/>
      <w:marLeft w:val="0"/>
      <w:marRight w:val="0"/>
      <w:marTop w:val="0"/>
      <w:marBottom w:val="0"/>
      <w:divBdr>
        <w:top w:val="none" w:sz="0" w:space="0" w:color="auto"/>
        <w:left w:val="none" w:sz="0" w:space="0" w:color="auto"/>
        <w:bottom w:val="none" w:sz="0" w:space="0" w:color="auto"/>
        <w:right w:val="none" w:sz="0" w:space="0" w:color="auto"/>
      </w:divBdr>
    </w:div>
    <w:div w:id="185947490">
      <w:bodyDiv w:val="1"/>
      <w:marLeft w:val="0"/>
      <w:marRight w:val="0"/>
      <w:marTop w:val="0"/>
      <w:marBottom w:val="0"/>
      <w:divBdr>
        <w:top w:val="none" w:sz="0" w:space="0" w:color="auto"/>
        <w:left w:val="none" w:sz="0" w:space="0" w:color="auto"/>
        <w:bottom w:val="none" w:sz="0" w:space="0" w:color="auto"/>
        <w:right w:val="none" w:sz="0" w:space="0" w:color="auto"/>
      </w:divBdr>
    </w:div>
    <w:div w:id="186254419">
      <w:bodyDiv w:val="1"/>
      <w:marLeft w:val="0"/>
      <w:marRight w:val="0"/>
      <w:marTop w:val="0"/>
      <w:marBottom w:val="0"/>
      <w:divBdr>
        <w:top w:val="none" w:sz="0" w:space="0" w:color="auto"/>
        <w:left w:val="none" w:sz="0" w:space="0" w:color="auto"/>
        <w:bottom w:val="none" w:sz="0" w:space="0" w:color="auto"/>
        <w:right w:val="none" w:sz="0" w:space="0" w:color="auto"/>
      </w:divBdr>
    </w:div>
    <w:div w:id="190533867">
      <w:bodyDiv w:val="1"/>
      <w:marLeft w:val="0"/>
      <w:marRight w:val="0"/>
      <w:marTop w:val="0"/>
      <w:marBottom w:val="0"/>
      <w:divBdr>
        <w:top w:val="none" w:sz="0" w:space="0" w:color="auto"/>
        <w:left w:val="none" w:sz="0" w:space="0" w:color="auto"/>
        <w:bottom w:val="none" w:sz="0" w:space="0" w:color="auto"/>
        <w:right w:val="none" w:sz="0" w:space="0" w:color="auto"/>
      </w:divBdr>
    </w:div>
    <w:div w:id="196625669">
      <w:bodyDiv w:val="1"/>
      <w:marLeft w:val="0"/>
      <w:marRight w:val="0"/>
      <w:marTop w:val="0"/>
      <w:marBottom w:val="0"/>
      <w:divBdr>
        <w:top w:val="none" w:sz="0" w:space="0" w:color="auto"/>
        <w:left w:val="none" w:sz="0" w:space="0" w:color="auto"/>
        <w:bottom w:val="none" w:sz="0" w:space="0" w:color="auto"/>
        <w:right w:val="none" w:sz="0" w:space="0" w:color="auto"/>
      </w:divBdr>
    </w:div>
    <w:div w:id="196892346">
      <w:bodyDiv w:val="1"/>
      <w:marLeft w:val="0"/>
      <w:marRight w:val="0"/>
      <w:marTop w:val="0"/>
      <w:marBottom w:val="0"/>
      <w:divBdr>
        <w:top w:val="none" w:sz="0" w:space="0" w:color="auto"/>
        <w:left w:val="none" w:sz="0" w:space="0" w:color="auto"/>
        <w:bottom w:val="none" w:sz="0" w:space="0" w:color="auto"/>
        <w:right w:val="none" w:sz="0" w:space="0" w:color="auto"/>
      </w:divBdr>
    </w:div>
    <w:div w:id="197280674">
      <w:bodyDiv w:val="1"/>
      <w:marLeft w:val="0"/>
      <w:marRight w:val="0"/>
      <w:marTop w:val="0"/>
      <w:marBottom w:val="0"/>
      <w:divBdr>
        <w:top w:val="none" w:sz="0" w:space="0" w:color="auto"/>
        <w:left w:val="none" w:sz="0" w:space="0" w:color="auto"/>
        <w:bottom w:val="none" w:sz="0" w:space="0" w:color="auto"/>
        <w:right w:val="none" w:sz="0" w:space="0" w:color="auto"/>
      </w:divBdr>
    </w:div>
    <w:div w:id="199704400">
      <w:bodyDiv w:val="1"/>
      <w:marLeft w:val="0"/>
      <w:marRight w:val="0"/>
      <w:marTop w:val="0"/>
      <w:marBottom w:val="0"/>
      <w:divBdr>
        <w:top w:val="none" w:sz="0" w:space="0" w:color="auto"/>
        <w:left w:val="none" w:sz="0" w:space="0" w:color="auto"/>
        <w:bottom w:val="none" w:sz="0" w:space="0" w:color="auto"/>
        <w:right w:val="none" w:sz="0" w:space="0" w:color="auto"/>
      </w:divBdr>
    </w:div>
    <w:div w:id="203762037">
      <w:bodyDiv w:val="1"/>
      <w:marLeft w:val="0"/>
      <w:marRight w:val="0"/>
      <w:marTop w:val="0"/>
      <w:marBottom w:val="0"/>
      <w:divBdr>
        <w:top w:val="none" w:sz="0" w:space="0" w:color="auto"/>
        <w:left w:val="none" w:sz="0" w:space="0" w:color="auto"/>
        <w:bottom w:val="none" w:sz="0" w:space="0" w:color="auto"/>
        <w:right w:val="none" w:sz="0" w:space="0" w:color="auto"/>
      </w:divBdr>
    </w:div>
    <w:div w:id="209731193">
      <w:bodyDiv w:val="1"/>
      <w:marLeft w:val="0"/>
      <w:marRight w:val="0"/>
      <w:marTop w:val="0"/>
      <w:marBottom w:val="0"/>
      <w:divBdr>
        <w:top w:val="none" w:sz="0" w:space="0" w:color="auto"/>
        <w:left w:val="none" w:sz="0" w:space="0" w:color="auto"/>
        <w:bottom w:val="none" w:sz="0" w:space="0" w:color="auto"/>
        <w:right w:val="none" w:sz="0" w:space="0" w:color="auto"/>
      </w:divBdr>
    </w:div>
    <w:div w:id="214317257">
      <w:bodyDiv w:val="1"/>
      <w:marLeft w:val="0"/>
      <w:marRight w:val="0"/>
      <w:marTop w:val="0"/>
      <w:marBottom w:val="0"/>
      <w:divBdr>
        <w:top w:val="none" w:sz="0" w:space="0" w:color="auto"/>
        <w:left w:val="none" w:sz="0" w:space="0" w:color="auto"/>
        <w:bottom w:val="none" w:sz="0" w:space="0" w:color="auto"/>
        <w:right w:val="none" w:sz="0" w:space="0" w:color="auto"/>
      </w:divBdr>
    </w:div>
    <w:div w:id="216401293">
      <w:bodyDiv w:val="1"/>
      <w:marLeft w:val="0"/>
      <w:marRight w:val="0"/>
      <w:marTop w:val="0"/>
      <w:marBottom w:val="0"/>
      <w:divBdr>
        <w:top w:val="none" w:sz="0" w:space="0" w:color="auto"/>
        <w:left w:val="none" w:sz="0" w:space="0" w:color="auto"/>
        <w:bottom w:val="none" w:sz="0" w:space="0" w:color="auto"/>
        <w:right w:val="none" w:sz="0" w:space="0" w:color="auto"/>
      </w:divBdr>
    </w:div>
    <w:div w:id="228808890">
      <w:bodyDiv w:val="1"/>
      <w:marLeft w:val="0"/>
      <w:marRight w:val="0"/>
      <w:marTop w:val="0"/>
      <w:marBottom w:val="0"/>
      <w:divBdr>
        <w:top w:val="none" w:sz="0" w:space="0" w:color="auto"/>
        <w:left w:val="none" w:sz="0" w:space="0" w:color="auto"/>
        <w:bottom w:val="none" w:sz="0" w:space="0" w:color="auto"/>
        <w:right w:val="none" w:sz="0" w:space="0" w:color="auto"/>
      </w:divBdr>
    </w:div>
    <w:div w:id="230045945">
      <w:bodyDiv w:val="1"/>
      <w:marLeft w:val="0"/>
      <w:marRight w:val="0"/>
      <w:marTop w:val="0"/>
      <w:marBottom w:val="0"/>
      <w:divBdr>
        <w:top w:val="none" w:sz="0" w:space="0" w:color="auto"/>
        <w:left w:val="none" w:sz="0" w:space="0" w:color="auto"/>
        <w:bottom w:val="none" w:sz="0" w:space="0" w:color="auto"/>
        <w:right w:val="none" w:sz="0" w:space="0" w:color="auto"/>
      </w:divBdr>
    </w:div>
    <w:div w:id="230046918">
      <w:bodyDiv w:val="1"/>
      <w:marLeft w:val="0"/>
      <w:marRight w:val="0"/>
      <w:marTop w:val="0"/>
      <w:marBottom w:val="0"/>
      <w:divBdr>
        <w:top w:val="none" w:sz="0" w:space="0" w:color="auto"/>
        <w:left w:val="none" w:sz="0" w:space="0" w:color="auto"/>
        <w:bottom w:val="none" w:sz="0" w:space="0" w:color="auto"/>
        <w:right w:val="none" w:sz="0" w:space="0" w:color="auto"/>
      </w:divBdr>
    </w:div>
    <w:div w:id="234630763">
      <w:bodyDiv w:val="1"/>
      <w:marLeft w:val="0"/>
      <w:marRight w:val="0"/>
      <w:marTop w:val="0"/>
      <w:marBottom w:val="0"/>
      <w:divBdr>
        <w:top w:val="none" w:sz="0" w:space="0" w:color="auto"/>
        <w:left w:val="none" w:sz="0" w:space="0" w:color="auto"/>
        <w:bottom w:val="none" w:sz="0" w:space="0" w:color="auto"/>
        <w:right w:val="none" w:sz="0" w:space="0" w:color="auto"/>
      </w:divBdr>
    </w:div>
    <w:div w:id="240141904">
      <w:bodyDiv w:val="1"/>
      <w:marLeft w:val="0"/>
      <w:marRight w:val="0"/>
      <w:marTop w:val="0"/>
      <w:marBottom w:val="0"/>
      <w:divBdr>
        <w:top w:val="none" w:sz="0" w:space="0" w:color="auto"/>
        <w:left w:val="none" w:sz="0" w:space="0" w:color="auto"/>
        <w:bottom w:val="none" w:sz="0" w:space="0" w:color="auto"/>
        <w:right w:val="none" w:sz="0" w:space="0" w:color="auto"/>
      </w:divBdr>
    </w:div>
    <w:div w:id="246572264">
      <w:bodyDiv w:val="1"/>
      <w:marLeft w:val="0"/>
      <w:marRight w:val="0"/>
      <w:marTop w:val="0"/>
      <w:marBottom w:val="0"/>
      <w:divBdr>
        <w:top w:val="none" w:sz="0" w:space="0" w:color="auto"/>
        <w:left w:val="none" w:sz="0" w:space="0" w:color="auto"/>
        <w:bottom w:val="none" w:sz="0" w:space="0" w:color="auto"/>
        <w:right w:val="none" w:sz="0" w:space="0" w:color="auto"/>
      </w:divBdr>
    </w:div>
    <w:div w:id="250772108">
      <w:bodyDiv w:val="1"/>
      <w:marLeft w:val="0"/>
      <w:marRight w:val="0"/>
      <w:marTop w:val="0"/>
      <w:marBottom w:val="0"/>
      <w:divBdr>
        <w:top w:val="none" w:sz="0" w:space="0" w:color="auto"/>
        <w:left w:val="none" w:sz="0" w:space="0" w:color="auto"/>
        <w:bottom w:val="none" w:sz="0" w:space="0" w:color="auto"/>
        <w:right w:val="none" w:sz="0" w:space="0" w:color="auto"/>
      </w:divBdr>
    </w:div>
    <w:div w:id="254561278">
      <w:bodyDiv w:val="1"/>
      <w:marLeft w:val="0"/>
      <w:marRight w:val="0"/>
      <w:marTop w:val="0"/>
      <w:marBottom w:val="0"/>
      <w:divBdr>
        <w:top w:val="none" w:sz="0" w:space="0" w:color="auto"/>
        <w:left w:val="none" w:sz="0" w:space="0" w:color="auto"/>
        <w:bottom w:val="none" w:sz="0" w:space="0" w:color="auto"/>
        <w:right w:val="none" w:sz="0" w:space="0" w:color="auto"/>
      </w:divBdr>
    </w:div>
    <w:div w:id="254823673">
      <w:bodyDiv w:val="1"/>
      <w:marLeft w:val="0"/>
      <w:marRight w:val="0"/>
      <w:marTop w:val="0"/>
      <w:marBottom w:val="0"/>
      <w:divBdr>
        <w:top w:val="none" w:sz="0" w:space="0" w:color="auto"/>
        <w:left w:val="none" w:sz="0" w:space="0" w:color="auto"/>
        <w:bottom w:val="none" w:sz="0" w:space="0" w:color="auto"/>
        <w:right w:val="none" w:sz="0" w:space="0" w:color="auto"/>
      </w:divBdr>
    </w:div>
    <w:div w:id="258828583">
      <w:bodyDiv w:val="1"/>
      <w:marLeft w:val="0"/>
      <w:marRight w:val="0"/>
      <w:marTop w:val="0"/>
      <w:marBottom w:val="0"/>
      <w:divBdr>
        <w:top w:val="none" w:sz="0" w:space="0" w:color="auto"/>
        <w:left w:val="none" w:sz="0" w:space="0" w:color="auto"/>
        <w:bottom w:val="none" w:sz="0" w:space="0" w:color="auto"/>
        <w:right w:val="none" w:sz="0" w:space="0" w:color="auto"/>
      </w:divBdr>
    </w:div>
    <w:div w:id="263928877">
      <w:bodyDiv w:val="1"/>
      <w:marLeft w:val="0"/>
      <w:marRight w:val="0"/>
      <w:marTop w:val="0"/>
      <w:marBottom w:val="0"/>
      <w:divBdr>
        <w:top w:val="none" w:sz="0" w:space="0" w:color="auto"/>
        <w:left w:val="none" w:sz="0" w:space="0" w:color="auto"/>
        <w:bottom w:val="none" w:sz="0" w:space="0" w:color="auto"/>
        <w:right w:val="none" w:sz="0" w:space="0" w:color="auto"/>
      </w:divBdr>
    </w:div>
    <w:div w:id="271936427">
      <w:bodyDiv w:val="1"/>
      <w:marLeft w:val="0"/>
      <w:marRight w:val="0"/>
      <w:marTop w:val="0"/>
      <w:marBottom w:val="0"/>
      <w:divBdr>
        <w:top w:val="none" w:sz="0" w:space="0" w:color="auto"/>
        <w:left w:val="none" w:sz="0" w:space="0" w:color="auto"/>
        <w:bottom w:val="none" w:sz="0" w:space="0" w:color="auto"/>
        <w:right w:val="none" w:sz="0" w:space="0" w:color="auto"/>
      </w:divBdr>
    </w:div>
    <w:div w:id="276331467">
      <w:bodyDiv w:val="1"/>
      <w:marLeft w:val="0"/>
      <w:marRight w:val="0"/>
      <w:marTop w:val="0"/>
      <w:marBottom w:val="0"/>
      <w:divBdr>
        <w:top w:val="none" w:sz="0" w:space="0" w:color="auto"/>
        <w:left w:val="none" w:sz="0" w:space="0" w:color="auto"/>
        <w:bottom w:val="none" w:sz="0" w:space="0" w:color="auto"/>
        <w:right w:val="none" w:sz="0" w:space="0" w:color="auto"/>
      </w:divBdr>
    </w:div>
    <w:div w:id="279801644">
      <w:bodyDiv w:val="1"/>
      <w:marLeft w:val="0"/>
      <w:marRight w:val="0"/>
      <w:marTop w:val="0"/>
      <w:marBottom w:val="0"/>
      <w:divBdr>
        <w:top w:val="none" w:sz="0" w:space="0" w:color="auto"/>
        <w:left w:val="none" w:sz="0" w:space="0" w:color="auto"/>
        <w:bottom w:val="none" w:sz="0" w:space="0" w:color="auto"/>
        <w:right w:val="none" w:sz="0" w:space="0" w:color="auto"/>
      </w:divBdr>
    </w:div>
    <w:div w:id="281419570">
      <w:bodyDiv w:val="1"/>
      <w:marLeft w:val="0"/>
      <w:marRight w:val="0"/>
      <w:marTop w:val="0"/>
      <w:marBottom w:val="0"/>
      <w:divBdr>
        <w:top w:val="none" w:sz="0" w:space="0" w:color="auto"/>
        <w:left w:val="none" w:sz="0" w:space="0" w:color="auto"/>
        <w:bottom w:val="none" w:sz="0" w:space="0" w:color="auto"/>
        <w:right w:val="none" w:sz="0" w:space="0" w:color="auto"/>
      </w:divBdr>
    </w:div>
    <w:div w:id="284191693">
      <w:bodyDiv w:val="1"/>
      <w:marLeft w:val="0"/>
      <w:marRight w:val="0"/>
      <w:marTop w:val="0"/>
      <w:marBottom w:val="0"/>
      <w:divBdr>
        <w:top w:val="none" w:sz="0" w:space="0" w:color="auto"/>
        <w:left w:val="none" w:sz="0" w:space="0" w:color="auto"/>
        <w:bottom w:val="none" w:sz="0" w:space="0" w:color="auto"/>
        <w:right w:val="none" w:sz="0" w:space="0" w:color="auto"/>
      </w:divBdr>
    </w:div>
    <w:div w:id="292253581">
      <w:bodyDiv w:val="1"/>
      <w:marLeft w:val="0"/>
      <w:marRight w:val="0"/>
      <w:marTop w:val="0"/>
      <w:marBottom w:val="0"/>
      <w:divBdr>
        <w:top w:val="none" w:sz="0" w:space="0" w:color="auto"/>
        <w:left w:val="none" w:sz="0" w:space="0" w:color="auto"/>
        <w:bottom w:val="none" w:sz="0" w:space="0" w:color="auto"/>
        <w:right w:val="none" w:sz="0" w:space="0" w:color="auto"/>
      </w:divBdr>
    </w:div>
    <w:div w:id="293683994">
      <w:bodyDiv w:val="1"/>
      <w:marLeft w:val="0"/>
      <w:marRight w:val="0"/>
      <w:marTop w:val="0"/>
      <w:marBottom w:val="0"/>
      <w:divBdr>
        <w:top w:val="none" w:sz="0" w:space="0" w:color="auto"/>
        <w:left w:val="none" w:sz="0" w:space="0" w:color="auto"/>
        <w:bottom w:val="none" w:sz="0" w:space="0" w:color="auto"/>
        <w:right w:val="none" w:sz="0" w:space="0" w:color="auto"/>
      </w:divBdr>
    </w:div>
    <w:div w:id="294682192">
      <w:bodyDiv w:val="1"/>
      <w:marLeft w:val="0"/>
      <w:marRight w:val="0"/>
      <w:marTop w:val="0"/>
      <w:marBottom w:val="0"/>
      <w:divBdr>
        <w:top w:val="none" w:sz="0" w:space="0" w:color="auto"/>
        <w:left w:val="none" w:sz="0" w:space="0" w:color="auto"/>
        <w:bottom w:val="none" w:sz="0" w:space="0" w:color="auto"/>
        <w:right w:val="none" w:sz="0" w:space="0" w:color="auto"/>
      </w:divBdr>
      <w:divsChild>
        <w:div w:id="452097407">
          <w:marLeft w:val="0"/>
          <w:marRight w:val="0"/>
          <w:marTop w:val="0"/>
          <w:marBottom w:val="0"/>
          <w:divBdr>
            <w:top w:val="none" w:sz="0" w:space="0" w:color="auto"/>
            <w:left w:val="none" w:sz="0" w:space="0" w:color="auto"/>
            <w:bottom w:val="none" w:sz="0" w:space="0" w:color="auto"/>
            <w:right w:val="none" w:sz="0" w:space="0" w:color="auto"/>
          </w:divBdr>
        </w:div>
        <w:div w:id="846334208">
          <w:marLeft w:val="0"/>
          <w:marRight w:val="0"/>
          <w:marTop w:val="0"/>
          <w:marBottom w:val="0"/>
          <w:divBdr>
            <w:top w:val="none" w:sz="0" w:space="0" w:color="auto"/>
            <w:left w:val="none" w:sz="0" w:space="0" w:color="auto"/>
            <w:bottom w:val="none" w:sz="0" w:space="0" w:color="auto"/>
            <w:right w:val="none" w:sz="0" w:space="0" w:color="auto"/>
          </w:divBdr>
        </w:div>
        <w:div w:id="1618680841">
          <w:marLeft w:val="0"/>
          <w:marRight w:val="0"/>
          <w:marTop w:val="0"/>
          <w:marBottom w:val="0"/>
          <w:divBdr>
            <w:top w:val="none" w:sz="0" w:space="0" w:color="auto"/>
            <w:left w:val="none" w:sz="0" w:space="0" w:color="auto"/>
            <w:bottom w:val="none" w:sz="0" w:space="0" w:color="auto"/>
            <w:right w:val="none" w:sz="0" w:space="0" w:color="auto"/>
          </w:divBdr>
        </w:div>
      </w:divsChild>
    </w:div>
    <w:div w:id="295452759">
      <w:bodyDiv w:val="1"/>
      <w:marLeft w:val="0"/>
      <w:marRight w:val="0"/>
      <w:marTop w:val="0"/>
      <w:marBottom w:val="0"/>
      <w:divBdr>
        <w:top w:val="none" w:sz="0" w:space="0" w:color="auto"/>
        <w:left w:val="none" w:sz="0" w:space="0" w:color="auto"/>
        <w:bottom w:val="none" w:sz="0" w:space="0" w:color="auto"/>
        <w:right w:val="none" w:sz="0" w:space="0" w:color="auto"/>
      </w:divBdr>
    </w:div>
    <w:div w:id="300815386">
      <w:bodyDiv w:val="1"/>
      <w:marLeft w:val="0"/>
      <w:marRight w:val="0"/>
      <w:marTop w:val="0"/>
      <w:marBottom w:val="0"/>
      <w:divBdr>
        <w:top w:val="none" w:sz="0" w:space="0" w:color="auto"/>
        <w:left w:val="none" w:sz="0" w:space="0" w:color="auto"/>
        <w:bottom w:val="none" w:sz="0" w:space="0" w:color="auto"/>
        <w:right w:val="none" w:sz="0" w:space="0" w:color="auto"/>
      </w:divBdr>
    </w:div>
    <w:div w:id="304819826">
      <w:bodyDiv w:val="1"/>
      <w:marLeft w:val="0"/>
      <w:marRight w:val="0"/>
      <w:marTop w:val="0"/>
      <w:marBottom w:val="0"/>
      <w:divBdr>
        <w:top w:val="none" w:sz="0" w:space="0" w:color="auto"/>
        <w:left w:val="none" w:sz="0" w:space="0" w:color="auto"/>
        <w:bottom w:val="none" w:sz="0" w:space="0" w:color="auto"/>
        <w:right w:val="none" w:sz="0" w:space="0" w:color="auto"/>
      </w:divBdr>
    </w:div>
    <w:div w:id="321928191">
      <w:bodyDiv w:val="1"/>
      <w:marLeft w:val="0"/>
      <w:marRight w:val="0"/>
      <w:marTop w:val="0"/>
      <w:marBottom w:val="0"/>
      <w:divBdr>
        <w:top w:val="none" w:sz="0" w:space="0" w:color="auto"/>
        <w:left w:val="none" w:sz="0" w:space="0" w:color="auto"/>
        <w:bottom w:val="none" w:sz="0" w:space="0" w:color="auto"/>
        <w:right w:val="none" w:sz="0" w:space="0" w:color="auto"/>
      </w:divBdr>
    </w:div>
    <w:div w:id="342125278">
      <w:bodyDiv w:val="1"/>
      <w:marLeft w:val="0"/>
      <w:marRight w:val="0"/>
      <w:marTop w:val="0"/>
      <w:marBottom w:val="0"/>
      <w:divBdr>
        <w:top w:val="none" w:sz="0" w:space="0" w:color="auto"/>
        <w:left w:val="none" w:sz="0" w:space="0" w:color="auto"/>
        <w:bottom w:val="none" w:sz="0" w:space="0" w:color="auto"/>
        <w:right w:val="none" w:sz="0" w:space="0" w:color="auto"/>
      </w:divBdr>
    </w:div>
    <w:div w:id="352994427">
      <w:bodyDiv w:val="1"/>
      <w:marLeft w:val="0"/>
      <w:marRight w:val="0"/>
      <w:marTop w:val="0"/>
      <w:marBottom w:val="0"/>
      <w:divBdr>
        <w:top w:val="none" w:sz="0" w:space="0" w:color="auto"/>
        <w:left w:val="none" w:sz="0" w:space="0" w:color="auto"/>
        <w:bottom w:val="none" w:sz="0" w:space="0" w:color="auto"/>
        <w:right w:val="none" w:sz="0" w:space="0" w:color="auto"/>
      </w:divBdr>
    </w:div>
    <w:div w:id="358698879">
      <w:bodyDiv w:val="1"/>
      <w:marLeft w:val="0"/>
      <w:marRight w:val="0"/>
      <w:marTop w:val="0"/>
      <w:marBottom w:val="0"/>
      <w:divBdr>
        <w:top w:val="none" w:sz="0" w:space="0" w:color="auto"/>
        <w:left w:val="none" w:sz="0" w:space="0" w:color="auto"/>
        <w:bottom w:val="none" w:sz="0" w:space="0" w:color="auto"/>
        <w:right w:val="none" w:sz="0" w:space="0" w:color="auto"/>
      </w:divBdr>
    </w:div>
    <w:div w:id="362248902">
      <w:bodyDiv w:val="1"/>
      <w:marLeft w:val="0"/>
      <w:marRight w:val="0"/>
      <w:marTop w:val="0"/>
      <w:marBottom w:val="0"/>
      <w:divBdr>
        <w:top w:val="none" w:sz="0" w:space="0" w:color="auto"/>
        <w:left w:val="none" w:sz="0" w:space="0" w:color="auto"/>
        <w:bottom w:val="none" w:sz="0" w:space="0" w:color="auto"/>
        <w:right w:val="none" w:sz="0" w:space="0" w:color="auto"/>
      </w:divBdr>
    </w:div>
    <w:div w:id="363136624">
      <w:bodyDiv w:val="1"/>
      <w:marLeft w:val="0"/>
      <w:marRight w:val="0"/>
      <w:marTop w:val="0"/>
      <w:marBottom w:val="0"/>
      <w:divBdr>
        <w:top w:val="none" w:sz="0" w:space="0" w:color="auto"/>
        <w:left w:val="none" w:sz="0" w:space="0" w:color="auto"/>
        <w:bottom w:val="none" w:sz="0" w:space="0" w:color="auto"/>
        <w:right w:val="none" w:sz="0" w:space="0" w:color="auto"/>
      </w:divBdr>
    </w:div>
    <w:div w:id="374474995">
      <w:bodyDiv w:val="1"/>
      <w:marLeft w:val="0"/>
      <w:marRight w:val="0"/>
      <w:marTop w:val="0"/>
      <w:marBottom w:val="0"/>
      <w:divBdr>
        <w:top w:val="none" w:sz="0" w:space="0" w:color="auto"/>
        <w:left w:val="none" w:sz="0" w:space="0" w:color="auto"/>
        <w:bottom w:val="none" w:sz="0" w:space="0" w:color="auto"/>
        <w:right w:val="none" w:sz="0" w:space="0" w:color="auto"/>
      </w:divBdr>
    </w:div>
    <w:div w:id="376856489">
      <w:bodyDiv w:val="1"/>
      <w:marLeft w:val="0"/>
      <w:marRight w:val="0"/>
      <w:marTop w:val="0"/>
      <w:marBottom w:val="0"/>
      <w:divBdr>
        <w:top w:val="none" w:sz="0" w:space="0" w:color="auto"/>
        <w:left w:val="none" w:sz="0" w:space="0" w:color="auto"/>
        <w:bottom w:val="none" w:sz="0" w:space="0" w:color="auto"/>
        <w:right w:val="none" w:sz="0" w:space="0" w:color="auto"/>
      </w:divBdr>
    </w:div>
    <w:div w:id="378938278">
      <w:bodyDiv w:val="1"/>
      <w:marLeft w:val="0"/>
      <w:marRight w:val="0"/>
      <w:marTop w:val="0"/>
      <w:marBottom w:val="0"/>
      <w:divBdr>
        <w:top w:val="none" w:sz="0" w:space="0" w:color="auto"/>
        <w:left w:val="none" w:sz="0" w:space="0" w:color="auto"/>
        <w:bottom w:val="none" w:sz="0" w:space="0" w:color="auto"/>
        <w:right w:val="none" w:sz="0" w:space="0" w:color="auto"/>
      </w:divBdr>
    </w:div>
    <w:div w:id="382561339">
      <w:bodyDiv w:val="1"/>
      <w:marLeft w:val="0"/>
      <w:marRight w:val="0"/>
      <w:marTop w:val="0"/>
      <w:marBottom w:val="0"/>
      <w:divBdr>
        <w:top w:val="none" w:sz="0" w:space="0" w:color="auto"/>
        <w:left w:val="none" w:sz="0" w:space="0" w:color="auto"/>
        <w:bottom w:val="none" w:sz="0" w:space="0" w:color="auto"/>
        <w:right w:val="none" w:sz="0" w:space="0" w:color="auto"/>
      </w:divBdr>
    </w:div>
    <w:div w:id="394397708">
      <w:bodyDiv w:val="1"/>
      <w:marLeft w:val="0"/>
      <w:marRight w:val="0"/>
      <w:marTop w:val="0"/>
      <w:marBottom w:val="0"/>
      <w:divBdr>
        <w:top w:val="none" w:sz="0" w:space="0" w:color="auto"/>
        <w:left w:val="none" w:sz="0" w:space="0" w:color="auto"/>
        <w:bottom w:val="none" w:sz="0" w:space="0" w:color="auto"/>
        <w:right w:val="none" w:sz="0" w:space="0" w:color="auto"/>
      </w:divBdr>
    </w:div>
    <w:div w:id="415254027">
      <w:bodyDiv w:val="1"/>
      <w:marLeft w:val="0"/>
      <w:marRight w:val="0"/>
      <w:marTop w:val="0"/>
      <w:marBottom w:val="0"/>
      <w:divBdr>
        <w:top w:val="none" w:sz="0" w:space="0" w:color="auto"/>
        <w:left w:val="none" w:sz="0" w:space="0" w:color="auto"/>
        <w:bottom w:val="none" w:sz="0" w:space="0" w:color="auto"/>
        <w:right w:val="none" w:sz="0" w:space="0" w:color="auto"/>
      </w:divBdr>
    </w:div>
    <w:div w:id="417990604">
      <w:bodyDiv w:val="1"/>
      <w:marLeft w:val="0"/>
      <w:marRight w:val="0"/>
      <w:marTop w:val="0"/>
      <w:marBottom w:val="0"/>
      <w:divBdr>
        <w:top w:val="none" w:sz="0" w:space="0" w:color="auto"/>
        <w:left w:val="none" w:sz="0" w:space="0" w:color="auto"/>
        <w:bottom w:val="none" w:sz="0" w:space="0" w:color="auto"/>
        <w:right w:val="none" w:sz="0" w:space="0" w:color="auto"/>
      </w:divBdr>
    </w:div>
    <w:div w:id="418915286">
      <w:bodyDiv w:val="1"/>
      <w:marLeft w:val="0"/>
      <w:marRight w:val="0"/>
      <w:marTop w:val="0"/>
      <w:marBottom w:val="0"/>
      <w:divBdr>
        <w:top w:val="none" w:sz="0" w:space="0" w:color="auto"/>
        <w:left w:val="none" w:sz="0" w:space="0" w:color="auto"/>
        <w:bottom w:val="none" w:sz="0" w:space="0" w:color="auto"/>
        <w:right w:val="none" w:sz="0" w:space="0" w:color="auto"/>
      </w:divBdr>
    </w:div>
    <w:div w:id="420297078">
      <w:bodyDiv w:val="1"/>
      <w:marLeft w:val="0"/>
      <w:marRight w:val="0"/>
      <w:marTop w:val="0"/>
      <w:marBottom w:val="0"/>
      <w:divBdr>
        <w:top w:val="none" w:sz="0" w:space="0" w:color="auto"/>
        <w:left w:val="none" w:sz="0" w:space="0" w:color="auto"/>
        <w:bottom w:val="none" w:sz="0" w:space="0" w:color="auto"/>
        <w:right w:val="none" w:sz="0" w:space="0" w:color="auto"/>
      </w:divBdr>
    </w:div>
    <w:div w:id="423918247">
      <w:bodyDiv w:val="1"/>
      <w:marLeft w:val="0"/>
      <w:marRight w:val="0"/>
      <w:marTop w:val="0"/>
      <w:marBottom w:val="0"/>
      <w:divBdr>
        <w:top w:val="none" w:sz="0" w:space="0" w:color="auto"/>
        <w:left w:val="none" w:sz="0" w:space="0" w:color="auto"/>
        <w:bottom w:val="none" w:sz="0" w:space="0" w:color="auto"/>
        <w:right w:val="none" w:sz="0" w:space="0" w:color="auto"/>
      </w:divBdr>
    </w:div>
    <w:div w:id="435449384">
      <w:bodyDiv w:val="1"/>
      <w:marLeft w:val="0"/>
      <w:marRight w:val="0"/>
      <w:marTop w:val="0"/>
      <w:marBottom w:val="0"/>
      <w:divBdr>
        <w:top w:val="none" w:sz="0" w:space="0" w:color="auto"/>
        <w:left w:val="none" w:sz="0" w:space="0" w:color="auto"/>
        <w:bottom w:val="none" w:sz="0" w:space="0" w:color="auto"/>
        <w:right w:val="none" w:sz="0" w:space="0" w:color="auto"/>
      </w:divBdr>
    </w:div>
    <w:div w:id="438257898">
      <w:bodyDiv w:val="1"/>
      <w:marLeft w:val="0"/>
      <w:marRight w:val="0"/>
      <w:marTop w:val="0"/>
      <w:marBottom w:val="0"/>
      <w:divBdr>
        <w:top w:val="none" w:sz="0" w:space="0" w:color="auto"/>
        <w:left w:val="none" w:sz="0" w:space="0" w:color="auto"/>
        <w:bottom w:val="none" w:sz="0" w:space="0" w:color="auto"/>
        <w:right w:val="none" w:sz="0" w:space="0" w:color="auto"/>
      </w:divBdr>
    </w:div>
    <w:div w:id="439838282">
      <w:bodyDiv w:val="1"/>
      <w:marLeft w:val="0"/>
      <w:marRight w:val="0"/>
      <w:marTop w:val="0"/>
      <w:marBottom w:val="0"/>
      <w:divBdr>
        <w:top w:val="none" w:sz="0" w:space="0" w:color="auto"/>
        <w:left w:val="none" w:sz="0" w:space="0" w:color="auto"/>
        <w:bottom w:val="none" w:sz="0" w:space="0" w:color="auto"/>
        <w:right w:val="none" w:sz="0" w:space="0" w:color="auto"/>
      </w:divBdr>
    </w:div>
    <w:div w:id="446974518">
      <w:bodyDiv w:val="1"/>
      <w:marLeft w:val="0"/>
      <w:marRight w:val="0"/>
      <w:marTop w:val="0"/>
      <w:marBottom w:val="0"/>
      <w:divBdr>
        <w:top w:val="none" w:sz="0" w:space="0" w:color="auto"/>
        <w:left w:val="none" w:sz="0" w:space="0" w:color="auto"/>
        <w:bottom w:val="none" w:sz="0" w:space="0" w:color="auto"/>
        <w:right w:val="none" w:sz="0" w:space="0" w:color="auto"/>
      </w:divBdr>
      <w:divsChild>
        <w:div w:id="2127001943">
          <w:marLeft w:val="0"/>
          <w:marRight w:val="0"/>
          <w:marTop w:val="0"/>
          <w:marBottom w:val="0"/>
          <w:divBdr>
            <w:top w:val="none" w:sz="0" w:space="0" w:color="auto"/>
            <w:left w:val="none" w:sz="0" w:space="0" w:color="auto"/>
            <w:bottom w:val="none" w:sz="0" w:space="0" w:color="auto"/>
            <w:right w:val="none" w:sz="0" w:space="0" w:color="auto"/>
          </w:divBdr>
          <w:divsChild>
            <w:div w:id="1606620828">
              <w:marLeft w:val="0"/>
              <w:marRight w:val="0"/>
              <w:marTop w:val="0"/>
              <w:marBottom w:val="0"/>
              <w:divBdr>
                <w:top w:val="none" w:sz="0" w:space="0" w:color="auto"/>
                <w:left w:val="none" w:sz="0" w:space="0" w:color="auto"/>
                <w:bottom w:val="none" w:sz="0" w:space="0" w:color="auto"/>
                <w:right w:val="none" w:sz="0" w:space="0" w:color="auto"/>
              </w:divBdr>
              <w:divsChild>
                <w:div w:id="3060147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8090858">
      <w:bodyDiv w:val="1"/>
      <w:marLeft w:val="0"/>
      <w:marRight w:val="0"/>
      <w:marTop w:val="0"/>
      <w:marBottom w:val="0"/>
      <w:divBdr>
        <w:top w:val="none" w:sz="0" w:space="0" w:color="auto"/>
        <w:left w:val="none" w:sz="0" w:space="0" w:color="auto"/>
        <w:bottom w:val="none" w:sz="0" w:space="0" w:color="auto"/>
        <w:right w:val="none" w:sz="0" w:space="0" w:color="auto"/>
      </w:divBdr>
    </w:div>
    <w:div w:id="451024113">
      <w:bodyDiv w:val="1"/>
      <w:marLeft w:val="0"/>
      <w:marRight w:val="0"/>
      <w:marTop w:val="0"/>
      <w:marBottom w:val="0"/>
      <w:divBdr>
        <w:top w:val="none" w:sz="0" w:space="0" w:color="auto"/>
        <w:left w:val="none" w:sz="0" w:space="0" w:color="auto"/>
        <w:bottom w:val="none" w:sz="0" w:space="0" w:color="auto"/>
        <w:right w:val="none" w:sz="0" w:space="0" w:color="auto"/>
      </w:divBdr>
    </w:div>
    <w:div w:id="452406328">
      <w:bodyDiv w:val="1"/>
      <w:marLeft w:val="0"/>
      <w:marRight w:val="0"/>
      <w:marTop w:val="0"/>
      <w:marBottom w:val="0"/>
      <w:divBdr>
        <w:top w:val="none" w:sz="0" w:space="0" w:color="auto"/>
        <w:left w:val="none" w:sz="0" w:space="0" w:color="auto"/>
        <w:bottom w:val="none" w:sz="0" w:space="0" w:color="auto"/>
        <w:right w:val="none" w:sz="0" w:space="0" w:color="auto"/>
      </w:divBdr>
    </w:div>
    <w:div w:id="456072067">
      <w:bodyDiv w:val="1"/>
      <w:marLeft w:val="0"/>
      <w:marRight w:val="0"/>
      <w:marTop w:val="0"/>
      <w:marBottom w:val="0"/>
      <w:divBdr>
        <w:top w:val="none" w:sz="0" w:space="0" w:color="auto"/>
        <w:left w:val="none" w:sz="0" w:space="0" w:color="auto"/>
        <w:bottom w:val="none" w:sz="0" w:space="0" w:color="auto"/>
        <w:right w:val="none" w:sz="0" w:space="0" w:color="auto"/>
      </w:divBdr>
    </w:div>
    <w:div w:id="456526491">
      <w:bodyDiv w:val="1"/>
      <w:marLeft w:val="0"/>
      <w:marRight w:val="0"/>
      <w:marTop w:val="0"/>
      <w:marBottom w:val="0"/>
      <w:divBdr>
        <w:top w:val="none" w:sz="0" w:space="0" w:color="auto"/>
        <w:left w:val="none" w:sz="0" w:space="0" w:color="auto"/>
        <w:bottom w:val="none" w:sz="0" w:space="0" w:color="auto"/>
        <w:right w:val="none" w:sz="0" w:space="0" w:color="auto"/>
      </w:divBdr>
    </w:div>
    <w:div w:id="462580879">
      <w:bodyDiv w:val="1"/>
      <w:marLeft w:val="0"/>
      <w:marRight w:val="0"/>
      <w:marTop w:val="0"/>
      <w:marBottom w:val="0"/>
      <w:divBdr>
        <w:top w:val="none" w:sz="0" w:space="0" w:color="auto"/>
        <w:left w:val="none" w:sz="0" w:space="0" w:color="auto"/>
        <w:bottom w:val="none" w:sz="0" w:space="0" w:color="auto"/>
        <w:right w:val="none" w:sz="0" w:space="0" w:color="auto"/>
      </w:divBdr>
    </w:div>
    <w:div w:id="475268163">
      <w:bodyDiv w:val="1"/>
      <w:marLeft w:val="0"/>
      <w:marRight w:val="0"/>
      <w:marTop w:val="0"/>
      <w:marBottom w:val="0"/>
      <w:divBdr>
        <w:top w:val="none" w:sz="0" w:space="0" w:color="auto"/>
        <w:left w:val="none" w:sz="0" w:space="0" w:color="auto"/>
        <w:bottom w:val="none" w:sz="0" w:space="0" w:color="auto"/>
        <w:right w:val="none" w:sz="0" w:space="0" w:color="auto"/>
      </w:divBdr>
    </w:div>
    <w:div w:id="476848467">
      <w:bodyDiv w:val="1"/>
      <w:marLeft w:val="0"/>
      <w:marRight w:val="0"/>
      <w:marTop w:val="0"/>
      <w:marBottom w:val="0"/>
      <w:divBdr>
        <w:top w:val="none" w:sz="0" w:space="0" w:color="auto"/>
        <w:left w:val="none" w:sz="0" w:space="0" w:color="auto"/>
        <w:bottom w:val="none" w:sz="0" w:space="0" w:color="auto"/>
        <w:right w:val="none" w:sz="0" w:space="0" w:color="auto"/>
      </w:divBdr>
    </w:div>
    <w:div w:id="478694887">
      <w:bodyDiv w:val="1"/>
      <w:marLeft w:val="0"/>
      <w:marRight w:val="0"/>
      <w:marTop w:val="0"/>
      <w:marBottom w:val="0"/>
      <w:divBdr>
        <w:top w:val="none" w:sz="0" w:space="0" w:color="auto"/>
        <w:left w:val="none" w:sz="0" w:space="0" w:color="auto"/>
        <w:bottom w:val="none" w:sz="0" w:space="0" w:color="auto"/>
        <w:right w:val="none" w:sz="0" w:space="0" w:color="auto"/>
      </w:divBdr>
    </w:div>
    <w:div w:id="487745775">
      <w:bodyDiv w:val="1"/>
      <w:marLeft w:val="0"/>
      <w:marRight w:val="0"/>
      <w:marTop w:val="0"/>
      <w:marBottom w:val="0"/>
      <w:divBdr>
        <w:top w:val="none" w:sz="0" w:space="0" w:color="auto"/>
        <w:left w:val="none" w:sz="0" w:space="0" w:color="auto"/>
        <w:bottom w:val="none" w:sz="0" w:space="0" w:color="auto"/>
        <w:right w:val="none" w:sz="0" w:space="0" w:color="auto"/>
      </w:divBdr>
    </w:div>
    <w:div w:id="493952836">
      <w:bodyDiv w:val="1"/>
      <w:marLeft w:val="0"/>
      <w:marRight w:val="0"/>
      <w:marTop w:val="0"/>
      <w:marBottom w:val="0"/>
      <w:divBdr>
        <w:top w:val="none" w:sz="0" w:space="0" w:color="auto"/>
        <w:left w:val="none" w:sz="0" w:space="0" w:color="auto"/>
        <w:bottom w:val="none" w:sz="0" w:space="0" w:color="auto"/>
        <w:right w:val="none" w:sz="0" w:space="0" w:color="auto"/>
      </w:divBdr>
    </w:div>
    <w:div w:id="498084611">
      <w:bodyDiv w:val="1"/>
      <w:marLeft w:val="0"/>
      <w:marRight w:val="0"/>
      <w:marTop w:val="0"/>
      <w:marBottom w:val="0"/>
      <w:divBdr>
        <w:top w:val="none" w:sz="0" w:space="0" w:color="auto"/>
        <w:left w:val="none" w:sz="0" w:space="0" w:color="auto"/>
        <w:bottom w:val="none" w:sz="0" w:space="0" w:color="auto"/>
        <w:right w:val="none" w:sz="0" w:space="0" w:color="auto"/>
      </w:divBdr>
    </w:div>
    <w:div w:id="508565484">
      <w:bodyDiv w:val="1"/>
      <w:marLeft w:val="0"/>
      <w:marRight w:val="0"/>
      <w:marTop w:val="0"/>
      <w:marBottom w:val="0"/>
      <w:divBdr>
        <w:top w:val="none" w:sz="0" w:space="0" w:color="auto"/>
        <w:left w:val="none" w:sz="0" w:space="0" w:color="auto"/>
        <w:bottom w:val="none" w:sz="0" w:space="0" w:color="auto"/>
        <w:right w:val="none" w:sz="0" w:space="0" w:color="auto"/>
      </w:divBdr>
    </w:div>
    <w:div w:id="509032920">
      <w:bodyDiv w:val="1"/>
      <w:marLeft w:val="0"/>
      <w:marRight w:val="0"/>
      <w:marTop w:val="0"/>
      <w:marBottom w:val="0"/>
      <w:divBdr>
        <w:top w:val="none" w:sz="0" w:space="0" w:color="auto"/>
        <w:left w:val="none" w:sz="0" w:space="0" w:color="auto"/>
        <w:bottom w:val="none" w:sz="0" w:space="0" w:color="auto"/>
        <w:right w:val="none" w:sz="0" w:space="0" w:color="auto"/>
      </w:divBdr>
    </w:div>
    <w:div w:id="517892916">
      <w:bodyDiv w:val="1"/>
      <w:marLeft w:val="0"/>
      <w:marRight w:val="0"/>
      <w:marTop w:val="0"/>
      <w:marBottom w:val="0"/>
      <w:divBdr>
        <w:top w:val="none" w:sz="0" w:space="0" w:color="auto"/>
        <w:left w:val="none" w:sz="0" w:space="0" w:color="auto"/>
        <w:bottom w:val="none" w:sz="0" w:space="0" w:color="auto"/>
        <w:right w:val="none" w:sz="0" w:space="0" w:color="auto"/>
      </w:divBdr>
    </w:div>
    <w:div w:id="518355401">
      <w:bodyDiv w:val="1"/>
      <w:marLeft w:val="0"/>
      <w:marRight w:val="0"/>
      <w:marTop w:val="0"/>
      <w:marBottom w:val="0"/>
      <w:divBdr>
        <w:top w:val="none" w:sz="0" w:space="0" w:color="auto"/>
        <w:left w:val="none" w:sz="0" w:space="0" w:color="auto"/>
        <w:bottom w:val="none" w:sz="0" w:space="0" w:color="auto"/>
        <w:right w:val="none" w:sz="0" w:space="0" w:color="auto"/>
      </w:divBdr>
    </w:div>
    <w:div w:id="519467585">
      <w:bodyDiv w:val="1"/>
      <w:marLeft w:val="0"/>
      <w:marRight w:val="0"/>
      <w:marTop w:val="0"/>
      <w:marBottom w:val="0"/>
      <w:divBdr>
        <w:top w:val="none" w:sz="0" w:space="0" w:color="auto"/>
        <w:left w:val="none" w:sz="0" w:space="0" w:color="auto"/>
        <w:bottom w:val="none" w:sz="0" w:space="0" w:color="auto"/>
        <w:right w:val="none" w:sz="0" w:space="0" w:color="auto"/>
      </w:divBdr>
    </w:div>
    <w:div w:id="523597970">
      <w:bodyDiv w:val="1"/>
      <w:marLeft w:val="0"/>
      <w:marRight w:val="0"/>
      <w:marTop w:val="0"/>
      <w:marBottom w:val="0"/>
      <w:divBdr>
        <w:top w:val="none" w:sz="0" w:space="0" w:color="auto"/>
        <w:left w:val="none" w:sz="0" w:space="0" w:color="auto"/>
        <w:bottom w:val="none" w:sz="0" w:space="0" w:color="auto"/>
        <w:right w:val="none" w:sz="0" w:space="0" w:color="auto"/>
      </w:divBdr>
    </w:div>
    <w:div w:id="526022501">
      <w:bodyDiv w:val="1"/>
      <w:marLeft w:val="0"/>
      <w:marRight w:val="0"/>
      <w:marTop w:val="0"/>
      <w:marBottom w:val="0"/>
      <w:divBdr>
        <w:top w:val="none" w:sz="0" w:space="0" w:color="auto"/>
        <w:left w:val="none" w:sz="0" w:space="0" w:color="auto"/>
        <w:bottom w:val="none" w:sz="0" w:space="0" w:color="auto"/>
        <w:right w:val="none" w:sz="0" w:space="0" w:color="auto"/>
      </w:divBdr>
    </w:div>
    <w:div w:id="527372692">
      <w:bodyDiv w:val="1"/>
      <w:marLeft w:val="0"/>
      <w:marRight w:val="0"/>
      <w:marTop w:val="0"/>
      <w:marBottom w:val="0"/>
      <w:divBdr>
        <w:top w:val="none" w:sz="0" w:space="0" w:color="auto"/>
        <w:left w:val="none" w:sz="0" w:space="0" w:color="auto"/>
        <w:bottom w:val="none" w:sz="0" w:space="0" w:color="auto"/>
        <w:right w:val="none" w:sz="0" w:space="0" w:color="auto"/>
      </w:divBdr>
    </w:div>
    <w:div w:id="527644440">
      <w:bodyDiv w:val="1"/>
      <w:marLeft w:val="0"/>
      <w:marRight w:val="0"/>
      <w:marTop w:val="0"/>
      <w:marBottom w:val="0"/>
      <w:divBdr>
        <w:top w:val="none" w:sz="0" w:space="0" w:color="auto"/>
        <w:left w:val="none" w:sz="0" w:space="0" w:color="auto"/>
        <w:bottom w:val="none" w:sz="0" w:space="0" w:color="auto"/>
        <w:right w:val="none" w:sz="0" w:space="0" w:color="auto"/>
      </w:divBdr>
    </w:div>
    <w:div w:id="528681435">
      <w:bodyDiv w:val="1"/>
      <w:marLeft w:val="0"/>
      <w:marRight w:val="0"/>
      <w:marTop w:val="0"/>
      <w:marBottom w:val="0"/>
      <w:divBdr>
        <w:top w:val="none" w:sz="0" w:space="0" w:color="auto"/>
        <w:left w:val="none" w:sz="0" w:space="0" w:color="auto"/>
        <w:bottom w:val="none" w:sz="0" w:space="0" w:color="auto"/>
        <w:right w:val="none" w:sz="0" w:space="0" w:color="auto"/>
      </w:divBdr>
    </w:div>
    <w:div w:id="532839258">
      <w:bodyDiv w:val="1"/>
      <w:marLeft w:val="0"/>
      <w:marRight w:val="0"/>
      <w:marTop w:val="0"/>
      <w:marBottom w:val="0"/>
      <w:divBdr>
        <w:top w:val="none" w:sz="0" w:space="0" w:color="auto"/>
        <w:left w:val="none" w:sz="0" w:space="0" w:color="auto"/>
        <w:bottom w:val="none" w:sz="0" w:space="0" w:color="auto"/>
        <w:right w:val="none" w:sz="0" w:space="0" w:color="auto"/>
      </w:divBdr>
    </w:div>
    <w:div w:id="541941031">
      <w:bodyDiv w:val="1"/>
      <w:marLeft w:val="0"/>
      <w:marRight w:val="0"/>
      <w:marTop w:val="0"/>
      <w:marBottom w:val="0"/>
      <w:divBdr>
        <w:top w:val="none" w:sz="0" w:space="0" w:color="auto"/>
        <w:left w:val="none" w:sz="0" w:space="0" w:color="auto"/>
        <w:bottom w:val="none" w:sz="0" w:space="0" w:color="auto"/>
        <w:right w:val="none" w:sz="0" w:space="0" w:color="auto"/>
      </w:divBdr>
    </w:div>
    <w:div w:id="543563544">
      <w:bodyDiv w:val="1"/>
      <w:marLeft w:val="0"/>
      <w:marRight w:val="0"/>
      <w:marTop w:val="0"/>
      <w:marBottom w:val="0"/>
      <w:divBdr>
        <w:top w:val="none" w:sz="0" w:space="0" w:color="auto"/>
        <w:left w:val="none" w:sz="0" w:space="0" w:color="auto"/>
        <w:bottom w:val="none" w:sz="0" w:space="0" w:color="auto"/>
        <w:right w:val="none" w:sz="0" w:space="0" w:color="auto"/>
      </w:divBdr>
    </w:div>
    <w:div w:id="550727421">
      <w:bodyDiv w:val="1"/>
      <w:marLeft w:val="0"/>
      <w:marRight w:val="0"/>
      <w:marTop w:val="0"/>
      <w:marBottom w:val="0"/>
      <w:divBdr>
        <w:top w:val="none" w:sz="0" w:space="0" w:color="auto"/>
        <w:left w:val="none" w:sz="0" w:space="0" w:color="auto"/>
        <w:bottom w:val="none" w:sz="0" w:space="0" w:color="auto"/>
        <w:right w:val="none" w:sz="0" w:space="0" w:color="auto"/>
      </w:divBdr>
    </w:div>
    <w:div w:id="550776247">
      <w:bodyDiv w:val="1"/>
      <w:marLeft w:val="0"/>
      <w:marRight w:val="0"/>
      <w:marTop w:val="0"/>
      <w:marBottom w:val="0"/>
      <w:divBdr>
        <w:top w:val="none" w:sz="0" w:space="0" w:color="auto"/>
        <w:left w:val="none" w:sz="0" w:space="0" w:color="auto"/>
        <w:bottom w:val="none" w:sz="0" w:space="0" w:color="auto"/>
        <w:right w:val="none" w:sz="0" w:space="0" w:color="auto"/>
      </w:divBdr>
    </w:div>
    <w:div w:id="552081786">
      <w:bodyDiv w:val="1"/>
      <w:marLeft w:val="0"/>
      <w:marRight w:val="0"/>
      <w:marTop w:val="0"/>
      <w:marBottom w:val="0"/>
      <w:divBdr>
        <w:top w:val="none" w:sz="0" w:space="0" w:color="auto"/>
        <w:left w:val="none" w:sz="0" w:space="0" w:color="auto"/>
        <w:bottom w:val="none" w:sz="0" w:space="0" w:color="auto"/>
        <w:right w:val="none" w:sz="0" w:space="0" w:color="auto"/>
      </w:divBdr>
    </w:div>
    <w:div w:id="565646246">
      <w:bodyDiv w:val="1"/>
      <w:marLeft w:val="0"/>
      <w:marRight w:val="0"/>
      <w:marTop w:val="0"/>
      <w:marBottom w:val="0"/>
      <w:divBdr>
        <w:top w:val="none" w:sz="0" w:space="0" w:color="auto"/>
        <w:left w:val="none" w:sz="0" w:space="0" w:color="auto"/>
        <w:bottom w:val="none" w:sz="0" w:space="0" w:color="auto"/>
        <w:right w:val="none" w:sz="0" w:space="0" w:color="auto"/>
      </w:divBdr>
    </w:div>
    <w:div w:id="577519194">
      <w:bodyDiv w:val="1"/>
      <w:marLeft w:val="0"/>
      <w:marRight w:val="0"/>
      <w:marTop w:val="0"/>
      <w:marBottom w:val="0"/>
      <w:divBdr>
        <w:top w:val="none" w:sz="0" w:space="0" w:color="auto"/>
        <w:left w:val="none" w:sz="0" w:space="0" w:color="auto"/>
        <w:bottom w:val="none" w:sz="0" w:space="0" w:color="auto"/>
        <w:right w:val="none" w:sz="0" w:space="0" w:color="auto"/>
      </w:divBdr>
    </w:div>
    <w:div w:id="580329551">
      <w:bodyDiv w:val="1"/>
      <w:marLeft w:val="0"/>
      <w:marRight w:val="0"/>
      <w:marTop w:val="0"/>
      <w:marBottom w:val="0"/>
      <w:divBdr>
        <w:top w:val="none" w:sz="0" w:space="0" w:color="auto"/>
        <w:left w:val="none" w:sz="0" w:space="0" w:color="auto"/>
        <w:bottom w:val="none" w:sz="0" w:space="0" w:color="auto"/>
        <w:right w:val="none" w:sz="0" w:space="0" w:color="auto"/>
      </w:divBdr>
    </w:div>
    <w:div w:id="580992995">
      <w:bodyDiv w:val="1"/>
      <w:marLeft w:val="0"/>
      <w:marRight w:val="0"/>
      <w:marTop w:val="0"/>
      <w:marBottom w:val="0"/>
      <w:divBdr>
        <w:top w:val="none" w:sz="0" w:space="0" w:color="auto"/>
        <w:left w:val="none" w:sz="0" w:space="0" w:color="auto"/>
        <w:bottom w:val="none" w:sz="0" w:space="0" w:color="auto"/>
        <w:right w:val="none" w:sz="0" w:space="0" w:color="auto"/>
      </w:divBdr>
    </w:div>
    <w:div w:id="588585573">
      <w:bodyDiv w:val="1"/>
      <w:marLeft w:val="0"/>
      <w:marRight w:val="0"/>
      <w:marTop w:val="0"/>
      <w:marBottom w:val="0"/>
      <w:divBdr>
        <w:top w:val="none" w:sz="0" w:space="0" w:color="auto"/>
        <w:left w:val="none" w:sz="0" w:space="0" w:color="auto"/>
        <w:bottom w:val="none" w:sz="0" w:space="0" w:color="auto"/>
        <w:right w:val="none" w:sz="0" w:space="0" w:color="auto"/>
      </w:divBdr>
    </w:div>
    <w:div w:id="588975652">
      <w:bodyDiv w:val="1"/>
      <w:marLeft w:val="0"/>
      <w:marRight w:val="0"/>
      <w:marTop w:val="0"/>
      <w:marBottom w:val="0"/>
      <w:divBdr>
        <w:top w:val="none" w:sz="0" w:space="0" w:color="auto"/>
        <w:left w:val="none" w:sz="0" w:space="0" w:color="auto"/>
        <w:bottom w:val="none" w:sz="0" w:space="0" w:color="auto"/>
        <w:right w:val="none" w:sz="0" w:space="0" w:color="auto"/>
      </w:divBdr>
    </w:div>
    <w:div w:id="601649357">
      <w:bodyDiv w:val="1"/>
      <w:marLeft w:val="0"/>
      <w:marRight w:val="0"/>
      <w:marTop w:val="0"/>
      <w:marBottom w:val="0"/>
      <w:divBdr>
        <w:top w:val="none" w:sz="0" w:space="0" w:color="auto"/>
        <w:left w:val="none" w:sz="0" w:space="0" w:color="auto"/>
        <w:bottom w:val="none" w:sz="0" w:space="0" w:color="auto"/>
        <w:right w:val="none" w:sz="0" w:space="0" w:color="auto"/>
      </w:divBdr>
    </w:div>
    <w:div w:id="601958405">
      <w:bodyDiv w:val="1"/>
      <w:marLeft w:val="0"/>
      <w:marRight w:val="0"/>
      <w:marTop w:val="0"/>
      <w:marBottom w:val="0"/>
      <w:divBdr>
        <w:top w:val="none" w:sz="0" w:space="0" w:color="auto"/>
        <w:left w:val="none" w:sz="0" w:space="0" w:color="auto"/>
        <w:bottom w:val="none" w:sz="0" w:space="0" w:color="auto"/>
        <w:right w:val="none" w:sz="0" w:space="0" w:color="auto"/>
      </w:divBdr>
    </w:div>
    <w:div w:id="614215322">
      <w:bodyDiv w:val="1"/>
      <w:marLeft w:val="0"/>
      <w:marRight w:val="0"/>
      <w:marTop w:val="0"/>
      <w:marBottom w:val="0"/>
      <w:divBdr>
        <w:top w:val="none" w:sz="0" w:space="0" w:color="auto"/>
        <w:left w:val="none" w:sz="0" w:space="0" w:color="auto"/>
        <w:bottom w:val="none" w:sz="0" w:space="0" w:color="auto"/>
        <w:right w:val="none" w:sz="0" w:space="0" w:color="auto"/>
      </w:divBdr>
    </w:div>
    <w:div w:id="618294224">
      <w:bodyDiv w:val="1"/>
      <w:marLeft w:val="0"/>
      <w:marRight w:val="0"/>
      <w:marTop w:val="0"/>
      <w:marBottom w:val="0"/>
      <w:divBdr>
        <w:top w:val="none" w:sz="0" w:space="0" w:color="auto"/>
        <w:left w:val="none" w:sz="0" w:space="0" w:color="auto"/>
        <w:bottom w:val="none" w:sz="0" w:space="0" w:color="auto"/>
        <w:right w:val="none" w:sz="0" w:space="0" w:color="auto"/>
      </w:divBdr>
    </w:div>
    <w:div w:id="618605931">
      <w:bodyDiv w:val="1"/>
      <w:marLeft w:val="0"/>
      <w:marRight w:val="0"/>
      <w:marTop w:val="0"/>
      <w:marBottom w:val="0"/>
      <w:divBdr>
        <w:top w:val="none" w:sz="0" w:space="0" w:color="auto"/>
        <w:left w:val="none" w:sz="0" w:space="0" w:color="auto"/>
        <w:bottom w:val="none" w:sz="0" w:space="0" w:color="auto"/>
        <w:right w:val="none" w:sz="0" w:space="0" w:color="auto"/>
      </w:divBdr>
    </w:div>
    <w:div w:id="626087823">
      <w:bodyDiv w:val="1"/>
      <w:marLeft w:val="0"/>
      <w:marRight w:val="0"/>
      <w:marTop w:val="0"/>
      <w:marBottom w:val="0"/>
      <w:divBdr>
        <w:top w:val="none" w:sz="0" w:space="0" w:color="auto"/>
        <w:left w:val="none" w:sz="0" w:space="0" w:color="auto"/>
        <w:bottom w:val="none" w:sz="0" w:space="0" w:color="auto"/>
        <w:right w:val="none" w:sz="0" w:space="0" w:color="auto"/>
      </w:divBdr>
    </w:div>
    <w:div w:id="634482232">
      <w:bodyDiv w:val="1"/>
      <w:marLeft w:val="0"/>
      <w:marRight w:val="0"/>
      <w:marTop w:val="0"/>
      <w:marBottom w:val="0"/>
      <w:divBdr>
        <w:top w:val="none" w:sz="0" w:space="0" w:color="auto"/>
        <w:left w:val="none" w:sz="0" w:space="0" w:color="auto"/>
        <w:bottom w:val="none" w:sz="0" w:space="0" w:color="auto"/>
        <w:right w:val="none" w:sz="0" w:space="0" w:color="auto"/>
      </w:divBdr>
    </w:div>
    <w:div w:id="646663212">
      <w:bodyDiv w:val="1"/>
      <w:marLeft w:val="0"/>
      <w:marRight w:val="0"/>
      <w:marTop w:val="0"/>
      <w:marBottom w:val="0"/>
      <w:divBdr>
        <w:top w:val="none" w:sz="0" w:space="0" w:color="auto"/>
        <w:left w:val="none" w:sz="0" w:space="0" w:color="auto"/>
        <w:bottom w:val="none" w:sz="0" w:space="0" w:color="auto"/>
        <w:right w:val="none" w:sz="0" w:space="0" w:color="auto"/>
      </w:divBdr>
    </w:div>
    <w:div w:id="650138636">
      <w:bodyDiv w:val="1"/>
      <w:marLeft w:val="0"/>
      <w:marRight w:val="0"/>
      <w:marTop w:val="0"/>
      <w:marBottom w:val="0"/>
      <w:divBdr>
        <w:top w:val="none" w:sz="0" w:space="0" w:color="auto"/>
        <w:left w:val="none" w:sz="0" w:space="0" w:color="auto"/>
        <w:bottom w:val="none" w:sz="0" w:space="0" w:color="auto"/>
        <w:right w:val="none" w:sz="0" w:space="0" w:color="auto"/>
      </w:divBdr>
    </w:div>
    <w:div w:id="653535577">
      <w:bodyDiv w:val="1"/>
      <w:marLeft w:val="0"/>
      <w:marRight w:val="0"/>
      <w:marTop w:val="0"/>
      <w:marBottom w:val="0"/>
      <w:divBdr>
        <w:top w:val="none" w:sz="0" w:space="0" w:color="auto"/>
        <w:left w:val="none" w:sz="0" w:space="0" w:color="auto"/>
        <w:bottom w:val="none" w:sz="0" w:space="0" w:color="auto"/>
        <w:right w:val="none" w:sz="0" w:space="0" w:color="auto"/>
      </w:divBdr>
    </w:div>
    <w:div w:id="656491539">
      <w:bodyDiv w:val="1"/>
      <w:marLeft w:val="0"/>
      <w:marRight w:val="0"/>
      <w:marTop w:val="0"/>
      <w:marBottom w:val="0"/>
      <w:divBdr>
        <w:top w:val="none" w:sz="0" w:space="0" w:color="auto"/>
        <w:left w:val="none" w:sz="0" w:space="0" w:color="auto"/>
        <w:bottom w:val="none" w:sz="0" w:space="0" w:color="auto"/>
        <w:right w:val="none" w:sz="0" w:space="0" w:color="auto"/>
      </w:divBdr>
    </w:div>
    <w:div w:id="669481781">
      <w:bodyDiv w:val="1"/>
      <w:marLeft w:val="0"/>
      <w:marRight w:val="0"/>
      <w:marTop w:val="0"/>
      <w:marBottom w:val="0"/>
      <w:divBdr>
        <w:top w:val="none" w:sz="0" w:space="0" w:color="auto"/>
        <w:left w:val="none" w:sz="0" w:space="0" w:color="auto"/>
        <w:bottom w:val="none" w:sz="0" w:space="0" w:color="auto"/>
        <w:right w:val="none" w:sz="0" w:space="0" w:color="auto"/>
      </w:divBdr>
    </w:div>
    <w:div w:id="669527568">
      <w:bodyDiv w:val="1"/>
      <w:marLeft w:val="0"/>
      <w:marRight w:val="0"/>
      <w:marTop w:val="0"/>
      <w:marBottom w:val="0"/>
      <w:divBdr>
        <w:top w:val="none" w:sz="0" w:space="0" w:color="auto"/>
        <w:left w:val="none" w:sz="0" w:space="0" w:color="auto"/>
        <w:bottom w:val="none" w:sz="0" w:space="0" w:color="auto"/>
        <w:right w:val="none" w:sz="0" w:space="0" w:color="auto"/>
      </w:divBdr>
    </w:div>
    <w:div w:id="672420163">
      <w:bodyDiv w:val="1"/>
      <w:marLeft w:val="0"/>
      <w:marRight w:val="0"/>
      <w:marTop w:val="0"/>
      <w:marBottom w:val="0"/>
      <w:divBdr>
        <w:top w:val="none" w:sz="0" w:space="0" w:color="auto"/>
        <w:left w:val="none" w:sz="0" w:space="0" w:color="auto"/>
        <w:bottom w:val="none" w:sz="0" w:space="0" w:color="auto"/>
        <w:right w:val="none" w:sz="0" w:space="0" w:color="auto"/>
      </w:divBdr>
    </w:div>
    <w:div w:id="680278835">
      <w:bodyDiv w:val="1"/>
      <w:marLeft w:val="0"/>
      <w:marRight w:val="0"/>
      <w:marTop w:val="0"/>
      <w:marBottom w:val="0"/>
      <w:divBdr>
        <w:top w:val="none" w:sz="0" w:space="0" w:color="auto"/>
        <w:left w:val="none" w:sz="0" w:space="0" w:color="auto"/>
        <w:bottom w:val="none" w:sz="0" w:space="0" w:color="auto"/>
        <w:right w:val="none" w:sz="0" w:space="0" w:color="auto"/>
      </w:divBdr>
    </w:div>
    <w:div w:id="687676406">
      <w:bodyDiv w:val="1"/>
      <w:marLeft w:val="0"/>
      <w:marRight w:val="0"/>
      <w:marTop w:val="0"/>
      <w:marBottom w:val="0"/>
      <w:divBdr>
        <w:top w:val="none" w:sz="0" w:space="0" w:color="auto"/>
        <w:left w:val="none" w:sz="0" w:space="0" w:color="auto"/>
        <w:bottom w:val="none" w:sz="0" w:space="0" w:color="auto"/>
        <w:right w:val="none" w:sz="0" w:space="0" w:color="auto"/>
      </w:divBdr>
    </w:div>
    <w:div w:id="689795395">
      <w:bodyDiv w:val="1"/>
      <w:marLeft w:val="0"/>
      <w:marRight w:val="0"/>
      <w:marTop w:val="0"/>
      <w:marBottom w:val="0"/>
      <w:divBdr>
        <w:top w:val="none" w:sz="0" w:space="0" w:color="auto"/>
        <w:left w:val="none" w:sz="0" w:space="0" w:color="auto"/>
        <w:bottom w:val="none" w:sz="0" w:space="0" w:color="auto"/>
        <w:right w:val="none" w:sz="0" w:space="0" w:color="auto"/>
      </w:divBdr>
    </w:div>
    <w:div w:id="692612014">
      <w:bodyDiv w:val="1"/>
      <w:marLeft w:val="0"/>
      <w:marRight w:val="0"/>
      <w:marTop w:val="0"/>
      <w:marBottom w:val="0"/>
      <w:divBdr>
        <w:top w:val="none" w:sz="0" w:space="0" w:color="auto"/>
        <w:left w:val="none" w:sz="0" w:space="0" w:color="auto"/>
        <w:bottom w:val="none" w:sz="0" w:space="0" w:color="auto"/>
        <w:right w:val="none" w:sz="0" w:space="0" w:color="auto"/>
      </w:divBdr>
      <w:divsChild>
        <w:div w:id="757405071">
          <w:marLeft w:val="0"/>
          <w:marRight w:val="0"/>
          <w:marTop w:val="0"/>
          <w:marBottom w:val="0"/>
          <w:divBdr>
            <w:top w:val="none" w:sz="0" w:space="0" w:color="auto"/>
            <w:left w:val="none" w:sz="0" w:space="0" w:color="auto"/>
            <w:bottom w:val="none" w:sz="0" w:space="0" w:color="auto"/>
            <w:right w:val="none" w:sz="0" w:space="0" w:color="auto"/>
          </w:divBdr>
          <w:divsChild>
            <w:div w:id="798232244">
              <w:marLeft w:val="0"/>
              <w:marRight w:val="0"/>
              <w:marTop w:val="0"/>
              <w:marBottom w:val="0"/>
              <w:divBdr>
                <w:top w:val="none" w:sz="0" w:space="0" w:color="auto"/>
                <w:left w:val="none" w:sz="0" w:space="0" w:color="auto"/>
                <w:bottom w:val="none" w:sz="0" w:space="0" w:color="auto"/>
                <w:right w:val="none" w:sz="0" w:space="0" w:color="auto"/>
              </w:divBdr>
              <w:divsChild>
                <w:div w:id="9007516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8118855">
      <w:bodyDiv w:val="1"/>
      <w:marLeft w:val="0"/>
      <w:marRight w:val="0"/>
      <w:marTop w:val="0"/>
      <w:marBottom w:val="0"/>
      <w:divBdr>
        <w:top w:val="none" w:sz="0" w:space="0" w:color="auto"/>
        <w:left w:val="none" w:sz="0" w:space="0" w:color="auto"/>
        <w:bottom w:val="none" w:sz="0" w:space="0" w:color="auto"/>
        <w:right w:val="none" w:sz="0" w:space="0" w:color="auto"/>
      </w:divBdr>
    </w:div>
    <w:div w:id="702630574">
      <w:bodyDiv w:val="1"/>
      <w:marLeft w:val="0"/>
      <w:marRight w:val="0"/>
      <w:marTop w:val="0"/>
      <w:marBottom w:val="0"/>
      <w:divBdr>
        <w:top w:val="none" w:sz="0" w:space="0" w:color="auto"/>
        <w:left w:val="none" w:sz="0" w:space="0" w:color="auto"/>
        <w:bottom w:val="none" w:sz="0" w:space="0" w:color="auto"/>
        <w:right w:val="none" w:sz="0" w:space="0" w:color="auto"/>
      </w:divBdr>
    </w:div>
    <w:div w:id="706299999">
      <w:bodyDiv w:val="1"/>
      <w:marLeft w:val="0"/>
      <w:marRight w:val="0"/>
      <w:marTop w:val="0"/>
      <w:marBottom w:val="0"/>
      <w:divBdr>
        <w:top w:val="none" w:sz="0" w:space="0" w:color="auto"/>
        <w:left w:val="none" w:sz="0" w:space="0" w:color="auto"/>
        <w:bottom w:val="none" w:sz="0" w:space="0" w:color="auto"/>
        <w:right w:val="none" w:sz="0" w:space="0" w:color="auto"/>
      </w:divBdr>
    </w:div>
    <w:div w:id="708188453">
      <w:bodyDiv w:val="1"/>
      <w:marLeft w:val="0"/>
      <w:marRight w:val="0"/>
      <w:marTop w:val="0"/>
      <w:marBottom w:val="0"/>
      <w:divBdr>
        <w:top w:val="none" w:sz="0" w:space="0" w:color="auto"/>
        <w:left w:val="none" w:sz="0" w:space="0" w:color="auto"/>
        <w:bottom w:val="none" w:sz="0" w:space="0" w:color="auto"/>
        <w:right w:val="none" w:sz="0" w:space="0" w:color="auto"/>
      </w:divBdr>
    </w:div>
    <w:div w:id="709844818">
      <w:bodyDiv w:val="1"/>
      <w:marLeft w:val="0"/>
      <w:marRight w:val="0"/>
      <w:marTop w:val="0"/>
      <w:marBottom w:val="0"/>
      <w:divBdr>
        <w:top w:val="none" w:sz="0" w:space="0" w:color="auto"/>
        <w:left w:val="none" w:sz="0" w:space="0" w:color="auto"/>
        <w:bottom w:val="none" w:sz="0" w:space="0" w:color="auto"/>
        <w:right w:val="none" w:sz="0" w:space="0" w:color="auto"/>
      </w:divBdr>
    </w:div>
    <w:div w:id="711614048">
      <w:bodyDiv w:val="1"/>
      <w:marLeft w:val="0"/>
      <w:marRight w:val="0"/>
      <w:marTop w:val="0"/>
      <w:marBottom w:val="0"/>
      <w:divBdr>
        <w:top w:val="none" w:sz="0" w:space="0" w:color="auto"/>
        <w:left w:val="none" w:sz="0" w:space="0" w:color="auto"/>
        <w:bottom w:val="none" w:sz="0" w:space="0" w:color="auto"/>
        <w:right w:val="none" w:sz="0" w:space="0" w:color="auto"/>
      </w:divBdr>
    </w:div>
    <w:div w:id="731540733">
      <w:bodyDiv w:val="1"/>
      <w:marLeft w:val="0"/>
      <w:marRight w:val="0"/>
      <w:marTop w:val="0"/>
      <w:marBottom w:val="0"/>
      <w:divBdr>
        <w:top w:val="none" w:sz="0" w:space="0" w:color="auto"/>
        <w:left w:val="none" w:sz="0" w:space="0" w:color="auto"/>
        <w:bottom w:val="none" w:sz="0" w:space="0" w:color="auto"/>
        <w:right w:val="none" w:sz="0" w:space="0" w:color="auto"/>
      </w:divBdr>
    </w:div>
    <w:div w:id="751781438">
      <w:bodyDiv w:val="1"/>
      <w:marLeft w:val="0"/>
      <w:marRight w:val="0"/>
      <w:marTop w:val="0"/>
      <w:marBottom w:val="0"/>
      <w:divBdr>
        <w:top w:val="none" w:sz="0" w:space="0" w:color="auto"/>
        <w:left w:val="none" w:sz="0" w:space="0" w:color="auto"/>
        <w:bottom w:val="none" w:sz="0" w:space="0" w:color="auto"/>
        <w:right w:val="none" w:sz="0" w:space="0" w:color="auto"/>
      </w:divBdr>
    </w:div>
    <w:div w:id="762412007">
      <w:bodyDiv w:val="1"/>
      <w:marLeft w:val="0"/>
      <w:marRight w:val="0"/>
      <w:marTop w:val="0"/>
      <w:marBottom w:val="0"/>
      <w:divBdr>
        <w:top w:val="none" w:sz="0" w:space="0" w:color="auto"/>
        <w:left w:val="none" w:sz="0" w:space="0" w:color="auto"/>
        <w:bottom w:val="none" w:sz="0" w:space="0" w:color="auto"/>
        <w:right w:val="none" w:sz="0" w:space="0" w:color="auto"/>
      </w:divBdr>
    </w:div>
    <w:div w:id="762459873">
      <w:bodyDiv w:val="1"/>
      <w:marLeft w:val="0"/>
      <w:marRight w:val="0"/>
      <w:marTop w:val="0"/>
      <w:marBottom w:val="0"/>
      <w:divBdr>
        <w:top w:val="none" w:sz="0" w:space="0" w:color="auto"/>
        <w:left w:val="none" w:sz="0" w:space="0" w:color="auto"/>
        <w:bottom w:val="none" w:sz="0" w:space="0" w:color="auto"/>
        <w:right w:val="none" w:sz="0" w:space="0" w:color="auto"/>
      </w:divBdr>
    </w:div>
    <w:div w:id="764375136">
      <w:bodyDiv w:val="1"/>
      <w:marLeft w:val="0"/>
      <w:marRight w:val="0"/>
      <w:marTop w:val="0"/>
      <w:marBottom w:val="0"/>
      <w:divBdr>
        <w:top w:val="none" w:sz="0" w:space="0" w:color="auto"/>
        <w:left w:val="none" w:sz="0" w:space="0" w:color="auto"/>
        <w:bottom w:val="none" w:sz="0" w:space="0" w:color="auto"/>
        <w:right w:val="none" w:sz="0" w:space="0" w:color="auto"/>
      </w:divBdr>
    </w:div>
    <w:div w:id="764496663">
      <w:bodyDiv w:val="1"/>
      <w:marLeft w:val="0"/>
      <w:marRight w:val="0"/>
      <w:marTop w:val="0"/>
      <w:marBottom w:val="0"/>
      <w:divBdr>
        <w:top w:val="none" w:sz="0" w:space="0" w:color="auto"/>
        <w:left w:val="none" w:sz="0" w:space="0" w:color="auto"/>
        <w:bottom w:val="none" w:sz="0" w:space="0" w:color="auto"/>
        <w:right w:val="none" w:sz="0" w:space="0" w:color="auto"/>
      </w:divBdr>
    </w:div>
    <w:div w:id="767386750">
      <w:bodyDiv w:val="1"/>
      <w:marLeft w:val="0"/>
      <w:marRight w:val="0"/>
      <w:marTop w:val="0"/>
      <w:marBottom w:val="0"/>
      <w:divBdr>
        <w:top w:val="none" w:sz="0" w:space="0" w:color="auto"/>
        <w:left w:val="none" w:sz="0" w:space="0" w:color="auto"/>
        <w:bottom w:val="none" w:sz="0" w:space="0" w:color="auto"/>
        <w:right w:val="none" w:sz="0" w:space="0" w:color="auto"/>
      </w:divBdr>
    </w:div>
    <w:div w:id="779642973">
      <w:bodyDiv w:val="1"/>
      <w:marLeft w:val="0"/>
      <w:marRight w:val="0"/>
      <w:marTop w:val="0"/>
      <w:marBottom w:val="0"/>
      <w:divBdr>
        <w:top w:val="none" w:sz="0" w:space="0" w:color="auto"/>
        <w:left w:val="none" w:sz="0" w:space="0" w:color="auto"/>
        <w:bottom w:val="none" w:sz="0" w:space="0" w:color="auto"/>
        <w:right w:val="none" w:sz="0" w:space="0" w:color="auto"/>
      </w:divBdr>
    </w:div>
    <w:div w:id="786847718">
      <w:bodyDiv w:val="1"/>
      <w:marLeft w:val="0"/>
      <w:marRight w:val="0"/>
      <w:marTop w:val="0"/>
      <w:marBottom w:val="0"/>
      <w:divBdr>
        <w:top w:val="none" w:sz="0" w:space="0" w:color="auto"/>
        <w:left w:val="none" w:sz="0" w:space="0" w:color="auto"/>
        <w:bottom w:val="none" w:sz="0" w:space="0" w:color="auto"/>
        <w:right w:val="none" w:sz="0" w:space="0" w:color="auto"/>
      </w:divBdr>
    </w:div>
    <w:div w:id="787116752">
      <w:bodyDiv w:val="1"/>
      <w:marLeft w:val="0"/>
      <w:marRight w:val="0"/>
      <w:marTop w:val="0"/>
      <w:marBottom w:val="0"/>
      <w:divBdr>
        <w:top w:val="none" w:sz="0" w:space="0" w:color="auto"/>
        <w:left w:val="none" w:sz="0" w:space="0" w:color="auto"/>
        <w:bottom w:val="none" w:sz="0" w:space="0" w:color="auto"/>
        <w:right w:val="none" w:sz="0" w:space="0" w:color="auto"/>
      </w:divBdr>
    </w:div>
    <w:div w:id="811488098">
      <w:bodyDiv w:val="1"/>
      <w:marLeft w:val="0"/>
      <w:marRight w:val="0"/>
      <w:marTop w:val="0"/>
      <w:marBottom w:val="0"/>
      <w:divBdr>
        <w:top w:val="none" w:sz="0" w:space="0" w:color="auto"/>
        <w:left w:val="none" w:sz="0" w:space="0" w:color="auto"/>
        <w:bottom w:val="none" w:sz="0" w:space="0" w:color="auto"/>
        <w:right w:val="none" w:sz="0" w:space="0" w:color="auto"/>
      </w:divBdr>
    </w:div>
    <w:div w:id="816338388">
      <w:bodyDiv w:val="1"/>
      <w:marLeft w:val="0"/>
      <w:marRight w:val="0"/>
      <w:marTop w:val="0"/>
      <w:marBottom w:val="0"/>
      <w:divBdr>
        <w:top w:val="none" w:sz="0" w:space="0" w:color="auto"/>
        <w:left w:val="none" w:sz="0" w:space="0" w:color="auto"/>
        <w:bottom w:val="none" w:sz="0" w:space="0" w:color="auto"/>
        <w:right w:val="none" w:sz="0" w:space="0" w:color="auto"/>
      </w:divBdr>
    </w:div>
    <w:div w:id="818301082">
      <w:bodyDiv w:val="1"/>
      <w:marLeft w:val="0"/>
      <w:marRight w:val="0"/>
      <w:marTop w:val="0"/>
      <w:marBottom w:val="0"/>
      <w:divBdr>
        <w:top w:val="none" w:sz="0" w:space="0" w:color="auto"/>
        <w:left w:val="none" w:sz="0" w:space="0" w:color="auto"/>
        <w:bottom w:val="none" w:sz="0" w:space="0" w:color="auto"/>
        <w:right w:val="none" w:sz="0" w:space="0" w:color="auto"/>
      </w:divBdr>
    </w:div>
    <w:div w:id="822349970">
      <w:bodyDiv w:val="1"/>
      <w:marLeft w:val="0"/>
      <w:marRight w:val="0"/>
      <w:marTop w:val="0"/>
      <w:marBottom w:val="0"/>
      <w:divBdr>
        <w:top w:val="none" w:sz="0" w:space="0" w:color="auto"/>
        <w:left w:val="none" w:sz="0" w:space="0" w:color="auto"/>
        <w:bottom w:val="none" w:sz="0" w:space="0" w:color="auto"/>
        <w:right w:val="none" w:sz="0" w:space="0" w:color="auto"/>
      </w:divBdr>
    </w:div>
    <w:div w:id="823668187">
      <w:bodyDiv w:val="1"/>
      <w:marLeft w:val="0"/>
      <w:marRight w:val="0"/>
      <w:marTop w:val="0"/>
      <w:marBottom w:val="0"/>
      <w:divBdr>
        <w:top w:val="none" w:sz="0" w:space="0" w:color="auto"/>
        <w:left w:val="none" w:sz="0" w:space="0" w:color="auto"/>
        <w:bottom w:val="none" w:sz="0" w:space="0" w:color="auto"/>
        <w:right w:val="none" w:sz="0" w:space="0" w:color="auto"/>
      </w:divBdr>
    </w:div>
    <w:div w:id="823857870">
      <w:bodyDiv w:val="1"/>
      <w:marLeft w:val="0"/>
      <w:marRight w:val="0"/>
      <w:marTop w:val="0"/>
      <w:marBottom w:val="0"/>
      <w:divBdr>
        <w:top w:val="none" w:sz="0" w:space="0" w:color="auto"/>
        <w:left w:val="none" w:sz="0" w:space="0" w:color="auto"/>
        <w:bottom w:val="none" w:sz="0" w:space="0" w:color="auto"/>
        <w:right w:val="none" w:sz="0" w:space="0" w:color="auto"/>
      </w:divBdr>
    </w:div>
    <w:div w:id="826825924">
      <w:bodyDiv w:val="1"/>
      <w:marLeft w:val="0"/>
      <w:marRight w:val="0"/>
      <w:marTop w:val="0"/>
      <w:marBottom w:val="0"/>
      <w:divBdr>
        <w:top w:val="none" w:sz="0" w:space="0" w:color="auto"/>
        <w:left w:val="none" w:sz="0" w:space="0" w:color="auto"/>
        <w:bottom w:val="none" w:sz="0" w:space="0" w:color="auto"/>
        <w:right w:val="none" w:sz="0" w:space="0" w:color="auto"/>
      </w:divBdr>
    </w:div>
    <w:div w:id="827749680">
      <w:bodyDiv w:val="1"/>
      <w:marLeft w:val="0"/>
      <w:marRight w:val="0"/>
      <w:marTop w:val="0"/>
      <w:marBottom w:val="0"/>
      <w:divBdr>
        <w:top w:val="none" w:sz="0" w:space="0" w:color="auto"/>
        <w:left w:val="none" w:sz="0" w:space="0" w:color="auto"/>
        <w:bottom w:val="none" w:sz="0" w:space="0" w:color="auto"/>
        <w:right w:val="none" w:sz="0" w:space="0" w:color="auto"/>
      </w:divBdr>
    </w:div>
    <w:div w:id="830606747">
      <w:bodyDiv w:val="1"/>
      <w:marLeft w:val="0"/>
      <w:marRight w:val="0"/>
      <w:marTop w:val="0"/>
      <w:marBottom w:val="0"/>
      <w:divBdr>
        <w:top w:val="none" w:sz="0" w:space="0" w:color="auto"/>
        <w:left w:val="none" w:sz="0" w:space="0" w:color="auto"/>
        <w:bottom w:val="none" w:sz="0" w:space="0" w:color="auto"/>
        <w:right w:val="none" w:sz="0" w:space="0" w:color="auto"/>
      </w:divBdr>
    </w:div>
    <w:div w:id="833224758">
      <w:bodyDiv w:val="1"/>
      <w:marLeft w:val="0"/>
      <w:marRight w:val="0"/>
      <w:marTop w:val="0"/>
      <w:marBottom w:val="0"/>
      <w:divBdr>
        <w:top w:val="none" w:sz="0" w:space="0" w:color="auto"/>
        <w:left w:val="none" w:sz="0" w:space="0" w:color="auto"/>
        <w:bottom w:val="none" w:sz="0" w:space="0" w:color="auto"/>
        <w:right w:val="none" w:sz="0" w:space="0" w:color="auto"/>
      </w:divBdr>
    </w:div>
    <w:div w:id="833686460">
      <w:bodyDiv w:val="1"/>
      <w:marLeft w:val="0"/>
      <w:marRight w:val="0"/>
      <w:marTop w:val="0"/>
      <w:marBottom w:val="0"/>
      <w:divBdr>
        <w:top w:val="none" w:sz="0" w:space="0" w:color="auto"/>
        <w:left w:val="none" w:sz="0" w:space="0" w:color="auto"/>
        <w:bottom w:val="none" w:sz="0" w:space="0" w:color="auto"/>
        <w:right w:val="none" w:sz="0" w:space="0" w:color="auto"/>
      </w:divBdr>
    </w:div>
    <w:div w:id="851378650">
      <w:bodyDiv w:val="1"/>
      <w:marLeft w:val="0"/>
      <w:marRight w:val="0"/>
      <w:marTop w:val="0"/>
      <w:marBottom w:val="0"/>
      <w:divBdr>
        <w:top w:val="none" w:sz="0" w:space="0" w:color="auto"/>
        <w:left w:val="none" w:sz="0" w:space="0" w:color="auto"/>
        <w:bottom w:val="none" w:sz="0" w:space="0" w:color="auto"/>
        <w:right w:val="none" w:sz="0" w:space="0" w:color="auto"/>
      </w:divBdr>
    </w:div>
    <w:div w:id="869994425">
      <w:bodyDiv w:val="1"/>
      <w:marLeft w:val="0"/>
      <w:marRight w:val="0"/>
      <w:marTop w:val="0"/>
      <w:marBottom w:val="0"/>
      <w:divBdr>
        <w:top w:val="none" w:sz="0" w:space="0" w:color="auto"/>
        <w:left w:val="none" w:sz="0" w:space="0" w:color="auto"/>
        <w:bottom w:val="none" w:sz="0" w:space="0" w:color="auto"/>
        <w:right w:val="none" w:sz="0" w:space="0" w:color="auto"/>
      </w:divBdr>
    </w:div>
    <w:div w:id="870916148">
      <w:bodyDiv w:val="1"/>
      <w:marLeft w:val="0"/>
      <w:marRight w:val="0"/>
      <w:marTop w:val="0"/>
      <w:marBottom w:val="0"/>
      <w:divBdr>
        <w:top w:val="none" w:sz="0" w:space="0" w:color="auto"/>
        <w:left w:val="none" w:sz="0" w:space="0" w:color="auto"/>
        <w:bottom w:val="none" w:sz="0" w:space="0" w:color="auto"/>
        <w:right w:val="none" w:sz="0" w:space="0" w:color="auto"/>
      </w:divBdr>
    </w:div>
    <w:div w:id="872810225">
      <w:bodyDiv w:val="1"/>
      <w:marLeft w:val="0"/>
      <w:marRight w:val="0"/>
      <w:marTop w:val="0"/>
      <w:marBottom w:val="0"/>
      <w:divBdr>
        <w:top w:val="none" w:sz="0" w:space="0" w:color="auto"/>
        <w:left w:val="none" w:sz="0" w:space="0" w:color="auto"/>
        <w:bottom w:val="none" w:sz="0" w:space="0" w:color="auto"/>
        <w:right w:val="none" w:sz="0" w:space="0" w:color="auto"/>
      </w:divBdr>
    </w:div>
    <w:div w:id="873232460">
      <w:bodyDiv w:val="1"/>
      <w:marLeft w:val="0"/>
      <w:marRight w:val="0"/>
      <w:marTop w:val="0"/>
      <w:marBottom w:val="0"/>
      <w:divBdr>
        <w:top w:val="none" w:sz="0" w:space="0" w:color="auto"/>
        <w:left w:val="none" w:sz="0" w:space="0" w:color="auto"/>
        <w:bottom w:val="none" w:sz="0" w:space="0" w:color="auto"/>
        <w:right w:val="none" w:sz="0" w:space="0" w:color="auto"/>
      </w:divBdr>
    </w:div>
    <w:div w:id="873468344">
      <w:bodyDiv w:val="1"/>
      <w:marLeft w:val="0"/>
      <w:marRight w:val="0"/>
      <w:marTop w:val="0"/>
      <w:marBottom w:val="0"/>
      <w:divBdr>
        <w:top w:val="none" w:sz="0" w:space="0" w:color="auto"/>
        <w:left w:val="none" w:sz="0" w:space="0" w:color="auto"/>
        <w:bottom w:val="none" w:sz="0" w:space="0" w:color="auto"/>
        <w:right w:val="none" w:sz="0" w:space="0" w:color="auto"/>
      </w:divBdr>
    </w:div>
    <w:div w:id="876504730">
      <w:bodyDiv w:val="1"/>
      <w:marLeft w:val="0"/>
      <w:marRight w:val="0"/>
      <w:marTop w:val="0"/>
      <w:marBottom w:val="0"/>
      <w:divBdr>
        <w:top w:val="none" w:sz="0" w:space="0" w:color="auto"/>
        <w:left w:val="none" w:sz="0" w:space="0" w:color="auto"/>
        <w:bottom w:val="none" w:sz="0" w:space="0" w:color="auto"/>
        <w:right w:val="none" w:sz="0" w:space="0" w:color="auto"/>
      </w:divBdr>
    </w:div>
    <w:div w:id="876624168">
      <w:bodyDiv w:val="1"/>
      <w:marLeft w:val="0"/>
      <w:marRight w:val="0"/>
      <w:marTop w:val="0"/>
      <w:marBottom w:val="0"/>
      <w:divBdr>
        <w:top w:val="none" w:sz="0" w:space="0" w:color="auto"/>
        <w:left w:val="none" w:sz="0" w:space="0" w:color="auto"/>
        <w:bottom w:val="none" w:sz="0" w:space="0" w:color="auto"/>
        <w:right w:val="none" w:sz="0" w:space="0" w:color="auto"/>
      </w:divBdr>
    </w:div>
    <w:div w:id="881407195">
      <w:bodyDiv w:val="1"/>
      <w:marLeft w:val="0"/>
      <w:marRight w:val="0"/>
      <w:marTop w:val="0"/>
      <w:marBottom w:val="0"/>
      <w:divBdr>
        <w:top w:val="none" w:sz="0" w:space="0" w:color="auto"/>
        <w:left w:val="none" w:sz="0" w:space="0" w:color="auto"/>
        <w:bottom w:val="none" w:sz="0" w:space="0" w:color="auto"/>
        <w:right w:val="none" w:sz="0" w:space="0" w:color="auto"/>
      </w:divBdr>
    </w:div>
    <w:div w:id="882474950">
      <w:bodyDiv w:val="1"/>
      <w:marLeft w:val="0"/>
      <w:marRight w:val="0"/>
      <w:marTop w:val="0"/>
      <w:marBottom w:val="0"/>
      <w:divBdr>
        <w:top w:val="none" w:sz="0" w:space="0" w:color="auto"/>
        <w:left w:val="none" w:sz="0" w:space="0" w:color="auto"/>
        <w:bottom w:val="none" w:sz="0" w:space="0" w:color="auto"/>
        <w:right w:val="none" w:sz="0" w:space="0" w:color="auto"/>
      </w:divBdr>
    </w:div>
    <w:div w:id="885411316">
      <w:bodyDiv w:val="1"/>
      <w:marLeft w:val="0"/>
      <w:marRight w:val="0"/>
      <w:marTop w:val="0"/>
      <w:marBottom w:val="0"/>
      <w:divBdr>
        <w:top w:val="none" w:sz="0" w:space="0" w:color="auto"/>
        <w:left w:val="none" w:sz="0" w:space="0" w:color="auto"/>
        <w:bottom w:val="none" w:sz="0" w:space="0" w:color="auto"/>
        <w:right w:val="none" w:sz="0" w:space="0" w:color="auto"/>
      </w:divBdr>
    </w:div>
    <w:div w:id="889729482">
      <w:bodyDiv w:val="1"/>
      <w:marLeft w:val="0"/>
      <w:marRight w:val="0"/>
      <w:marTop w:val="0"/>
      <w:marBottom w:val="0"/>
      <w:divBdr>
        <w:top w:val="none" w:sz="0" w:space="0" w:color="auto"/>
        <w:left w:val="none" w:sz="0" w:space="0" w:color="auto"/>
        <w:bottom w:val="none" w:sz="0" w:space="0" w:color="auto"/>
        <w:right w:val="none" w:sz="0" w:space="0" w:color="auto"/>
      </w:divBdr>
    </w:div>
    <w:div w:id="891816785">
      <w:bodyDiv w:val="1"/>
      <w:marLeft w:val="0"/>
      <w:marRight w:val="0"/>
      <w:marTop w:val="0"/>
      <w:marBottom w:val="0"/>
      <w:divBdr>
        <w:top w:val="none" w:sz="0" w:space="0" w:color="auto"/>
        <w:left w:val="none" w:sz="0" w:space="0" w:color="auto"/>
        <w:bottom w:val="none" w:sz="0" w:space="0" w:color="auto"/>
        <w:right w:val="none" w:sz="0" w:space="0" w:color="auto"/>
      </w:divBdr>
      <w:divsChild>
        <w:div w:id="765536443">
          <w:marLeft w:val="0"/>
          <w:marRight w:val="0"/>
          <w:marTop w:val="0"/>
          <w:marBottom w:val="0"/>
          <w:divBdr>
            <w:top w:val="none" w:sz="0" w:space="0" w:color="auto"/>
            <w:left w:val="none" w:sz="0" w:space="0" w:color="auto"/>
            <w:bottom w:val="none" w:sz="0" w:space="0" w:color="auto"/>
            <w:right w:val="none" w:sz="0" w:space="0" w:color="auto"/>
          </w:divBdr>
          <w:divsChild>
            <w:div w:id="1716541754">
              <w:marLeft w:val="0"/>
              <w:marRight w:val="0"/>
              <w:marTop w:val="0"/>
              <w:marBottom w:val="0"/>
              <w:divBdr>
                <w:top w:val="none" w:sz="0" w:space="0" w:color="auto"/>
                <w:left w:val="none" w:sz="0" w:space="0" w:color="auto"/>
                <w:bottom w:val="none" w:sz="0" w:space="0" w:color="auto"/>
                <w:right w:val="none" w:sz="0" w:space="0" w:color="auto"/>
              </w:divBdr>
              <w:divsChild>
                <w:div w:id="15624037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3396825">
      <w:bodyDiv w:val="1"/>
      <w:marLeft w:val="0"/>
      <w:marRight w:val="0"/>
      <w:marTop w:val="0"/>
      <w:marBottom w:val="0"/>
      <w:divBdr>
        <w:top w:val="none" w:sz="0" w:space="0" w:color="auto"/>
        <w:left w:val="none" w:sz="0" w:space="0" w:color="auto"/>
        <w:bottom w:val="none" w:sz="0" w:space="0" w:color="auto"/>
        <w:right w:val="none" w:sz="0" w:space="0" w:color="auto"/>
      </w:divBdr>
    </w:div>
    <w:div w:id="893781852">
      <w:bodyDiv w:val="1"/>
      <w:marLeft w:val="0"/>
      <w:marRight w:val="0"/>
      <w:marTop w:val="0"/>
      <w:marBottom w:val="0"/>
      <w:divBdr>
        <w:top w:val="none" w:sz="0" w:space="0" w:color="auto"/>
        <w:left w:val="none" w:sz="0" w:space="0" w:color="auto"/>
        <w:bottom w:val="none" w:sz="0" w:space="0" w:color="auto"/>
        <w:right w:val="none" w:sz="0" w:space="0" w:color="auto"/>
      </w:divBdr>
    </w:div>
    <w:div w:id="899705282">
      <w:bodyDiv w:val="1"/>
      <w:marLeft w:val="0"/>
      <w:marRight w:val="0"/>
      <w:marTop w:val="0"/>
      <w:marBottom w:val="0"/>
      <w:divBdr>
        <w:top w:val="none" w:sz="0" w:space="0" w:color="auto"/>
        <w:left w:val="none" w:sz="0" w:space="0" w:color="auto"/>
        <w:bottom w:val="none" w:sz="0" w:space="0" w:color="auto"/>
        <w:right w:val="none" w:sz="0" w:space="0" w:color="auto"/>
      </w:divBdr>
    </w:div>
    <w:div w:id="904222607">
      <w:bodyDiv w:val="1"/>
      <w:marLeft w:val="0"/>
      <w:marRight w:val="0"/>
      <w:marTop w:val="0"/>
      <w:marBottom w:val="0"/>
      <w:divBdr>
        <w:top w:val="none" w:sz="0" w:space="0" w:color="auto"/>
        <w:left w:val="none" w:sz="0" w:space="0" w:color="auto"/>
        <w:bottom w:val="none" w:sz="0" w:space="0" w:color="auto"/>
        <w:right w:val="none" w:sz="0" w:space="0" w:color="auto"/>
      </w:divBdr>
    </w:div>
    <w:div w:id="910696793">
      <w:bodyDiv w:val="1"/>
      <w:marLeft w:val="0"/>
      <w:marRight w:val="0"/>
      <w:marTop w:val="0"/>
      <w:marBottom w:val="0"/>
      <w:divBdr>
        <w:top w:val="none" w:sz="0" w:space="0" w:color="auto"/>
        <w:left w:val="none" w:sz="0" w:space="0" w:color="auto"/>
        <w:bottom w:val="none" w:sz="0" w:space="0" w:color="auto"/>
        <w:right w:val="none" w:sz="0" w:space="0" w:color="auto"/>
      </w:divBdr>
    </w:div>
    <w:div w:id="912542690">
      <w:bodyDiv w:val="1"/>
      <w:marLeft w:val="0"/>
      <w:marRight w:val="0"/>
      <w:marTop w:val="0"/>
      <w:marBottom w:val="0"/>
      <w:divBdr>
        <w:top w:val="none" w:sz="0" w:space="0" w:color="auto"/>
        <w:left w:val="none" w:sz="0" w:space="0" w:color="auto"/>
        <w:bottom w:val="none" w:sz="0" w:space="0" w:color="auto"/>
        <w:right w:val="none" w:sz="0" w:space="0" w:color="auto"/>
      </w:divBdr>
    </w:div>
    <w:div w:id="916094266">
      <w:bodyDiv w:val="1"/>
      <w:marLeft w:val="0"/>
      <w:marRight w:val="0"/>
      <w:marTop w:val="0"/>
      <w:marBottom w:val="0"/>
      <w:divBdr>
        <w:top w:val="none" w:sz="0" w:space="0" w:color="auto"/>
        <w:left w:val="none" w:sz="0" w:space="0" w:color="auto"/>
        <w:bottom w:val="none" w:sz="0" w:space="0" w:color="auto"/>
        <w:right w:val="none" w:sz="0" w:space="0" w:color="auto"/>
      </w:divBdr>
    </w:div>
    <w:div w:id="920679794">
      <w:bodyDiv w:val="1"/>
      <w:marLeft w:val="0"/>
      <w:marRight w:val="0"/>
      <w:marTop w:val="0"/>
      <w:marBottom w:val="0"/>
      <w:divBdr>
        <w:top w:val="none" w:sz="0" w:space="0" w:color="auto"/>
        <w:left w:val="none" w:sz="0" w:space="0" w:color="auto"/>
        <w:bottom w:val="none" w:sz="0" w:space="0" w:color="auto"/>
        <w:right w:val="none" w:sz="0" w:space="0" w:color="auto"/>
      </w:divBdr>
    </w:div>
    <w:div w:id="931208607">
      <w:bodyDiv w:val="1"/>
      <w:marLeft w:val="0"/>
      <w:marRight w:val="0"/>
      <w:marTop w:val="0"/>
      <w:marBottom w:val="0"/>
      <w:divBdr>
        <w:top w:val="none" w:sz="0" w:space="0" w:color="auto"/>
        <w:left w:val="none" w:sz="0" w:space="0" w:color="auto"/>
        <w:bottom w:val="none" w:sz="0" w:space="0" w:color="auto"/>
        <w:right w:val="none" w:sz="0" w:space="0" w:color="auto"/>
      </w:divBdr>
    </w:div>
    <w:div w:id="937327862">
      <w:bodyDiv w:val="1"/>
      <w:marLeft w:val="0"/>
      <w:marRight w:val="0"/>
      <w:marTop w:val="0"/>
      <w:marBottom w:val="0"/>
      <w:divBdr>
        <w:top w:val="none" w:sz="0" w:space="0" w:color="auto"/>
        <w:left w:val="none" w:sz="0" w:space="0" w:color="auto"/>
        <w:bottom w:val="none" w:sz="0" w:space="0" w:color="auto"/>
        <w:right w:val="none" w:sz="0" w:space="0" w:color="auto"/>
      </w:divBdr>
    </w:div>
    <w:div w:id="939138593">
      <w:bodyDiv w:val="1"/>
      <w:marLeft w:val="0"/>
      <w:marRight w:val="0"/>
      <w:marTop w:val="0"/>
      <w:marBottom w:val="0"/>
      <w:divBdr>
        <w:top w:val="none" w:sz="0" w:space="0" w:color="auto"/>
        <w:left w:val="none" w:sz="0" w:space="0" w:color="auto"/>
        <w:bottom w:val="none" w:sz="0" w:space="0" w:color="auto"/>
        <w:right w:val="none" w:sz="0" w:space="0" w:color="auto"/>
      </w:divBdr>
    </w:div>
    <w:div w:id="942420433">
      <w:bodyDiv w:val="1"/>
      <w:marLeft w:val="0"/>
      <w:marRight w:val="0"/>
      <w:marTop w:val="0"/>
      <w:marBottom w:val="0"/>
      <w:divBdr>
        <w:top w:val="none" w:sz="0" w:space="0" w:color="auto"/>
        <w:left w:val="none" w:sz="0" w:space="0" w:color="auto"/>
        <w:bottom w:val="none" w:sz="0" w:space="0" w:color="auto"/>
        <w:right w:val="none" w:sz="0" w:space="0" w:color="auto"/>
      </w:divBdr>
    </w:div>
    <w:div w:id="942803244">
      <w:bodyDiv w:val="1"/>
      <w:marLeft w:val="0"/>
      <w:marRight w:val="0"/>
      <w:marTop w:val="0"/>
      <w:marBottom w:val="0"/>
      <w:divBdr>
        <w:top w:val="none" w:sz="0" w:space="0" w:color="auto"/>
        <w:left w:val="none" w:sz="0" w:space="0" w:color="auto"/>
        <w:bottom w:val="none" w:sz="0" w:space="0" w:color="auto"/>
        <w:right w:val="none" w:sz="0" w:space="0" w:color="auto"/>
      </w:divBdr>
    </w:div>
    <w:div w:id="947197391">
      <w:bodyDiv w:val="1"/>
      <w:marLeft w:val="0"/>
      <w:marRight w:val="0"/>
      <w:marTop w:val="0"/>
      <w:marBottom w:val="0"/>
      <w:divBdr>
        <w:top w:val="none" w:sz="0" w:space="0" w:color="auto"/>
        <w:left w:val="none" w:sz="0" w:space="0" w:color="auto"/>
        <w:bottom w:val="none" w:sz="0" w:space="0" w:color="auto"/>
        <w:right w:val="none" w:sz="0" w:space="0" w:color="auto"/>
      </w:divBdr>
    </w:div>
    <w:div w:id="955674100">
      <w:bodyDiv w:val="1"/>
      <w:marLeft w:val="0"/>
      <w:marRight w:val="0"/>
      <w:marTop w:val="0"/>
      <w:marBottom w:val="0"/>
      <w:divBdr>
        <w:top w:val="none" w:sz="0" w:space="0" w:color="auto"/>
        <w:left w:val="none" w:sz="0" w:space="0" w:color="auto"/>
        <w:bottom w:val="none" w:sz="0" w:space="0" w:color="auto"/>
        <w:right w:val="none" w:sz="0" w:space="0" w:color="auto"/>
      </w:divBdr>
    </w:div>
    <w:div w:id="960840810">
      <w:bodyDiv w:val="1"/>
      <w:marLeft w:val="0"/>
      <w:marRight w:val="0"/>
      <w:marTop w:val="0"/>
      <w:marBottom w:val="0"/>
      <w:divBdr>
        <w:top w:val="none" w:sz="0" w:space="0" w:color="auto"/>
        <w:left w:val="none" w:sz="0" w:space="0" w:color="auto"/>
        <w:bottom w:val="none" w:sz="0" w:space="0" w:color="auto"/>
        <w:right w:val="none" w:sz="0" w:space="0" w:color="auto"/>
      </w:divBdr>
    </w:div>
    <w:div w:id="966936661">
      <w:bodyDiv w:val="1"/>
      <w:marLeft w:val="0"/>
      <w:marRight w:val="0"/>
      <w:marTop w:val="0"/>
      <w:marBottom w:val="0"/>
      <w:divBdr>
        <w:top w:val="none" w:sz="0" w:space="0" w:color="auto"/>
        <w:left w:val="none" w:sz="0" w:space="0" w:color="auto"/>
        <w:bottom w:val="none" w:sz="0" w:space="0" w:color="auto"/>
        <w:right w:val="none" w:sz="0" w:space="0" w:color="auto"/>
      </w:divBdr>
    </w:div>
    <w:div w:id="974260038">
      <w:bodyDiv w:val="1"/>
      <w:marLeft w:val="0"/>
      <w:marRight w:val="0"/>
      <w:marTop w:val="0"/>
      <w:marBottom w:val="0"/>
      <w:divBdr>
        <w:top w:val="none" w:sz="0" w:space="0" w:color="auto"/>
        <w:left w:val="none" w:sz="0" w:space="0" w:color="auto"/>
        <w:bottom w:val="none" w:sz="0" w:space="0" w:color="auto"/>
        <w:right w:val="none" w:sz="0" w:space="0" w:color="auto"/>
      </w:divBdr>
    </w:div>
    <w:div w:id="974407601">
      <w:bodyDiv w:val="1"/>
      <w:marLeft w:val="0"/>
      <w:marRight w:val="0"/>
      <w:marTop w:val="0"/>
      <w:marBottom w:val="0"/>
      <w:divBdr>
        <w:top w:val="none" w:sz="0" w:space="0" w:color="auto"/>
        <w:left w:val="none" w:sz="0" w:space="0" w:color="auto"/>
        <w:bottom w:val="none" w:sz="0" w:space="0" w:color="auto"/>
        <w:right w:val="none" w:sz="0" w:space="0" w:color="auto"/>
      </w:divBdr>
    </w:div>
    <w:div w:id="978340081">
      <w:bodyDiv w:val="1"/>
      <w:marLeft w:val="0"/>
      <w:marRight w:val="0"/>
      <w:marTop w:val="0"/>
      <w:marBottom w:val="0"/>
      <w:divBdr>
        <w:top w:val="none" w:sz="0" w:space="0" w:color="auto"/>
        <w:left w:val="none" w:sz="0" w:space="0" w:color="auto"/>
        <w:bottom w:val="none" w:sz="0" w:space="0" w:color="auto"/>
        <w:right w:val="none" w:sz="0" w:space="0" w:color="auto"/>
      </w:divBdr>
    </w:div>
    <w:div w:id="979965615">
      <w:bodyDiv w:val="1"/>
      <w:marLeft w:val="0"/>
      <w:marRight w:val="0"/>
      <w:marTop w:val="0"/>
      <w:marBottom w:val="0"/>
      <w:divBdr>
        <w:top w:val="none" w:sz="0" w:space="0" w:color="auto"/>
        <w:left w:val="none" w:sz="0" w:space="0" w:color="auto"/>
        <w:bottom w:val="none" w:sz="0" w:space="0" w:color="auto"/>
        <w:right w:val="none" w:sz="0" w:space="0" w:color="auto"/>
      </w:divBdr>
    </w:div>
    <w:div w:id="984120607">
      <w:bodyDiv w:val="1"/>
      <w:marLeft w:val="0"/>
      <w:marRight w:val="0"/>
      <w:marTop w:val="0"/>
      <w:marBottom w:val="0"/>
      <w:divBdr>
        <w:top w:val="none" w:sz="0" w:space="0" w:color="auto"/>
        <w:left w:val="none" w:sz="0" w:space="0" w:color="auto"/>
        <w:bottom w:val="none" w:sz="0" w:space="0" w:color="auto"/>
        <w:right w:val="none" w:sz="0" w:space="0" w:color="auto"/>
      </w:divBdr>
    </w:div>
    <w:div w:id="987199415">
      <w:bodyDiv w:val="1"/>
      <w:marLeft w:val="0"/>
      <w:marRight w:val="0"/>
      <w:marTop w:val="0"/>
      <w:marBottom w:val="0"/>
      <w:divBdr>
        <w:top w:val="none" w:sz="0" w:space="0" w:color="auto"/>
        <w:left w:val="none" w:sz="0" w:space="0" w:color="auto"/>
        <w:bottom w:val="none" w:sz="0" w:space="0" w:color="auto"/>
        <w:right w:val="none" w:sz="0" w:space="0" w:color="auto"/>
      </w:divBdr>
    </w:div>
    <w:div w:id="994337624">
      <w:bodyDiv w:val="1"/>
      <w:marLeft w:val="0"/>
      <w:marRight w:val="0"/>
      <w:marTop w:val="0"/>
      <w:marBottom w:val="0"/>
      <w:divBdr>
        <w:top w:val="none" w:sz="0" w:space="0" w:color="auto"/>
        <w:left w:val="none" w:sz="0" w:space="0" w:color="auto"/>
        <w:bottom w:val="none" w:sz="0" w:space="0" w:color="auto"/>
        <w:right w:val="none" w:sz="0" w:space="0" w:color="auto"/>
      </w:divBdr>
    </w:div>
    <w:div w:id="1008824510">
      <w:bodyDiv w:val="1"/>
      <w:marLeft w:val="0"/>
      <w:marRight w:val="0"/>
      <w:marTop w:val="0"/>
      <w:marBottom w:val="0"/>
      <w:divBdr>
        <w:top w:val="none" w:sz="0" w:space="0" w:color="auto"/>
        <w:left w:val="none" w:sz="0" w:space="0" w:color="auto"/>
        <w:bottom w:val="none" w:sz="0" w:space="0" w:color="auto"/>
        <w:right w:val="none" w:sz="0" w:space="0" w:color="auto"/>
      </w:divBdr>
    </w:div>
    <w:div w:id="1012151488">
      <w:bodyDiv w:val="1"/>
      <w:marLeft w:val="0"/>
      <w:marRight w:val="0"/>
      <w:marTop w:val="0"/>
      <w:marBottom w:val="0"/>
      <w:divBdr>
        <w:top w:val="none" w:sz="0" w:space="0" w:color="auto"/>
        <w:left w:val="none" w:sz="0" w:space="0" w:color="auto"/>
        <w:bottom w:val="none" w:sz="0" w:space="0" w:color="auto"/>
        <w:right w:val="none" w:sz="0" w:space="0" w:color="auto"/>
      </w:divBdr>
    </w:div>
    <w:div w:id="1023940263">
      <w:bodyDiv w:val="1"/>
      <w:marLeft w:val="0"/>
      <w:marRight w:val="0"/>
      <w:marTop w:val="0"/>
      <w:marBottom w:val="0"/>
      <w:divBdr>
        <w:top w:val="none" w:sz="0" w:space="0" w:color="auto"/>
        <w:left w:val="none" w:sz="0" w:space="0" w:color="auto"/>
        <w:bottom w:val="none" w:sz="0" w:space="0" w:color="auto"/>
        <w:right w:val="none" w:sz="0" w:space="0" w:color="auto"/>
      </w:divBdr>
    </w:div>
    <w:div w:id="1040740837">
      <w:bodyDiv w:val="1"/>
      <w:marLeft w:val="0"/>
      <w:marRight w:val="0"/>
      <w:marTop w:val="0"/>
      <w:marBottom w:val="0"/>
      <w:divBdr>
        <w:top w:val="none" w:sz="0" w:space="0" w:color="auto"/>
        <w:left w:val="none" w:sz="0" w:space="0" w:color="auto"/>
        <w:bottom w:val="none" w:sz="0" w:space="0" w:color="auto"/>
        <w:right w:val="none" w:sz="0" w:space="0" w:color="auto"/>
      </w:divBdr>
    </w:div>
    <w:div w:id="1049375458">
      <w:bodyDiv w:val="1"/>
      <w:marLeft w:val="0"/>
      <w:marRight w:val="0"/>
      <w:marTop w:val="0"/>
      <w:marBottom w:val="0"/>
      <w:divBdr>
        <w:top w:val="none" w:sz="0" w:space="0" w:color="auto"/>
        <w:left w:val="none" w:sz="0" w:space="0" w:color="auto"/>
        <w:bottom w:val="none" w:sz="0" w:space="0" w:color="auto"/>
        <w:right w:val="none" w:sz="0" w:space="0" w:color="auto"/>
      </w:divBdr>
    </w:div>
    <w:div w:id="1049525611">
      <w:bodyDiv w:val="1"/>
      <w:marLeft w:val="0"/>
      <w:marRight w:val="0"/>
      <w:marTop w:val="0"/>
      <w:marBottom w:val="0"/>
      <w:divBdr>
        <w:top w:val="none" w:sz="0" w:space="0" w:color="auto"/>
        <w:left w:val="none" w:sz="0" w:space="0" w:color="auto"/>
        <w:bottom w:val="none" w:sz="0" w:space="0" w:color="auto"/>
        <w:right w:val="none" w:sz="0" w:space="0" w:color="auto"/>
      </w:divBdr>
    </w:div>
    <w:div w:id="1050614732">
      <w:bodyDiv w:val="1"/>
      <w:marLeft w:val="0"/>
      <w:marRight w:val="0"/>
      <w:marTop w:val="0"/>
      <w:marBottom w:val="0"/>
      <w:divBdr>
        <w:top w:val="none" w:sz="0" w:space="0" w:color="auto"/>
        <w:left w:val="none" w:sz="0" w:space="0" w:color="auto"/>
        <w:bottom w:val="none" w:sz="0" w:space="0" w:color="auto"/>
        <w:right w:val="none" w:sz="0" w:space="0" w:color="auto"/>
      </w:divBdr>
    </w:div>
    <w:div w:id="1054618750">
      <w:bodyDiv w:val="1"/>
      <w:marLeft w:val="0"/>
      <w:marRight w:val="0"/>
      <w:marTop w:val="0"/>
      <w:marBottom w:val="0"/>
      <w:divBdr>
        <w:top w:val="none" w:sz="0" w:space="0" w:color="auto"/>
        <w:left w:val="none" w:sz="0" w:space="0" w:color="auto"/>
        <w:bottom w:val="none" w:sz="0" w:space="0" w:color="auto"/>
        <w:right w:val="none" w:sz="0" w:space="0" w:color="auto"/>
      </w:divBdr>
    </w:div>
    <w:div w:id="1059668669">
      <w:bodyDiv w:val="1"/>
      <w:marLeft w:val="0"/>
      <w:marRight w:val="0"/>
      <w:marTop w:val="0"/>
      <w:marBottom w:val="0"/>
      <w:divBdr>
        <w:top w:val="none" w:sz="0" w:space="0" w:color="auto"/>
        <w:left w:val="none" w:sz="0" w:space="0" w:color="auto"/>
        <w:bottom w:val="none" w:sz="0" w:space="0" w:color="auto"/>
        <w:right w:val="none" w:sz="0" w:space="0" w:color="auto"/>
      </w:divBdr>
    </w:div>
    <w:div w:id="1072583447">
      <w:bodyDiv w:val="1"/>
      <w:marLeft w:val="0"/>
      <w:marRight w:val="0"/>
      <w:marTop w:val="0"/>
      <w:marBottom w:val="0"/>
      <w:divBdr>
        <w:top w:val="none" w:sz="0" w:space="0" w:color="auto"/>
        <w:left w:val="none" w:sz="0" w:space="0" w:color="auto"/>
        <w:bottom w:val="none" w:sz="0" w:space="0" w:color="auto"/>
        <w:right w:val="none" w:sz="0" w:space="0" w:color="auto"/>
      </w:divBdr>
    </w:div>
    <w:div w:id="1086456707">
      <w:bodyDiv w:val="1"/>
      <w:marLeft w:val="0"/>
      <w:marRight w:val="0"/>
      <w:marTop w:val="0"/>
      <w:marBottom w:val="0"/>
      <w:divBdr>
        <w:top w:val="none" w:sz="0" w:space="0" w:color="auto"/>
        <w:left w:val="none" w:sz="0" w:space="0" w:color="auto"/>
        <w:bottom w:val="none" w:sz="0" w:space="0" w:color="auto"/>
        <w:right w:val="none" w:sz="0" w:space="0" w:color="auto"/>
      </w:divBdr>
    </w:div>
    <w:div w:id="1090271270">
      <w:bodyDiv w:val="1"/>
      <w:marLeft w:val="0"/>
      <w:marRight w:val="0"/>
      <w:marTop w:val="0"/>
      <w:marBottom w:val="0"/>
      <w:divBdr>
        <w:top w:val="none" w:sz="0" w:space="0" w:color="auto"/>
        <w:left w:val="none" w:sz="0" w:space="0" w:color="auto"/>
        <w:bottom w:val="none" w:sz="0" w:space="0" w:color="auto"/>
        <w:right w:val="none" w:sz="0" w:space="0" w:color="auto"/>
      </w:divBdr>
    </w:div>
    <w:div w:id="1097869174">
      <w:bodyDiv w:val="1"/>
      <w:marLeft w:val="0"/>
      <w:marRight w:val="0"/>
      <w:marTop w:val="0"/>
      <w:marBottom w:val="0"/>
      <w:divBdr>
        <w:top w:val="none" w:sz="0" w:space="0" w:color="auto"/>
        <w:left w:val="none" w:sz="0" w:space="0" w:color="auto"/>
        <w:bottom w:val="none" w:sz="0" w:space="0" w:color="auto"/>
        <w:right w:val="none" w:sz="0" w:space="0" w:color="auto"/>
      </w:divBdr>
    </w:div>
    <w:div w:id="1098284948">
      <w:bodyDiv w:val="1"/>
      <w:marLeft w:val="0"/>
      <w:marRight w:val="0"/>
      <w:marTop w:val="0"/>
      <w:marBottom w:val="0"/>
      <w:divBdr>
        <w:top w:val="none" w:sz="0" w:space="0" w:color="auto"/>
        <w:left w:val="none" w:sz="0" w:space="0" w:color="auto"/>
        <w:bottom w:val="none" w:sz="0" w:space="0" w:color="auto"/>
        <w:right w:val="none" w:sz="0" w:space="0" w:color="auto"/>
      </w:divBdr>
    </w:div>
    <w:div w:id="1099174928">
      <w:bodyDiv w:val="1"/>
      <w:marLeft w:val="0"/>
      <w:marRight w:val="0"/>
      <w:marTop w:val="0"/>
      <w:marBottom w:val="0"/>
      <w:divBdr>
        <w:top w:val="none" w:sz="0" w:space="0" w:color="auto"/>
        <w:left w:val="none" w:sz="0" w:space="0" w:color="auto"/>
        <w:bottom w:val="none" w:sz="0" w:space="0" w:color="auto"/>
        <w:right w:val="none" w:sz="0" w:space="0" w:color="auto"/>
      </w:divBdr>
    </w:div>
    <w:div w:id="1101491334">
      <w:bodyDiv w:val="1"/>
      <w:marLeft w:val="0"/>
      <w:marRight w:val="0"/>
      <w:marTop w:val="0"/>
      <w:marBottom w:val="0"/>
      <w:divBdr>
        <w:top w:val="none" w:sz="0" w:space="0" w:color="auto"/>
        <w:left w:val="none" w:sz="0" w:space="0" w:color="auto"/>
        <w:bottom w:val="none" w:sz="0" w:space="0" w:color="auto"/>
        <w:right w:val="none" w:sz="0" w:space="0" w:color="auto"/>
      </w:divBdr>
    </w:div>
    <w:div w:id="1105686637">
      <w:bodyDiv w:val="1"/>
      <w:marLeft w:val="0"/>
      <w:marRight w:val="0"/>
      <w:marTop w:val="0"/>
      <w:marBottom w:val="0"/>
      <w:divBdr>
        <w:top w:val="none" w:sz="0" w:space="0" w:color="auto"/>
        <w:left w:val="none" w:sz="0" w:space="0" w:color="auto"/>
        <w:bottom w:val="none" w:sz="0" w:space="0" w:color="auto"/>
        <w:right w:val="none" w:sz="0" w:space="0" w:color="auto"/>
      </w:divBdr>
      <w:divsChild>
        <w:div w:id="1763182356">
          <w:marLeft w:val="0"/>
          <w:marRight w:val="0"/>
          <w:marTop w:val="0"/>
          <w:marBottom w:val="0"/>
          <w:divBdr>
            <w:top w:val="none" w:sz="0" w:space="0" w:color="auto"/>
            <w:left w:val="none" w:sz="0" w:space="0" w:color="auto"/>
            <w:bottom w:val="none" w:sz="0" w:space="0" w:color="auto"/>
            <w:right w:val="none" w:sz="0" w:space="0" w:color="auto"/>
          </w:divBdr>
        </w:div>
        <w:div w:id="404768322">
          <w:marLeft w:val="0"/>
          <w:marRight w:val="0"/>
          <w:marTop w:val="0"/>
          <w:marBottom w:val="0"/>
          <w:divBdr>
            <w:top w:val="none" w:sz="0" w:space="0" w:color="auto"/>
            <w:left w:val="none" w:sz="0" w:space="0" w:color="auto"/>
            <w:bottom w:val="none" w:sz="0" w:space="0" w:color="auto"/>
            <w:right w:val="none" w:sz="0" w:space="0" w:color="auto"/>
          </w:divBdr>
        </w:div>
        <w:div w:id="1599556811">
          <w:marLeft w:val="0"/>
          <w:marRight w:val="0"/>
          <w:marTop w:val="0"/>
          <w:marBottom w:val="0"/>
          <w:divBdr>
            <w:top w:val="none" w:sz="0" w:space="0" w:color="auto"/>
            <w:left w:val="none" w:sz="0" w:space="0" w:color="auto"/>
            <w:bottom w:val="none" w:sz="0" w:space="0" w:color="auto"/>
            <w:right w:val="none" w:sz="0" w:space="0" w:color="auto"/>
          </w:divBdr>
        </w:div>
        <w:div w:id="393704680">
          <w:marLeft w:val="0"/>
          <w:marRight w:val="0"/>
          <w:marTop w:val="0"/>
          <w:marBottom w:val="0"/>
          <w:divBdr>
            <w:top w:val="none" w:sz="0" w:space="0" w:color="auto"/>
            <w:left w:val="none" w:sz="0" w:space="0" w:color="auto"/>
            <w:bottom w:val="none" w:sz="0" w:space="0" w:color="auto"/>
            <w:right w:val="none" w:sz="0" w:space="0" w:color="auto"/>
          </w:divBdr>
        </w:div>
        <w:div w:id="363211038">
          <w:marLeft w:val="0"/>
          <w:marRight w:val="0"/>
          <w:marTop w:val="0"/>
          <w:marBottom w:val="0"/>
          <w:divBdr>
            <w:top w:val="none" w:sz="0" w:space="0" w:color="auto"/>
            <w:left w:val="none" w:sz="0" w:space="0" w:color="auto"/>
            <w:bottom w:val="none" w:sz="0" w:space="0" w:color="auto"/>
            <w:right w:val="none" w:sz="0" w:space="0" w:color="auto"/>
          </w:divBdr>
        </w:div>
        <w:div w:id="124978303">
          <w:marLeft w:val="0"/>
          <w:marRight w:val="0"/>
          <w:marTop w:val="0"/>
          <w:marBottom w:val="0"/>
          <w:divBdr>
            <w:top w:val="none" w:sz="0" w:space="0" w:color="auto"/>
            <w:left w:val="none" w:sz="0" w:space="0" w:color="auto"/>
            <w:bottom w:val="none" w:sz="0" w:space="0" w:color="auto"/>
            <w:right w:val="none" w:sz="0" w:space="0" w:color="auto"/>
          </w:divBdr>
        </w:div>
        <w:div w:id="648556159">
          <w:marLeft w:val="0"/>
          <w:marRight w:val="0"/>
          <w:marTop w:val="0"/>
          <w:marBottom w:val="0"/>
          <w:divBdr>
            <w:top w:val="none" w:sz="0" w:space="0" w:color="auto"/>
            <w:left w:val="none" w:sz="0" w:space="0" w:color="auto"/>
            <w:bottom w:val="none" w:sz="0" w:space="0" w:color="auto"/>
            <w:right w:val="none" w:sz="0" w:space="0" w:color="auto"/>
          </w:divBdr>
          <w:divsChild>
            <w:div w:id="108417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1245476">
      <w:bodyDiv w:val="1"/>
      <w:marLeft w:val="0"/>
      <w:marRight w:val="0"/>
      <w:marTop w:val="0"/>
      <w:marBottom w:val="0"/>
      <w:divBdr>
        <w:top w:val="none" w:sz="0" w:space="0" w:color="auto"/>
        <w:left w:val="none" w:sz="0" w:space="0" w:color="auto"/>
        <w:bottom w:val="none" w:sz="0" w:space="0" w:color="auto"/>
        <w:right w:val="none" w:sz="0" w:space="0" w:color="auto"/>
      </w:divBdr>
    </w:div>
    <w:div w:id="1112479854">
      <w:bodyDiv w:val="1"/>
      <w:marLeft w:val="0"/>
      <w:marRight w:val="0"/>
      <w:marTop w:val="0"/>
      <w:marBottom w:val="0"/>
      <w:divBdr>
        <w:top w:val="none" w:sz="0" w:space="0" w:color="auto"/>
        <w:left w:val="none" w:sz="0" w:space="0" w:color="auto"/>
        <w:bottom w:val="none" w:sz="0" w:space="0" w:color="auto"/>
        <w:right w:val="none" w:sz="0" w:space="0" w:color="auto"/>
      </w:divBdr>
    </w:div>
    <w:div w:id="1115715723">
      <w:bodyDiv w:val="1"/>
      <w:marLeft w:val="0"/>
      <w:marRight w:val="0"/>
      <w:marTop w:val="0"/>
      <w:marBottom w:val="0"/>
      <w:divBdr>
        <w:top w:val="none" w:sz="0" w:space="0" w:color="auto"/>
        <w:left w:val="none" w:sz="0" w:space="0" w:color="auto"/>
        <w:bottom w:val="none" w:sz="0" w:space="0" w:color="auto"/>
        <w:right w:val="none" w:sz="0" w:space="0" w:color="auto"/>
      </w:divBdr>
    </w:div>
    <w:div w:id="1116410965">
      <w:bodyDiv w:val="1"/>
      <w:marLeft w:val="0"/>
      <w:marRight w:val="0"/>
      <w:marTop w:val="0"/>
      <w:marBottom w:val="0"/>
      <w:divBdr>
        <w:top w:val="none" w:sz="0" w:space="0" w:color="auto"/>
        <w:left w:val="none" w:sz="0" w:space="0" w:color="auto"/>
        <w:bottom w:val="none" w:sz="0" w:space="0" w:color="auto"/>
        <w:right w:val="none" w:sz="0" w:space="0" w:color="auto"/>
      </w:divBdr>
    </w:div>
    <w:div w:id="1123966390">
      <w:bodyDiv w:val="1"/>
      <w:marLeft w:val="0"/>
      <w:marRight w:val="0"/>
      <w:marTop w:val="0"/>
      <w:marBottom w:val="0"/>
      <w:divBdr>
        <w:top w:val="none" w:sz="0" w:space="0" w:color="auto"/>
        <w:left w:val="none" w:sz="0" w:space="0" w:color="auto"/>
        <w:bottom w:val="none" w:sz="0" w:space="0" w:color="auto"/>
        <w:right w:val="none" w:sz="0" w:space="0" w:color="auto"/>
      </w:divBdr>
    </w:div>
    <w:div w:id="1132552741">
      <w:bodyDiv w:val="1"/>
      <w:marLeft w:val="0"/>
      <w:marRight w:val="0"/>
      <w:marTop w:val="0"/>
      <w:marBottom w:val="0"/>
      <w:divBdr>
        <w:top w:val="none" w:sz="0" w:space="0" w:color="auto"/>
        <w:left w:val="none" w:sz="0" w:space="0" w:color="auto"/>
        <w:bottom w:val="none" w:sz="0" w:space="0" w:color="auto"/>
        <w:right w:val="none" w:sz="0" w:space="0" w:color="auto"/>
      </w:divBdr>
    </w:div>
    <w:div w:id="1138302770">
      <w:bodyDiv w:val="1"/>
      <w:marLeft w:val="0"/>
      <w:marRight w:val="0"/>
      <w:marTop w:val="0"/>
      <w:marBottom w:val="0"/>
      <w:divBdr>
        <w:top w:val="none" w:sz="0" w:space="0" w:color="auto"/>
        <w:left w:val="none" w:sz="0" w:space="0" w:color="auto"/>
        <w:bottom w:val="none" w:sz="0" w:space="0" w:color="auto"/>
        <w:right w:val="none" w:sz="0" w:space="0" w:color="auto"/>
      </w:divBdr>
      <w:divsChild>
        <w:div w:id="90665784">
          <w:marLeft w:val="0"/>
          <w:marRight w:val="0"/>
          <w:marTop w:val="0"/>
          <w:marBottom w:val="0"/>
          <w:divBdr>
            <w:top w:val="none" w:sz="0" w:space="0" w:color="auto"/>
            <w:left w:val="none" w:sz="0" w:space="0" w:color="auto"/>
            <w:bottom w:val="none" w:sz="0" w:space="0" w:color="auto"/>
            <w:right w:val="none" w:sz="0" w:space="0" w:color="auto"/>
          </w:divBdr>
          <w:divsChild>
            <w:div w:id="2137678254">
              <w:marLeft w:val="0"/>
              <w:marRight w:val="0"/>
              <w:marTop w:val="0"/>
              <w:marBottom w:val="0"/>
              <w:divBdr>
                <w:top w:val="none" w:sz="0" w:space="0" w:color="auto"/>
                <w:left w:val="none" w:sz="0" w:space="0" w:color="auto"/>
                <w:bottom w:val="none" w:sz="0" w:space="0" w:color="auto"/>
                <w:right w:val="none" w:sz="0" w:space="0" w:color="auto"/>
              </w:divBdr>
              <w:divsChild>
                <w:div w:id="574364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0225309">
      <w:bodyDiv w:val="1"/>
      <w:marLeft w:val="0"/>
      <w:marRight w:val="0"/>
      <w:marTop w:val="0"/>
      <w:marBottom w:val="0"/>
      <w:divBdr>
        <w:top w:val="none" w:sz="0" w:space="0" w:color="auto"/>
        <w:left w:val="none" w:sz="0" w:space="0" w:color="auto"/>
        <w:bottom w:val="none" w:sz="0" w:space="0" w:color="auto"/>
        <w:right w:val="none" w:sz="0" w:space="0" w:color="auto"/>
      </w:divBdr>
    </w:div>
    <w:div w:id="1144542012">
      <w:bodyDiv w:val="1"/>
      <w:marLeft w:val="0"/>
      <w:marRight w:val="0"/>
      <w:marTop w:val="0"/>
      <w:marBottom w:val="0"/>
      <w:divBdr>
        <w:top w:val="none" w:sz="0" w:space="0" w:color="auto"/>
        <w:left w:val="none" w:sz="0" w:space="0" w:color="auto"/>
        <w:bottom w:val="none" w:sz="0" w:space="0" w:color="auto"/>
        <w:right w:val="none" w:sz="0" w:space="0" w:color="auto"/>
      </w:divBdr>
    </w:div>
    <w:div w:id="1144737340">
      <w:bodyDiv w:val="1"/>
      <w:marLeft w:val="0"/>
      <w:marRight w:val="0"/>
      <w:marTop w:val="0"/>
      <w:marBottom w:val="0"/>
      <w:divBdr>
        <w:top w:val="none" w:sz="0" w:space="0" w:color="auto"/>
        <w:left w:val="none" w:sz="0" w:space="0" w:color="auto"/>
        <w:bottom w:val="none" w:sz="0" w:space="0" w:color="auto"/>
        <w:right w:val="none" w:sz="0" w:space="0" w:color="auto"/>
      </w:divBdr>
      <w:divsChild>
        <w:div w:id="1975209253">
          <w:marLeft w:val="0"/>
          <w:marRight w:val="0"/>
          <w:marTop w:val="0"/>
          <w:marBottom w:val="0"/>
          <w:divBdr>
            <w:top w:val="none" w:sz="0" w:space="0" w:color="auto"/>
            <w:left w:val="none" w:sz="0" w:space="0" w:color="auto"/>
            <w:bottom w:val="none" w:sz="0" w:space="0" w:color="auto"/>
            <w:right w:val="none" w:sz="0" w:space="0" w:color="auto"/>
          </w:divBdr>
        </w:div>
        <w:div w:id="701132976">
          <w:marLeft w:val="0"/>
          <w:marRight w:val="0"/>
          <w:marTop w:val="0"/>
          <w:marBottom w:val="0"/>
          <w:divBdr>
            <w:top w:val="none" w:sz="0" w:space="0" w:color="auto"/>
            <w:left w:val="none" w:sz="0" w:space="0" w:color="auto"/>
            <w:bottom w:val="none" w:sz="0" w:space="0" w:color="auto"/>
            <w:right w:val="none" w:sz="0" w:space="0" w:color="auto"/>
          </w:divBdr>
        </w:div>
        <w:div w:id="684668724">
          <w:marLeft w:val="0"/>
          <w:marRight w:val="0"/>
          <w:marTop w:val="0"/>
          <w:marBottom w:val="0"/>
          <w:divBdr>
            <w:top w:val="none" w:sz="0" w:space="0" w:color="auto"/>
            <w:left w:val="none" w:sz="0" w:space="0" w:color="auto"/>
            <w:bottom w:val="none" w:sz="0" w:space="0" w:color="auto"/>
            <w:right w:val="none" w:sz="0" w:space="0" w:color="auto"/>
          </w:divBdr>
        </w:div>
        <w:div w:id="1494951490">
          <w:marLeft w:val="0"/>
          <w:marRight w:val="0"/>
          <w:marTop w:val="0"/>
          <w:marBottom w:val="0"/>
          <w:divBdr>
            <w:top w:val="none" w:sz="0" w:space="0" w:color="auto"/>
            <w:left w:val="none" w:sz="0" w:space="0" w:color="auto"/>
            <w:bottom w:val="none" w:sz="0" w:space="0" w:color="auto"/>
            <w:right w:val="none" w:sz="0" w:space="0" w:color="auto"/>
          </w:divBdr>
        </w:div>
        <w:div w:id="1245259239">
          <w:marLeft w:val="0"/>
          <w:marRight w:val="0"/>
          <w:marTop w:val="0"/>
          <w:marBottom w:val="0"/>
          <w:divBdr>
            <w:top w:val="none" w:sz="0" w:space="0" w:color="auto"/>
            <w:left w:val="none" w:sz="0" w:space="0" w:color="auto"/>
            <w:bottom w:val="none" w:sz="0" w:space="0" w:color="auto"/>
            <w:right w:val="none" w:sz="0" w:space="0" w:color="auto"/>
          </w:divBdr>
        </w:div>
        <w:div w:id="798257922">
          <w:marLeft w:val="0"/>
          <w:marRight w:val="0"/>
          <w:marTop w:val="0"/>
          <w:marBottom w:val="0"/>
          <w:divBdr>
            <w:top w:val="none" w:sz="0" w:space="0" w:color="auto"/>
            <w:left w:val="none" w:sz="0" w:space="0" w:color="auto"/>
            <w:bottom w:val="none" w:sz="0" w:space="0" w:color="auto"/>
            <w:right w:val="none" w:sz="0" w:space="0" w:color="auto"/>
          </w:divBdr>
        </w:div>
        <w:div w:id="1051926698">
          <w:marLeft w:val="0"/>
          <w:marRight w:val="0"/>
          <w:marTop w:val="0"/>
          <w:marBottom w:val="0"/>
          <w:divBdr>
            <w:top w:val="none" w:sz="0" w:space="0" w:color="auto"/>
            <w:left w:val="none" w:sz="0" w:space="0" w:color="auto"/>
            <w:bottom w:val="none" w:sz="0" w:space="0" w:color="auto"/>
            <w:right w:val="none" w:sz="0" w:space="0" w:color="auto"/>
          </w:divBdr>
        </w:div>
        <w:div w:id="612829726">
          <w:marLeft w:val="0"/>
          <w:marRight w:val="0"/>
          <w:marTop w:val="0"/>
          <w:marBottom w:val="0"/>
          <w:divBdr>
            <w:top w:val="none" w:sz="0" w:space="0" w:color="auto"/>
            <w:left w:val="none" w:sz="0" w:space="0" w:color="auto"/>
            <w:bottom w:val="none" w:sz="0" w:space="0" w:color="auto"/>
            <w:right w:val="none" w:sz="0" w:space="0" w:color="auto"/>
          </w:divBdr>
        </w:div>
        <w:div w:id="842014821">
          <w:marLeft w:val="0"/>
          <w:marRight w:val="0"/>
          <w:marTop w:val="0"/>
          <w:marBottom w:val="0"/>
          <w:divBdr>
            <w:top w:val="none" w:sz="0" w:space="0" w:color="auto"/>
            <w:left w:val="none" w:sz="0" w:space="0" w:color="auto"/>
            <w:bottom w:val="none" w:sz="0" w:space="0" w:color="auto"/>
            <w:right w:val="none" w:sz="0" w:space="0" w:color="auto"/>
          </w:divBdr>
        </w:div>
        <w:div w:id="1163930363">
          <w:marLeft w:val="0"/>
          <w:marRight w:val="0"/>
          <w:marTop w:val="0"/>
          <w:marBottom w:val="0"/>
          <w:divBdr>
            <w:top w:val="none" w:sz="0" w:space="0" w:color="auto"/>
            <w:left w:val="none" w:sz="0" w:space="0" w:color="auto"/>
            <w:bottom w:val="none" w:sz="0" w:space="0" w:color="auto"/>
            <w:right w:val="none" w:sz="0" w:space="0" w:color="auto"/>
          </w:divBdr>
        </w:div>
        <w:div w:id="54161645">
          <w:marLeft w:val="0"/>
          <w:marRight w:val="0"/>
          <w:marTop w:val="0"/>
          <w:marBottom w:val="0"/>
          <w:divBdr>
            <w:top w:val="none" w:sz="0" w:space="0" w:color="auto"/>
            <w:left w:val="none" w:sz="0" w:space="0" w:color="auto"/>
            <w:bottom w:val="none" w:sz="0" w:space="0" w:color="auto"/>
            <w:right w:val="none" w:sz="0" w:space="0" w:color="auto"/>
          </w:divBdr>
        </w:div>
        <w:div w:id="1730415705">
          <w:marLeft w:val="0"/>
          <w:marRight w:val="0"/>
          <w:marTop w:val="0"/>
          <w:marBottom w:val="0"/>
          <w:divBdr>
            <w:top w:val="none" w:sz="0" w:space="0" w:color="auto"/>
            <w:left w:val="none" w:sz="0" w:space="0" w:color="auto"/>
            <w:bottom w:val="none" w:sz="0" w:space="0" w:color="auto"/>
            <w:right w:val="none" w:sz="0" w:space="0" w:color="auto"/>
          </w:divBdr>
        </w:div>
        <w:div w:id="1150369600">
          <w:marLeft w:val="0"/>
          <w:marRight w:val="0"/>
          <w:marTop w:val="0"/>
          <w:marBottom w:val="0"/>
          <w:divBdr>
            <w:top w:val="none" w:sz="0" w:space="0" w:color="auto"/>
            <w:left w:val="none" w:sz="0" w:space="0" w:color="auto"/>
            <w:bottom w:val="none" w:sz="0" w:space="0" w:color="auto"/>
            <w:right w:val="none" w:sz="0" w:space="0" w:color="auto"/>
          </w:divBdr>
        </w:div>
        <w:div w:id="132914134">
          <w:marLeft w:val="0"/>
          <w:marRight w:val="0"/>
          <w:marTop w:val="0"/>
          <w:marBottom w:val="0"/>
          <w:divBdr>
            <w:top w:val="none" w:sz="0" w:space="0" w:color="auto"/>
            <w:left w:val="none" w:sz="0" w:space="0" w:color="auto"/>
            <w:bottom w:val="none" w:sz="0" w:space="0" w:color="auto"/>
            <w:right w:val="none" w:sz="0" w:space="0" w:color="auto"/>
          </w:divBdr>
        </w:div>
        <w:div w:id="1877228834">
          <w:marLeft w:val="0"/>
          <w:marRight w:val="0"/>
          <w:marTop w:val="0"/>
          <w:marBottom w:val="0"/>
          <w:divBdr>
            <w:top w:val="none" w:sz="0" w:space="0" w:color="auto"/>
            <w:left w:val="none" w:sz="0" w:space="0" w:color="auto"/>
            <w:bottom w:val="none" w:sz="0" w:space="0" w:color="auto"/>
            <w:right w:val="none" w:sz="0" w:space="0" w:color="auto"/>
          </w:divBdr>
        </w:div>
        <w:div w:id="1849098953">
          <w:marLeft w:val="0"/>
          <w:marRight w:val="0"/>
          <w:marTop w:val="0"/>
          <w:marBottom w:val="0"/>
          <w:divBdr>
            <w:top w:val="none" w:sz="0" w:space="0" w:color="auto"/>
            <w:left w:val="none" w:sz="0" w:space="0" w:color="auto"/>
            <w:bottom w:val="none" w:sz="0" w:space="0" w:color="auto"/>
            <w:right w:val="none" w:sz="0" w:space="0" w:color="auto"/>
          </w:divBdr>
        </w:div>
        <w:div w:id="1783719297">
          <w:marLeft w:val="0"/>
          <w:marRight w:val="0"/>
          <w:marTop w:val="0"/>
          <w:marBottom w:val="0"/>
          <w:divBdr>
            <w:top w:val="none" w:sz="0" w:space="0" w:color="auto"/>
            <w:left w:val="none" w:sz="0" w:space="0" w:color="auto"/>
            <w:bottom w:val="none" w:sz="0" w:space="0" w:color="auto"/>
            <w:right w:val="none" w:sz="0" w:space="0" w:color="auto"/>
          </w:divBdr>
        </w:div>
        <w:div w:id="717778833">
          <w:marLeft w:val="0"/>
          <w:marRight w:val="0"/>
          <w:marTop w:val="0"/>
          <w:marBottom w:val="0"/>
          <w:divBdr>
            <w:top w:val="none" w:sz="0" w:space="0" w:color="auto"/>
            <w:left w:val="none" w:sz="0" w:space="0" w:color="auto"/>
            <w:bottom w:val="none" w:sz="0" w:space="0" w:color="auto"/>
            <w:right w:val="none" w:sz="0" w:space="0" w:color="auto"/>
          </w:divBdr>
        </w:div>
        <w:div w:id="979456583">
          <w:marLeft w:val="0"/>
          <w:marRight w:val="0"/>
          <w:marTop w:val="0"/>
          <w:marBottom w:val="0"/>
          <w:divBdr>
            <w:top w:val="none" w:sz="0" w:space="0" w:color="auto"/>
            <w:left w:val="none" w:sz="0" w:space="0" w:color="auto"/>
            <w:bottom w:val="none" w:sz="0" w:space="0" w:color="auto"/>
            <w:right w:val="none" w:sz="0" w:space="0" w:color="auto"/>
          </w:divBdr>
        </w:div>
        <w:div w:id="281158630">
          <w:marLeft w:val="0"/>
          <w:marRight w:val="0"/>
          <w:marTop w:val="0"/>
          <w:marBottom w:val="0"/>
          <w:divBdr>
            <w:top w:val="none" w:sz="0" w:space="0" w:color="auto"/>
            <w:left w:val="none" w:sz="0" w:space="0" w:color="auto"/>
            <w:bottom w:val="none" w:sz="0" w:space="0" w:color="auto"/>
            <w:right w:val="none" w:sz="0" w:space="0" w:color="auto"/>
          </w:divBdr>
        </w:div>
        <w:div w:id="1328170453">
          <w:marLeft w:val="0"/>
          <w:marRight w:val="0"/>
          <w:marTop w:val="0"/>
          <w:marBottom w:val="0"/>
          <w:divBdr>
            <w:top w:val="none" w:sz="0" w:space="0" w:color="auto"/>
            <w:left w:val="none" w:sz="0" w:space="0" w:color="auto"/>
            <w:bottom w:val="none" w:sz="0" w:space="0" w:color="auto"/>
            <w:right w:val="none" w:sz="0" w:space="0" w:color="auto"/>
          </w:divBdr>
        </w:div>
        <w:div w:id="646207712">
          <w:marLeft w:val="0"/>
          <w:marRight w:val="0"/>
          <w:marTop w:val="0"/>
          <w:marBottom w:val="0"/>
          <w:divBdr>
            <w:top w:val="none" w:sz="0" w:space="0" w:color="auto"/>
            <w:left w:val="none" w:sz="0" w:space="0" w:color="auto"/>
            <w:bottom w:val="none" w:sz="0" w:space="0" w:color="auto"/>
            <w:right w:val="none" w:sz="0" w:space="0" w:color="auto"/>
          </w:divBdr>
        </w:div>
        <w:div w:id="1029452824">
          <w:marLeft w:val="0"/>
          <w:marRight w:val="0"/>
          <w:marTop w:val="0"/>
          <w:marBottom w:val="0"/>
          <w:divBdr>
            <w:top w:val="none" w:sz="0" w:space="0" w:color="auto"/>
            <w:left w:val="none" w:sz="0" w:space="0" w:color="auto"/>
            <w:bottom w:val="none" w:sz="0" w:space="0" w:color="auto"/>
            <w:right w:val="none" w:sz="0" w:space="0" w:color="auto"/>
          </w:divBdr>
        </w:div>
        <w:div w:id="541749543">
          <w:marLeft w:val="0"/>
          <w:marRight w:val="0"/>
          <w:marTop w:val="0"/>
          <w:marBottom w:val="0"/>
          <w:divBdr>
            <w:top w:val="none" w:sz="0" w:space="0" w:color="auto"/>
            <w:left w:val="none" w:sz="0" w:space="0" w:color="auto"/>
            <w:bottom w:val="none" w:sz="0" w:space="0" w:color="auto"/>
            <w:right w:val="none" w:sz="0" w:space="0" w:color="auto"/>
          </w:divBdr>
        </w:div>
        <w:div w:id="2110856102">
          <w:marLeft w:val="0"/>
          <w:marRight w:val="0"/>
          <w:marTop w:val="0"/>
          <w:marBottom w:val="0"/>
          <w:divBdr>
            <w:top w:val="none" w:sz="0" w:space="0" w:color="auto"/>
            <w:left w:val="none" w:sz="0" w:space="0" w:color="auto"/>
            <w:bottom w:val="none" w:sz="0" w:space="0" w:color="auto"/>
            <w:right w:val="none" w:sz="0" w:space="0" w:color="auto"/>
          </w:divBdr>
        </w:div>
      </w:divsChild>
    </w:div>
    <w:div w:id="1144810649">
      <w:bodyDiv w:val="1"/>
      <w:marLeft w:val="0"/>
      <w:marRight w:val="0"/>
      <w:marTop w:val="0"/>
      <w:marBottom w:val="0"/>
      <w:divBdr>
        <w:top w:val="none" w:sz="0" w:space="0" w:color="auto"/>
        <w:left w:val="none" w:sz="0" w:space="0" w:color="auto"/>
        <w:bottom w:val="none" w:sz="0" w:space="0" w:color="auto"/>
        <w:right w:val="none" w:sz="0" w:space="0" w:color="auto"/>
      </w:divBdr>
    </w:div>
    <w:div w:id="1151291693">
      <w:bodyDiv w:val="1"/>
      <w:marLeft w:val="0"/>
      <w:marRight w:val="0"/>
      <w:marTop w:val="0"/>
      <w:marBottom w:val="0"/>
      <w:divBdr>
        <w:top w:val="none" w:sz="0" w:space="0" w:color="auto"/>
        <w:left w:val="none" w:sz="0" w:space="0" w:color="auto"/>
        <w:bottom w:val="none" w:sz="0" w:space="0" w:color="auto"/>
        <w:right w:val="none" w:sz="0" w:space="0" w:color="auto"/>
      </w:divBdr>
    </w:div>
    <w:div w:id="1151602771">
      <w:bodyDiv w:val="1"/>
      <w:marLeft w:val="0"/>
      <w:marRight w:val="0"/>
      <w:marTop w:val="0"/>
      <w:marBottom w:val="0"/>
      <w:divBdr>
        <w:top w:val="none" w:sz="0" w:space="0" w:color="auto"/>
        <w:left w:val="none" w:sz="0" w:space="0" w:color="auto"/>
        <w:bottom w:val="none" w:sz="0" w:space="0" w:color="auto"/>
        <w:right w:val="none" w:sz="0" w:space="0" w:color="auto"/>
      </w:divBdr>
    </w:div>
    <w:div w:id="1152257821">
      <w:bodyDiv w:val="1"/>
      <w:marLeft w:val="0"/>
      <w:marRight w:val="0"/>
      <w:marTop w:val="0"/>
      <w:marBottom w:val="0"/>
      <w:divBdr>
        <w:top w:val="none" w:sz="0" w:space="0" w:color="auto"/>
        <w:left w:val="none" w:sz="0" w:space="0" w:color="auto"/>
        <w:bottom w:val="none" w:sz="0" w:space="0" w:color="auto"/>
        <w:right w:val="none" w:sz="0" w:space="0" w:color="auto"/>
      </w:divBdr>
    </w:div>
    <w:div w:id="1152716029">
      <w:bodyDiv w:val="1"/>
      <w:marLeft w:val="0"/>
      <w:marRight w:val="0"/>
      <w:marTop w:val="0"/>
      <w:marBottom w:val="0"/>
      <w:divBdr>
        <w:top w:val="none" w:sz="0" w:space="0" w:color="auto"/>
        <w:left w:val="none" w:sz="0" w:space="0" w:color="auto"/>
        <w:bottom w:val="none" w:sz="0" w:space="0" w:color="auto"/>
        <w:right w:val="none" w:sz="0" w:space="0" w:color="auto"/>
      </w:divBdr>
    </w:div>
    <w:div w:id="1161968038">
      <w:bodyDiv w:val="1"/>
      <w:marLeft w:val="0"/>
      <w:marRight w:val="0"/>
      <w:marTop w:val="0"/>
      <w:marBottom w:val="0"/>
      <w:divBdr>
        <w:top w:val="none" w:sz="0" w:space="0" w:color="auto"/>
        <w:left w:val="none" w:sz="0" w:space="0" w:color="auto"/>
        <w:bottom w:val="none" w:sz="0" w:space="0" w:color="auto"/>
        <w:right w:val="none" w:sz="0" w:space="0" w:color="auto"/>
      </w:divBdr>
    </w:div>
    <w:div w:id="1168713331">
      <w:bodyDiv w:val="1"/>
      <w:marLeft w:val="0"/>
      <w:marRight w:val="0"/>
      <w:marTop w:val="0"/>
      <w:marBottom w:val="0"/>
      <w:divBdr>
        <w:top w:val="none" w:sz="0" w:space="0" w:color="auto"/>
        <w:left w:val="none" w:sz="0" w:space="0" w:color="auto"/>
        <w:bottom w:val="none" w:sz="0" w:space="0" w:color="auto"/>
        <w:right w:val="none" w:sz="0" w:space="0" w:color="auto"/>
      </w:divBdr>
    </w:div>
    <w:div w:id="1173377519">
      <w:bodyDiv w:val="1"/>
      <w:marLeft w:val="0"/>
      <w:marRight w:val="0"/>
      <w:marTop w:val="0"/>
      <w:marBottom w:val="0"/>
      <w:divBdr>
        <w:top w:val="none" w:sz="0" w:space="0" w:color="auto"/>
        <w:left w:val="none" w:sz="0" w:space="0" w:color="auto"/>
        <w:bottom w:val="none" w:sz="0" w:space="0" w:color="auto"/>
        <w:right w:val="none" w:sz="0" w:space="0" w:color="auto"/>
      </w:divBdr>
    </w:div>
    <w:div w:id="1173762872">
      <w:bodyDiv w:val="1"/>
      <w:marLeft w:val="0"/>
      <w:marRight w:val="0"/>
      <w:marTop w:val="0"/>
      <w:marBottom w:val="0"/>
      <w:divBdr>
        <w:top w:val="none" w:sz="0" w:space="0" w:color="auto"/>
        <w:left w:val="none" w:sz="0" w:space="0" w:color="auto"/>
        <w:bottom w:val="none" w:sz="0" w:space="0" w:color="auto"/>
        <w:right w:val="none" w:sz="0" w:space="0" w:color="auto"/>
      </w:divBdr>
    </w:div>
    <w:div w:id="1180388382">
      <w:bodyDiv w:val="1"/>
      <w:marLeft w:val="0"/>
      <w:marRight w:val="0"/>
      <w:marTop w:val="0"/>
      <w:marBottom w:val="0"/>
      <w:divBdr>
        <w:top w:val="none" w:sz="0" w:space="0" w:color="auto"/>
        <w:left w:val="none" w:sz="0" w:space="0" w:color="auto"/>
        <w:bottom w:val="none" w:sz="0" w:space="0" w:color="auto"/>
        <w:right w:val="none" w:sz="0" w:space="0" w:color="auto"/>
      </w:divBdr>
    </w:div>
    <w:div w:id="1181164062">
      <w:bodyDiv w:val="1"/>
      <w:marLeft w:val="0"/>
      <w:marRight w:val="0"/>
      <w:marTop w:val="0"/>
      <w:marBottom w:val="0"/>
      <w:divBdr>
        <w:top w:val="none" w:sz="0" w:space="0" w:color="auto"/>
        <w:left w:val="none" w:sz="0" w:space="0" w:color="auto"/>
        <w:bottom w:val="none" w:sz="0" w:space="0" w:color="auto"/>
        <w:right w:val="none" w:sz="0" w:space="0" w:color="auto"/>
      </w:divBdr>
    </w:div>
    <w:div w:id="1190870015">
      <w:bodyDiv w:val="1"/>
      <w:marLeft w:val="0"/>
      <w:marRight w:val="0"/>
      <w:marTop w:val="0"/>
      <w:marBottom w:val="0"/>
      <w:divBdr>
        <w:top w:val="none" w:sz="0" w:space="0" w:color="auto"/>
        <w:left w:val="none" w:sz="0" w:space="0" w:color="auto"/>
        <w:bottom w:val="none" w:sz="0" w:space="0" w:color="auto"/>
        <w:right w:val="none" w:sz="0" w:space="0" w:color="auto"/>
      </w:divBdr>
    </w:div>
    <w:div w:id="1193883834">
      <w:bodyDiv w:val="1"/>
      <w:marLeft w:val="0"/>
      <w:marRight w:val="0"/>
      <w:marTop w:val="0"/>
      <w:marBottom w:val="0"/>
      <w:divBdr>
        <w:top w:val="none" w:sz="0" w:space="0" w:color="auto"/>
        <w:left w:val="none" w:sz="0" w:space="0" w:color="auto"/>
        <w:bottom w:val="none" w:sz="0" w:space="0" w:color="auto"/>
        <w:right w:val="none" w:sz="0" w:space="0" w:color="auto"/>
      </w:divBdr>
    </w:div>
    <w:div w:id="1194882588">
      <w:bodyDiv w:val="1"/>
      <w:marLeft w:val="0"/>
      <w:marRight w:val="0"/>
      <w:marTop w:val="0"/>
      <w:marBottom w:val="0"/>
      <w:divBdr>
        <w:top w:val="none" w:sz="0" w:space="0" w:color="auto"/>
        <w:left w:val="none" w:sz="0" w:space="0" w:color="auto"/>
        <w:bottom w:val="none" w:sz="0" w:space="0" w:color="auto"/>
        <w:right w:val="none" w:sz="0" w:space="0" w:color="auto"/>
      </w:divBdr>
      <w:divsChild>
        <w:div w:id="1273174887">
          <w:marLeft w:val="0"/>
          <w:marRight w:val="0"/>
          <w:marTop w:val="0"/>
          <w:marBottom w:val="0"/>
          <w:divBdr>
            <w:top w:val="none" w:sz="0" w:space="0" w:color="auto"/>
            <w:left w:val="none" w:sz="0" w:space="0" w:color="auto"/>
            <w:bottom w:val="none" w:sz="0" w:space="0" w:color="auto"/>
            <w:right w:val="none" w:sz="0" w:space="0" w:color="auto"/>
          </w:divBdr>
          <w:divsChild>
            <w:div w:id="526909575">
              <w:marLeft w:val="0"/>
              <w:marRight w:val="0"/>
              <w:marTop w:val="0"/>
              <w:marBottom w:val="0"/>
              <w:divBdr>
                <w:top w:val="none" w:sz="0" w:space="0" w:color="auto"/>
                <w:left w:val="none" w:sz="0" w:space="0" w:color="auto"/>
                <w:bottom w:val="none" w:sz="0" w:space="0" w:color="auto"/>
                <w:right w:val="none" w:sz="0" w:space="0" w:color="auto"/>
              </w:divBdr>
              <w:divsChild>
                <w:div w:id="17703477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5575639">
      <w:bodyDiv w:val="1"/>
      <w:marLeft w:val="0"/>
      <w:marRight w:val="0"/>
      <w:marTop w:val="0"/>
      <w:marBottom w:val="0"/>
      <w:divBdr>
        <w:top w:val="none" w:sz="0" w:space="0" w:color="auto"/>
        <w:left w:val="none" w:sz="0" w:space="0" w:color="auto"/>
        <w:bottom w:val="none" w:sz="0" w:space="0" w:color="auto"/>
        <w:right w:val="none" w:sz="0" w:space="0" w:color="auto"/>
      </w:divBdr>
    </w:div>
    <w:div w:id="1211113894">
      <w:bodyDiv w:val="1"/>
      <w:marLeft w:val="0"/>
      <w:marRight w:val="0"/>
      <w:marTop w:val="0"/>
      <w:marBottom w:val="0"/>
      <w:divBdr>
        <w:top w:val="none" w:sz="0" w:space="0" w:color="auto"/>
        <w:left w:val="none" w:sz="0" w:space="0" w:color="auto"/>
        <w:bottom w:val="none" w:sz="0" w:space="0" w:color="auto"/>
        <w:right w:val="none" w:sz="0" w:space="0" w:color="auto"/>
      </w:divBdr>
    </w:div>
    <w:div w:id="1229420996">
      <w:bodyDiv w:val="1"/>
      <w:marLeft w:val="0"/>
      <w:marRight w:val="0"/>
      <w:marTop w:val="0"/>
      <w:marBottom w:val="0"/>
      <w:divBdr>
        <w:top w:val="none" w:sz="0" w:space="0" w:color="auto"/>
        <w:left w:val="none" w:sz="0" w:space="0" w:color="auto"/>
        <w:bottom w:val="none" w:sz="0" w:space="0" w:color="auto"/>
        <w:right w:val="none" w:sz="0" w:space="0" w:color="auto"/>
      </w:divBdr>
    </w:div>
    <w:div w:id="1233469952">
      <w:bodyDiv w:val="1"/>
      <w:marLeft w:val="0"/>
      <w:marRight w:val="0"/>
      <w:marTop w:val="0"/>
      <w:marBottom w:val="0"/>
      <w:divBdr>
        <w:top w:val="none" w:sz="0" w:space="0" w:color="auto"/>
        <w:left w:val="none" w:sz="0" w:space="0" w:color="auto"/>
        <w:bottom w:val="none" w:sz="0" w:space="0" w:color="auto"/>
        <w:right w:val="none" w:sz="0" w:space="0" w:color="auto"/>
      </w:divBdr>
    </w:div>
    <w:div w:id="1244342018">
      <w:bodyDiv w:val="1"/>
      <w:marLeft w:val="0"/>
      <w:marRight w:val="0"/>
      <w:marTop w:val="0"/>
      <w:marBottom w:val="0"/>
      <w:divBdr>
        <w:top w:val="none" w:sz="0" w:space="0" w:color="auto"/>
        <w:left w:val="none" w:sz="0" w:space="0" w:color="auto"/>
        <w:bottom w:val="none" w:sz="0" w:space="0" w:color="auto"/>
        <w:right w:val="none" w:sz="0" w:space="0" w:color="auto"/>
      </w:divBdr>
    </w:div>
    <w:div w:id="1246643867">
      <w:bodyDiv w:val="1"/>
      <w:marLeft w:val="0"/>
      <w:marRight w:val="0"/>
      <w:marTop w:val="0"/>
      <w:marBottom w:val="0"/>
      <w:divBdr>
        <w:top w:val="none" w:sz="0" w:space="0" w:color="auto"/>
        <w:left w:val="none" w:sz="0" w:space="0" w:color="auto"/>
        <w:bottom w:val="none" w:sz="0" w:space="0" w:color="auto"/>
        <w:right w:val="none" w:sz="0" w:space="0" w:color="auto"/>
      </w:divBdr>
    </w:div>
    <w:div w:id="1257860506">
      <w:bodyDiv w:val="1"/>
      <w:marLeft w:val="0"/>
      <w:marRight w:val="0"/>
      <w:marTop w:val="0"/>
      <w:marBottom w:val="0"/>
      <w:divBdr>
        <w:top w:val="none" w:sz="0" w:space="0" w:color="auto"/>
        <w:left w:val="none" w:sz="0" w:space="0" w:color="auto"/>
        <w:bottom w:val="none" w:sz="0" w:space="0" w:color="auto"/>
        <w:right w:val="none" w:sz="0" w:space="0" w:color="auto"/>
      </w:divBdr>
    </w:div>
    <w:div w:id="1258714711">
      <w:bodyDiv w:val="1"/>
      <w:marLeft w:val="0"/>
      <w:marRight w:val="0"/>
      <w:marTop w:val="0"/>
      <w:marBottom w:val="0"/>
      <w:divBdr>
        <w:top w:val="none" w:sz="0" w:space="0" w:color="auto"/>
        <w:left w:val="none" w:sz="0" w:space="0" w:color="auto"/>
        <w:bottom w:val="none" w:sz="0" w:space="0" w:color="auto"/>
        <w:right w:val="none" w:sz="0" w:space="0" w:color="auto"/>
      </w:divBdr>
    </w:div>
    <w:div w:id="1262105196">
      <w:bodyDiv w:val="1"/>
      <w:marLeft w:val="0"/>
      <w:marRight w:val="0"/>
      <w:marTop w:val="0"/>
      <w:marBottom w:val="0"/>
      <w:divBdr>
        <w:top w:val="none" w:sz="0" w:space="0" w:color="auto"/>
        <w:left w:val="none" w:sz="0" w:space="0" w:color="auto"/>
        <w:bottom w:val="none" w:sz="0" w:space="0" w:color="auto"/>
        <w:right w:val="none" w:sz="0" w:space="0" w:color="auto"/>
      </w:divBdr>
    </w:div>
    <w:div w:id="1266959259">
      <w:bodyDiv w:val="1"/>
      <w:marLeft w:val="0"/>
      <w:marRight w:val="0"/>
      <w:marTop w:val="0"/>
      <w:marBottom w:val="0"/>
      <w:divBdr>
        <w:top w:val="none" w:sz="0" w:space="0" w:color="auto"/>
        <w:left w:val="none" w:sz="0" w:space="0" w:color="auto"/>
        <w:bottom w:val="none" w:sz="0" w:space="0" w:color="auto"/>
        <w:right w:val="none" w:sz="0" w:space="0" w:color="auto"/>
      </w:divBdr>
    </w:div>
    <w:div w:id="1267663435">
      <w:bodyDiv w:val="1"/>
      <w:marLeft w:val="0"/>
      <w:marRight w:val="0"/>
      <w:marTop w:val="0"/>
      <w:marBottom w:val="0"/>
      <w:divBdr>
        <w:top w:val="none" w:sz="0" w:space="0" w:color="auto"/>
        <w:left w:val="none" w:sz="0" w:space="0" w:color="auto"/>
        <w:bottom w:val="none" w:sz="0" w:space="0" w:color="auto"/>
        <w:right w:val="none" w:sz="0" w:space="0" w:color="auto"/>
      </w:divBdr>
    </w:div>
    <w:div w:id="1278299141">
      <w:bodyDiv w:val="1"/>
      <w:marLeft w:val="0"/>
      <w:marRight w:val="0"/>
      <w:marTop w:val="0"/>
      <w:marBottom w:val="0"/>
      <w:divBdr>
        <w:top w:val="none" w:sz="0" w:space="0" w:color="auto"/>
        <w:left w:val="none" w:sz="0" w:space="0" w:color="auto"/>
        <w:bottom w:val="none" w:sz="0" w:space="0" w:color="auto"/>
        <w:right w:val="none" w:sz="0" w:space="0" w:color="auto"/>
      </w:divBdr>
    </w:div>
    <w:div w:id="1283728815">
      <w:bodyDiv w:val="1"/>
      <w:marLeft w:val="0"/>
      <w:marRight w:val="0"/>
      <w:marTop w:val="0"/>
      <w:marBottom w:val="0"/>
      <w:divBdr>
        <w:top w:val="none" w:sz="0" w:space="0" w:color="auto"/>
        <w:left w:val="none" w:sz="0" w:space="0" w:color="auto"/>
        <w:bottom w:val="none" w:sz="0" w:space="0" w:color="auto"/>
        <w:right w:val="none" w:sz="0" w:space="0" w:color="auto"/>
      </w:divBdr>
    </w:div>
    <w:div w:id="1286154850">
      <w:bodyDiv w:val="1"/>
      <w:marLeft w:val="0"/>
      <w:marRight w:val="0"/>
      <w:marTop w:val="0"/>
      <w:marBottom w:val="0"/>
      <w:divBdr>
        <w:top w:val="none" w:sz="0" w:space="0" w:color="auto"/>
        <w:left w:val="none" w:sz="0" w:space="0" w:color="auto"/>
        <w:bottom w:val="none" w:sz="0" w:space="0" w:color="auto"/>
        <w:right w:val="none" w:sz="0" w:space="0" w:color="auto"/>
      </w:divBdr>
    </w:div>
    <w:div w:id="1286156630">
      <w:bodyDiv w:val="1"/>
      <w:marLeft w:val="0"/>
      <w:marRight w:val="0"/>
      <w:marTop w:val="0"/>
      <w:marBottom w:val="0"/>
      <w:divBdr>
        <w:top w:val="none" w:sz="0" w:space="0" w:color="auto"/>
        <w:left w:val="none" w:sz="0" w:space="0" w:color="auto"/>
        <w:bottom w:val="none" w:sz="0" w:space="0" w:color="auto"/>
        <w:right w:val="none" w:sz="0" w:space="0" w:color="auto"/>
      </w:divBdr>
    </w:div>
    <w:div w:id="1290361215">
      <w:bodyDiv w:val="1"/>
      <w:marLeft w:val="0"/>
      <w:marRight w:val="0"/>
      <w:marTop w:val="0"/>
      <w:marBottom w:val="0"/>
      <w:divBdr>
        <w:top w:val="none" w:sz="0" w:space="0" w:color="auto"/>
        <w:left w:val="none" w:sz="0" w:space="0" w:color="auto"/>
        <w:bottom w:val="none" w:sz="0" w:space="0" w:color="auto"/>
        <w:right w:val="none" w:sz="0" w:space="0" w:color="auto"/>
      </w:divBdr>
    </w:div>
    <w:div w:id="1293638371">
      <w:bodyDiv w:val="1"/>
      <w:marLeft w:val="0"/>
      <w:marRight w:val="0"/>
      <w:marTop w:val="0"/>
      <w:marBottom w:val="0"/>
      <w:divBdr>
        <w:top w:val="none" w:sz="0" w:space="0" w:color="auto"/>
        <w:left w:val="none" w:sz="0" w:space="0" w:color="auto"/>
        <w:bottom w:val="none" w:sz="0" w:space="0" w:color="auto"/>
        <w:right w:val="none" w:sz="0" w:space="0" w:color="auto"/>
      </w:divBdr>
    </w:div>
    <w:div w:id="1302732113">
      <w:bodyDiv w:val="1"/>
      <w:marLeft w:val="0"/>
      <w:marRight w:val="0"/>
      <w:marTop w:val="0"/>
      <w:marBottom w:val="0"/>
      <w:divBdr>
        <w:top w:val="none" w:sz="0" w:space="0" w:color="auto"/>
        <w:left w:val="none" w:sz="0" w:space="0" w:color="auto"/>
        <w:bottom w:val="none" w:sz="0" w:space="0" w:color="auto"/>
        <w:right w:val="none" w:sz="0" w:space="0" w:color="auto"/>
      </w:divBdr>
    </w:div>
    <w:div w:id="1303344873">
      <w:bodyDiv w:val="1"/>
      <w:marLeft w:val="0"/>
      <w:marRight w:val="0"/>
      <w:marTop w:val="0"/>
      <w:marBottom w:val="0"/>
      <w:divBdr>
        <w:top w:val="none" w:sz="0" w:space="0" w:color="auto"/>
        <w:left w:val="none" w:sz="0" w:space="0" w:color="auto"/>
        <w:bottom w:val="none" w:sz="0" w:space="0" w:color="auto"/>
        <w:right w:val="none" w:sz="0" w:space="0" w:color="auto"/>
      </w:divBdr>
    </w:div>
    <w:div w:id="1304891960">
      <w:bodyDiv w:val="1"/>
      <w:marLeft w:val="0"/>
      <w:marRight w:val="0"/>
      <w:marTop w:val="0"/>
      <w:marBottom w:val="0"/>
      <w:divBdr>
        <w:top w:val="none" w:sz="0" w:space="0" w:color="auto"/>
        <w:left w:val="none" w:sz="0" w:space="0" w:color="auto"/>
        <w:bottom w:val="none" w:sz="0" w:space="0" w:color="auto"/>
        <w:right w:val="none" w:sz="0" w:space="0" w:color="auto"/>
      </w:divBdr>
    </w:div>
    <w:div w:id="1306469375">
      <w:bodyDiv w:val="1"/>
      <w:marLeft w:val="0"/>
      <w:marRight w:val="0"/>
      <w:marTop w:val="0"/>
      <w:marBottom w:val="0"/>
      <w:divBdr>
        <w:top w:val="none" w:sz="0" w:space="0" w:color="auto"/>
        <w:left w:val="none" w:sz="0" w:space="0" w:color="auto"/>
        <w:bottom w:val="none" w:sz="0" w:space="0" w:color="auto"/>
        <w:right w:val="none" w:sz="0" w:space="0" w:color="auto"/>
      </w:divBdr>
    </w:div>
    <w:div w:id="1311522923">
      <w:bodyDiv w:val="1"/>
      <w:marLeft w:val="0"/>
      <w:marRight w:val="0"/>
      <w:marTop w:val="0"/>
      <w:marBottom w:val="0"/>
      <w:divBdr>
        <w:top w:val="none" w:sz="0" w:space="0" w:color="auto"/>
        <w:left w:val="none" w:sz="0" w:space="0" w:color="auto"/>
        <w:bottom w:val="none" w:sz="0" w:space="0" w:color="auto"/>
        <w:right w:val="none" w:sz="0" w:space="0" w:color="auto"/>
      </w:divBdr>
    </w:div>
    <w:div w:id="1314723579">
      <w:bodyDiv w:val="1"/>
      <w:marLeft w:val="0"/>
      <w:marRight w:val="0"/>
      <w:marTop w:val="0"/>
      <w:marBottom w:val="0"/>
      <w:divBdr>
        <w:top w:val="none" w:sz="0" w:space="0" w:color="auto"/>
        <w:left w:val="none" w:sz="0" w:space="0" w:color="auto"/>
        <w:bottom w:val="none" w:sz="0" w:space="0" w:color="auto"/>
        <w:right w:val="none" w:sz="0" w:space="0" w:color="auto"/>
      </w:divBdr>
    </w:div>
    <w:div w:id="1314992418">
      <w:bodyDiv w:val="1"/>
      <w:marLeft w:val="0"/>
      <w:marRight w:val="0"/>
      <w:marTop w:val="0"/>
      <w:marBottom w:val="0"/>
      <w:divBdr>
        <w:top w:val="none" w:sz="0" w:space="0" w:color="auto"/>
        <w:left w:val="none" w:sz="0" w:space="0" w:color="auto"/>
        <w:bottom w:val="none" w:sz="0" w:space="0" w:color="auto"/>
        <w:right w:val="none" w:sz="0" w:space="0" w:color="auto"/>
      </w:divBdr>
    </w:div>
    <w:div w:id="1316255690">
      <w:bodyDiv w:val="1"/>
      <w:marLeft w:val="0"/>
      <w:marRight w:val="0"/>
      <w:marTop w:val="0"/>
      <w:marBottom w:val="0"/>
      <w:divBdr>
        <w:top w:val="none" w:sz="0" w:space="0" w:color="auto"/>
        <w:left w:val="none" w:sz="0" w:space="0" w:color="auto"/>
        <w:bottom w:val="none" w:sz="0" w:space="0" w:color="auto"/>
        <w:right w:val="none" w:sz="0" w:space="0" w:color="auto"/>
      </w:divBdr>
    </w:div>
    <w:div w:id="1317565743">
      <w:bodyDiv w:val="1"/>
      <w:marLeft w:val="0"/>
      <w:marRight w:val="0"/>
      <w:marTop w:val="0"/>
      <w:marBottom w:val="0"/>
      <w:divBdr>
        <w:top w:val="none" w:sz="0" w:space="0" w:color="auto"/>
        <w:left w:val="none" w:sz="0" w:space="0" w:color="auto"/>
        <w:bottom w:val="none" w:sz="0" w:space="0" w:color="auto"/>
        <w:right w:val="none" w:sz="0" w:space="0" w:color="auto"/>
      </w:divBdr>
    </w:div>
    <w:div w:id="1324120342">
      <w:bodyDiv w:val="1"/>
      <w:marLeft w:val="0"/>
      <w:marRight w:val="0"/>
      <w:marTop w:val="0"/>
      <w:marBottom w:val="0"/>
      <w:divBdr>
        <w:top w:val="none" w:sz="0" w:space="0" w:color="auto"/>
        <w:left w:val="none" w:sz="0" w:space="0" w:color="auto"/>
        <w:bottom w:val="none" w:sz="0" w:space="0" w:color="auto"/>
        <w:right w:val="none" w:sz="0" w:space="0" w:color="auto"/>
      </w:divBdr>
    </w:div>
    <w:div w:id="1339306186">
      <w:bodyDiv w:val="1"/>
      <w:marLeft w:val="0"/>
      <w:marRight w:val="0"/>
      <w:marTop w:val="0"/>
      <w:marBottom w:val="0"/>
      <w:divBdr>
        <w:top w:val="none" w:sz="0" w:space="0" w:color="auto"/>
        <w:left w:val="none" w:sz="0" w:space="0" w:color="auto"/>
        <w:bottom w:val="none" w:sz="0" w:space="0" w:color="auto"/>
        <w:right w:val="none" w:sz="0" w:space="0" w:color="auto"/>
      </w:divBdr>
    </w:div>
    <w:div w:id="1341201651">
      <w:bodyDiv w:val="1"/>
      <w:marLeft w:val="0"/>
      <w:marRight w:val="0"/>
      <w:marTop w:val="0"/>
      <w:marBottom w:val="0"/>
      <w:divBdr>
        <w:top w:val="none" w:sz="0" w:space="0" w:color="auto"/>
        <w:left w:val="none" w:sz="0" w:space="0" w:color="auto"/>
        <w:bottom w:val="none" w:sz="0" w:space="0" w:color="auto"/>
        <w:right w:val="none" w:sz="0" w:space="0" w:color="auto"/>
      </w:divBdr>
    </w:div>
    <w:div w:id="1366759948">
      <w:bodyDiv w:val="1"/>
      <w:marLeft w:val="0"/>
      <w:marRight w:val="0"/>
      <w:marTop w:val="0"/>
      <w:marBottom w:val="0"/>
      <w:divBdr>
        <w:top w:val="none" w:sz="0" w:space="0" w:color="auto"/>
        <w:left w:val="none" w:sz="0" w:space="0" w:color="auto"/>
        <w:bottom w:val="none" w:sz="0" w:space="0" w:color="auto"/>
        <w:right w:val="none" w:sz="0" w:space="0" w:color="auto"/>
      </w:divBdr>
    </w:div>
    <w:div w:id="1373268563">
      <w:bodyDiv w:val="1"/>
      <w:marLeft w:val="0"/>
      <w:marRight w:val="0"/>
      <w:marTop w:val="0"/>
      <w:marBottom w:val="0"/>
      <w:divBdr>
        <w:top w:val="none" w:sz="0" w:space="0" w:color="auto"/>
        <w:left w:val="none" w:sz="0" w:space="0" w:color="auto"/>
        <w:bottom w:val="none" w:sz="0" w:space="0" w:color="auto"/>
        <w:right w:val="none" w:sz="0" w:space="0" w:color="auto"/>
      </w:divBdr>
      <w:divsChild>
        <w:div w:id="187718574">
          <w:marLeft w:val="0"/>
          <w:marRight w:val="0"/>
          <w:marTop w:val="0"/>
          <w:marBottom w:val="0"/>
          <w:divBdr>
            <w:top w:val="none" w:sz="0" w:space="0" w:color="auto"/>
            <w:left w:val="none" w:sz="0" w:space="0" w:color="auto"/>
            <w:bottom w:val="none" w:sz="0" w:space="0" w:color="auto"/>
            <w:right w:val="none" w:sz="0" w:space="0" w:color="auto"/>
          </w:divBdr>
          <w:divsChild>
            <w:div w:id="820004192">
              <w:marLeft w:val="0"/>
              <w:marRight w:val="0"/>
              <w:marTop w:val="0"/>
              <w:marBottom w:val="0"/>
              <w:divBdr>
                <w:top w:val="none" w:sz="0" w:space="0" w:color="auto"/>
                <w:left w:val="none" w:sz="0" w:space="0" w:color="auto"/>
                <w:bottom w:val="none" w:sz="0" w:space="0" w:color="auto"/>
                <w:right w:val="none" w:sz="0" w:space="0" w:color="auto"/>
              </w:divBdr>
              <w:divsChild>
                <w:div w:id="8680306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3379512">
      <w:bodyDiv w:val="1"/>
      <w:marLeft w:val="0"/>
      <w:marRight w:val="0"/>
      <w:marTop w:val="0"/>
      <w:marBottom w:val="0"/>
      <w:divBdr>
        <w:top w:val="none" w:sz="0" w:space="0" w:color="auto"/>
        <w:left w:val="none" w:sz="0" w:space="0" w:color="auto"/>
        <w:bottom w:val="none" w:sz="0" w:space="0" w:color="auto"/>
        <w:right w:val="none" w:sz="0" w:space="0" w:color="auto"/>
      </w:divBdr>
    </w:div>
    <w:div w:id="1376660671">
      <w:bodyDiv w:val="1"/>
      <w:marLeft w:val="0"/>
      <w:marRight w:val="0"/>
      <w:marTop w:val="0"/>
      <w:marBottom w:val="0"/>
      <w:divBdr>
        <w:top w:val="none" w:sz="0" w:space="0" w:color="auto"/>
        <w:left w:val="none" w:sz="0" w:space="0" w:color="auto"/>
        <w:bottom w:val="none" w:sz="0" w:space="0" w:color="auto"/>
        <w:right w:val="none" w:sz="0" w:space="0" w:color="auto"/>
      </w:divBdr>
    </w:div>
    <w:div w:id="1380400233">
      <w:bodyDiv w:val="1"/>
      <w:marLeft w:val="0"/>
      <w:marRight w:val="0"/>
      <w:marTop w:val="0"/>
      <w:marBottom w:val="0"/>
      <w:divBdr>
        <w:top w:val="none" w:sz="0" w:space="0" w:color="auto"/>
        <w:left w:val="none" w:sz="0" w:space="0" w:color="auto"/>
        <w:bottom w:val="none" w:sz="0" w:space="0" w:color="auto"/>
        <w:right w:val="none" w:sz="0" w:space="0" w:color="auto"/>
      </w:divBdr>
    </w:div>
    <w:div w:id="1381244230">
      <w:bodyDiv w:val="1"/>
      <w:marLeft w:val="0"/>
      <w:marRight w:val="0"/>
      <w:marTop w:val="0"/>
      <w:marBottom w:val="0"/>
      <w:divBdr>
        <w:top w:val="none" w:sz="0" w:space="0" w:color="auto"/>
        <w:left w:val="none" w:sz="0" w:space="0" w:color="auto"/>
        <w:bottom w:val="none" w:sz="0" w:space="0" w:color="auto"/>
        <w:right w:val="none" w:sz="0" w:space="0" w:color="auto"/>
      </w:divBdr>
    </w:div>
    <w:div w:id="1381440192">
      <w:bodyDiv w:val="1"/>
      <w:marLeft w:val="0"/>
      <w:marRight w:val="0"/>
      <w:marTop w:val="0"/>
      <w:marBottom w:val="0"/>
      <w:divBdr>
        <w:top w:val="none" w:sz="0" w:space="0" w:color="auto"/>
        <w:left w:val="none" w:sz="0" w:space="0" w:color="auto"/>
        <w:bottom w:val="none" w:sz="0" w:space="0" w:color="auto"/>
        <w:right w:val="none" w:sz="0" w:space="0" w:color="auto"/>
      </w:divBdr>
    </w:div>
    <w:div w:id="1384598229">
      <w:bodyDiv w:val="1"/>
      <w:marLeft w:val="0"/>
      <w:marRight w:val="0"/>
      <w:marTop w:val="0"/>
      <w:marBottom w:val="0"/>
      <w:divBdr>
        <w:top w:val="none" w:sz="0" w:space="0" w:color="auto"/>
        <w:left w:val="none" w:sz="0" w:space="0" w:color="auto"/>
        <w:bottom w:val="none" w:sz="0" w:space="0" w:color="auto"/>
        <w:right w:val="none" w:sz="0" w:space="0" w:color="auto"/>
      </w:divBdr>
    </w:div>
    <w:div w:id="1385985389">
      <w:bodyDiv w:val="1"/>
      <w:marLeft w:val="0"/>
      <w:marRight w:val="0"/>
      <w:marTop w:val="0"/>
      <w:marBottom w:val="0"/>
      <w:divBdr>
        <w:top w:val="none" w:sz="0" w:space="0" w:color="auto"/>
        <w:left w:val="none" w:sz="0" w:space="0" w:color="auto"/>
        <w:bottom w:val="none" w:sz="0" w:space="0" w:color="auto"/>
        <w:right w:val="none" w:sz="0" w:space="0" w:color="auto"/>
      </w:divBdr>
    </w:div>
    <w:div w:id="1388527734">
      <w:bodyDiv w:val="1"/>
      <w:marLeft w:val="0"/>
      <w:marRight w:val="0"/>
      <w:marTop w:val="0"/>
      <w:marBottom w:val="0"/>
      <w:divBdr>
        <w:top w:val="none" w:sz="0" w:space="0" w:color="auto"/>
        <w:left w:val="none" w:sz="0" w:space="0" w:color="auto"/>
        <w:bottom w:val="none" w:sz="0" w:space="0" w:color="auto"/>
        <w:right w:val="none" w:sz="0" w:space="0" w:color="auto"/>
      </w:divBdr>
    </w:div>
    <w:div w:id="1394043629">
      <w:bodyDiv w:val="1"/>
      <w:marLeft w:val="0"/>
      <w:marRight w:val="0"/>
      <w:marTop w:val="0"/>
      <w:marBottom w:val="0"/>
      <w:divBdr>
        <w:top w:val="none" w:sz="0" w:space="0" w:color="auto"/>
        <w:left w:val="none" w:sz="0" w:space="0" w:color="auto"/>
        <w:bottom w:val="none" w:sz="0" w:space="0" w:color="auto"/>
        <w:right w:val="none" w:sz="0" w:space="0" w:color="auto"/>
      </w:divBdr>
    </w:div>
    <w:div w:id="1396127349">
      <w:bodyDiv w:val="1"/>
      <w:marLeft w:val="0"/>
      <w:marRight w:val="0"/>
      <w:marTop w:val="0"/>
      <w:marBottom w:val="0"/>
      <w:divBdr>
        <w:top w:val="none" w:sz="0" w:space="0" w:color="auto"/>
        <w:left w:val="none" w:sz="0" w:space="0" w:color="auto"/>
        <w:bottom w:val="none" w:sz="0" w:space="0" w:color="auto"/>
        <w:right w:val="none" w:sz="0" w:space="0" w:color="auto"/>
      </w:divBdr>
    </w:div>
    <w:div w:id="1402757217">
      <w:bodyDiv w:val="1"/>
      <w:marLeft w:val="0"/>
      <w:marRight w:val="0"/>
      <w:marTop w:val="0"/>
      <w:marBottom w:val="0"/>
      <w:divBdr>
        <w:top w:val="none" w:sz="0" w:space="0" w:color="auto"/>
        <w:left w:val="none" w:sz="0" w:space="0" w:color="auto"/>
        <w:bottom w:val="none" w:sz="0" w:space="0" w:color="auto"/>
        <w:right w:val="none" w:sz="0" w:space="0" w:color="auto"/>
      </w:divBdr>
    </w:div>
    <w:div w:id="1406142219">
      <w:bodyDiv w:val="1"/>
      <w:marLeft w:val="0"/>
      <w:marRight w:val="0"/>
      <w:marTop w:val="0"/>
      <w:marBottom w:val="0"/>
      <w:divBdr>
        <w:top w:val="none" w:sz="0" w:space="0" w:color="auto"/>
        <w:left w:val="none" w:sz="0" w:space="0" w:color="auto"/>
        <w:bottom w:val="none" w:sz="0" w:space="0" w:color="auto"/>
        <w:right w:val="none" w:sz="0" w:space="0" w:color="auto"/>
      </w:divBdr>
    </w:div>
    <w:div w:id="1422291908">
      <w:bodyDiv w:val="1"/>
      <w:marLeft w:val="0"/>
      <w:marRight w:val="0"/>
      <w:marTop w:val="0"/>
      <w:marBottom w:val="0"/>
      <w:divBdr>
        <w:top w:val="none" w:sz="0" w:space="0" w:color="auto"/>
        <w:left w:val="none" w:sz="0" w:space="0" w:color="auto"/>
        <w:bottom w:val="none" w:sz="0" w:space="0" w:color="auto"/>
        <w:right w:val="none" w:sz="0" w:space="0" w:color="auto"/>
      </w:divBdr>
    </w:div>
    <w:div w:id="1426342274">
      <w:bodyDiv w:val="1"/>
      <w:marLeft w:val="0"/>
      <w:marRight w:val="0"/>
      <w:marTop w:val="0"/>
      <w:marBottom w:val="0"/>
      <w:divBdr>
        <w:top w:val="none" w:sz="0" w:space="0" w:color="auto"/>
        <w:left w:val="none" w:sz="0" w:space="0" w:color="auto"/>
        <w:bottom w:val="none" w:sz="0" w:space="0" w:color="auto"/>
        <w:right w:val="none" w:sz="0" w:space="0" w:color="auto"/>
      </w:divBdr>
    </w:div>
    <w:div w:id="1428772041">
      <w:bodyDiv w:val="1"/>
      <w:marLeft w:val="0"/>
      <w:marRight w:val="0"/>
      <w:marTop w:val="0"/>
      <w:marBottom w:val="0"/>
      <w:divBdr>
        <w:top w:val="none" w:sz="0" w:space="0" w:color="auto"/>
        <w:left w:val="none" w:sz="0" w:space="0" w:color="auto"/>
        <w:bottom w:val="none" w:sz="0" w:space="0" w:color="auto"/>
        <w:right w:val="none" w:sz="0" w:space="0" w:color="auto"/>
      </w:divBdr>
    </w:div>
    <w:div w:id="1435134047">
      <w:bodyDiv w:val="1"/>
      <w:marLeft w:val="0"/>
      <w:marRight w:val="0"/>
      <w:marTop w:val="0"/>
      <w:marBottom w:val="0"/>
      <w:divBdr>
        <w:top w:val="none" w:sz="0" w:space="0" w:color="auto"/>
        <w:left w:val="none" w:sz="0" w:space="0" w:color="auto"/>
        <w:bottom w:val="none" w:sz="0" w:space="0" w:color="auto"/>
        <w:right w:val="none" w:sz="0" w:space="0" w:color="auto"/>
      </w:divBdr>
    </w:div>
    <w:div w:id="1439254656">
      <w:bodyDiv w:val="1"/>
      <w:marLeft w:val="0"/>
      <w:marRight w:val="0"/>
      <w:marTop w:val="0"/>
      <w:marBottom w:val="0"/>
      <w:divBdr>
        <w:top w:val="none" w:sz="0" w:space="0" w:color="auto"/>
        <w:left w:val="none" w:sz="0" w:space="0" w:color="auto"/>
        <w:bottom w:val="none" w:sz="0" w:space="0" w:color="auto"/>
        <w:right w:val="none" w:sz="0" w:space="0" w:color="auto"/>
      </w:divBdr>
    </w:div>
    <w:div w:id="1441686576">
      <w:bodyDiv w:val="1"/>
      <w:marLeft w:val="0"/>
      <w:marRight w:val="0"/>
      <w:marTop w:val="0"/>
      <w:marBottom w:val="0"/>
      <w:divBdr>
        <w:top w:val="none" w:sz="0" w:space="0" w:color="auto"/>
        <w:left w:val="none" w:sz="0" w:space="0" w:color="auto"/>
        <w:bottom w:val="none" w:sz="0" w:space="0" w:color="auto"/>
        <w:right w:val="none" w:sz="0" w:space="0" w:color="auto"/>
      </w:divBdr>
    </w:div>
    <w:div w:id="1467970283">
      <w:bodyDiv w:val="1"/>
      <w:marLeft w:val="0"/>
      <w:marRight w:val="0"/>
      <w:marTop w:val="0"/>
      <w:marBottom w:val="0"/>
      <w:divBdr>
        <w:top w:val="none" w:sz="0" w:space="0" w:color="auto"/>
        <w:left w:val="none" w:sz="0" w:space="0" w:color="auto"/>
        <w:bottom w:val="none" w:sz="0" w:space="0" w:color="auto"/>
        <w:right w:val="none" w:sz="0" w:space="0" w:color="auto"/>
      </w:divBdr>
    </w:div>
    <w:div w:id="1469933867">
      <w:bodyDiv w:val="1"/>
      <w:marLeft w:val="0"/>
      <w:marRight w:val="0"/>
      <w:marTop w:val="0"/>
      <w:marBottom w:val="0"/>
      <w:divBdr>
        <w:top w:val="none" w:sz="0" w:space="0" w:color="auto"/>
        <w:left w:val="none" w:sz="0" w:space="0" w:color="auto"/>
        <w:bottom w:val="none" w:sz="0" w:space="0" w:color="auto"/>
        <w:right w:val="none" w:sz="0" w:space="0" w:color="auto"/>
      </w:divBdr>
    </w:div>
    <w:div w:id="1475024930">
      <w:bodyDiv w:val="1"/>
      <w:marLeft w:val="0"/>
      <w:marRight w:val="0"/>
      <w:marTop w:val="0"/>
      <w:marBottom w:val="0"/>
      <w:divBdr>
        <w:top w:val="none" w:sz="0" w:space="0" w:color="auto"/>
        <w:left w:val="none" w:sz="0" w:space="0" w:color="auto"/>
        <w:bottom w:val="none" w:sz="0" w:space="0" w:color="auto"/>
        <w:right w:val="none" w:sz="0" w:space="0" w:color="auto"/>
      </w:divBdr>
    </w:div>
    <w:div w:id="1481772300">
      <w:bodyDiv w:val="1"/>
      <w:marLeft w:val="0"/>
      <w:marRight w:val="0"/>
      <w:marTop w:val="0"/>
      <w:marBottom w:val="0"/>
      <w:divBdr>
        <w:top w:val="none" w:sz="0" w:space="0" w:color="auto"/>
        <w:left w:val="none" w:sz="0" w:space="0" w:color="auto"/>
        <w:bottom w:val="none" w:sz="0" w:space="0" w:color="auto"/>
        <w:right w:val="none" w:sz="0" w:space="0" w:color="auto"/>
      </w:divBdr>
      <w:divsChild>
        <w:div w:id="205063771">
          <w:marLeft w:val="0"/>
          <w:marRight w:val="0"/>
          <w:marTop w:val="0"/>
          <w:marBottom w:val="0"/>
          <w:divBdr>
            <w:top w:val="none" w:sz="0" w:space="0" w:color="auto"/>
            <w:left w:val="none" w:sz="0" w:space="0" w:color="auto"/>
            <w:bottom w:val="none" w:sz="0" w:space="0" w:color="auto"/>
            <w:right w:val="none" w:sz="0" w:space="0" w:color="auto"/>
          </w:divBdr>
          <w:divsChild>
            <w:div w:id="1424061972">
              <w:marLeft w:val="0"/>
              <w:marRight w:val="0"/>
              <w:marTop w:val="0"/>
              <w:marBottom w:val="0"/>
              <w:divBdr>
                <w:top w:val="none" w:sz="0" w:space="0" w:color="auto"/>
                <w:left w:val="none" w:sz="0" w:space="0" w:color="auto"/>
                <w:bottom w:val="none" w:sz="0" w:space="0" w:color="auto"/>
                <w:right w:val="none" w:sz="0" w:space="0" w:color="auto"/>
              </w:divBdr>
              <w:divsChild>
                <w:div w:id="19562566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2795183">
      <w:bodyDiv w:val="1"/>
      <w:marLeft w:val="0"/>
      <w:marRight w:val="0"/>
      <w:marTop w:val="0"/>
      <w:marBottom w:val="0"/>
      <w:divBdr>
        <w:top w:val="none" w:sz="0" w:space="0" w:color="auto"/>
        <w:left w:val="none" w:sz="0" w:space="0" w:color="auto"/>
        <w:bottom w:val="none" w:sz="0" w:space="0" w:color="auto"/>
        <w:right w:val="none" w:sz="0" w:space="0" w:color="auto"/>
      </w:divBdr>
    </w:div>
    <w:div w:id="1494876872">
      <w:bodyDiv w:val="1"/>
      <w:marLeft w:val="0"/>
      <w:marRight w:val="0"/>
      <w:marTop w:val="0"/>
      <w:marBottom w:val="0"/>
      <w:divBdr>
        <w:top w:val="none" w:sz="0" w:space="0" w:color="auto"/>
        <w:left w:val="none" w:sz="0" w:space="0" w:color="auto"/>
        <w:bottom w:val="none" w:sz="0" w:space="0" w:color="auto"/>
        <w:right w:val="none" w:sz="0" w:space="0" w:color="auto"/>
      </w:divBdr>
    </w:div>
    <w:div w:id="1495102442">
      <w:bodyDiv w:val="1"/>
      <w:marLeft w:val="0"/>
      <w:marRight w:val="0"/>
      <w:marTop w:val="0"/>
      <w:marBottom w:val="0"/>
      <w:divBdr>
        <w:top w:val="none" w:sz="0" w:space="0" w:color="auto"/>
        <w:left w:val="none" w:sz="0" w:space="0" w:color="auto"/>
        <w:bottom w:val="none" w:sz="0" w:space="0" w:color="auto"/>
        <w:right w:val="none" w:sz="0" w:space="0" w:color="auto"/>
      </w:divBdr>
    </w:div>
    <w:div w:id="1495299317">
      <w:bodyDiv w:val="1"/>
      <w:marLeft w:val="0"/>
      <w:marRight w:val="0"/>
      <w:marTop w:val="0"/>
      <w:marBottom w:val="0"/>
      <w:divBdr>
        <w:top w:val="none" w:sz="0" w:space="0" w:color="auto"/>
        <w:left w:val="none" w:sz="0" w:space="0" w:color="auto"/>
        <w:bottom w:val="none" w:sz="0" w:space="0" w:color="auto"/>
        <w:right w:val="none" w:sz="0" w:space="0" w:color="auto"/>
      </w:divBdr>
    </w:div>
    <w:div w:id="1495757822">
      <w:bodyDiv w:val="1"/>
      <w:marLeft w:val="0"/>
      <w:marRight w:val="0"/>
      <w:marTop w:val="0"/>
      <w:marBottom w:val="0"/>
      <w:divBdr>
        <w:top w:val="none" w:sz="0" w:space="0" w:color="auto"/>
        <w:left w:val="none" w:sz="0" w:space="0" w:color="auto"/>
        <w:bottom w:val="none" w:sz="0" w:space="0" w:color="auto"/>
        <w:right w:val="none" w:sz="0" w:space="0" w:color="auto"/>
      </w:divBdr>
    </w:div>
    <w:div w:id="1495802601">
      <w:bodyDiv w:val="1"/>
      <w:marLeft w:val="0"/>
      <w:marRight w:val="0"/>
      <w:marTop w:val="0"/>
      <w:marBottom w:val="0"/>
      <w:divBdr>
        <w:top w:val="none" w:sz="0" w:space="0" w:color="auto"/>
        <w:left w:val="none" w:sz="0" w:space="0" w:color="auto"/>
        <w:bottom w:val="none" w:sz="0" w:space="0" w:color="auto"/>
        <w:right w:val="none" w:sz="0" w:space="0" w:color="auto"/>
      </w:divBdr>
    </w:div>
    <w:div w:id="1504127361">
      <w:bodyDiv w:val="1"/>
      <w:marLeft w:val="0"/>
      <w:marRight w:val="0"/>
      <w:marTop w:val="0"/>
      <w:marBottom w:val="0"/>
      <w:divBdr>
        <w:top w:val="none" w:sz="0" w:space="0" w:color="auto"/>
        <w:left w:val="none" w:sz="0" w:space="0" w:color="auto"/>
        <w:bottom w:val="none" w:sz="0" w:space="0" w:color="auto"/>
        <w:right w:val="none" w:sz="0" w:space="0" w:color="auto"/>
      </w:divBdr>
    </w:div>
    <w:div w:id="1527329795">
      <w:bodyDiv w:val="1"/>
      <w:marLeft w:val="0"/>
      <w:marRight w:val="0"/>
      <w:marTop w:val="0"/>
      <w:marBottom w:val="0"/>
      <w:divBdr>
        <w:top w:val="none" w:sz="0" w:space="0" w:color="auto"/>
        <w:left w:val="none" w:sz="0" w:space="0" w:color="auto"/>
        <w:bottom w:val="none" w:sz="0" w:space="0" w:color="auto"/>
        <w:right w:val="none" w:sz="0" w:space="0" w:color="auto"/>
      </w:divBdr>
    </w:div>
    <w:div w:id="1531718800">
      <w:bodyDiv w:val="1"/>
      <w:marLeft w:val="0"/>
      <w:marRight w:val="0"/>
      <w:marTop w:val="0"/>
      <w:marBottom w:val="0"/>
      <w:divBdr>
        <w:top w:val="none" w:sz="0" w:space="0" w:color="auto"/>
        <w:left w:val="none" w:sz="0" w:space="0" w:color="auto"/>
        <w:bottom w:val="none" w:sz="0" w:space="0" w:color="auto"/>
        <w:right w:val="none" w:sz="0" w:space="0" w:color="auto"/>
      </w:divBdr>
    </w:div>
    <w:div w:id="1534422337">
      <w:bodyDiv w:val="1"/>
      <w:marLeft w:val="0"/>
      <w:marRight w:val="0"/>
      <w:marTop w:val="0"/>
      <w:marBottom w:val="0"/>
      <w:divBdr>
        <w:top w:val="none" w:sz="0" w:space="0" w:color="auto"/>
        <w:left w:val="none" w:sz="0" w:space="0" w:color="auto"/>
        <w:bottom w:val="none" w:sz="0" w:space="0" w:color="auto"/>
        <w:right w:val="none" w:sz="0" w:space="0" w:color="auto"/>
      </w:divBdr>
    </w:div>
    <w:div w:id="1535464645">
      <w:bodyDiv w:val="1"/>
      <w:marLeft w:val="0"/>
      <w:marRight w:val="0"/>
      <w:marTop w:val="0"/>
      <w:marBottom w:val="0"/>
      <w:divBdr>
        <w:top w:val="none" w:sz="0" w:space="0" w:color="auto"/>
        <w:left w:val="none" w:sz="0" w:space="0" w:color="auto"/>
        <w:bottom w:val="none" w:sz="0" w:space="0" w:color="auto"/>
        <w:right w:val="none" w:sz="0" w:space="0" w:color="auto"/>
      </w:divBdr>
    </w:div>
    <w:div w:id="1536774628">
      <w:bodyDiv w:val="1"/>
      <w:marLeft w:val="0"/>
      <w:marRight w:val="0"/>
      <w:marTop w:val="0"/>
      <w:marBottom w:val="0"/>
      <w:divBdr>
        <w:top w:val="none" w:sz="0" w:space="0" w:color="auto"/>
        <w:left w:val="none" w:sz="0" w:space="0" w:color="auto"/>
        <w:bottom w:val="none" w:sz="0" w:space="0" w:color="auto"/>
        <w:right w:val="none" w:sz="0" w:space="0" w:color="auto"/>
      </w:divBdr>
    </w:div>
    <w:div w:id="1540707328">
      <w:bodyDiv w:val="1"/>
      <w:marLeft w:val="0"/>
      <w:marRight w:val="0"/>
      <w:marTop w:val="0"/>
      <w:marBottom w:val="0"/>
      <w:divBdr>
        <w:top w:val="none" w:sz="0" w:space="0" w:color="auto"/>
        <w:left w:val="none" w:sz="0" w:space="0" w:color="auto"/>
        <w:bottom w:val="none" w:sz="0" w:space="0" w:color="auto"/>
        <w:right w:val="none" w:sz="0" w:space="0" w:color="auto"/>
      </w:divBdr>
    </w:div>
    <w:div w:id="1547645173">
      <w:bodyDiv w:val="1"/>
      <w:marLeft w:val="0"/>
      <w:marRight w:val="0"/>
      <w:marTop w:val="0"/>
      <w:marBottom w:val="0"/>
      <w:divBdr>
        <w:top w:val="none" w:sz="0" w:space="0" w:color="auto"/>
        <w:left w:val="none" w:sz="0" w:space="0" w:color="auto"/>
        <w:bottom w:val="none" w:sz="0" w:space="0" w:color="auto"/>
        <w:right w:val="none" w:sz="0" w:space="0" w:color="auto"/>
      </w:divBdr>
    </w:div>
    <w:div w:id="1551915260">
      <w:bodyDiv w:val="1"/>
      <w:marLeft w:val="0"/>
      <w:marRight w:val="0"/>
      <w:marTop w:val="0"/>
      <w:marBottom w:val="0"/>
      <w:divBdr>
        <w:top w:val="none" w:sz="0" w:space="0" w:color="auto"/>
        <w:left w:val="none" w:sz="0" w:space="0" w:color="auto"/>
        <w:bottom w:val="none" w:sz="0" w:space="0" w:color="auto"/>
        <w:right w:val="none" w:sz="0" w:space="0" w:color="auto"/>
      </w:divBdr>
    </w:div>
    <w:div w:id="1554149462">
      <w:bodyDiv w:val="1"/>
      <w:marLeft w:val="0"/>
      <w:marRight w:val="0"/>
      <w:marTop w:val="0"/>
      <w:marBottom w:val="0"/>
      <w:divBdr>
        <w:top w:val="none" w:sz="0" w:space="0" w:color="auto"/>
        <w:left w:val="none" w:sz="0" w:space="0" w:color="auto"/>
        <w:bottom w:val="none" w:sz="0" w:space="0" w:color="auto"/>
        <w:right w:val="none" w:sz="0" w:space="0" w:color="auto"/>
      </w:divBdr>
    </w:div>
    <w:div w:id="1557007514">
      <w:bodyDiv w:val="1"/>
      <w:marLeft w:val="0"/>
      <w:marRight w:val="0"/>
      <w:marTop w:val="0"/>
      <w:marBottom w:val="0"/>
      <w:divBdr>
        <w:top w:val="none" w:sz="0" w:space="0" w:color="auto"/>
        <w:left w:val="none" w:sz="0" w:space="0" w:color="auto"/>
        <w:bottom w:val="none" w:sz="0" w:space="0" w:color="auto"/>
        <w:right w:val="none" w:sz="0" w:space="0" w:color="auto"/>
      </w:divBdr>
    </w:div>
    <w:div w:id="1559588915">
      <w:bodyDiv w:val="1"/>
      <w:marLeft w:val="0"/>
      <w:marRight w:val="0"/>
      <w:marTop w:val="0"/>
      <w:marBottom w:val="0"/>
      <w:divBdr>
        <w:top w:val="none" w:sz="0" w:space="0" w:color="auto"/>
        <w:left w:val="none" w:sz="0" w:space="0" w:color="auto"/>
        <w:bottom w:val="none" w:sz="0" w:space="0" w:color="auto"/>
        <w:right w:val="none" w:sz="0" w:space="0" w:color="auto"/>
      </w:divBdr>
    </w:div>
    <w:div w:id="1559825620">
      <w:bodyDiv w:val="1"/>
      <w:marLeft w:val="0"/>
      <w:marRight w:val="0"/>
      <w:marTop w:val="0"/>
      <w:marBottom w:val="0"/>
      <w:divBdr>
        <w:top w:val="none" w:sz="0" w:space="0" w:color="auto"/>
        <w:left w:val="none" w:sz="0" w:space="0" w:color="auto"/>
        <w:bottom w:val="none" w:sz="0" w:space="0" w:color="auto"/>
        <w:right w:val="none" w:sz="0" w:space="0" w:color="auto"/>
      </w:divBdr>
    </w:div>
    <w:div w:id="1561479593">
      <w:bodyDiv w:val="1"/>
      <w:marLeft w:val="0"/>
      <w:marRight w:val="0"/>
      <w:marTop w:val="0"/>
      <w:marBottom w:val="0"/>
      <w:divBdr>
        <w:top w:val="none" w:sz="0" w:space="0" w:color="auto"/>
        <w:left w:val="none" w:sz="0" w:space="0" w:color="auto"/>
        <w:bottom w:val="none" w:sz="0" w:space="0" w:color="auto"/>
        <w:right w:val="none" w:sz="0" w:space="0" w:color="auto"/>
      </w:divBdr>
    </w:div>
    <w:div w:id="1579748347">
      <w:bodyDiv w:val="1"/>
      <w:marLeft w:val="0"/>
      <w:marRight w:val="0"/>
      <w:marTop w:val="0"/>
      <w:marBottom w:val="0"/>
      <w:divBdr>
        <w:top w:val="none" w:sz="0" w:space="0" w:color="auto"/>
        <w:left w:val="none" w:sz="0" w:space="0" w:color="auto"/>
        <w:bottom w:val="none" w:sz="0" w:space="0" w:color="auto"/>
        <w:right w:val="none" w:sz="0" w:space="0" w:color="auto"/>
      </w:divBdr>
    </w:div>
    <w:div w:id="1582133739">
      <w:bodyDiv w:val="1"/>
      <w:marLeft w:val="0"/>
      <w:marRight w:val="0"/>
      <w:marTop w:val="0"/>
      <w:marBottom w:val="0"/>
      <w:divBdr>
        <w:top w:val="none" w:sz="0" w:space="0" w:color="auto"/>
        <w:left w:val="none" w:sz="0" w:space="0" w:color="auto"/>
        <w:bottom w:val="none" w:sz="0" w:space="0" w:color="auto"/>
        <w:right w:val="none" w:sz="0" w:space="0" w:color="auto"/>
      </w:divBdr>
    </w:div>
    <w:div w:id="1583953915">
      <w:bodyDiv w:val="1"/>
      <w:marLeft w:val="0"/>
      <w:marRight w:val="0"/>
      <w:marTop w:val="0"/>
      <w:marBottom w:val="0"/>
      <w:divBdr>
        <w:top w:val="none" w:sz="0" w:space="0" w:color="auto"/>
        <w:left w:val="none" w:sz="0" w:space="0" w:color="auto"/>
        <w:bottom w:val="none" w:sz="0" w:space="0" w:color="auto"/>
        <w:right w:val="none" w:sz="0" w:space="0" w:color="auto"/>
      </w:divBdr>
    </w:div>
    <w:div w:id="1585259853">
      <w:bodyDiv w:val="1"/>
      <w:marLeft w:val="0"/>
      <w:marRight w:val="0"/>
      <w:marTop w:val="0"/>
      <w:marBottom w:val="0"/>
      <w:divBdr>
        <w:top w:val="none" w:sz="0" w:space="0" w:color="auto"/>
        <w:left w:val="none" w:sz="0" w:space="0" w:color="auto"/>
        <w:bottom w:val="none" w:sz="0" w:space="0" w:color="auto"/>
        <w:right w:val="none" w:sz="0" w:space="0" w:color="auto"/>
      </w:divBdr>
    </w:div>
    <w:div w:id="1593473614">
      <w:bodyDiv w:val="1"/>
      <w:marLeft w:val="0"/>
      <w:marRight w:val="0"/>
      <w:marTop w:val="0"/>
      <w:marBottom w:val="0"/>
      <w:divBdr>
        <w:top w:val="none" w:sz="0" w:space="0" w:color="auto"/>
        <w:left w:val="none" w:sz="0" w:space="0" w:color="auto"/>
        <w:bottom w:val="none" w:sz="0" w:space="0" w:color="auto"/>
        <w:right w:val="none" w:sz="0" w:space="0" w:color="auto"/>
      </w:divBdr>
    </w:div>
    <w:div w:id="1600061547">
      <w:bodyDiv w:val="1"/>
      <w:marLeft w:val="0"/>
      <w:marRight w:val="0"/>
      <w:marTop w:val="0"/>
      <w:marBottom w:val="0"/>
      <w:divBdr>
        <w:top w:val="none" w:sz="0" w:space="0" w:color="auto"/>
        <w:left w:val="none" w:sz="0" w:space="0" w:color="auto"/>
        <w:bottom w:val="none" w:sz="0" w:space="0" w:color="auto"/>
        <w:right w:val="none" w:sz="0" w:space="0" w:color="auto"/>
      </w:divBdr>
    </w:div>
    <w:div w:id="1606035352">
      <w:bodyDiv w:val="1"/>
      <w:marLeft w:val="0"/>
      <w:marRight w:val="0"/>
      <w:marTop w:val="0"/>
      <w:marBottom w:val="0"/>
      <w:divBdr>
        <w:top w:val="none" w:sz="0" w:space="0" w:color="auto"/>
        <w:left w:val="none" w:sz="0" w:space="0" w:color="auto"/>
        <w:bottom w:val="none" w:sz="0" w:space="0" w:color="auto"/>
        <w:right w:val="none" w:sz="0" w:space="0" w:color="auto"/>
      </w:divBdr>
    </w:div>
    <w:div w:id="1608191445">
      <w:bodyDiv w:val="1"/>
      <w:marLeft w:val="0"/>
      <w:marRight w:val="0"/>
      <w:marTop w:val="0"/>
      <w:marBottom w:val="0"/>
      <w:divBdr>
        <w:top w:val="none" w:sz="0" w:space="0" w:color="auto"/>
        <w:left w:val="none" w:sz="0" w:space="0" w:color="auto"/>
        <w:bottom w:val="none" w:sz="0" w:space="0" w:color="auto"/>
        <w:right w:val="none" w:sz="0" w:space="0" w:color="auto"/>
      </w:divBdr>
    </w:div>
    <w:div w:id="1610354210">
      <w:bodyDiv w:val="1"/>
      <w:marLeft w:val="0"/>
      <w:marRight w:val="0"/>
      <w:marTop w:val="0"/>
      <w:marBottom w:val="0"/>
      <w:divBdr>
        <w:top w:val="none" w:sz="0" w:space="0" w:color="auto"/>
        <w:left w:val="none" w:sz="0" w:space="0" w:color="auto"/>
        <w:bottom w:val="none" w:sz="0" w:space="0" w:color="auto"/>
        <w:right w:val="none" w:sz="0" w:space="0" w:color="auto"/>
      </w:divBdr>
    </w:div>
    <w:div w:id="1611820723">
      <w:bodyDiv w:val="1"/>
      <w:marLeft w:val="0"/>
      <w:marRight w:val="0"/>
      <w:marTop w:val="0"/>
      <w:marBottom w:val="0"/>
      <w:divBdr>
        <w:top w:val="none" w:sz="0" w:space="0" w:color="auto"/>
        <w:left w:val="none" w:sz="0" w:space="0" w:color="auto"/>
        <w:bottom w:val="none" w:sz="0" w:space="0" w:color="auto"/>
        <w:right w:val="none" w:sz="0" w:space="0" w:color="auto"/>
      </w:divBdr>
    </w:div>
    <w:div w:id="1613366724">
      <w:bodyDiv w:val="1"/>
      <w:marLeft w:val="0"/>
      <w:marRight w:val="0"/>
      <w:marTop w:val="0"/>
      <w:marBottom w:val="0"/>
      <w:divBdr>
        <w:top w:val="none" w:sz="0" w:space="0" w:color="auto"/>
        <w:left w:val="none" w:sz="0" w:space="0" w:color="auto"/>
        <w:bottom w:val="none" w:sz="0" w:space="0" w:color="auto"/>
        <w:right w:val="none" w:sz="0" w:space="0" w:color="auto"/>
      </w:divBdr>
    </w:div>
    <w:div w:id="1623802986">
      <w:bodyDiv w:val="1"/>
      <w:marLeft w:val="0"/>
      <w:marRight w:val="0"/>
      <w:marTop w:val="0"/>
      <w:marBottom w:val="0"/>
      <w:divBdr>
        <w:top w:val="none" w:sz="0" w:space="0" w:color="auto"/>
        <w:left w:val="none" w:sz="0" w:space="0" w:color="auto"/>
        <w:bottom w:val="none" w:sz="0" w:space="0" w:color="auto"/>
        <w:right w:val="none" w:sz="0" w:space="0" w:color="auto"/>
      </w:divBdr>
    </w:div>
    <w:div w:id="1627390960">
      <w:bodyDiv w:val="1"/>
      <w:marLeft w:val="0"/>
      <w:marRight w:val="0"/>
      <w:marTop w:val="0"/>
      <w:marBottom w:val="0"/>
      <w:divBdr>
        <w:top w:val="none" w:sz="0" w:space="0" w:color="auto"/>
        <w:left w:val="none" w:sz="0" w:space="0" w:color="auto"/>
        <w:bottom w:val="none" w:sz="0" w:space="0" w:color="auto"/>
        <w:right w:val="none" w:sz="0" w:space="0" w:color="auto"/>
      </w:divBdr>
    </w:div>
    <w:div w:id="1632401432">
      <w:bodyDiv w:val="1"/>
      <w:marLeft w:val="0"/>
      <w:marRight w:val="0"/>
      <w:marTop w:val="0"/>
      <w:marBottom w:val="0"/>
      <w:divBdr>
        <w:top w:val="none" w:sz="0" w:space="0" w:color="auto"/>
        <w:left w:val="none" w:sz="0" w:space="0" w:color="auto"/>
        <w:bottom w:val="none" w:sz="0" w:space="0" w:color="auto"/>
        <w:right w:val="none" w:sz="0" w:space="0" w:color="auto"/>
      </w:divBdr>
    </w:div>
    <w:div w:id="1633251435">
      <w:bodyDiv w:val="1"/>
      <w:marLeft w:val="0"/>
      <w:marRight w:val="0"/>
      <w:marTop w:val="0"/>
      <w:marBottom w:val="0"/>
      <w:divBdr>
        <w:top w:val="none" w:sz="0" w:space="0" w:color="auto"/>
        <w:left w:val="none" w:sz="0" w:space="0" w:color="auto"/>
        <w:bottom w:val="none" w:sz="0" w:space="0" w:color="auto"/>
        <w:right w:val="none" w:sz="0" w:space="0" w:color="auto"/>
      </w:divBdr>
    </w:div>
    <w:div w:id="1640264431">
      <w:bodyDiv w:val="1"/>
      <w:marLeft w:val="0"/>
      <w:marRight w:val="0"/>
      <w:marTop w:val="0"/>
      <w:marBottom w:val="0"/>
      <w:divBdr>
        <w:top w:val="none" w:sz="0" w:space="0" w:color="auto"/>
        <w:left w:val="none" w:sz="0" w:space="0" w:color="auto"/>
        <w:bottom w:val="none" w:sz="0" w:space="0" w:color="auto"/>
        <w:right w:val="none" w:sz="0" w:space="0" w:color="auto"/>
      </w:divBdr>
    </w:div>
    <w:div w:id="1651905732">
      <w:bodyDiv w:val="1"/>
      <w:marLeft w:val="0"/>
      <w:marRight w:val="0"/>
      <w:marTop w:val="0"/>
      <w:marBottom w:val="0"/>
      <w:divBdr>
        <w:top w:val="none" w:sz="0" w:space="0" w:color="auto"/>
        <w:left w:val="none" w:sz="0" w:space="0" w:color="auto"/>
        <w:bottom w:val="none" w:sz="0" w:space="0" w:color="auto"/>
        <w:right w:val="none" w:sz="0" w:space="0" w:color="auto"/>
      </w:divBdr>
    </w:div>
    <w:div w:id="1657148288">
      <w:bodyDiv w:val="1"/>
      <w:marLeft w:val="0"/>
      <w:marRight w:val="0"/>
      <w:marTop w:val="0"/>
      <w:marBottom w:val="0"/>
      <w:divBdr>
        <w:top w:val="none" w:sz="0" w:space="0" w:color="auto"/>
        <w:left w:val="none" w:sz="0" w:space="0" w:color="auto"/>
        <w:bottom w:val="none" w:sz="0" w:space="0" w:color="auto"/>
        <w:right w:val="none" w:sz="0" w:space="0" w:color="auto"/>
      </w:divBdr>
    </w:div>
    <w:div w:id="1662004415">
      <w:bodyDiv w:val="1"/>
      <w:marLeft w:val="0"/>
      <w:marRight w:val="0"/>
      <w:marTop w:val="0"/>
      <w:marBottom w:val="0"/>
      <w:divBdr>
        <w:top w:val="none" w:sz="0" w:space="0" w:color="auto"/>
        <w:left w:val="none" w:sz="0" w:space="0" w:color="auto"/>
        <w:bottom w:val="none" w:sz="0" w:space="0" w:color="auto"/>
        <w:right w:val="none" w:sz="0" w:space="0" w:color="auto"/>
      </w:divBdr>
    </w:div>
    <w:div w:id="1663002117">
      <w:bodyDiv w:val="1"/>
      <w:marLeft w:val="0"/>
      <w:marRight w:val="0"/>
      <w:marTop w:val="0"/>
      <w:marBottom w:val="0"/>
      <w:divBdr>
        <w:top w:val="none" w:sz="0" w:space="0" w:color="auto"/>
        <w:left w:val="none" w:sz="0" w:space="0" w:color="auto"/>
        <w:bottom w:val="none" w:sz="0" w:space="0" w:color="auto"/>
        <w:right w:val="none" w:sz="0" w:space="0" w:color="auto"/>
      </w:divBdr>
    </w:div>
    <w:div w:id="1674718057">
      <w:bodyDiv w:val="1"/>
      <w:marLeft w:val="0"/>
      <w:marRight w:val="0"/>
      <w:marTop w:val="0"/>
      <w:marBottom w:val="0"/>
      <w:divBdr>
        <w:top w:val="none" w:sz="0" w:space="0" w:color="auto"/>
        <w:left w:val="none" w:sz="0" w:space="0" w:color="auto"/>
        <w:bottom w:val="none" w:sz="0" w:space="0" w:color="auto"/>
        <w:right w:val="none" w:sz="0" w:space="0" w:color="auto"/>
      </w:divBdr>
    </w:div>
    <w:div w:id="1678195062">
      <w:bodyDiv w:val="1"/>
      <w:marLeft w:val="0"/>
      <w:marRight w:val="0"/>
      <w:marTop w:val="0"/>
      <w:marBottom w:val="0"/>
      <w:divBdr>
        <w:top w:val="none" w:sz="0" w:space="0" w:color="auto"/>
        <w:left w:val="none" w:sz="0" w:space="0" w:color="auto"/>
        <w:bottom w:val="none" w:sz="0" w:space="0" w:color="auto"/>
        <w:right w:val="none" w:sz="0" w:space="0" w:color="auto"/>
      </w:divBdr>
    </w:div>
    <w:div w:id="1679697233">
      <w:bodyDiv w:val="1"/>
      <w:marLeft w:val="0"/>
      <w:marRight w:val="0"/>
      <w:marTop w:val="0"/>
      <w:marBottom w:val="0"/>
      <w:divBdr>
        <w:top w:val="none" w:sz="0" w:space="0" w:color="auto"/>
        <w:left w:val="none" w:sz="0" w:space="0" w:color="auto"/>
        <w:bottom w:val="none" w:sz="0" w:space="0" w:color="auto"/>
        <w:right w:val="none" w:sz="0" w:space="0" w:color="auto"/>
      </w:divBdr>
    </w:div>
    <w:div w:id="1684088247">
      <w:bodyDiv w:val="1"/>
      <w:marLeft w:val="0"/>
      <w:marRight w:val="0"/>
      <w:marTop w:val="0"/>
      <w:marBottom w:val="0"/>
      <w:divBdr>
        <w:top w:val="none" w:sz="0" w:space="0" w:color="auto"/>
        <w:left w:val="none" w:sz="0" w:space="0" w:color="auto"/>
        <w:bottom w:val="none" w:sz="0" w:space="0" w:color="auto"/>
        <w:right w:val="none" w:sz="0" w:space="0" w:color="auto"/>
      </w:divBdr>
    </w:div>
    <w:div w:id="1685204767">
      <w:bodyDiv w:val="1"/>
      <w:marLeft w:val="0"/>
      <w:marRight w:val="0"/>
      <w:marTop w:val="0"/>
      <w:marBottom w:val="0"/>
      <w:divBdr>
        <w:top w:val="none" w:sz="0" w:space="0" w:color="auto"/>
        <w:left w:val="none" w:sz="0" w:space="0" w:color="auto"/>
        <w:bottom w:val="none" w:sz="0" w:space="0" w:color="auto"/>
        <w:right w:val="none" w:sz="0" w:space="0" w:color="auto"/>
      </w:divBdr>
    </w:div>
    <w:div w:id="1686132082">
      <w:bodyDiv w:val="1"/>
      <w:marLeft w:val="0"/>
      <w:marRight w:val="0"/>
      <w:marTop w:val="0"/>
      <w:marBottom w:val="0"/>
      <w:divBdr>
        <w:top w:val="none" w:sz="0" w:space="0" w:color="auto"/>
        <w:left w:val="none" w:sz="0" w:space="0" w:color="auto"/>
        <w:bottom w:val="none" w:sz="0" w:space="0" w:color="auto"/>
        <w:right w:val="none" w:sz="0" w:space="0" w:color="auto"/>
      </w:divBdr>
    </w:div>
    <w:div w:id="1687293488">
      <w:bodyDiv w:val="1"/>
      <w:marLeft w:val="0"/>
      <w:marRight w:val="0"/>
      <w:marTop w:val="0"/>
      <w:marBottom w:val="0"/>
      <w:divBdr>
        <w:top w:val="none" w:sz="0" w:space="0" w:color="auto"/>
        <w:left w:val="none" w:sz="0" w:space="0" w:color="auto"/>
        <w:bottom w:val="none" w:sz="0" w:space="0" w:color="auto"/>
        <w:right w:val="none" w:sz="0" w:space="0" w:color="auto"/>
      </w:divBdr>
    </w:div>
    <w:div w:id="1688748381">
      <w:bodyDiv w:val="1"/>
      <w:marLeft w:val="0"/>
      <w:marRight w:val="0"/>
      <w:marTop w:val="0"/>
      <w:marBottom w:val="0"/>
      <w:divBdr>
        <w:top w:val="none" w:sz="0" w:space="0" w:color="auto"/>
        <w:left w:val="none" w:sz="0" w:space="0" w:color="auto"/>
        <w:bottom w:val="none" w:sz="0" w:space="0" w:color="auto"/>
        <w:right w:val="none" w:sz="0" w:space="0" w:color="auto"/>
      </w:divBdr>
    </w:div>
    <w:div w:id="1691252978">
      <w:bodyDiv w:val="1"/>
      <w:marLeft w:val="0"/>
      <w:marRight w:val="0"/>
      <w:marTop w:val="0"/>
      <w:marBottom w:val="0"/>
      <w:divBdr>
        <w:top w:val="none" w:sz="0" w:space="0" w:color="auto"/>
        <w:left w:val="none" w:sz="0" w:space="0" w:color="auto"/>
        <w:bottom w:val="none" w:sz="0" w:space="0" w:color="auto"/>
        <w:right w:val="none" w:sz="0" w:space="0" w:color="auto"/>
      </w:divBdr>
    </w:div>
    <w:div w:id="1695762182">
      <w:bodyDiv w:val="1"/>
      <w:marLeft w:val="0"/>
      <w:marRight w:val="0"/>
      <w:marTop w:val="0"/>
      <w:marBottom w:val="0"/>
      <w:divBdr>
        <w:top w:val="none" w:sz="0" w:space="0" w:color="auto"/>
        <w:left w:val="none" w:sz="0" w:space="0" w:color="auto"/>
        <w:bottom w:val="none" w:sz="0" w:space="0" w:color="auto"/>
        <w:right w:val="none" w:sz="0" w:space="0" w:color="auto"/>
      </w:divBdr>
    </w:div>
    <w:div w:id="1695836634">
      <w:bodyDiv w:val="1"/>
      <w:marLeft w:val="0"/>
      <w:marRight w:val="0"/>
      <w:marTop w:val="0"/>
      <w:marBottom w:val="0"/>
      <w:divBdr>
        <w:top w:val="none" w:sz="0" w:space="0" w:color="auto"/>
        <w:left w:val="none" w:sz="0" w:space="0" w:color="auto"/>
        <w:bottom w:val="none" w:sz="0" w:space="0" w:color="auto"/>
        <w:right w:val="none" w:sz="0" w:space="0" w:color="auto"/>
      </w:divBdr>
    </w:div>
    <w:div w:id="1696880645">
      <w:bodyDiv w:val="1"/>
      <w:marLeft w:val="0"/>
      <w:marRight w:val="0"/>
      <w:marTop w:val="0"/>
      <w:marBottom w:val="0"/>
      <w:divBdr>
        <w:top w:val="none" w:sz="0" w:space="0" w:color="auto"/>
        <w:left w:val="none" w:sz="0" w:space="0" w:color="auto"/>
        <w:bottom w:val="none" w:sz="0" w:space="0" w:color="auto"/>
        <w:right w:val="none" w:sz="0" w:space="0" w:color="auto"/>
      </w:divBdr>
      <w:divsChild>
        <w:div w:id="1233346368">
          <w:marLeft w:val="0"/>
          <w:marRight w:val="0"/>
          <w:marTop w:val="0"/>
          <w:marBottom w:val="0"/>
          <w:divBdr>
            <w:top w:val="none" w:sz="0" w:space="0" w:color="auto"/>
            <w:left w:val="none" w:sz="0" w:space="0" w:color="auto"/>
            <w:bottom w:val="none" w:sz="0" w:space="0" w:color="auto"/>
            <w:right w:val="none" w:sz="0" w:space="0" w:color="auto"/>
          </w:divBdr>
        </w:div>
        <w:div w:id="1095399015">
          <w:marLeft w:val="0"/>
          <w:marRight w:val="0"/>
          <w:marTop w:val="0"/>
          <w:marBottom w:val="0"/>
          <w:divBdr>
            <w:top w:val="none" w:sz="0" w:space="0" w:color="auto"/>
            <w:left w:val="none" w:sz="0" w:space="0" w:color="auto"/>
            <w:bottom w:val="none" w:sz="0" w:space="0" w:color="auto"/>
            <w:right w:val="none" w:sz="0" w:space="0" w:color="auto"/>
          </w:divBdr>
        </w:div>
        <w:div w:id="1998800018">
          <w:marLeft w:val="0"/>
          <w:marRight w:val="0"/>
          <w:marTop w:val="0"/>
          <w:marBottom w:val="0"/>
          <w:divBdr>
            <w:top w:val="none" w:sz="0" w:space="0" w:color="auto"/>
            <w:left w:val="none" w:sz="0" w:space="0" w:color="auto"/>
            <w:bottom w:val="none" w:sz="0" w:space="0" w:color="auto"/>
            <w:right w:val="none" w:sz="0" w:space="0" w:color="auto"/>
          </w:divBdr>
        </w:div>
        <w:div w:id="629630974">
          <w:marLeft w:val="0"/>
          <w:marRight w:val="0"/>
          <w:marTop w:val="0"/>
          <w:marBottom w:val="0"/>
          <w:divBdr>
            <w:top w:val="none" w:sz="0" w:space="0" w:color="auto"/>
            <w:left w:val="none" w:sz="0" w:space="0" w:color="auto"/>
            <w:bottom w:val="none" w:sz="0" w:space="0" w:color="auto"/>
            <w:right w:val="none" w:sz="0" w:space="0" w:color="auto"/>
          </w:divBdr>
        </w:div>
        <w:div w:id="518736977">
          <w:marLeft w:val="0"/>
          <w:marRight w:val="0"/>
          <w:marTop w:val="0"/>
          <w:marBottom w:val="0"/>
          <w:divBdr>
            <w:top w:val="none" w:sz="0" w:space="0" w:color="auto"/>
            <w:left w:val="none" w:sz="0" w:space="0" w:color="auto"/>
            <w:bottom w:val="none" w:sz="0" w:space="0" w:color="auto"/>
            <w:right w:val="none" w:sz="0" w:space="0" w:color="auto"/>
          </w:divBdr>
        </w:div>
      </w:divsChild>
    </w:div>
    <w:div w:id="1701470257">
      <w:bodyDiv w:val="1"/>
      <w:marLeft w:val="0"/>
      <w:marRight w:val="0"/>
      <w:marTop w:val="0"/>
      <w:marBottom w:val="0"/>
      <w:divBdr>
        <w:top w:val="none" w:sz="0" w:space="0" w:color="auto"/>
        <w:left w:val="none" w:sz="0" w:space="0" w:color="auto"/>
        <w:bottom w:val="none" w:sz="0" w:space="0" w:color="auto"/>
        <w:right w:val="none" w:sz="0" w:space="0" w:color="auto"/>
      </w:divBdr>
    </w:div>
    <w:div w:id="1711108883">
      <w:bodyDiv w:val="1"/>
      <w:marLeft w:val="0"/>
      <w:marRight w:val="0"/>
      <w:marTop w:val="0"/>
      <w:marBottom w:val="0"/>
      <w:divBdr>
        <w:top w:val="none" w:sz="0" w:space="0" w:color="auto"/>
        <w:left w:val="none" w:sz="0" w:space="0" w:color="auto"/>
        <w:bottom w:val="none" w:sz="0" w:space="0" w:color="auto"/>
        <w:right w:val="none" w:sz="0" w:space="0" w:color="auto"/>
      </w:divBdr>
    </w:div>
    <w:div w:id="1714840048">
      <w:bodyDiv w:val="1"/>
      <w:marLeft w:val="0"/>
      <w:marRight w:val="0"/>
      <w:marTop w:val="0"/>
      <w:marBottom w:val="0"/>
      <w:divBdr>
        <w:top w:val="none" w:sz="0" w:space="0" w:color="auto"/>
        <w:left w:val="none" w:sz="0" w:space="0" w:color="auto"/>
        <w:bottom w:val="none" w:sz="0" w:space="0" w:color="auto"/>
        <w:right w:val="none" w:sz="0" w:space="0" w:color="auto"/>
      </w:divBdr>
    </w:div>
    <w:div w:id="1720593918">
      <w:bodyDiv w:val="1"/>
      <w:marLeft w:val="0"/>
      <w:marRight w:val="0"/>
      <w:marTop w:val="0"/>
      <w:marBottom w:val="0"/>
      <w:divBdr>
        <w:top w:val="none" w:sz="0" w:space="0" w:color="auto"/>
        <w:left w:val="none" w:sz="0" w:space="0" w:color="auto"/>
        <w:bottom w:val="none" w:sz="0" w:space="0" w:color="auto"/>
        <w:right w:val="none" w:sz="0" w:space="0" w:color="auto"/>
      </w:divBdr>
    </w:div>
    <w:div w:id="1721129879">
      <w:bodyDiv w:val="1"/>
      <w:marLeft w:val="0"/>
      <w:marRight w:val="0"/>
      <w:marTop w:val="0"/>
      <w:marBottom w:val="0"/>
      <w:divBdr>
        <w:top w:val="none" w:sz="0" w:space="0" w:color="auto"/>
        <w:left w:val="none" w:sz="0" w:space="0" w:color="auto"/>
        <w:bottom w:val="none" w:sz="0" w:space="0" w:color="auto"/>
        <w:right w:val="none" w:sz="0" w:space="0" w:color="auto"/>
      </w:divBdr>
    </w:div>
    <w:div w:id="1721201079">
      <w:bodyDiv w:val="1"/>
      <w:marLeft w:val="0"/>
      <w:marRight w:val="0"/>
      <w:marTop w:val="0"/>
      <w:marBottom w:val="0"/>
      <w:divBdr>
        <w:top w:val="none" w:sz="0" w:space="0" w:color="auto"/>
        <w:left w:val="none" w:sz="0" w:space="0" w:color="auto"/>
        <w:bottom w:val="none" w:sz="0" w:space="0" w:color="auto"/>
        <w:right w:val="none" w:sz="0" w:space="0" w:color="auto"/>
      </w:divBdr>
    </w:div>
    <w:div w:id="1722631420">
      <w:bodyDiv w:val="1"/>
      <w:marLeft w:val="0"/>
      <w:marRight w:val="0"/>
      <w:marTop w:val="0"/>
      <w:marBottom w:val="0"/>
      <w:divBdr>
        <w:top w:val="none" w:sz="0" w:space="0" w:color="auto"/>
        <w:left w:val="none" w:sz="0" w:space="0" w:color="auto"/>
        <w:bottom w:val="none" w:sz="0" w:space="0" w:color="auto"/>
        <w:right w:val="none" w:sz="0" w:space="0" w:color="auto"/>
      </w:divBdr>
    </w:div>
    <w:div w:id="1736322195">
      <w:bodyDiv w:val="1"/>
      <w:marLeft w:val="0"/>
      <w:marRight w:val="0"/>
      <w:marTop w:val="0"/>
      <w:marBottom w:val="0"/>
      <w:divBdr>
        <w:top w:val="none" w:sz="0" w:space="0" w:color="auto"/>
        <w:left w:val="none" w:sz="0" w:space="0" w:color="auto"/>
        <w:bottom w:val="none" w:sz="0" w:space="0" w:color="auto"/>
        <w:right w:val="none" w:sz="0" w:space="0" w:color="auto"/>
      </w:divBdr>
      <w:divsChild>
        <w:div w:id="1488858173">
          <w:marLeft w:val="0"/>
          <w:marRight w:val="0"/>
          <w:marTop w:val="0"/>
          <w:marBottom w:val="0"/>
          <w:divBdr>
            <w:top w:val="none" w:sz="0" w:space="0" w:color="auto"/>
            <w:left w:val="none" w:sz="0" w:space="0" w:color="auto"/>
            <w:bottom w:val="none" w:sz="0" w:space="0" w:color="auto"/>
            <w:right w:val="none" w:sz="0" w:space="0" w:color="auto"/>
          </w:divBdr>
        </w:div>
        <w:div w:id="984166915">
          <w:marLeft w:val="0"/>
          <w:marRight w:val="0"/>
          <w:marTop w:val="0"/>
          <w:marBottom w:val="0"/>
          <w:divBdr>
            <w:top w:val="none" w:sz="0" w:space="0" w:color="auto"/>
            <w:left w:val="none" w:sz="0" w:space="0" w:color="auto"/>
            <w:bottom w:val="none" w:sz="0" w:space="0" w:color="auto"/>
            <w:right w:val="none" w:sz="0" w:space="0" w:color="auto"/>
          </w:divBdr>
        </w:div>
        <w:div w:id="860242700">
          <w:marLeft w:val="0"/>
          <w:marRight w:val="0"/>
          <w:marTop w:val="0"/>
          <w:marBottom w:val="0"/>
          <w:divBdr>
            <w:top w:val="none" w:sz="0" w:space="0" w:color="auto"/>
            <w:left w:val="none" w:sz="0" w:space="0" w:color="auto"/>
            <w:bottom w:val="none" w:sz="0" w:space="0" w:color="auto"/>
            <w:right w:val="none" w:sz="0" w:space="0" w:color="auto"/>
          </w:divBdr>
        </w:div>
        <w:div w:id="1354503363">
          <w:marLeft w:val="0"/>
          <w:marRight w:val="0"/>
          <w:marTop w:val="0"/>
          <w:marBottom w:val="0"/>
          <w:divBdr>
            <w:top w:val="none" w:sz="0" w:space="0" w:color="auto"/>
            <w:left w:val="none" w:sz="0" w:space="0" w:color="auto"/>
            <w:bottom w:val="none" w:sz="0" w:space="0" w:color="auto"/>
            <w:right w:val="none" w:sz="0" w:space="0" w:color="auto"/>
          </w:divBdr>
        </w:div>
        <w:div w:id="291907189">
          <w:marLeft w:val="0"/>
          <w:marRight w:val="0"/>
          <w:marTop w:val="0"/>
          <w:marBottom w:val="0"/>
          <w:divBdr>
            <w:top w:val="none" w:sz="0" w:space="0" w:color="auto"/>
            <w:left w:val="none" w:sz="0" w:space="0" w:color="auto"/>
            <w:bottom w:val="none" w:sz="0" w:space="0" w:color="auto"/>
            <w:right w:val="none" w:sz="0" w:space="0" w:color="auto"/>
          </w:divBdr>
        </w:div>
        <w:div w:id="1667902594">
          <w:marLeft w:val="0"/>
          <w:marRight w:val="0"/>
          <w:marTop w:val="0"/>
          <w:marBottom w:val="0"/>
          <w:divBdr>
            <w:top w:val="none" w:sz="0" w:space="0" w:color="auto"/>
            <w:left w:val="none" w:sz="0" w:space="0" w:color="auto"/>
            <w:bottom w:val="none" w:sz="0" w:space="0" w:color="auto"/>
            <w:right w:val="none" w:sz="0" w:space="0" w:color="auto"/>
          </w:divBdr>
        </w:div>
        <w:div w:id="514926811">
          <w:marLeft w:val="0"/>
          <w:marRight w:val="0"/>
          <w:marTop w:val="0"/>
          <w:marBottom w:val="0"/>
          <w:divBdr>
            <w:top w:val="none" w:sz="0" w:space="0" w:color="auto"/>
            <w:left w:val="none" w:sz="0" w:space="0" w:color="auto"/>
            <w:bottom w:val="none" w:sz="0" w:space="0" w:color="auto"/>
            <w:right w:val="none" w:sz="0" w:space="0" w:color="auto"/>
          </w:divBdr>
        </w:div>
        <w:div w:id="1806655446">
          <w:marLeft w:val="0"/>
          <w:marRight w:val="0"/>
          <w:marTop w:val="0"/>
          <w:marBottom w:val="0"/>
          <w:divBdr>
            <w:top w:val="none" w:sz="0" w:space="0" w:color="auto"/>
            <w:left w:val="none" w:sz="0" w:space="0" w:color="auto"/>
            <w:bottom w:val="none" w:sz="0" w:space="0" w:color="auto"/>
            <w:right w:val="none" w:sz="0" w:space="0" w:color="auto"/>
          </w:divBdr>
        </w:div>
        <w:div w:id="897059132">
          <w:marLeft w:val="0"/>
          <w:marRight w:val="0"/>
          <w:marTop w:val="0"/>
          <w:marBottom w:val="0"/>
          <w:divBdr>
            <w:top w:val="none" w:sz="0" w:space="0" w:color="auto"/>
            <w:left w:val="none" w:sz="0" w:space="0" w:color="auto"/>
            <w:bottom w:val="none" w:sz="0" w:space="0" w:color="auto"/>
            <w:right w:val="none" w:sz="0" w:space="0" w:color="auto"/>
          </w:divBdr>
        </w:div>
        <w:div w:id="1420371914">
          <w:marLeft w:val="0"/>
          <w:marRight w:val="0"/>
          <w:marTop w:val="0"/>
          <w:marBottom w:val="0"/>
          <w:divBdr>
            <w:top w:val="none" w:sz="0" w:space="0" w:color="auto"/>
            <w:left w:val="none" w:sz="0" w:space="0" w:color="auto"/>
            <w:bottom w:val="none" w:sz="0" w:space="0" w:color="auto"/>
            <w:right w:val="none" w:sz="0" w:space="0" w:color="auto"/>
          </w:divBdr>
        </w:div>
        <w:div w:id="33430113">
          <w:marLeft w:val="0"/>
          <w:marRight w:val="0"/>
          <w:marTop w:val="0"/>
          <w:marBottom w:val="0"/>
          <w:divBdr>
            <w:top w:val="none" w:sz="0" w:space="0" w:color="auto"/>
            <w:left w:val="none" w:sz="0" w:space="0" w:color="auto"/>
            <w:bottom w:val="none" w:sz="0" w:space="0" w:color="auto"/>
            <w:right w:val="none" w:sz="0" w:space="0" w:color="auto"/>
          </w:divBdr>
        </w:div>
        <w:div w:id="2058820070">
          <w:marLeft w:val="0"/>
          <w:marRight w:val="0"/>
          <w:marTop w:val="0"/>
          <w:marBottom w:val="0"/>
          <w:divBdr>
            <w:top w:val="none" w:sz="0" w:space="0" w:color="auto"/>
            <w:left w:val="none" w:sz="0" w:space="0" w:color="auto"/>
            <w:bottom w:val="none" w:sz="0" w:space="0" w:color="auto"/>
            <w:right w:val="none" w:sz="0" w:space="0" w:color="auto"/>
          </w:divBdr>
        </w:div>
        <w:div w:id="733746534">
          <w:marLeft w:val="0"/>
          <w:marRight w:val="0"/>
          <w:marTop w:val="0"/>
          <w:marBottom w:val="0"/>
          <w:divBdr>
            <w:top w:val="none" w:sz="0" w:space="0" w:color="auto"/>
            <w:left w:val="none" w:sz="0" w:space="0" w:color="auto"/>
            <w:bottom w:val="none" w:sz="0" w:space="0" w:color="auto"/>
            <w:right w:val="none" w:sz="0" w:space="0" w:color="auto"/>
          </w:divBdr>
        </w:div>
        <w:div w:id="1827042191">
          <w:marLeft w:val="0"/>
          <w:marRight w:val="0"/>
          <w:marTop w:val="0"/>
          <w:marBottom w:val="0"/>
          <w:divBdr>
            <w:top w:val="none" w:sz="0" w:space="0" w:color="auto"/>
            <w:left w:val="none" w:sz="0" w:space="0" w:color="auto"/>
            <w:bottom w:val="none" w:sz="0" w:space="0" w:color="auto"/>
            <w:right w:val="none" w:sz="0" w:space="0" w:color="auto"/>
          </w:divBdr>
        </w:div>
        <w:div w:id="1305625303">
          <w:marLeft w:val="0"/>
          <w:marRight w:val="0"/>
          <w:marTop w:val="0"/>
          <w:marBottom w:val="0"/>
          <w:divBdr>
            <w:top w:val="none" w:sz="0" w:space="0" w:color="auto"/>
            <w:left w:val="none" w:sz="0" w:space="0" w:color="auto"/>
            <w:bottom w:val="none" w:sz="0" w:space="0" w:color="auto"/>
            <w:right w:val="none" w:sz="0" w:space="0" w:color="auto"/>
          </w:divBdr>
        </w:div>
        <w:div w:id="1144198969">
          <w:marLeft w:val="0"/>
          <w:marRight w:val="0"/>
          <w:marTop w:val="0"/>
          <w:marBottom w:val="0"/>
          <w:divBdr>
            <w:top w:val="none" w:sz="0" w:space="0" w:color="auto"/>
            <w:left w:val="none" w:sz="0" w:space="0" w:color="auto"/>
            <w:bottom w:val="none" w:sz="0" w:space="0" w:color="auto"/>
            <w:right w:val="none" w:sz="0" w:space="0" w:color="auto"/>
          </w:divBdr>
        </w:div>
      </w:divsChild>
    </w:div>
    <w:div w:id="1741515120">
      <w:bodyDiv w:val="1"/>
      <w:marLeft w:val="0"/>
      <w:marRight w:val="0"/>
      <w:marTop w:val="0"/>
      <w:marBottom w:val="0"/>
      <w:divBdr>
        <w:top w:val="none" w:sz="0" w:space="0" w:color="auto"/>
        <w:left w:val="none" w:sz="0" w:space="0" w:color="auto"/>
        <w:bottom w:val="none" w:sz="0" w:space="0" w:color="auto"/>
        <w:right w:val="none" w:sz="0" w:space="0" w:color="auto"/>
      </w:divBdr>
    </w:div>
    <w:div w:id="1743332635">
      <w:bodyDiv w:val="1"/>
      <w:marLeft w:val="0"/>
      <w:marRight w:val="0"/>
      <w:marTop w:val="0"/>
      <w:marBottom w:val="0"/>
      <w:divBdr>
        <w:top w:val="none" w:sz="0" w:space="0" w:color="auto"/>
        <w:left w:val="none" w:sz="0" w:space="0" w:color="auto"/>
        <w:bottom w:val="none" w:sz="0" w:space="0" w:color="auto"/>
        <w:right w:val="none" w:sz="0" w:space="0" w:color="auto"/>
      </w:divBdr>
    </w:div>
    <w:div w:id="1744597347">
      <w:bodyDiv w:val="1"/>
      <w:marLeft w:val="0"/>
      <w:marRight w:val="0"/>
      <w:marTop w:val="0"/>
      <w:marBottom w:val="0"/>
      <w:divBdr>
        <w:top w:val="none" w:sz="0" w:space="0" w:color="auto"/>
        <w:left w:val="none" w:sz="0" w:space="0" w:color="auto"/>
        <w:bottom w:val="none" w:sz="0" w:space="0" w:color="auto"/>
        <w:right w:val="none" w:sz="0" w:space="0" w:color="auto"/>
      </w:divBdr>
    </w:div>
    <w:div w:id="1746800705">
      <w:bodyDiv w:val="1"/>
      <w:marLeft w:val="0"/>
      <w:marRight w:val="0"/>
      <w:marTop w:val="0"/>
      <w:marBottom w:val="0"/>
      <w:divBdr>
        <w:top w:val="none" w:sz="0" w:space="0" w:color="auto"/>
        <w:left w:val="none" w:sz="0" w:space="0" w:color="auto"/>
        <w:bottom w:val="none" w:sz="0" w:space="0" w:color="auto"/>
        <w:right w:val="none" w:sz="0" w:space="0" w:color="auto"/>
      </w:divBdr>
    </w:div>
    <w:div w:id="1750157149">
      <w:bodyDiv w:val="1"/>
      <w:marLeft w:val="0"/>
      <w:marRight w:val="0"/>
      <w:marTop w:val="0"/>
      <w:marBottom w:val="0"/>
      <w:divBdr>
        <w:top w:val="none" w:sz="0" w:space="0" w:color="auto"/>
        <w:left w:val="none" w:sz="0" w:space="0" w:color="auto"/>
        <w:bottom w:val="none" w:sz="0" w:space="0" w:color="auto"/>
        <w:right w:val="none" w:sz="0" w:space="0" w:color="auto"/>
      </w:divBdr>
    </w:div>
    <w:div w:id="1750690011">
      <w:bodyDiv w:val="1"/>
      <w:marLeft w:val="0"/>
      <w:marRight w:val="0"/>
      <w:marTop w:val="0"/>
      <w:marBottom w:val="0"/>
      <w:divBdr>
        <w:top w:val="none" w:sz="0" w:space="0" w:color="auto"/>
        <w:left w:val="none" w:sz="0" w:space="0" w:color="auto"/>
        <w:bottom w:val="none" w:sz="0" w:space="0" w:color="auto"/>
        <w:right w:val="none" w:sz="0" w:space="0" w:color="auto"/>
      </w:divBdr>
    </w:div>
    <w:div w:id="1750956307">
      <w:bodyDiv w:val="1"/>
      <w:marLeft w:val="0"/>
      <w:marRight w:val="0"/>
      <w:marTop w:val="0"/>
      <w:marBottom w:val="0"/>
      <w:divBdr>
        <w:top w:val="none" w:sz="0" w:space="0" w:color="auto"/>
        <w:left w:val="none" w:sz="0" w:space="0" w:color="auto"/>
        <w:bottom w:val="none" w:sz="0" w:space="0" w:color="auto"/>
        <w:right w:val="none" w:sz="0" w:space="0" w:color="auto"/>
      </w:divBdr>
    </w:div>
    <w:div w:id="1755276064">
      <w:bodyDiv w:val="1"/>
      <w:marLeft w:val="0"/>
      <w:marRight w:val="0"/>
      <w:marTop w:val="0"/>
      <w:marBottom w:val="0"/>
      <w:divBdr>
        <w:top w:val="none" w:sz="0" w:space="0" w:color="auto"/>
        <w:left w:val="none" w:sz="0" w:space="0" w:color="auto"/>
        <w:bottom w:val="none" w:sz="0" w:space="0" w:color="auto"/>
        <w:right w:val="none" w:sz="0" w:space="0" w:color="auto"/>
      </w:divBdr>
    </w:div>
    <w:div w:id="1762680592">
      <w:bodyDiv w:val="1"/>
      <w:marLeft w:val="0"/>
      <w:marRight w:val="0"/>
      <w:marTop w:val="0"/>
      <w:marBottom w:val="0"/>
      <w:divBdr>
        <w:top w:val="none" w:sz="0" w:space="0" w:color="auto"/>
        <w:left w:val="none" w:sz="0" w:space="0" w:color="auto"/>
        <w:bottom w:val="none" w:sz="0" w:space="0" w:color="auto"/>
        <w:right w:val="none" w:sz="0" w:space="0" w:color="auto"/>
      </w:divBdr>
    </w:div>
    <w:div w:id="1768455921">
      <w:bodyDiv w:val="1"/>
      <w:marLeft w:val="0"/>
      <w:marRight w:val="0"/>
      <w:marTop w:val="0"/>
      <w:marBottom w:val="0"/>
      <w:divBdr>
        <w:top w:val="none" w:sz="0" w:space="0" w:color="auto"/>
        <w:left w:val="none" w:sz="0" w:space="0" w:color="auto"/>
        <w:bottom w:val="none" w:sz="0" w:space="0" w:color="auto"/>
        <w:right w:val="none" w:sz="0" w:space="0" w:color="auto"/>
      </w:divBdr>
    </w:div>
    <w:div w:id="1771318307">
      <w:bodyDiv w:val="1"/>
      <w:marLeft w:val="0"/>
      <w:marRight w:val="0"/>
      <w:marTop w:val="0"/>
      <w:marBottom w:val="0"/>
      <w:divBdr>
        <w:top w:val="none" w:sz="0" w:space="0" w:color="auto"/>
        <w:left w:val="none" w:sz="0" w:space="0" w:color="auto"/>
        <w:bottom w:val="none" w:sz="0" w:space="0" w:color="auto"/>
        <w:right w:val="none" w:sz="0" w:space="0" w:color="auto"/>
      </w:divBdr>
    </w:div>
    <w:div w:id="1776293154">
      <w:bodyDiv w:val="1"/>
      <w:marLeft w:val="0"/>
      <w:marRight w:val="0"/>
      <w:marTop w:val="0"/>
      <w:marBottom w:val="0"/>
      <w:divBdr>
        <w:top w:val="none" w:sz="0" w:space="0" w:color="auto"/>
        <w:left w:val="none" w:sz="0" w:space="0" w:color="auto"/>
        <w:bottom w:val="none" w:sz="0" w:space="0" w:color="auto"/>
        <w:right w:val="none" w:sz="0" w:space="0" w:color="auto"/>
      </w:divBdr>
    </w:div>
    <w:div w:id="1785416739">
      <w:bodyDiv w:val="1"/>
      <w:marLeft w:val="0"/>
      <w:marRight w:val="0"/>
      <w:marTop w:val="0"/>
      <w:marBottom w:val="0"/>
      <w:divBdr>
        <w:top w:val="none" w:sz="0" w:space="0" w:color="auto"/>
        <w:left w:val="none" w:sz="0" w:space="0" w:color="auto"/>
        <w:bottom w:val="none" w:sz="0" w:space="0" w:color="auto"/>
        <w:right w:val="none" w:sz="0" w:space="0" w:color="auto"/>
      </w:divBdr>
    </w:div>
    <w:div w:id="1786341172">
      <w:bodyDiv w:val="1"/>
      <w:marLeft w:val="0"/>
      <w:marRight w:val="0"/>
      <w:marTop w:val="0"/>
      <w:marBottom w:val="0"/>
      <w:divBdr>
        <w:top w:val="none" w:sz="0" w:space="0" w:color="auto"/>
        <w:left w:val="none" w:sz="0" w:space="0" w:color="auto"/>
        <w:bottom w:val="none" w:sz="0" w:space="0" w:color="auto"/>
        <w:right w:val="none" w:sz="0" w:space="0" w:color="auto"/>
      </w:divBdr>
    </w:div>
    <w:div w:id="1788620138">
      <w:bodyDiv w:val="1"/>
      <w:marLeft w:val="0"/>
      <w:marRight w:val="0"/>
      <w:marTop w:val="0"/>
      <w:marBottom w:val="0"/>
      <w:divBdr>
        <w:top w:val="none" w:sz="0" w:space="0" w:color="auto"/>
        <w:left w:val="none" w:sz="0" w:space="0" w:color="auto"/>
        <w:bottom w:val="none" w:sz="0" w:space="0" w:color="auto"/>
        <w:right w:val="none" w:sz="0" w:space="0" w:color="auto"/>
      </w:divBdr>
    </w:div>
    <w:div w:id="1789280954">
      <w:bodyDiv w:val="1"/>
      <w:marLeft w:val="0"/>
      <w:marRight w:val="0"/>
      <w:marTop w:val="0"/>
      <w:marBottom w:val="0"/>
      <w:divBdr>
        <w:top w:val="none" w:sz="0" w:space="0" w:color="auto"/>
        <w:left w:val="none" w:sz="0" w:space="0" w:color="auto"/>
        <w:bottom w:val="none" w:sz="0" w:space="0" w:color="auto"/>
        <w:right w:val="none" w:sz="0" w:space="0" w:color="auto"/>
      </w:divBdr>
    </w:div>
    <w:div w:id="1789426384">
      <w:bodyDiv w:val="1"/>
      <w:marLeft w:val="0"/>
      <w:marRight w:val="0"/>
      <w:marTop w:val="0"/>
      <w:marBottom w:val="0"/>
      <w:divBdr>
        <w:top w:val="none" w:sz="0" w:space="0" w:color="auto"/>
        <w:left w:val="none" w:sz="0" w:space="0" w:color="auto"/>
        <w:bottom w:val="none" w:sz="0" w:space="0" w:color="auto"/>
        <w:right w:val="none" w:sz="0" w:space="0" w:color="auto"/>
      </w:divBdr>
    </w:div>
    <w:div w:id="1789542075">
      <w:bodyDiv w:val="1"/>
      <w:marLeft w:val="0"/>
      <w:marRight w:val="0"/>
      <w:marTop w:val="0"/>
      <w:marBottom w:val="0"/>
      <w:divBdr>
        <w:top w:val="none" w:sz="0" w:space="0" w:color="auto"/>
        <w:left w:val="none" w:sz="0" w:space="0" w:color="auto"/>
        <w:bottom w:val="none" w:sz="0" w:space="0" w:color="auto"/>
        <w:right w:val="none" w:sz="0" w:space="0" w:color="auto"/>
      </w:divBdr>
    </w:div>
    <w:div w:id="1793283029">
      <w:bodyDiv w:val="1"/>
      <w:marLeft w:val="0"/>
      <w:marRight w:val="0"/>
      <w:marTop w:val="0"/>
      <w:marBottom w:val="0"/>
      <w:divBdr>
        <w:top w:val="none" w:sz="0" w:space="0" w:color="auto"/>
        <w:left w:val="none" w:sz="0" w:space="0" w:color="auto"/>
        <w:bottom w:val="none" w:sz="0" w:space="0" w:color="auto"/>
        <w:right w:val="none" w:sz="0" w:space="0" w:color="auto"/>
      </w:divBdr>
    </w:div>
    <w:div w:id="1793941535">
      <w:bodyDiv w:val="1"/>
      <w:marLeft w:val="0"/>
      <w:marRight w:val="0"/>
      <w:marTop w:val="0"/>
      <w:marBottom w:val="0"/>
      <w:divBdr>
        <w:top w:val="none" w:sz="0" w:space="0" w:color="auto"/>
        <w:left w:val="none" w:sz="0" w:space="0" w:color="auto"/>
        <w:bottom w:val="none" w:sz="0" w:space="0" w:color="auto"/>
        <w:right w:val="none" w:sz="0" w:space="0" w:color="auto"/>
      </w:divBdr>
    </w:div>
    <w:div w:id="1797066514">
      <w:bodyDiv w:val="1"/>
      <w:marLeft w:val="0"/>
      <w:marRight w:val="0"/>
      <w:marTop w:val="0"/>
      <w:marBottom w:val="0"/>
      <w:divBdr>
        <w:top w:val="none" w:sz="0" w:space="0" w:color="auto"/>
        <w:left w:val="none" w:sz="0" w:space="0" w:color="auto"/>
        <w:bottom w:val="none" w:sz="0" w:space="0" w:color="auto"/>
        <w:right w:val="none" w:sz="0" w:space="0" w:color="auto"/>
      </w:divBdr>
    </w:div>
    <w:div w:id="1807048476">
      <w:bodyDiv w:val="1"/>
      <w:marLeft w:val="0"/>
      <w:marRight w:val="0"/>
      <w:marTop w:val="0"/>
      <w:marBottom w:val="0"/>
      <w:divBdr>
        <w:top w:val="none" w:sz="0" w:space="0" w:color="auto"/>
        <w:left w:val="none" w:sz="0" w:space="0" w:color="auto"/>
        <w:bottom w:val="none" w:sz="0" w:space="0" w:color="auto"/>
        <w:right w:val="none" w:sz="0" w:space="0" w:color="auto"/>
      </w:divBdr>
    </w:div>
    <w:div w:id="1811284818">
      <w:bodyDiv w:val="1"/>
      <w:marLeft w:val="0"/>
      <w:marRight w:val="0"/>
      <w:marTop w:val="0"/>
      <w:marBottom w:val="0"/>
      <w:divBdr>
        <w:top w:val="none" w:sz="0" w:space="0" w:color="auto"/>
        <w:left w:val="none" w:sz="0" w:space="0" w:color="auto"/>
        <w:bottom w:val="none" w:sz="0" w:space="0" w:color="auto"/>
        <w:right w:val="none" w:sz="0" w:space="0" w:color="auto"/>
      </w:divBdr>
    </w:div>
    <w:div w:id="1815637669">
      <w:bodyDiv w:val="1"/>
      <w:marLeft w:val="0"/>
      <w:marRight w:val="0"/>
      <w:marTop w:val="0"/>
      <w:marBottom w:val="0"/>
      <w:divBdr>
        <w:top w:val="none" w:sz="0" w:space="0" w:color="auto"/>
        <w:left w:val="none" w:sz="0" w:space="0" w:color="auto"/>
        <w:bottom w:val="none" w:sz="0" w:space="0" w:color="auto"/>
        <w:right w:val="none" w:sz="0" w:space="0" w:color="auto"/>
      </w:divBdr>
    </w:div>
    <w:div w:id="1815683503">
      <w:bodyDiv w:val="1"/>
      <w:marLeft w:val="0"/>
      <w:marRight w:val="0"/>
      <w:marTop w:val="0"/>
      <w:marBottom w:val="0"/>
      <w:divBdr>
        <w:top w:val="none" w:sz="0" w:space="0" w:color="auto"/>
        <w:left w:val="none" w:sz="0" w:space="0" w:color="auto"/>
        <w:bottom w:val="none" w:sz="0" w:space="0" w:color="auto"/>
        <w:right w:val="none" w:sz="0" w:space="0" w:color="auto"/>
      </w:divBdr>
    </w:div>
    <w:div w:id="1818644022">
      <w:bodyDiv w:val="1"/>
      <w:marLeft w:val="0"/>
      <w:marRight w:val="0"/>
      <w:marTop w:val="0"/>
      <w:marBottom w:val="0"/>
      <w:divBdr>
        <w:top w:val="none" w:sz="0" w:space="0" w:color="auto"/>
        <w:left w:val="none" w:sz="0" w:space="0" w:color="auto"/>
        <w:bottom w:val="none" w:sz="0" w:space="0" w:color="auto"/>
        <w:right w:val="none" w:sz="0" w:space="0" w:color="auto"/>
      </w:divBdr>
    </w:div>
    <w:div w:id="1821650049">
      <w:bodyDiv w:val="1"/>
      <w:marLeft w:val="0"/>
      <w:marRight w:val="0"/>
      <w:marTop w:val="0"/>
      <w:marBottom w:val="0"/>
      <w:divBdr>
        <w:top w:val="none" w:sz="0" w:space="0" w:color="auto"/>
        <w:left w:val="none" w:sz="0" w:space="0" w:color="auto"/>
        <w:bottom w:val="none" w:sz="0" w:space="0" w:color="auto"/>
        <w:right w:val="none" w:sz="0" w:space="0" w:color="auto"/>
      </w:divBdr>
    </w:div>
    <w:div w:id="1825009022">
      <w:bodyDiv w:val="1"/>
      <w:marLeft w:val="0"/>
      <w:marRight w:val="0"/>
      <w:marTop w:val="0"/>
      <w:marBottom w:val="0"/>
      <w:divBdr>
        <w:top w:val="none" w:sz="0" w:space="0" w:color="auto"/>
        <w:left w:val="none" w:sz="0" w:space="0" w:color="auto"/>
        <w:bottom w:val="none" w:sz="0" w:space="0" w:color="auto"/>
        <w:right w:val="none" w:sz="0" w:space="0" w:color="auto"/>
      </w:divBdr>
    </w:div>
    <w:div w:id="1827546626">
      <w:bodyDiv w:val="1"/>
      <w:marLeft w:val="0"/>
      <w:marRight w:val="0"/>
      <w:marTop w:val="0"/>
      <w:marBottom w:val="0"/>
      <w:divBdr>
        <w:top w:val="none" w:sz="0" w:space="0" w:color="auto"/>
        <w:left w:val="none" w:sz="0" w:space="0" w:color="auto"/>
        <w:bottom w:val="none" w:sz="0" w:space="0" w:color="auto"/>
        <w:right w:val="none" w:sz="0" w:space="0" w:color="auto"/>
      </w:divBdr>
    </w:div>
    <w:div w:id="1828864172">
      <w:bodyDiv w:val="1"/>
      <w:marLeft w:val="0"/>
      <w:marRight w:val="0"/>
      <w:marTop w:val="0"/>
      <w:marBottom w:val="0"/>
      <w:divBdr>
        <w:top w:val="none" w:sz="0" w:space="0" w:color="auto"/>
        <w:left w:val="none" w:sz="0" w:space="0" w:color="auto"/>
        <w:bottom w:val="none" w:sz="0" w:space="0" w:color="auto"/>
        <w:right w:val="none" w:sz="0" w:space="0" w:color="auto"/>
      </w:divBdr>
    </w:div>
    <w:div w:id="1830437861">
      <w:bodyDiv w:val="1"/>
      <w:marLeft w:val="0"/>
      <w:marRight w:val="0"/>
      <w:marTop w:val="0"/>
      <w:marBottom w:val="0"/>
      <w:divBdr>
        <w:top w:val="none" w:sz="0" w:space="0" w:color="auto"/>
        <w:left w:val="none" w:sz="0" w:space="0" w:color="auto"/>
        <w:bottom w:val="none" w:sz="0" w:space="0" w:color="auto"/>
        <w:right w:val="none" w:sz="0" w:space="0" w:color="auto"/>
      </w:divBdr>
    </w:div>
    <w:div w:id="1831368462">
      <w:bodyDiv w:val="1"/>
      <w:marLeft w:val="0"/>
      <w:marRight w:val="0"/>
      <w:marTop w:val="0"/>
      <w:marBottom w:val="0"/>
      <w:divBdr>
        <w:top w:val="none" w:sz="0" w:space="0" w:color="auto"/>
        <w:left w:val="none" w:sz="0" w:space="0" w:color="auto"/>
        <w:bottom w:val="none" w:sz="0" w:space="0" w:color="auto"/>
        <w:right w:val="none" w:sz="0" w:space="0" w:color="auto"/>
      </w:divBdr>
    </w:div>
    <w:div w:id="1835949962">
      <w:bodyDiv w:val="1"/>
      <w:marLeft w:val="0"/>
      <w:marRight w:val="0"/>
      <w:marTop w:val="0"/>
      <w:marBottom w:val="0"/>
      <w:divBdr>
        <w:top w:val="none" w:sz="0" w:space="0" w:color="auto"/>
        <w:left w:val="none" w:sz="0" w:space="0" w:color="auto"/>
        <w:bottom w:val="none" w:sz="0" w:space="0" w:color="auto"/>
        <w:right w:val="none" w:sz="0" w:space="0" w:color="auto"/>
      </w:divBdr>
    </w:div>
    <w:div w:id="1837959283">
      <w:bodyDiv w:val="1"/>
      <w:marLeft w:val="0"/>
      <w:marRight w:val="0"/>
      <w:marTop w:val="0"/>
      <w:marBottom w:val="0"/>
      <w:divBdr>
        <w:top w:val="none" w:sz="0" w:space="0" w:color="auto"/>
        <w:left w:val="none" w:sz="0" w:space="0" w:color="auto"/>
        <w:bottom w:val="none" w:sz="0" w:space="0" w:color="auto"/>
        <w:right w:val="none" w:sz="0" w:space="0" w:color="auto"/>
      </w:divBdr>
    </w:div>
    <w:div w:id="1841043378">
      <w:bodyDiv w:val="1"/>
      <w:marLeft w:val="0"/>
      <w:marRight w:val="0"/>
      <w:marTop w:val="0"/>
      <w:marBottom w:val="0"/>
      <w:divBdr>
        <w:top w:val="none" w:sz="0" w:space="0" w:color="auto"/>
        <w:left w:val="none" w:sz="0" w:space="0" w:color="auto"/>
        <w:bottom w:val="none" w:sz="0" w:space="0" w:color="auto"/>
        <w:right w:val="none" w:sz="0" w:space="0" w:color="auto"/>
      </w:divBdr>
    </w:div>
    <w:div w:id="1842620746">
      <w:bodyDiv w:val="1"/>
      <w:marLeft w:val="0"/>
      <w:marRight w:val="0"/>
      <w:marTop w:val="0"/>
      <w:marBottom w:val="0"/>
      <w:divBdr>
        <w:top w:val="none" w:sz="0" w:space="0" w:color="auto"/>
        <w:left w:val="none" w:sz="0" w:space="0" w:color="auto"/>
        <w:bottom w:val="none" w:sz="0" w:space="0" w:color="auto"/>
        <w:right w:val="none" w:sz="0" w:space="0" w:color="auto"/>
      </w:divBdr>
    </w:div>
    <w:div w:id="1843280278">
      <w:bodyDiv w:val="1"/>
      <w:marLeft w:val="0"/>
      <w:marRight w:val="0"/>
      <w:marTop w:val="0"/>
      <w:marBottom w:val="0"/>
      <w:divBdr>
        <w:top w:val="none" w:sz="0" w:space="0" w:color="auto"/>
        <w:left w:val="none" w:sz="0" w:space="0" w:color="auto"/>
        <w:bottom w:val="none" w:sz="0" w:space="0" w:color="auto"/>
        <w:right w:val="none" w:sz="0" w:space="0" w:color="auto"/>
      </w:divBdr>
    </w:div>
    <w:div w:id="1844273053">
      <w:bodyDiv w:val="1"/>
      <w:marLeft w:val="0"/>
      <w:marRight w:val="0"/>
      <w:marTop w:val="0"/>
      <w:marBottom w:val="0"/>
      <w:divBdr>
        <w:top w:val="none" w:sz="0" w:space="0" w:color="auto"/>
        <w:left w:val="none" w:sz="0" w:space="0" w:color="auto"/>
        <w:bottom w:val="none" w:sz="0" w:space="0" w:color="auto"/>
        <w:right w:val="none" w:sz="0" w:space="0" w:color="auto"/>
      </w:divBdr>
    </w:div>
    <w:div w:id="1844468051">
      <w:bodyDiv w:val="1"/>
      <w:marLeft w:val="0"/>
      <w:marRight w:val="0"/>
      <w:marTop w:val="0"/>
      <w:marBottom w:val="0"/>
      <w:divBdr>
        <w:top w:val="none" w:sz="0" w:space="0" w:color="auto"/>
        <w:left w:val="none" w:sz="0" w:space="0" w:color="auto"/>
        <w:bottom w:val="none" w:sz="0" w:space="0" w:color="auto"/>
        <w:right w:val="none" w:sz="0" w:space="0" w:color="auto"/>
      </w:divBdr>
    </w:div>
    <w:div w:id="1850410504">
      <w:bodyDiv w:val="1"/>
      <w:marLeft w:val="0"/>
      <w:marRight w:val="0"/>
      <w:marTop w:val="0"/>
      <w:marBottom w:val="0"/>
      <w:divBdr>
        <w:top w:val="none" w:sz="0" w:space="0" w:color="auto"/>
        <w:left w:val="none" w:sz="0" w:space="0" w:color="auto"/>
        <w:bottom w:val="none" w:sz="0" w:space="0" w:color="auto"/>
        <w:right w:val="none" w:sz="0" w:space="0" w:color="auto"/>
      </w:divBdr>
    </w:div>
    <w:div w:id="1854491655">
      <w:bodyDiv w:val="1"/>
      <w:marLeft w:val="0"/>
      <w:marRight w:val="0"/>
      <w:marTop w:val="0"/>
      <w:marBottom w:val="0"/>
      <w:divBdr>
        <w:top w:val="none" w:sz="0" w:space="0" w:color="auto"/>
        <w:left w:val="none" w:sz="0" w:space="0" w:color="auto"/>
        <w:bottom w:val="none" w:sz="0" w:space="0" w:color="auto"/>
        <w:right w:val="none" w:sz="0" w:space="0" w:color="auto"/>
      </w:divBdr>
    </w:div>
    <w:div w:id="1864858102">
      <w:bodyDiv w:val="1"/>
      <w:marLeft w:val="0"/>
      <w:marRight w:val="0"/>
      <w:marTop w:val="0"/>
      <w:marBottom w:val="0"/>
      <w:divBdr>
        <w:top w:val="none" w:sz="0" w:space="0" w:color="auto"/>
        <w:left w:val="none" w:sz="0" w:space="0" w:color="auto"/>
        <w:bottom w:val="none" w:sz="0" w:space="0" w:color="auto"/>
        <w:right w:val="none" w:sz="0" w:space="0" w:color="auto"/>
      </w:divBdr>
      <w:divsChild>
        <w:div w:id="2103380075">
          <w:marLeft w:val="0"/>
          <w:marRight w:val="0"/>
          <w:marTop w:val="0"/>
          <w:marBottom w:val="0"/>
          <w:divBdr>
            <w:top w:val="none" w:sz="0" w:space="0" w:color="auto"/>
            <w:left w:val="none" w:sz="0" w:space="0" w:color="auto"/>
            <w:bottom w:val="none" w:sz="0" w:space="0" w:color="auto"/>
            <w:right w:val="none" w:sz="0" w:space="0" w:color="auto"/>
          </w:divBdr>
          <w:divsChild>
            <w:div w:id="519977271">
              <w:marLeft w:val="0"/>
              <w:marRight w:val="0"/>
              <w:marTop w:val="0"/>
              <w:marBottom w:val="0"/>
              <w:divBdr>
                <w:top w:val="none" w:sz="0" w:space="0" w:color="auto"/>
                <w:left w:val="none" w:sz="0" w:space="0" w:color="auto"/>
                <w:bottom w:val="none" w:sz="0" w:space="0" w:color="auto"/>
                <w:right w:val="none" w:sz="0" w:space="0" w:color="auto"/>
              </w:divBdr>
              <w:divsChild>
                <w:div w:id="14028711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6169811">
      <w:bodyDiv w:val="1"/>
      <w:marLeft w:val="0"/>
      <w:marRight w:val="0"/>
      <w:marTop w:val="0"/>
      <w:marBottom w:val="0"/>
      <w:divBdr>
        <w:top w:val="none" w:sz="0" w:space="0" w:color="auto"/>
        <w:left w:val="none" w:sz="0" w:space="0" w:color="auto"/>
        <w:bottom w:val="none" w:sz="0" w:space="0" w:color="auto"/>
        <w:right w:val="none" w:sz="0" w:space="0" w:color="auto"/>
      </w:divBdr>
    </w:div>
    <w:div w:id="1870873105">
      <w:bodyDiv w:val="1"/>
      <w:marLeft w:val="0"/>
      <w:marRight w:val="0"/>
      <w:marTop w:val="0"/>
      <w:marBottom w:val="0"/>
      <w:divBdr>
        <w:top w:val="none" w:sz="0" w:space="0" w:color="auto"/>
        <w:left w:val="none" w:sz="0" w:space="0" w:color="auto"/>
        <w:bottom w:val="none" w:sz="0" w:space="0" w:color="auto"/>
        <w:right w:val="none" w:sz="0" w:space="0" w:color="auto"/>
      </w:divBdr>
    </w:div>
    <w:div w:id="1874077231">
      <w:bodyDiv w:val="1"/>
      <w:marLeft w:val="0"/>
      <w:marRight w:val="0"/>
      <w:marTop w:val="0"/>
      <w:marBottom w:val="0"/>
      <w:divBdr>
        <w:top w:val="none" w:sz="0" w:space="0" w:color="auto"/>
        <w:left w:val="none" w:sz="0" w:space="0" w:color="auto"/>
        <w:bottom w:val="none" w:sz="0" w:space="0" w:color="auto"/>
        <w:right w:val="none" w:sz="0" w:space="0" w:color="auto"/>
      </w:divBdr>
    </w:div>
    <w:div w:id="1876383914">
      <w:bodyDiv w:val="1"/>
      <w:marLeft w:val="0"/>
      <w:marRight w:val="0"/>
      <w:marTop w:val="0"/>
      <w:marBottom w:val="0"/>
      <w:divBdr>
        <w:top w:val="none" w:sz="0" w:space="0" w:color="auto"/>
        <w:left w:val="none" w:sz="0" w:space="0" w:color="auto"/>
        <w:bottom w:val="none" w:sz="0" w:space="0" w:color="auto"/>
        <w:right w:val="none" w:sz="0" w:space="0" w:color="auto"/>
      </w:divBdr>
    </w:div>
    <w:div w:id="1877695822">
      <w:bodyDiv w:val="1"/>
      <w:marLeft w:val="0"/>
      <w:marRight w:val="0"/>
      <w:marTop w:val="0"/>
      <w:marBottom w:val="0"/>
      <w:divBdr>
        <w:top w:val="none" w:sz="0" w:space="0" w:color="auto"/>
        <w:left w:val="none" w:sz="0" w:space="0" w:color="auto"/>
        <w:bottom w:val="none" w:sz="0" w:space="0" w:color="auto"/>
        <w:right w:val="none" w:sz="0" w:space="0" w:color="auto"/>
      </w:divBdr>
    </w:div>
    <w:div w:id="1879270259">
      <w:bodyDiv w:val="1"/>
      <w:marLeft w:val="0"/>
      <w:marRight w:val="0"/>
      <w:marTop w:val="0"/>
      <w:marBottom w:val="0"/>
      <w:divBdr>
        <w:top w:val="none" w:sz="0" w:space="0" w:color="auto"/>
        <w:left w:val="none" w:sz="0" w:space="0" w:color="auto"/>
        <w:bottom w:val="none" w:sz="0" w:space="0" w:color="auto"/>
        <w:right w:val="none" w:sz="0" w:space="0" w:color="auto"/>
      </w:divBdr>
    </w:div>
    <w:div w:id="1883589622">
      <w:bodyDiv w:val="1"/>
      <w:marLeft w:val="0"/>
      <w:marRight w:val="0"/>
      <w:marTop w:val="0"/>
      <w:marBottom w:val="0"/>
      <w:divBdr>
        <w:top w:val="none" w:sz="0" w:space="0" w:color="auto"/>
        <w:left w:val="none" w:sz="0" w:space="0" w:color="auto"/>
        <w:bottom w:val="none" w:sz="0" w:space="0" w:color="auto"/>
        <w:right w:val="none" w:sz="0" w:space="0" w:color="auto"/>
      </w:divBdr>
    </w:div>
    <w:div w:id="1888713652">
      <w:bodyDiv w:val="1"/>
      <w:marLeft w:val="0"/>
      <w:marRight w:val="0"/>
      <w:marTop w:val="0"/>
      <w:marBottom w:val="0"/>
      <w:divBdr>
        <w:top w:val="none" w:sz="0" w:space="0" w:color="auto"/>
        <w:left w:val="none" w:sz="0" w:space="0" w:color="auto"/>
        <w:bottom w:val="none" w:sz="0" w:space="0" w:color="auto"/>
        <w:right w:val="none" w:sz="0" w:space="0" w:color="auto"/>
      </w:divBdr>
    </w:div>
    <w:div w:id="1902714087">
      <w:bodyDiv w:val="1"/>
      <w:marLeft w:val="0"/>
      <w:marRight w:val="0"/>
      <w:marTop w:val="0"/>
      <w:marBottom w:val="0"/>
      <w:divBdr>
        <w:top w:val="none" w:sz="0" w:space="0" w:color="auto"/>
        <w:left w:val="none" w:sz="0" w:space="0" w:color="auto"/>
        <w:bottom w:val="none" w:sz="0" w:space="0" w:color="auto"/>
        <w:right w:val="none" w:sz="0" w:space="0" w:color="auto"/>
      </w:divBdr>
    </w:div>
    <w:div w:id="1904561444">
      <w:bodyDiv w:val="1"/>
      <w:marLeft w:val="0"/>
      <w:marRight w:val="0"/>
      <w:marTop w:val="0"/>
      <w:marBottom w:val="0"/>
      <w:divBdr>
        <w:top w:val="none" w:sz="0" w:space="0" w:color="auto"/>
        <w:left w:val="none" w:sz="0" w:space="0" w:color="auto"/>
        <w:bottom w:val="none" w:sz="0" w:space="0" w:color="auto"/>
        <w:right w:val="none" w:sz="0" w:space="0" w:color="auto"/>
      </w:divBdr>
    </w:div>
    <w:div w:id="1906138074">
      <w:bodyDiv w:val="1"/>
      <w:marLeft w:val="0"/>
      <w:marRight w:val="0"/>
      <w:marTop w:val="0"/>
      <w:marBottom w:val="0"/>
      <w:divBdr>
        <w:top w:val="none" w:sz="0" w:space="0" w:color="auto"/>
        <w:left w:val="none" w:sz="0" w:space="0" w:color="auto"/>
        <w:bottom w:val="none" w:sz="0" w:space="0" w:color="auto"/>
        <w:right w:val="none" w:sz="0" w:space="0" w:color="auto"/>
      </w:divBdr>
    </w:div>
    <w:div w:id="1909457217">
      <w:bodyDiv w:val="1"/>
      <w:marLeft w:val="0"/>
      <w:marRight w:val="0"/>
      <w:marTop w:val="0"/>
      <w:marBottom w:val="0"/>
      <w:divBdr>
        <w:top w:val="none" w:sz="0" w:space="0" w:color="auto"/>
        <w:left w:val="none" w:sz="0" w:space="0" w:color="auto"/>
        <w:bottom w:val="none" w:sz="0" w:space="0" w:color="auto"/>
        <w:right w:val="none" w:sz="0" w:space="0" w:color="auto"/>
      </w:divBdr>
    </w:div>
    <w:div w:id="1916889587">
      <w:bodyDiv w:val="1"/>
      <w:marLeft w:val="0"/>
      <w:marRight w:val="0"/>
      <w:marTop w:val="0"/>
      <w:marBottom w:val="0"/>
      <w:divBdr>
        <w:top w:val="none" w:sz="0" w:space="0" w:color="auto"/>
        <w:left w:val="none" w:sz="0" w:space="0" w:color="auto"/>
        <w:bottom w:val="none" w:sz="0" w:space="0" w:color="auto"/>
        <w:right w:val="none" w:sz="0" w:space="0" w:color="auto"/>
      </w:divBdr>
    </w:div>
    <w:div w:id="1920290718">
      <w:bodyDiv w:val="1"/>
      <w:marLeft w:val="0"/>
      <w:marRight w:val="0"/>
      <w:marTop w:val="0"/>
      <w:marBottom w:val="0"/>
      <w:divBdr>
        <w:top w:val="none" w:sz="0" w:space="0" w:color="auto"/>
        <w:left w:val="none" w:sz="0" w:space="0" w:color="auto"/>
        <w:bottom w:val="none" w:sz="0" w:space="0" w:color="auto"/>
        <w:right w:val="none" w:sz="0" w:space="0" w:color="auto"/>
      </w:divBdr>
    </w:div>
    <w:div w:id="1929268734">
      <w:bodyDiv w:val="1"/>
      <w:marLeft w:val="0"/>
      <w:marRight w:val="0"/>
      <w:marTop w:val="0"/>
      <w:marBottom w:val="0"/>
      <w:divBdr>
        <w:top w:val="none" w:sz="0" w:space="0" w:color="auto"/>
        <w:left w:val="none" w:sz="0" w:space="0" w:color="auto"/>
        <w:bottom w:val="none" w:sz="0" w:space="0" w:color="auto"/>
        <w:right w:val="none" w:sz="0" w:space="0" w:color="auto"/>
      </w:divBdr>
    </w:div>
    <w:div w:id="1941062891">
      <w:bodyDiv w:val="1"/>
      <w:marLeft w:val="0"/>
      <w:marRight w:val="0"/>
      <w:marTop w:val="0"/>
      <w:marBottom w:val="0"/>
      <w:divBdr>
        <w:top w:val="none" w:sz="0" w:space="0" w:color="auto"/>
        <w:left w:val="none" w:sz="0" w:space="0" w:color="auto"/>
        <w:bottom w:val="none" w:sz="0" w:space="0" w:color="auto"/>
        <w:right w:val="none" w:sz="0" w:space="0" w:color="auto"/>
      </w:divBdr>
    </w:div>
    <w:div w:id="1941836717">
      <w:bodyDiv w:val="1"/>
      <w:marLeft w:val="0"/>
      <w:marRight w:val="0"/>
      <w:marTop w:val="0"/>
      <w:marBottom w:val="0"/>
      <w:divBdr>
        <w:top w:val="none" w:sz="0" w:space="0" w:color="auto"/>
        <w:left w:val="none" w:sz="0" w:space="0" w:color="auto"/>
        <w:bottom w:val="none" w:sz="0" w:space="0" w:color="auto"/>
        <w:right w:val="none" w:sz="0" w:space="0" w:color="auto"/>
      </w:divBdr>
    </w:div>
    <w:div w:id="1944605448">
      <w:bodyDiv w:val="1"/>
      <w:marLeft w:val="0"/>
      <w:marRight w:val="0"/>
      <w:marTop w:val="0"/>
      <w:marBottom w:val="0"/>
      <w:divBdr>
        <w:top w:val="none" w:sz="0" w:space="0" w:color="auto"/>
        <w:left w:val="none" w:sz="0" w:space="0" w:color="auto"/>
        <w:bottom w:val="none" w:sz="0" w:space="0" w:color="auto"/>
        <w:right w:val="none" w:sz="0" w:space="0" w:color="auto"/>
      </w:divBdr>
    </w:div>
    <w:div w:id="1945764793">
      <w:bodyDiv w:val="1"/>
      <w:marLeft w:val="0"/>
      <w:marRight w:val="0"/>
      <w:marTop w:val="0"/>
      <w:marBottom w:val="0"/>
      <w:divBdr>
        <w:top w:val="none" w:sz="0" w:space="0" w:color="auto"/>
        <w:left w:val="none" w:sz="0" w:space="0" w:color="auto"/>
        <w:bottom w:val="none" w:sz="0" w:space="0" w:color="auto"/>
        <w:right w:val="none" w:sz="0" w:space="0" w:color="auto"/>
      </w:divBdr>
    </w:div>
    <w:div w:id="1950622297">
      <w:bodyDiv w:val="1"/>
      <w:marLeft w:val="0"/>
      <w:marRight w:val="0"/>
      <w:marTop w:val="0"/>
      <w:marBottom w:val="0"/>
      <w:divBdr>
        <w:top w:val="none" w:sz="0" w:space="0" w:color="auto"/>
        <w:left w:val="none" w:sz="0" w:space="0" w:color="auto"/>
        <w:bottom w:val="none" w:sz="0" w:space="0" w:color="auto"/>
        <w:right w:val="none" w:sz="0" w:space="0" w:color="auto"/>
      </w:divBdr>
    </w:div>
    <w:div w:id="1959677612">
      <w:bodyDiv w:val="1"/>
      <w:marLeft w:val="0"/>
      <w:marRight w:val="0"/>
      <w:marTop w:val="0"/>
      <w:marBottom w:val="0"/>
      <w:divBdr>
        <w:top w:val="none" w:sz="0" w:space="0" w:color="auto"/>
        <w:left w:val="none" w:sz="0" w:space="0" w:color="auto"/>
        <w:bottom w:val="none" w:sz="0" w:space="0" w:color="auto"/>
        <w:right w:val="none" w:sz="0" w:space="0" w:color="auto"/>
      </w:divBdr>
    </w:div>
    <w:div w:id="1960336073">
      <w:bodyDiv w:val="1"/>
      <w:marLeft w:val="0"/>
      <w:marRight w:val="0"/>
      <w:marTop w:val="0"/>
      <w:marBottom w:val="0"/>
      <w:divBdr>
        <w:top w:val="none" w:sz="0" w:space="0" w:color="auto"/>
        <w:left w:val="none" w:sz="0" w:space="0" w:color="auto"/>
        <w:bottom w:val="none" w:sz="0" w:space="0" w:color="auto"/>
        <w:right w:val="none" w:sz="0" w:space="0" w:color="auto"/>
      </w:divBdr>
    </w:div>
    <w:div w:id="1961721403">
      <w:bodyDiv w:val="1"/>
      <w:marLeft w:val="0"/>
      <w:marRight w:val="0"/>
      <w:marTop w:val="0"/>
      <w:marBottom w:val="0"/>
      <w:divBdr>
        <w:top w:val="none" w:sz="0" w:space="0" w:color="auto"/>
        <w:left w:val="none" w:sz="0" w:space="0" w:color="auto"/>
        <w:bottom w:val="none" w:sz="0" w:space="0" w:color="auto"/>
        <w:right w:val="none" w:sz="0" w:space="0" w:color="auto"/>
      </w:divBdr>
    </w:div>
    <w:div w:id="1963998283">
      <w:bodyDiv w:val="1"/>
      <w:marLeft w:val="0"/>
      <w:marRight w:val="0"/>
      <w:marTop w:val="0"/>
      <w:marBottom w:val="0"/>
      <w:divBdr>
        <w:top w:val="none" w:sz="0" w:space="0" w:color="auto"/>
        <w:left w:val="none" w:sz="0" w:space="0" w:color="auto"/>
        <w:bottom w:val="none" w:sz="0" w:space="0" w:color="auto"/>
        <w:right w:val="none" w:sz="0" w:space="0" w:color="auto"/>
      </w:divBdr>
    </w:div>
    <w:div w:id="1964577234">
      <w:bodyDiv w:val="1"/>
      <w:marLeft w:val="0"/>
      <w:marRight w:val="0"/>
      <w:marTop w:val="0"/>
      <w:marBottom w:val="0"/>
      <w:divBdr>
        <w:top w:val="none" w:sz="0" w:space="0" w:color="auto"/>
        <w:left w:val="none" w:sz="0" w:space="0" w:color="auto"/>
        <w:bottom w:val="none" w:sz="0" w:space="0" w:color="auto"/>
        <w:right w:val="none" w:sz="0" w:space="0" w:color="auto"/>
      </w:divBdr>
    </w:div>
    <w:div w:id="1973099914">
      <w:bodyDiv w:val="1"/>
      <w:marLeft w:val="0"/>
      <w:marRight w:val="0"/>
      <w:marTop w:val="0"/>
      <w:marBottom w:val="0"/>
      <w:divBdr>
        <w:top w:val="none" w:sz="0" w:space="0" w:color="auto"/>
        <w:left w:val="none" w:sz="0" w:space="0" w:color="auto"/>
        <w:bottom w:val="none" w:sz="0" w:space="0" w:color="auto"/>
        <w:right w:val="none" w:sz="0" w:space="0" w:color="auto"/>
      </w:divBdr>
    </w:div>
    <w:div w:id="1975866940">
      <w:bodyDiv w:val="1"/>
      <w:marLeft w:val="0"/>
      <w:marRight w:val="0"/>
      <w:marTop w:val="0"/>
      <w:marBottom w:val="0"/>
      <w:divBdr>
        <w:top w:val="none" w:sz="0" w:space="0" w:color="auto"/>
        <w:left w:val="none" w:sz="0" w:space="0" w:color="auto"/>
        <w:bottom w:val="none" w:sz="0" w:space="0" w:color="auto"/>
        <w:right w:val="none" w:sz="0" w:space="0" w:color="auto"/>
      </w:divBdr>
    </w:div>
    <w:div w:id="1979266326">
      <w:bodyDiv w:val="1"/>
      <w:marLeft w:val="0"/>
      <w:marRight w:val="0"/>
      <w:marTop w:val="0"/>
      <w:marBottom w:val="0"/>
      <w:divBdr>
        <w:top w:val="none" w:sz="0" w:space="0" w:color="auto"/>
        <w:left w:val="none" w:sz="0" w:space="0" w:color="auto"/>
        <w:bottom w:val="none" w:sz="0" w:space="0" w:color="auto"/>
        <w:right w:val="none" w:sz="0" w:space="0" w:color="auto"/>
      </w:divBdr>
    </w:div>
    <w:div w:id="1979410718">
      <w:bodyDiv w:val="1"/>
      <w:marLeft w:val="0"/>
      <w:marRight w:val="0"/>
      <w:marTop w:val="0"/>
      <w:marBottom w:val="0"/>
      <w:divBdr>
        <w:top w:val="none" w:sz="0" w:space="0" w:color="auto"/>
        <w:left w:val="none" w:sz="0" w:space="0" w:color="auto"/>
        <w:bottom w:val="none" w:sz="0" w:space="0" w:color="auto"/>
        <w:right w:val="none" w:sz="0" w:space="0" w:color="auto"/>
      </w:divBdr>
    </w:div>
    <w:div w:id="1982538096">
      <w:bodyDiv w:val="1"/>
      <w:marLeft w:val="0"/>
      <w:marRight w:val="0"/>
      <w:marTop w:val="0"/>
      <w:marBottom w:val="0"/>
      <w:divBdr>
        <w:top w:val="none" w:sz="0" w:space="0" w:color="auto"/>
        <w:left w:val="none" w:sz="0" w:space="0" w:color="auto"/>
        <w:bottom w:val="none" w:sz="0" w:space="0" w:color="auto"/>
        <w:right w:val="none" w:sz="0" w:space="0" w:color="auto"/>
      </w:divBdr>
    </w:div>
    <w:div w:id="1998682631">
      <w:bodyDiv w:val="1"/>
      <w:marLeft w:val="0"/>
      <w:marRight w:val="0"/>
      <w:marTop w:val="0"/>
      <w:marBottom w:val="0"/>
      <w:divBdr>
        <w:top w:val="none" w:sz="0" w:space="0" w:color="auto"/>
        <w:left w:val="none" w:sz="0" w:space="0" w:color="auto"/>
        <w:bottom w:val="none" w:sz="0" w:space="0" w:color="auto"/>
        <w:right w:val="none" w:sz="0" w:space="0" w:color="auto"/>
      </w:divBdr>
    </w:div>
    <w:div w:id="2000688117">
      <w:bodyDiv w:val="1"/>
      <w:marLeft w:val="0"/>
      <w:marRight w:val="0"/>
      <w:marTop w:val="0"/>
      <w:marBottom w:val="0"/>
      <w:divBdr>
        <w:top w:val="none" w:sz="0" w:space="0" w:color="auto"/>
        <w:left w:val="none" w:sz="0" w:space="0" w:color="auto"/>
        <w:bottom w:val="none" w:sz="0" w:space="0" w:color="auto"/>
        <w:right w:val="none" w:sz="0" w:space="0" w:color="auto"/>
      </w:divBdr>
    </w:div>
    <w:div w:id="2003846696">
      <w:bodyDiv w:val="1"/>
      <w:marLeft w:val="0"/>
      <w:marRight w:val="0"/>
      <w:marTop w:val="0"/>
      <w:marBottom w:val="0"/>
      <w:divBdr>
        <w:top w:val="none" w:sz="0" w:space="0" w:color="auto"/>
        <w:left w:val="none" w:sz="0" w:space="0" w:color="auto"/>
        <w:bottom w:val="none" w:sz="0" w:space="0" w:color="auto"/>
        <w:right w:val="none" w:sz="0" w:space="0" w:color="auto"/>
      </w:divBdr>
    </w:div>
    <w:div w:id="2004158174">
      <w:bodyDiv w:val="1"/>
      <w:marLeft w:val="0"/>
      <w:marRight w:val="0"/>
      <w:marTop w:val="0"/>
      <w:marBottom w:val="0"/>
      <w:divBdr>
        <w:top w:val="none" w:sz="0" w:space="0" w:color="auto"/>
        <w:left w:val="none" w:sz="0" w:space="0" w:color="auto"/>
        <w:bottom w:val="none" w:sz="0" w:space="0" w:color="auto"/>
        <w:right w:val="none" w:sz="0" w:space="0" w:color="auto"/>
      </w:divBdr>
    </w:div>
    <w:div w:id="2006857098">
      <w:bodyDiv w:val="1"/>
      <w:marLeft w:val="0"/>
      <w:marRight w:val="0"/>
      <w:marTop w:val="0"/>
      <w:marBottom w:val="0"/>
      <w:divBdr>
        <w:top w:val="none" w:sz="0" w:space="0" w:color="auto"/>
        <w:left w:val="none" w:sz="0" w:space="0" w:color="auto"/>
        <w:bottom w:val="none" w:sz="0" w:space="0" w:color="auto"/>
        <w:right w:val="none" w:sz="0" w:space="0" w:color="auto"/>
      </w:divBdr>
    </w:div>
    <w:div w:id="2014646502">
      <w:bodyDiv w:val="1"/>
      <w:marLeft w:val="0"/>
      <w:marRight w:val="0"/>
      <w:marTop w:val="0"/>
      <w:marBottom w:val="0"/>
      <w:divBdr>
        <w:top w:val="none" w:sz="0" w:space="0" w:color="auto"/>
        <w:left w:val="none" w:sz="0" w:space="0" w:color="auto"/>
        <w:bottom w:val="none" w:sz="0" w:space="0" w:color="auto"/>
        <w:right w:val="none" w:sz="0" w:space="0" w:color="auto"/>
      </w:divBdr>
    </w:div>
    <w:div w:id="2024895245">
      <w:bodyDiv w:val="1"/>
      <w:marLeft w:val="0"/>
      <w:marRight w:val="0"/>
      <w:marTop w:val="0"/>
      <w:marBottom w:val="0"/>
      <w:divBdr>
        <w:top w:val="none" w:sz="0" w:space="0" w:color="auto"/>
        <w:left w:val="none" w:sz="0" w:space="0" w:color="auto"/>
        <w:bottom w:val="none" w:sz="0" w:space="0" w:color="auto"/>
        <w:right w:val="none" w:sz="0" w:space="0" w:color="auto"/>
      </w:divBdr>
    </w:div>
    <w:div w:id="2041321750">
      <w:bodyDiv w:val="1"/>
      <w:marLeft w:val="0"/>
      <w:marRight w:val="0"/>
      <w:marTop w:val="0"/>
      <w:marBottom w:val="0"/>
      <w:divBdr>
        <w:top w:val="none" w:sz="0" w:space="0" w:color="auto"/>
        <w:left w:val="none" w:sz="0" w:space="0" w:color="auto"/>
        <w:bottom w:val="none" w:sz="0" w:space="0" w:color="auto"/>
        <w:right w:val="none" w:sz="0" w:space="0" w:color="auto"/>
      </w:divBdr>
    </w:div>
    <w:div w:id="2043704820">
      <w:bodyDiv w:val="1"/>
      <w:marLeft w:val="0"/>
      <w:marRight w:val="0"/>
      <w:marTop w:val="0"/>
      <w:marBottom w:val="0"/>
      <w:divBdr>
        <w:top w:val="none" w:sz="0" w:space="0" w:color="auto"/>
        <w:left w:val="none" w:sz="0" w:space="0" w:color="auto"/>
        <w:bottom w:val="none" w:sz="0" w:space="0" w:color="auto"/>
        <w:right w:val="none" w:sz="0" w:space="0" w:color="auto"/>
      </w:divBdr>
    </w:div>
    <w:div w:id="2048987887">
      <w:bodyDiv w:val="1"/>
      <w:marLeft w:val="0"/>
      <w:marRight w:val="0"/>
      <w:marTop w:val="0"/>
      <w:marBottom w:val="0"/>
      <w:divBdr>
        <w:top w:val="none" w:sz="0" w:space="0" w:color="auto"/>
        <w:left w:val="none" w:sz="0" w:space="0" w:color="auto"/>
        <w:bottom w:val="none" w:sz="0" w:space="0" w:color="auto"/>
        <w:right w:val="none" w:sz="0" w:space="0" w:color="auto"/>
      </w:divBdr>
    </w:div>
    <w:div w:id="2061977442">
      <w:bodyDiv w:val="1"/>
      <w:marLeft w:val="0"/>
      <w:marRight w:val="0"/>
      <w:marTop w:val="0"/>
      <w:marBottom w:val="0"/>
      <w:divBdr>
        <w:top w:val="none" w:sz="0" w:space="0" w:color="auto"/>
        <w:left w:val="none" w:sz="0" w:space="0" w:color="auto"/>
        <w:bottom w:val="none" w:sz="0" w:space="0" w:color="auto"/>
        <w:right w:val="none" w:sz="0" w:space="0" w:color="auto"/>
      </w:divBdr>
    </w:div>
    <w:div w:id="2068260800">
      <w:bodyDiv w:val="1"/>
      <w:marLeft w:val="0"/>
      <w:marRight w:val="0"/>
      <w:marTop w:val="0"/>
      <w:marBottom w:val="0"/>
      <w:divBdr>
        <w:top w:val="none" w:sz="0" w:space="0" w:color="auto"/>
        <w:left w:val="none" w:sz="0" w:space="0" w:color="auto"/>
        <w:bottom w:val="none" w:sz="0" w:space="0" w:color="auto"/>
        <w:right w:val="none" w:sz="0" w:space="0" w:color="auto"/>
      </w:divBdr>
    </w:div>
    <w:div w:id="2069304930">
      <w:bodyDiv w:val="1"/>
      <w:marLeft w:val="0"/>
      <w:marRight w:val="0"/>
      <w:marTop w:val="0"/>
      <w:marBottom w:val="0"/>
      <w:divBdr>
        <w:top w:val="none" w:sz="0" w:space="0" w:color="auto"/>
        <w:left w:val="none" w:sz="0" w:space="0" w:color="auto"/>
        <w:bottom w:val="none" w:sz="0" w:space="0" w:color="auto"/>
        <w:right w:val="none" w:sz="0" w:space="0" w:color="auto"/>
      </w:divBdr>
    </w:div>
    <w:div w:id="2084180192">
      <w:bodyDiv w:val="1"/>
      <w:marLeft w:val="0"/>
      <w:marRight w:val="0"/>
      <w:marTop w:val="0"/>
      <w:marBottom w:val="0"/>
      <w:divBdr>
        <w:top w:val="none" w:sz="0" w:space="0" w:color="auto"/>
        <w:left w:val="none" w:sz="0" w:space="0" w:color="auto"/>
        <w:bottom w:val="none" w:sz="0" w:space="0" w:color="auto"/>
        <w:right w:val="none" w:sz="0" w:space="0" w:color="auto"/>
      </w:divBdr>
    </w:div>
    <w:div w:id="2087990625">
      <w:bodyDiv w:val="1"/>
      <w:marLeft w:val="0"/>
      <w:marRight w:val="0"/>
      <w:marTop w:val="0"/>
      <w:marBottom w:val="0"/>
      <w:divBdr>
        <w:top w:val="none" w:sz="0" w:space="0" w:color="auto"/>
        <w:left w:val="none" w:sz="0" w:space="0" w:color="auto"/>
        <w:bottom w:val="none" w:sz="0" w:space="0" w:color="auto"/>
        <w:right w:val="none" w:sz="0" w:space="0" w:color="auto"/>
      </w:divBdr>
    </w:div>
    <w:div w:id="2101755051">
      <w:bodyDiv w:val="1"/>
      <w:marLeft w:val="0"/>
      <w:marRight w:val="0"/>
      <w:marTop w:val="0"/>
      <w:marBottom w:val="0"/>
      <w:divBdr>
        <w:top w:val="none" w:sz="0" w:space="0" w:color="auto"/>
        <w:left w:val="none" w:sz="0" w:space="0" w:color="auto"/>
        <w:bottom w:val="none" w:sz="0" w:space="0" w:color="auto"/>
        <w:right w:val="none" w:sz="0" w:space="0" w:color="auto"/>
      </w:divBdr>
    </w:div>
    <w:div w:id="2110076668">
      <w:bodyDiv w:val="1"/>
      <w:marLeft w:val="0"/>
      <w:marRight w:val="0"/>
      <w:marTop w:val="0"/>
      <w:marBottom w:val="0"/>
      <w:divBdr>
        <w:top w:val="none" w:sz="0" w:space="0" w:color="auto"/>
        <w:left w:val="none" w:sz="0" w:space="0" w:color="auto"/>
        <w:bottom w:val="none" w:sz="0" w:space="0" w:color="auto"/>
        <w:right w:val="none" w:sz="0" w:space="0" w:color="auto"/>
      </w:divBdr>
    </w:div>
    <w:div w:id="2111733652">
      <w:bodyDiv w:val="1"/>
      <w:marLeft w:val="0"/>
      <w:marRight w:val="0"/>
      <w:marTop w:val="0"/>
      <w:marBottom w:val="0"/>
      <w:divBdr>
        <w:top w:val="none" w:sz="0" w:space="0" w:color="auto"/>
        <w:left w:val="none" w:sz="0" w:space="0" w:color="auto"/>
        <w:bottom w:val="none" w:sz="0" w:space="0" w:color="auto"/>
        <w:right w:val="none" w:sz="0" w:space="0" w:color="auto"/>
      </w:divBdr>
    </w:div>
    <w:div w:id="2113433423">
      <w:bodyDiv w:val="1"/>
      <w:marLeft w:val="0"/>
      <w:marRight w:val="0"/>
      <w:marTop w:val="0"/>
      <w:marBottom w:val="0"/>
      <w:divBdr>
        <w:top w:val="none" w:sz="0" w:space="0" w:color="auto"/>
        <w:left w:val="none" w:sz="0" w:space="0" w:color="auto"/>
        <w:bottom w:val="none" w:sz="0" w:space="0" w:color="auto"/>
        <w:right w:val="none" w:sz="0" w:space="0" w:color="auto"/>
      </w:divBdr>
    </w:div>
    <w:div w:id="2117745829">
      <w:bodyDiv w:val="1"/>
      <w:marLeft w:val="0"/>
      <w:marRight w:val="0"/>
      <w:marTop w:val="0"/>
      <w:marBottom w:val="0"/>
      <w:divBdr>
        <w:top w:val="none" w:sz="0" w:space="0" w:color="auto"/>
        <w:left w:val="none" w:sz="0" w:space="0" w:color="auto"/>
        <w:bottom w:val="none" w:sz="0" w:space="0" w:color="auto"/>
        <w:right w:val="none" w:sz="0" w:space="0" w:color="auto"/>
      </w:divBdr>
    </w:div>
    <w:div w:id="2118676758">
      <w:bodyDiv w:val="1"/>
      <w:marLeft w:val="0"/>
      <w:marRight w:val="0"/>
      <w:marTop w:val="0"/>
      <w:marBottom w:val="0"/>
      <w:divBdr>
        <w:top w:val="none" w:sz="0" w:space="0" w:color="auto"/>
        <w:left w:val="none" w:sz="0" w:space="0" w:color="auto"/>
        <w:bottom w:val="none" w:sz="0" w:space="0" w:color="auto"/>
        <w:right w:val="none" w:sz="0" w:space="0" w:color="auto"/>
      </w:divBdr>
    </w:div>
    <w:div w:id="2118869688">
      <w:bodyDiv w:val="1"/>
      <w:marLeft w:val="0"/>
      <w:marRight w:val="0"/>
      <w:marTop w:val="0"/>
      <w:marBottom w:val="0"/>
      <w:divBdr>
        <w:top w:val="none" w:sz="0" w:space="0" w:color="auto"/>
        <w:left w:val="none" w:sz="0" w:space="0" w:color="auto"/>
        <w:bottom w:val="none" w:sz="0" w:space="0" w:color="auto"/>
        <w:right w:val="none" w:sz="0" w:space="0" w:color="auto"/>
      </w:divBdr>
    </w:div>
    <w:div w:id="2126581376">
      <w:bodyDiv w:val="1"/>
      <w:marLeft w:val="0"/>
      <w:marRight w:val="0"/>
      <w:marTop w:val="0"/>
      <w:marBottom w:val="0"/>
      <w:divBdr>
        <w:top w:val="none" w:sz="0" w:space="0" w:color="auto"/>
        <w:left w:val="none" w:sz="0" w:space="0" w:color="auto"/>
        <w:bottom w:val="none" w:sz="0" w:space="0" w:color="auto"/>
        <w:right w:val="none" w:sz="0" w:space="0" w:color="auto"/>
      </w:divBdr>
    </w:div>
    <w:div w:id="2129659207">
      <w:bodyDiv w:val="1"/>
      <w:marLeft w:val="0"/>
      <w:marRight w:val="0"/>
      <w:marTop w:val="0"/>
      <w:marBottom w:val="0"/>
      <w:divBdr>
        <w:top w:val="none" w:sz="0" w:space="0" w:color="auto"/>
        <w:left w:val="none" w:sz="0" w:space="0" w:color="auto"/>
        <w:bottom w:val="none" w:sz="0" w:space="0" w:color="auto"/>
        <w:right w:val="none" w:sz="0" w:space="0" w:color="auto"/>
      </w:divBdr>
    </w:div>
    <w:div w:id="2131047695">
      <w:bodyDiv w:val="1"/>
      <w:marLeft w:val="0"/>
      <w:marRight w:val="0"/>
      <w:marTop w:val="0"/>
      <w:marBottom w:val="0"/>
      <w:divBdr>
        <w:top w:val="none" w:sz="0" w:space="0" w:color="auto"/>
        <w:left w:val="none" w:sz="0" w:space="0" w:color="auto"/>
        <w:bottom w:val="none" w:sz="0" w:space="0" w:color="auto"/>
        <w:right w:val="none" w:sz="0" w:space="0" w:color="auto"/>
      </w:divBdr>
    </w:div>
    <w:div w:id="2134786793">
      <w:bodyDiv w:val="1"/>
      <w:marLeft w:val="0"/>
      <w:marRight w:val="0"/>
      <w:marTop w:val="0"/>
      <w:marBottom w:val="0"/>
      <w:divBdr>
        <w:top w:val="none" w:sz="0" w:space="0" w:color="auto"/>
        <w:left w:val="none" w:sz="0" w:space="0" w:color="auto"/>
        <w:bottom w:val="none" w:sz="0" w:space="0" w:color="auto"/>
        <w:right w:val="none" w:sz="0" w:space="0" w:color="auto"/>
      </w:divBdr>
    </w:div>
    <w:div w:id="2141148901">
      <w:bodyDiv w:val="1"/>
      <w:marLeft w:val="0"/>
      <w:marRight w:val="0"/>
      <w:marTop w:val="0"/>
      <w:marBottom w:val="0"/>
      <w:divBdr>
        <w:top w:val="none" w:sz="0" w:space="0" w:color="auto"/>
        <w:left w:val="none" w:sz="0" w:space="0" w:color="auto"/>
        <w:bottom w:val="none" w:sz="0" w:space="0" w:color="auto"/>
        <w:right w:val="none" w:sz="0" w:space="0" w:color="auto"/>
      </w:divBdr>
    </w:div>
    <w:div w:id="2142066387">
      <w:bodyDiv w:val="1"/>
      <w:marLeft w:val="0"/>
      <w:marRight w:val="0"/>
      <w:marTop w:val="0"/>
      <w:marBottom w:val="0"/>
      <w:divBdr>
        <w:top w:val="none" w:sz="0" w:space="0" w:color="auto"/>
        <w:left w:val="none" w:sz="0" w:space="0" w:color="auto"/>
        <w:bottom w:val="none" w:sz="0" w:space="0" w:color="auto"/>
        <w:right w:val="none" w:sz="0" w:space="0" w:color="auto"/>
      </w:divBdr>
    </w:div>
    <w:div w:id="2142649849">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106" Type="http://schemas.openxmlformats.org/officeDocument/2006/relationships/image" Target="media/image71.png"/><Relationship Id="rId107" Type="http://schemas.openxmlformats.org/officeDocument/2006/relationships/image" Target="media/image72.png"/><Relationship Id="rId108" Type="http://schemas.openxmlformats.org/officeDocument/2006/relationships/image" Target="media/image73.png"/><Relationship Id="rId109" Type="http://schemas.openxmlformats.org/officeDocument/2006/relationships/image" Target="media/image74.png"/><Relationship Id="rId70" Type="http://schemas.openxmlformats.org/officeDocument/2006/relationships/footer" Target="footer6.xml"/><Relationship Id="rId71" Type="http://schemas.openxmlformats.org/officeDocument/2006/relationships/image" Target="media/image42.emf"/><Relationship Id="rId72" Type="http://schemas.openxmlformats.org/officeDocument/2006/relationships/image" Target="media/image43.emf"/><Relationship Id="rId73" Type="http://schemas.openxmlformats.org/officeDocument/2006/relationships/image" Target="media/image44.emf"/><Relationship Id="rId74" Type="http://schemas.openxmlformats.org/officeDocument/2006/relationships/image" Target="media/image45.emf"/><Relationship Id="rId75" Type="http://schemas.openxmlformats.org/officeDocument/2006/relationships/image" Target="media/image46.emf"/><Relationship Id="rId76" Type="http://schemas.openxmlformats.org/officeDocument/2006/relationships/hyperlink" Target="http://spineway-spain.es/" TargetMode="External"/><Relationship Id="rId77" Type="http://schemas.openxmlformats.org/officeDocument/2006/relationships/hyperlink" Target="http://spinewayusa.com/" TargetMode="External"/><Relationship Id="rId78" Type="http://schemas.openxmlformats.org/officeDocument/2006/relationships/hyperlink" Target="http://spw-iberica.com/" TargetMode="External"/><Relationship Id="rId79" Type="http://schemas.openxmlformats.org/officeDocument/2006/relationships/hyperlink" Target="http://spw-iberica.es/" TargetMode="External"/><Relationship Id="rId170" Type="http://schemas.openxmlformats.org/officeDocument/2006/relationships/image" Target="media/image135.png"/><Relationship Id="rId171" Type="http://schemas.openxmlformats.org/officeDocument/2006/relationships/image" Target="media/image136.png"/><Relationship Id="rId172" Type="http://schemas.openxmlformats.org/officeDocument/2006/relationships/image" Target="media/image137.png"/><Relationship Id="rId173" Type="http://schemas.openxmlformats.org/officeDocument/2006/relationships/image" Target="media/image138.png"/><Relationship Id="rId174" Type="http://schemas.openxmlformats.org/officeDocument/2006/relationships/image" Target="media/image139.png"/><Relationship Id="rId175" Type="http://schemas.openxmlformats.org/officeDocument/2006/relationships/image" Target="media/image140.png"/><Relationship Id="rId176" Type="http://schemas.openxmlformats.org/officeDocument/2006/relationships/image" Target="media/image141.png"/><Relationship Id="rId177" Type="http://schemas.openxmlformats.org/officeDocument/2006/relationships/image" Target="media/image142.png"/><Relationship Id="rId178" Type="http://schemas.openxmlformats.org/officeDocument/2006/relationships/image" Target="media/image143.png"/><Relationship Id="rId179" Type="http://schemas.openxmlformats.org/officeDocument/2006/relationships/image" Target="media/image144.png"/><Relationship Id="rId10" Type="http://schemas.openxmlformats.org/officeDocument/2006/relationships/footnotes" Target="footnotes.xml"/><Relationship Id="rId11" Type="http://schemas.openxmlformats.org/officeDocument/2006/relationships/endnotes" Target="endnotes.xml"/><Relationship Id="rId12" Type="http://schemas.openxmlformats.org/officeDocument/2006/relationships/image" Target="media/image1.png"/><Relationship Id="rId13" Type="http://schemas.openxmlformats.org/officeDocument/2006/relationships/hyperlink" Target="http://www.amf-france.org/default.asp" TargetMode="External"/><Relationship Id="rId14" Type="http://schemas.openxmlformats.org/officeDocument/2006/relationships/image" Target="media/image2.png"/><Relationship Id="rId15" Type="http://schemas.openxmlformats.org/officeDocument/2006/relationships/hyperlink" Target="http://www.amf-france.org/default.asp" TargetMode="External"/><Relationship Id="rId16" Type="http://schemas.openxmlformats.org/officeDocument/2006/relationships/image" Target="media/image21.png"/><Relationship Id="rId17" Type="http://schemas.openxmlformats.org/officeDocument/2006/relationships/hyperlink" Target="http://www.spineway.com" TargetMode="External"/><Relationship Id="rId18" Type="http://schemas.openxmlformats.org/officeDocument/2006/relationships/hyperlink" Target="http://www.amf-france.org" TargetMode="External"/><Relationship Id="rId19" Type="http://schemas.openxmlformats.org/officeDocument/2006/relationships/header" Target="header1.xml"/><Relationship Id="rId110" Type="http://schemas.openxmlformats.org/officeDocument/2006/relationships/image" Target="media/image75.png"/><Relationship Id="rId111" Type="http://schemas.openxmlformats.org/officeDocument/2006/relationships/image" Target="media/image76.png"/><Relationship Id="rId112" Type="http://schemas.openxmlformats.org/officeDocument/2006/relationships/image" Target="media/image77.png"/><Relationship Id="rId113" Type="http://schemas.openxmlformats.org/officeDocument/2006/relationships/image" Target="media/image78.png"/><Relationship Id="rId114" Type="http://schemas.openxmlformats.org/officeDocument/2006/relationships/image" Target="media/image79.png"/><Relationship Id="rId115" Type="http://schemas.openxmlformats.org/officeDocument/2006/relationships/image" Target="media/image80.png"/><Relationship Id="rId116" Type="http://schemas.openxmlformats.org/officeDocument/2006/relationships/image" Target="media/image81.png"/><Relationship Id="rId117" Type="http://schemas.openxmlformats.org/officeDocument/2006/relationships/image" Target="media/image82.png"/><Relationship Id="rId118" Type="http://schemas.openxmlformats.org/officeDocument/2006/relationships/image" Target="media/image83.png"/><Relationship Id="rId119" Type="http://schemas.openxmlformats.org/officeDocument/2006/relationships/image" Target="media/image84.png"/><Relationship Id="rId200" Type="http://schemas.openxmlformats.org/officeDocument/2006/relationships/image" Target="media/image165.png"/><Relationship Id="rId201" Type="http://schemas.openxmlformats.org/officeDocument/2006/relationships/image" Target="media/image166.png"/><Relationship Id="rId202" Type="http://schemas.openxmlformats.org/officeDocument/2006/relationships/image" Target="media/image167.png"/><Relationship Id="rId203" Type="http://schemas.openxmlformats.org/officeDocument/2006/relationships/image" Target="media/image168.png"/><Relationship Id="rId204" Type="http://schemas.openxmlformats.org/officeDocument/2006/relationships/image" Target="media/image169.png"/><Relationship Id="rId205" Type="http://schemas.openxmlformats.org/officeDocument/2006/relationships/image" Target="media/image170.png"/><Relationship Id="rId206" Type="http://schemas.openxmlformats.org/officeDocument/2006/relationships/image" Target="media/image171.png"/><Relationship Id="rId207" Type="http://schemas.openxmlformats.org/officeDocument/2006/relationships/image" Target="media/image172.png"/><Relationship Id="rId208" Type="http://schemas.openxmlformats.org/officeDocument/2006/relationships/image" Target="media/image173.png"/><Relationship Id="rId209" Type="http://schemas.openxmlformats.org/officeDocument/2006/relationships/image" Target="media/image174.png"/><Relationship Id="rId1" Type="http://schemas.openxmlformats.org/officeDocument/2006/relationships/customXml" Target="../customXml/item1.xml"/><Relationship Id="rId2" Type="http://schemas.openxmlformats.org/officeDocument/2006/relationships/customXml" Target="../customXml/item2.xml"/><Relationship Id="rId3" Type="http://schemas.openxmlformats.org/officeDocument/2006/relationships/customXml" Target="../customXml/item3.xml"/><Relationship Id="rId4" Type="http://schemas.openxmlformats.org/officeDocument/2006/relationships/customXml" Target="../customXml/item4.xml"/><Relationship Id="rId5" Type="http://schemas.openxmlformats.org/officeDocument/2006/relationships/numbering" Target="numbering.xml"/><Relationship Id="rId6" Type="http://schemas.openxmlformats.org/officeDocument/2006/relationships/styles" Target="styles.xml"/><Relationship Id="rId7" Type="http://schemas.microsoft.com/office/2007/relationships/stylesWithEffects" Target="stylesWithEffects.xml"/><Relationship Id="rId8" Type="http://schemas.openxmlformats.org/officeDocument/2006/relationships/settings" Target="settings.xml"/><Relationship Id="rId9" Type="http://schemas.openxmlformats.org/officeDocument/2006/relationships/webSettings" Target="webSettings.xml"/><Relationship Id="rId80" Type="http://schemas.openxmlformats.org/officeDocument/2006/relationships/hyperlink" Target="http://spw-iberica.eu/" TargetMode="External"/><Relationship Id="rId81" Type="http://schemas.openxmlformats.org/officeDocument/2006/relationships/image" Target="media/image47.emf"/><Relationship Id="rId82" Type="http://schemas.openxmlformats.org/officeDocument/2006/relationships/image" Target="media/image48.emf"/><Relationship Id="rId83" Type="http://schemas.openxmlformats.org/officeDocument/2006/relationships/image" Target="media/image49.emf"/><Relationship Id="rId84" Type="http://schemas.openxmlformats.org/officeDocument/2006/relationships/image" Target="media/image50.emf"/><Relationship Id="rId85" Type="http://schemas.openxmlformats.org/officeDocument/2006/relationships/image" Target="media/image51.emf"/><Relationship Id="rId86" Type="http://schemas.openxmlformats.org/officeDocument/2006/relationships/image" Target="media/image52.emf"/><Relationship Id="rId87" Type="http://schemas.openxmlformats.org/officeDocument/2006/relationships/image" Target="media/image53.emf"/><Relationship Id="rId88" Type="http://schemas.openxmlformats.org/officeDocument/2006/relationships/image" Target="media/image54.emf"/><Relationship Id="rId89" Type="http://schemas.openxmlformats.org/officeDocument/2006/relationships/image" Target="media/image55.emf"/><Relationship Id="rId180" Type="http://schemas.openxmlformats.org/officeDocument/2006/relationships/image" Target="media/image145.png"/><Relationship Id="rId181" Type="http://schemas.openxmlformats.org/officeDocument/2006/relationships/image" Target="media/image146.png"/><Relationship Id="rId182" Type="http://schemas.openxmlformats.org/officeDocument/2006/relationships/image" Target="media/image147.png"/><Relationship Id="rId183" Type="http://schemas.openxmlformats.org/officeDocument/2006/relationships/image" Target="media/image148.png"/><Relationship Id="rId184" Type="http://schemas.openxmlformats.org/officeDocument/2006/relationships/image" Target="media/image149.png"/><Relationship Id="rId185" Type="http://schemas.openxmlformats.org/officeDocument/2006/relationships/image" Target="media/image150.png"/><Relationship Id="rId186" Type="http://schemas.openxmlformats.org/officeDocument/2006/relationships/image" Target="media/image151.png"/><Relationship Id="rId187" Type="http://schemas.openxmlformats.org/officeDocument/2006/relationships/image" Target="media/image152.png"/><Relationship Id="rId188" Type="http://schemas.openxmlformats.org/officeDocument/2006/relationships/image" Target="media/image153.png"/><Relationship Id="rId189" Type="http://schemas.openxmlformats.org/officeDocument/2006/relationships/image" Target="media/image154.png"/><Relationship Id="rId20" Type="http://schemas.openxmlformats.org/officeDocument/2006/relationships/footer" Target="footer1.xml"/><Relationship Id="rId21" Type="http://schemas.openxmlformats.org/officeDocument/2006/relationships/footer" Target="footer2.xml"/><Relationship Id="rId22" Type="http://schemas.openxmlformats.org/officeDocument/2006/relationships/image" Target="media/image3.emf"/><Relationship Id="rId23" Type="http://schemas.openxmlformats.org/officeDocument/2006/relationships/header" Target="header2.xml"/><Relationship Id="rId24" Type="http://schemas.openxmlformats.org/officeDocument/2006/relationships/footer" Target="footer3.xml"/><Relationship Id="rId25" Type="http://schemas.openxmlformats.org/officeDocument/2006/relationships/footer" Target="footer4.xml"/><Relationship Id="rId26" Type="http://schemas.openxmlformats.org/officeDocument/2006/relationships/image" Target="media/image4.emf"/><Relationship Id="rId27" Type="http://schemas.openxmlformats.org/officeDocument/2006/relationships/image" Target="media/image5.png"/><Relationship Id="rId28" Type="http://schemas.openxmlformats.org/officeDocument/2006/relationships/image" Target="media/image6.jpg"/><Relationship Id="rId29" Type="http://schemas.openxmlformats.org/officeDocument/2006/relationships/chart" Target="charts/chart1.xml"/><Relationship Id="rId120" Type="http://schemas.openxmlformats.org/officeDocument/2006/relationships/image" Target="media/image85.png"/><Relationship Id="rId121" Type="http://schemas.openxmlformats.org/officeDocument/2006/relationships/image" Target="media/image86.png"/><Relationship Id="rId122" Type="http://schemas.openxmlformats.org/officeDocument/2006/relationships/image" Target="media/image87.png"/><Relationship Id="rId123" Type="http://schemas.openxmlformats.org/officeDocument/2006/relationships/image" Target="media/image88.png"/><Relationship Id="rId124" Type="http://schemas.openxmlformats.org/officeDocument/2006/relationships/image" Target="media/image89.png"/><Relationship Id="rId125" Type="http://schemas.openxmlformats.org/officeDocument/2006/relationships/image" Target="media/image90.png"/><Relationship Id="rId126" Type="http://schemas.openxmlformats.org/officeDocument/2006/relationships/image" Target="media/image91.png"/><Relationship Id="rId127" Type="http://schemas.openxmlformats.org/officeDocument/2006/relationships/image" Target="media/image92.png"/><Relationship Id="rId128" Type="http://schemas.openxmlformats.org/officeDocument/2006/relationships/image" Target="media/image93.png"/><Relationship Id="rId129" Type="http://schemas.openxmlformats.org/officeDocument/2006/relationships/image" Target="media/image94.png"/><Relationship Id="rId210" Type="http://schemas.openxmlformats.org/officeDocument/2006/relationships/image" Target="media/image175.png"/><Relationship Id="rId211" Type="http://schemas.openxmlformats.org/officeDocument/2006/relationships/image" Target="media/image176.png"/><Relationship Id="rId212" Type="http://schemas.openxmlformats.org/officeDocument/2006/relationships/image" Target="media/image177.png"/><Relationship Id="rId213" Type="http://schemas.openxmlformats.org/officeDocument/2006/relationships/image" Target="media/image178.png"/><Relationship Id="rId214" Type="http://schemas.openxmlformats.org/officeDocument/2006/relationships/image" Target="media/image179.png"/><Relationship Id="rId215" Type="http://schemas.openxmlformats.org/officeDocument/2006/relationships/image" Target="media/image180.png"/><Relationship Id="rId216" Type="http://schemas.openxmlformats.org/officeDocument/2006/relationships/image" Target="media/image181.png"/><Relationship Id="rId217" Type="http://schemas.openxmlformats.org/officeDocument/2006/relationships/image" Target="media/image182.png"/><Relationship Id="rId218" Type="http://schemas.openxmlformats.org/officeDocument/2006/relationships/image" Target="media/image183.png"/><Relationship Id="rId219" Type="http://schemas.openxmlformats.org/officeDocument/2006/relationships/image" Target="media/image184.png"/><Relationship Id="rId90" Type="http://schemas.openxmlformats.org/officeDocument/2006/relationships/image" Target="media/image56.emf"/><Relationship Id="rId91" Type="http://schemas.openxmlformats.org/officeDocument/2006/relationships/image" Target="media/image57.emf"/><Relationship Id="rId92" Type="http://schemas.openxmlformats.org/officeDocument/2006/relationships/image" Target="media/image58.emf"/><Relationship Id="rId93" Type="http://schemas.openxmlformats.org/officeDocument/2006/relationships/image" Target="media/image59.emf"/><Relationship Id="rId94" Type="http://schemas.openxmlformats.org/officeDocument/2006/relationships/image" Target="media/image60.emf"/><Relationship Id="rId95" Type="http://schemas.openxmlformats.org/officeDocument/2006/relationships/image" Target="media/image61.emf"/><Relationship Id="rId96" Type="http://schemas.openxmlformats.org/officeDocument/2006/relationships/image" Target="media/image62.emf"/><Relationship Id="rId97" Type="http://schemas.openxmlformats.org/officeDocument/2006/relationships/image" Target="media/image63.emf"/><Relationship Id="rId98" Type="http://schemas.openxmlformats.org/officeDocument/2006/relationships/image" Target="media/image64.png"/><Relationship Id="rId99" Type="http://schemas.openxmlformats.org/officeDocument/2006/relationships/hyperlink" Target="https://www.legifrance.gouv.fr/affichIDCC.do?idConvention=KALICONT000005635612&amp;cidTexte=&amp;idSectionTA=&amp;dateTexte=29990101" TargetMode="External"/><Relationship Id="rId190" Type="http://schemas.openxmlformats.org/officeDocument/2006/relationships/image" Target="media/image155.png"/><Relationship Id="rId191" Type="http://schemas.openxmlformats.org/officeDocument/2006/relationships/image" Target="media/image156.png"/><Relationship Id="rId192" Type="http://schemas.openxmlformats.org/officeDocument/2006/relationships/image" Target="media/image157.png"/><Relationship Id="rId193" Type="http://schemas.openxmlformats.org/officeDocument/2006/relationships/image" Target="media/image158.png"/><Relationship Id="rId194" Type="http://schemas.openxmlformats.org/officeDocument/2006/relationships/image" Target="media/image159.png"/><Relationship Id="rId195" Type="http://schemas.openxmlformats.org/officeDocument/2006/relationships/image" Target="media/image160.png"/><Relationship Id="rId196" Type="http://schemas.openxmlformats.org/officeDocument/2006/relationships/image" Target="media/image161.png"/><Relationship Id="rId197" Type="http://schemas.openxmlformats.org/officeDocument/2006/relationships/image" Target="media/image162.png"/><Relationship Id="rId198" Type="http://schemas.openxmlformats.org/officeDocument/2006/relationships/image" Target="media/image163.png"/><Relationship Id="rId199" Type="http://schemas.openxmlformats.org/officeDocument/2006/relationships/image" Target="media/image164.png"/><Relationship Id="rId30" Type="http://schemas.openxmlformats.org/officeDocument/2006/relationships/image" Target="media/image7.emf"/><Relationship Id="rId31" Type="http://schemas.openxmlformats.org/officeDocument/2006/relationships/image" Target="media/image8.jpg"/><Relationship Id="rId32" Type="http://schemas.openxmlformats.org/officeDocument/2006/relationships/image" Target="media/image9.wmf"/><Relationship Id="rId33" Type="http://schemas.openxmlformats.org/officeDocument/2006/relationships/image" Target="media/image10.emf"/><Relationship Id="rId34" Type="http://schemas.openxmlformats.org/officeDocument/2006/relationships/image" Target="media/image11.png"/><Relationship Id="rId35" Type="http://schemas.openxmlformats.org/officeDocument/2006/relationships/image" Target="media/image12.emf"/><Relationship Id="rId36" Type="http://schemas.openxmlformats.org/officeDocument/2006/relationships/image" Target="media/image13.emf"/><Relationship Id="rId37" Type="http://schemas.openxmlformats.org/officeDocument/2006/relationships/image" Target="media/image14.png"/><Relationship Id="rId38" Type="http://schemas.openxmlformats.org/officeDocument/2006/relationships/image" Target="media/image15.emf"/><Relationship Id="rId39" Type="http://schemas.openxmlformats.org/officeDocument/2006/relationships/image" Target="media/image16.png"/><Relationship Id="rId130" Type="http://schemas.openxmlformats.org/officeDocument/2006/relationships/image" Target="media/image95.png"/><Relationship Id="rId131" Type="http://schemas.openxmlformats.org/officeDocument/2006/relationships/image" Target="media/image96.png"/><Relationship Id="rId132" Type="http://schemas.openxmlformats.org/officeDocument/2006/relationships/image" Target="media/image97.png"/><Relationship Id="rId133" Type="http://schemas.openxmlformats.org/officeDocument/2006/relationships/image" Target="media/image98.png"/><Relationship Id="rId220" Type="http://schemas.openxmlformats.org/officeDocument/2006/relationships/image" Target="media/image185.png"/><Relationship Id="rId221" Type="http://schemas.openxmlformats.org/officeDocument/2006/relationships/image" Target="media/image186.png"/><Relationship Id="rId222" Type="http://schemas.openxmlformats.org/officeDocument/2006/relationships/image" Target="media/image187.png"/><Relationship Id="rId223" Type="http://schemas.openxmlformats.org/officeDocument/2006/relationships/image" Target="media/image188.png"/><Relationship Id="rId224" Type="http://schemas.openxmlformats.org/officeDocument/2006/relationships/image" Target="media/image189.png"/><Relationship Id="rId225" Type="http://schemas.openxmlformats.org/officeDocument/2006/relationships/image" Target="media/image190.png"/><Relationship Id="rId226" Type="http://schemas.openxmlformats.org/officeDocument/2006/relationships/image" Target="media/image191.emf"/><Relationship Id="rId227" Type="http://schemas.openxmlformats.org/officeDocument/2006/relationships/image" Target="media/image192.emf"/><Relationship Id="rId228" Type="http://schemas.openxmlformats.org/officeDocument/2006/relationships/image" Target="media/image193.emf"/><Relationship Id="rId229" Type="http://schemas.openxmlformats.org/officeDocument/2006/relationships/image" Target="media/image194.emf"/><Relationship Id="rId134" Type="http://schemas.openxmlformats.org/officeDocument/2006/relationships/image" Target="media/image99.png"/><Relationship Id="rId135" Type="http://schemas.openxmlformats.org/officeDocument/2006/relationships/image" Target="media/image100.png"/><Relationship Id="rId136" Type="http://schemas.openxmlformats.org/officeDocument/2006/relationships/image" Target="media/image101.png"/><Relationship Id="rId137" Type="http://schemas.openxmlformats.org/officeDocument/2006/relationships/image" Target="media/image102.png"/><Relationship Id="rId138" Type="http://schemas.openxmlformats.org/officeDocument/2006/relationships/image" Target="media/image103.png"/><Relationship Id="rId139" Type="http://schemas.openxmlformats.org/officeDocument/2006/relationships/image" Target="media/image104.png"/><Relationship Id="rId40" Type="http://schemas.openxmlformats.org/officeDocument/2006/relationships/image" Target="media/image17.png"/><Relationship Id="rId41" Type="http://schemas.openxmlformats.org/officeDocument/2006/relationships/image" Target="media/image18.png"/><Relationship Id="rId42" Type="http://schemas.openxmlformats.org/officeDocument/2006/relationships/image" Target="media/image19.png"/><Relationship Id="rId43" Type="http://schemas.openxmlformats.org/officeDocument/2006/relationships/image" Target="media/image20.png"/><Relationship Id="rId44" Type="http://schemas.openxmlformats.org/officeDocument/2006/relationships/image" Target="media/image21.jpg"/><Relationship Id="rId45" Type="http://schemas.openxmlformats.org/officeDocument/2006/relationships/image" Target="media/image22.png"/><Relationship Id="rId46" Type="http://schemas.openxmlformats.org/officeDocument/2006/relationships/image" Target="media/image23.png"/><Relationship Id="rId47" Type="http://schemas.openxmlformats.org/officeDocument/2006/relationships/image" Target="media/image24.png"/><Relationship Id="rId48" Type="http://schemas.openxmlformats.org/officeDocument/2006/relationships/image" Target="media/image25.png"/><Relationship Id="rId49" Type="http://schemas.openxmlformats.org/officeDocument/2006/relationships/image" Target="media/image26.png"/><Relationship Id="rId140" Type="http://schemas.openxmlformats.org/officeDocument/2006/relationships/image" Target="media/image105.png"/><Relationship Id="rId141" Type="http://schemas.openxmlformats.org/officeDocument/2006/relationships/image" Target="media/image106.png"/><Relationship Id="rId142" Type="http://schemas.openxmlformats.org/officeDocument/2006/relationships/image" Target="media/image107.png"/><Relationship Id="rId143" Type="http://schemas.openxmlformats.org/officeDocument/2006/relationships/image" Target="media/image108.png"/><Relationship Id="rId144" Type="http://schemas.openxmlformats.org/officeDocument/2006/relationships/image" Target="media/image109.png"/><Relationship Id="rId145" Type="http://schemas.openxmlformats.org/officeDocument/2006/relationships/image" Target="media/image110.png"/><Relationship Id="rId146" Type="http://schemas.openxmlformats.org/officeDocument/2006/relationships/image" Target="media/image111.png"/><Relationship Id="rId147" Type="http://schemas.openxmlformats.org/officeDocument/2006/relationships/image" Target="media/image112.png"/><Relationship Id="rId148" Type="http://schemas.openxmlformats.org/officeDocument/2006/relationships/image" Target="media/image113.png"/><Relationship Id="rId149" Type="http://schemas.openxmlformats.org/officeDocument/2006/relationships/image" Target="media/image114.png"/><Relationship Id="rId230" Type="http://schemas.openxmlformats.org/officeDocument/2006/relationships/image" Target="media/image195.emf"/><Relationship Id="rId231" Type="http://schemas.openxmlformats.org/officeDocument/2006/relationships/image" Target="media/image196.emf"/><Relationship Id="rId232" Type="http://schemas.openxmlformats.org/officeDocument/2006/relationships/header" Target="header4.xml"/><Relationship Id="rId233" Type="http://schemas.openxmlformats.org/officeDocument/2006/relationships/footer" Target="footer7.xml"/><Relationship Id="rId234" Type="http://schemas.openxmlformats.org/officeDocument/2006/relationships/header" Target="header5.xml"/><Relationship Id="rId235" Type="http://schemas.openxmlformats.org/officeDocument/2006/relationships/image" Target="media/image198.emf"/><Relationship Id="rId236" Type="http://schemas.openxmlformats.org/officeDocument/2006/relationships/image" Target="media/image199.emf"/><Relationship Id="rId237" Type="http://schemas.openxmlformats.org/officeDocument/2006/relationships/image" Target="media/image200.emf"/><Relationship Id="rId238" Type="http://schemas.openxmlformats.org/officeDocument/2006/relationships/image" Target="media/image201.emf"/><Relationship Id="rId239" Type="http://schemas.openxmlformats.org/officeDocument/2006/relationships/image" Target="media/image202.emf"/><Relationship Id="rId50" Type="http://schemas.openxmlformats.org/officeDocument/2006/relationships/image" Target="media/image27.png"/><Relationship Id="rId53" Type="http://schemas.openxmlformats.org/officeDocument/2006/relationships/image" Target="media/image28.png"/><Relationship Id="rId54" Type="http://schemas.openxmlformats.org/officeDocument/2006/relationships/image" Target="media/image29.png"/><Relationship Id="rId55" Type="http://schemas.openxmlformats.org/officeDocument/2006/relationships/image" Target="media/image30.png"/><Relationship Id="rId56" Type="http://schemas.openxmlformats.org/officeDocument/2006/relationships/image" Target="media/image31.png"/><Relationship Id="rId57" Type="http://schemas.openxmlformats.org/officeDocument/2006/relationships/chart" Target="charts/chart2.xml"/><Relationship Id="rId58" Type="http://schemas.openxmlformats.org/officeDocument/2006/relationships/image" Target="media/image32.png"/><Relationship Id="rId59" Type="http://schemas.openxmlformats.org/officeDocument/2006/relationships/image" Target="media/image33.png"/><Relationship Id="rId150" Type="http://schemas.openxmlformats.org/officeDocument/2006/relationships/image" Target="media/image115.png"/><Relationship Id="rId151" Type="http://schemas.openxmlformats.org/officeDocument/2006/relationships/image" Target="media/image116.png"/><Relationship Id="rId152" Type="http://schemas.openxmlformats.org/officeDocument/2006/relationships/image" Target="media/image117.png"/><Relationship Id="rId153" Type="http://schemas.openxmlformats.org/officeDocument/2006/relationships/image" Target="media/image118.png"/><Relationship Id="rId154" Type="http://schemas.openxmlformats.org/officeDocument/2006/relationships/image" Target="media/image119.png"/><Relationship Id="rId155" Type="http://schemas.openxmlformats.org/officeDocument/2006/relationships/image" Target="media/image120.png"/><Relationship Id="rId156" Type="http://schemas.openxmlformats.org/officeDocument/2006/relationships/image" Target="media/image121.png"/><Relationship Id="rId157" Type="http://schemas.openxmlformats.org/officeDocument/2006/relationships/image" Target="media/image122.png"/><Relationship Id="rId158" Type="http://schemas.openxmlformats.org/officeDocument/2006/relationships/image" Target="media/image123.png"/><Relationship Id="rId159" Type="http://schemas.openxmlformats.org/officeDocument/2006/relationships/image" Target="media/image124.png"/><Relationship Id="rId240" Type="http://schemas.openxmlformats.org/officeDocument/2006/relationships/fontTable" Target="fontTable.xml"/><Relationship Id="rId241" Type="http://schemas.openxmlformats.org/officeDocument/2006/relationships/theme" Target="theme/theme1.xml"/><Relationship Id="rId60" Type="http://schemas.openxmlformats.org/officeDocument/2006/relationships/image" Target="media/image34.png"/><Relationship Id="rId61" Type="http://schemas.openxmlformats.org/officeDocument/2006/relationships/image" Target="media/image35.png"/><Relationship Id="rId62" Type="http://schemas.openxmlformats.org/officeDocument/2006/relationships/image" Target="media/image36.png"/><Relationship Id="rId63" Type="http://schemas.openxmlformats.org/officeDocument/2006/relationships/image" Target="media/image37.png"/><Relationship Id="rId64" Type="http://schemas.openxmlformats.org/officeDocument/2006/relationships/image" Target="media/image38.png"/><Relationship Id="rId65" Type="http://schemas.openxmlformats.org/officeDocument/2006/relationships/image" Target="media/image39.jpeg"/><Relationship Id="rId66" Type="http://schemas.openxmlformats.org/officeDocument/2006/relationships/image" Target="media/image40.emf"/><Relationship Id="rId67" Type="http://schemas.openxmlformats.org/officeDocument/2006/relationships/image" Target="media/image41.emf"/><Relationship Id="rId68" Type="http://schemas.openxmlformats.org/officeDocument/2006/relationships/header" Target="header3.xml"/><Relationship Id="rId69" Type="http://schemas.openxmlformats.org/officeDocument/2006/relationships/footer" Target="footer5.xml"/><Relationship Id="rId160" Type="http://schemas.openxmlformats.org/officeDocument/2006/relationships/image" Target="media/image125.png"/><Relationship Id="rId161" Type="http://schemas.openxmlformats.org/officeDocument/2006/relationships/image" Target="media/image126.png"/><Relationship Id="rId162" Type="http://schemas.openxmlformats.org/officeDocument/2006/relationships/image" Target="media/image127.png"/><Relationship Id="rId163" Type="http://schemas.openxmlformats.org/officeDocument/2006/relationships/image" Target="media/image128.png"/><Relationship Id="rId164" Type="http://schemas.openxmlformats.org/officeDocument/2006/relationships/image" Target="media/image129.png"/><Relationship Id="rId165" Type="http://schemas.openxmlformats.org/officeDocument/2006/relationships/image" Target="media/image130.png"/><Relationship Id="rId166" Type="http://schemas.openxmlformats.org/officeDocument/2006/relationships/image" Target="media/image131.png"/><Relationship Id="rId167" Type="http://schemas.openxmlformats.org/officeDocument/2006/relationships/image" Target="media/image132.png"/><Relationship Id="rId168" Type="http://schemas.openxmlformats.org/officeDocument/2006/relationships/image" Target="media/image133.png"/><Relationship Id="rId169" Type="http://schemas.openxmlformats.org/officeDocument/2006/relationships/image" Target="media/image134.png"/><Relationship Id="rId256" Type="http://schemas.microsoft.com/office/2011/relationships/people" Target="people.xml"/><Relationship Id="rId257" Type="http://schemas.microsoft.com/office/2011/relationships/commentsExtended" Target="commentsExtended.xml"/><Relationship Id="rId258" Type="http://schemas.microsoft.com/office/2016/09/relationships/commentsIds" Target="commentsIds.xml"/><Relationship Id="rId259" Type="http://schemas.microsoft.com/office/2018/08/relationships/commentsExtensible" Target="commentsExtensible.xml"/><Relationship Id="rId100" Type="http://schemas.openxmlformats.org/officeDocument/2006/relationships/image" Target="media/image65.emf"/><Relationship Id="rId101" Type="http://schemas.openxmlformats.org/officeDocument/2006/relationships/image" Target="media/image66.png"/><Relationship Id="rId102" Type="http://schemas.openxmlformats.org/officeDocument/2006/relationships/image" Target="media/image67.png"/><Relationship Id="rId103" Type="http://schemas.openxmlformats.org/officeDocument/2006/relationships/image" Target="media/image68.png"/><Relationship Id="rId104" Type="http://schemas.openxmlformats.org/officeDocument/2006/relationships/image" Target="media/image69.png"/><Relationship Id="rId105" Type="http://schemas.openxmlformats.org/officeDocument/2006/relationships/image" Target="media/image70.png"/></Relationships>
</file>

<file path=word/_rels/footer2.xml.rels><?xml version="1.0" encoding="UTF-8" standalone="yes"?>
<Relationships xmlns="http://schemas.openxmlformats.org/package/2006/relationships"><Relationship Id="rId1" Type="http://schemas.openxmlformats.org/officeDocument/2006/relationships/image" Target="media/image1.png"/></Relationships>
</file>

<file path=word/_rels/footer4.xml.rels><?xml version="1.0" encoding="UTF-8" standalone="yes"?>
<Relationships xmlns="http://schemas.openxmlformats.org/package/2006/relationships"><Relationship Id="rId1" Type="http://schemas.openxmlformats.org/officeDocument/2006/relationships/image" Target="media/image1.png"/></Relationships>
</file>

<file path=word/_rels/footer6.xml.rels><?xml version="1.0" encoding="UTF-8" standalone="yes"?>
<Relationships xmlns="http://schemas.openxmlformats.org/package/2006/relationships"><Relationship Id="rId1" Type="http://schemas.openxmlformats.org/officeDocument/2006/relationships/image" Target="media/image1.png"/></Relationships>
</file>

<file path=word/_rels/header5.xml.rels><?xml version="1.0" encoding="UTF-8" standalone="yes"?>
<Relationships xmlns="http://schemas.openxmlformats.org/package/2006/relationships"><Relationship Id="rId1" Type="http://schemas.openxmlformats.org/officeDocument/2006/relationships/image" Target="media/image197.png"/></Relationships>
</file>

<file path=word/charts/_rels/chart1.xml.rels><?xml version="1.0" encoding="UTF-8" standalone="yes"?>
<Relationships xmlns="http://schemas.openxmlformats.org/package/2006/relationships"><Relationship Id="rId1" Type="http://schemas.openxmlformats.org/officeDocument/2006/relationships/oleObject" Target="Macintosh%20HD:Users:vanessa:Dropbox:Analyses%20IPO:Spineway:DDB:March&#233;%20chap%206.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Macintosh%20HD:Users:vanessa:Dropbox:AELIAN%20FINANCE:Spineway:2021%20URD%20Spineway:Fichiers%20source%20URD:March&#233;%20concurrence%20chap%205.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18"/>
    </mc:Choice>
    <mc:Fallback>
      <c:style val="18"/>
    </mc:Fallback>
  </mc:AlternateContent>
  <c:chart>
    <c:title>
      <c:tx>
        <c:rich>
          <a:bodyPr/>
          <a:lstStyle/>
          <a:p>
            <a:pPr>
              <a:defRPr sz="1100">
                <a:latin typeface="+mj-lt"/>
              </a:defRPr>
            </a:pPr>
            <a:r>
              <a:rPr lang="fr-FR" sz="1100">
                <a:latin typeface="+mj-lt"/>
              </a:rPr>
              <a:t>Fréquence des pathologies du rachis rencontrées</a:t>
            </a:r>
          </a:p>
        </c:rich>
      </c:tx>
      <c:layout/>
      <c:overlay val="0"/>
    </c:title>
    <c:autoTitleDeleted val="0"/>
    <c:plotArea>
      <c:layout/>
      <c:pieChart>
        <c:varyColors val="1"/>
        <c:ser>
          <c:idx val="0"/>
          <c:order val="0"/>
          <c:tx>
            <c:v>Fréquence des pathologies du rachis rencontrées</c:v>
          </c:tx>
          <c:dLbls>
            <c:dLbl>
              <c:idx val="0"/>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5AD9-4A4D-A8F6-EFD31958FEAC}"/>
                </c:ext>
              </c:extLst>
            </c:dLbl>
            <c:dLbl>
              <c:idx val="1"/>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5AD9-4A4D-A8F6-EFD31958FEAC}"/>
                </c:ext>
              </c:extLst>
            </c:dLbl>
            <c:dLbl>
              <c:idx val="2"/>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5AD9-4A4D-A8F6-EFD31958FEAC}"/>
                </c:ext>
              </c:extLst>
            </c:dLbl>
            <c:dLbl>
              <c:idx val="3"/>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5AD9-4A4D-A8F6-EFD31958FEAC}"/>
                </c:ext>
              </c:extLst>
            </c:dLbl>
            <c:dLbl>
              <c:idx val="4"/>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5AD9-4A4D-A8F6-EFD31958FEAC}"/>
                </c:ext>
              </c:extLst>
            </c:dLbl>
            <c:spPr>
              <a:noFill/>
              <a:ln>
                <a:noFill/>
              </a:ln>
              <a:effectLst/>
            </c:spPr>
            <c:showLegendKey val="0"/>
            <c:showVal val="0"/>
            <c:showCatName val="0"/>
            <c:showSerName val="0"/>
            <c:showPercent val="0"/>
            <c:showBubbleSize val="0"/>
            <c:extLst xmlns:c16r2="http://schemas.microsoft.com/office/drawing/2015/06/chart">
              <c:ext xmlns:c15="http://schemas.microsoft.com/office/drawing/2012/chart" uri="{CE6537A1-D6FC-4f65-9D91-7224C49458BB}"/>
            </c:extLst>
          </c:dLbls>
          <c:cat>
            <c:strRef>
              <c:f>Feuil2!$B$6:$B$10</c:f>
              <c:strCache>
                <c:ptCount val="5"/>
                <c:pt idx="0">
                  <c:v>Infections</c:v>
                </c:pt>
                <c:pt idx="1">
                  <c:v>Traumatologie</c:v>
                </c:pt>
                <c:pt idx="2">
                  <c:v>Cancers</c:v>
                </c:pt>
                <c:pt idx="3">
                  <c:v>Pathologies déformatives</c:v>
                </c:pt>
                <c:pt idx="4">
                  <c:v>Maladies dégénératives</c:v>
                </c:pt>
              </c:strCache>
            </c:strRef>
          </c:cat>
          <c:val>
            <c:numRef>
              <c:f>Feuil2!$C$6:$C$10</c:f>
              <c:numCache>
                <c:formatCode>0%</c:formatCode>
                <c:ptCount val="5"/>
                <c:pt idx="0">
                  <c:v>0.05</c:v>
                </c:pt>
                <c:pt idx="1">
                  <c:v>0.1</c:v>
                </c:pt>
                <c:pt idx="2">
                  <c:v>0.1</c:v>
                </c:pt>
                <c:pt idx="3">
                  <c:v>0.15</c:v>
                </c:pt>
                <c:pt idx="4">
                  <c:v>0.6</c:v>
                </c:pt>
              </c:numCache>
            </c:numRef>
          </c:val>
          <c:extLst xmlns:c16r2="http://schemas.microsoft.com/office/drawing/2015/06/chart">
            <c:ext xmlns:c16="http://schemas.microsoft.com/office/drawing/2014/chart" uri="{C3380CC4-5D6E-409C-BE32-E72D297353CC}">
              <c16:uniqueId val="{00000005-5AD9-4A4D-A8F6-EFD31958FEAC}"/>
            </c:ext>
          </c:extLst>
        </c:ser>
        <c:dLbls>
          <c:showLegendKey val="0"/>
          <c:showVal val="0"/>
          <c:showCatName val="0"/>
          <c:showSerName val="0"/>
          <c:showPercent val="0"/>
          <c:showBubbleSize val="0"/>
          <c:showLeaderLines val="1"/>
        </c:dLbls>
        <c:firstSliceAng val="0"/>
      </c:pieChart>
    </c:plotArea>
    <c:legend>
      <c:legendPos val="r"/>
      <c:layout/>
      <c:overlay val="0"/>
      <c:txPr>
        <a:bodyPr/>
        <a:lstStyle/>
        <a:p>
          <a:pPr>
            <a:defRPr>
              <a:latin typeface="+mj-lt"/>
            </a:defRPr>
          </a:pPr>
          <a:endParaRPr lang="fr-FR"/>
        </a:p>
      </c:txPr>
    </c:legend>
    <c:plotVisOnly val="1"/>
    <c:dispBlanksAs val="gap"/>
    <c:showDLblsOverMax val="0"/>
  </c:chart>
  <c:spPr>
    <a:ln>
      <a:noFill/>
    </a:ln>
  </c:sp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26"/>
    </mc:Choice>
    <mc:Fallback>
      <c:style val="26"/>
    </mc:Fallback>
  </mc:AlternateContent>
  <c:chart>
    <c:title>
      <c:tx>
        <c:rich>
          <a:bodyPr/>
          <a:lstStyle/>
          <a:p>
            <a:pPr>
              <a:defRPr sz="1200"/>
            </a:pPr>
            <a:r>
              <a:rPr lang="fr-FR" sz="1200"/>
              <a:t>Répartition géographique du chiffre d'affaires au 31 décembre 2020 (données consolidées)</a:t>
            </a:r>
          </a:p>
        </c:rich>
      </c:tx>
      <c:layout/>
      <c:overlay val="0"/>
    </c:title>
    <c:autoTitleDeleted val="0"/>
    <c:plotArea>
      <c:layout/>
      <c:pieChart>
        <c:varyColors val="1"/>
        <c:ser>
          <c:idx val="0"/>
          <c:order val="0"/>
          <c:dLbls>
            <c:dLbl>
              <c:idx val="1"/>
              <c:layout>
                <c:manualLayout>
                  <c:x val="-0.0332158445375386"/>
                  <c:y val="0.063783846032043"/>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81A7-4D0A-845B-267162296828}"/>
                </c:ext>
              </c:extLst>
            </c:dLbl>
            <c:showLegendKey val="0"/>
            <c:showVal val="1"/>
            <c:showCatName val="0"/>
            <c:showSerName val="0"/>
            <c:showPercent val="0"/>
            <c:showBubbleSize val="0"/>
            <c:showLeaderLines val="1"/>
            <c:extLst xmlns:c16r2="http://schemas.microsoft.com/office/drawing/2015/06/chart">
              <c:ext xmlns:c15="http://schemas.microsoft.com/office/drawing/2012/chart" uri="{CE6537A1-D6FC-4f65-9D91-7224C49458BB}"/>
            </c:extLst>
          </c:dLbls>
          <c:cat>
            <c:strRef>
              <c:f>'CA Géographique 2019'!$A$6:$A$11</c:f>
              <c:strCache>
                <c:ptCount val="6"/>
                <c:pt idx="0">
                  <c:v>France</c:v>
                </c:pt>
                <c:pt idx="1">
                  <c:v>Etats Unis</c:v>
                </c:pt>
                <c:pt idx="2">
                  <c:v>Amérique latine</c:v>
                </c:pt>
                <c:pt idx="3">
                  <c:v>Asie </c:v>
                </c:pt>
                <c:pt idx="4">
                  <c:v>Afrique et Moyen Orient</c:v>
                </c:pt>
                <c:pt idx="5">
                  <c:v>Europe</c:v>
                </c:pt>
              </c:strCache>
            </c:strRef>
          </c:cat>
          <c:val>
            <c:numRef>
              <c:f>'CA Géographique 2019'!$B$6:$B$11</c:f>
              <c:numCache>
                <c:formatCode>0%</c:formatCode>
                <c:ptCount val="6"/>
                <c:pt idx="0">
                  <c:v>0.122557726465364</c:v>
                </c:pt>
                <c:pt idx="1">
                  <c:v>0.0139135583185317</c:v>
                </c:pt>
                <c:pt idx="2">
                  <c:v>0.441385435168739</c:v>
                </c:pt>
                <c:pt idx="3">
                  <c:v>0.248963883955003</c:v>
                </c:pt>
                <c:pt idx="4">
                  <c:v>0.0882178804026051</c:v>
                </c:pt>
                <c:pt idx="5">
                  <c:v>0.0849615156897572</c:v>
                </c:pt>
              </c:numCache>
            </c:numRef>
          </c:val>
          <c:extLst xmlns:c16r2="http://schemas.microsoft.com/office/drawing/2015/06/chart">
            <c:ext xmlns:c16="http://schemas.microsoft.com/office/drawing/2014/chart" uri="{C3380CC4-5D6E-409C-BE32-E72D297353CC}">
              <c16:uniqueId val="{00000001-81A7-4D0A-845B-267162296828}"/>
            </c:ext>
          </c:extLst>
        </c:ser>
        <c:dLbls>
          <c:showLegendKey val="0"/>
          <c:showVal val="0"/>
          <c:showCatName val="0"/>
          <c:showSerName val="0"/>
          <c:showPercent val="0"/>
          <c:showBubbleSize val="0"/>
          <c:showLeaderLines val="1"/>
        </c:dLbls>
        <c:firstSliceAng val="0"/>
      </c:pieChart>
    </c:plotArea>
    <c:legend>
      <c:legendPos val="r"/>
      <c:layout/>
      <c:overlay val="0"/>
    </c:legend>
    <c:plotVisOnly val="1"/>
    <c:dispBlanksAs val="gap"/>
    <c:showDLblsOverMax val="0"/>
  </c:chart>
  <c:spPr>
    <a:ln>
      <a:noFill/>
    </a:ln>
  </c:spPr>
  <c:externalData r:id="rId1">
    <c:autoUpdate val="0"/>
  </c:externalData>
</c:chartSpace>
</file>

<file path=word/theme/theme1.xml><?xml version="1.0" encoding="utf-8"?>
<a:theme xmlns:a="http://schemas.openxmlformats.org/drawingml/2006/main" name="Thème Office">
  <a:themeElements>
    <a:clrScheme name="Bureau">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Bureau">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67E55DBF2D191B4C975C6CD4B475D5A4" ma:contentTypeVersion="13" ma:contentTypeDescription="Crée un document." ma:contentTypeScope="" ma:versionID="ccc8f1092adf76fef26ba980067bd65c">
  <xsd:schema xmlns:xsd="http://www.w3.org/2001/XMLSchema" xmlns:xs="http://www.w3.org/2001/XMLSchema" xmlns:p="http://schemas.microsoft.com/office/2006/metadata/properties" xmlns:ns2="eb530d1d-27ba-46c0-b024-421e5219abb7" xmlns:ns3="d4f1f3fe-3486-4f83-bfe8-fce23edc88ec" targetNamespace="http://schemas.microsoft.com/office/2006/metadata/properties" ma:root="true" ma:fieldsID="fec0bb1bea6b9e643b2c1e4a93cdf534" ns2:_="" ns3:_="">
    <xsd:import namespace="eb530d1d-27ba-46c0-b024-421e5219abb7"/>
    <xsd:import namespace="d4f1f3fe-3486-4f83-bfe8-fce23edc88ec"/>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Location" minOccurs="0"/>
                <xsd:element ref="ns2:MediaServiceGenerationTime" minOccurs="0"/>
                <xsd:element ref="ns2:MediaServiceEventHashCode" minOccurs="0"/>
                <xsd:element ref="ns2:MediaServiceAutoTags" minOccurs="0"/>
                <xsd:element ref="ns2:MediaServiceOCR" minOccurs="0"/>
                <xsd:element ref="ns3:SharedWithUsers" minOccurs="0"/>
                <xsd:element ref="ns3:SharedWithDetails" minOccurs="0"/>
                <xsd:element ref="ns2:MediaServiceAutoKeyPoints" minOccurs="0"/>
                <xsd:element ref="ns2: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b530d1d-27ba-46c0-b024-421e5219abb7"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Location" ma:index="11" nillable="true" ma:displayName="Location" ma:internalName="MediaServiceLocation" ma:readOnly="true">
      <xsd:simpleType>
        <xsd:restriction base="dms:Text"/>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AutoTags" ma:index="14" nillable="true" ma:displayName="Tags" ma:internalName="MediaServiceAutoTags"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d4f1f3fe-3486-4f83-bfe8-fce23edc88ec" elementFormDefault="qualified">
    <xsd:import namespace="http://schemas.microsoft.com/office/2006/documentManagement/types"/>
    <xsd:import namespace="http://schemas.microsoft.com/office/infopath/2007/PartnerControls"/>
    <xsd:element name="SharedWithUsers" ma:index="16" nillable="true" ma:displayName="Partagé avec"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Partagé avec dé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index="4"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SharedWithUsers xmlns="d4f1f3fe-3486-4f83-bfe8-fce23edc88ec">
      <UserInfo>
        <DisplayName/>
        <AccountId>183</AccountId>
        <AccountType/>
      </UserInfo>
    </SharedWithUsers>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276F70B-D7D0-441B-B35F-FC9EFE690E9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b530d1d-27ba-46c0-b024-421e5219abb7"/>
    <ds:schemaRef ds:uri="d4f1f3fe-3486-4f83-bfe8-fce23edc88e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9FF2F187-5F83-47ED-B3D0-916A2A29DA6F}">
  <ds:schemaRefs>
    <ds:schemaRef ds:uri="http://schemas.microsoft.com/sharepoint/v3/contenttype/forms"/>
  </ds:schemaRefs>
</ds:datastoreItem>
</file>

<file path=customXml/itemProps3.xml><?xml version="1.0" encoding="utf-8"?>
<ds:datastoreItem xmlns:ds="http://schemas.openxmlformats.org/officeDocument/2006/customXml" ds:itemID="{314E894D-EA3B-4B66-BDE9-201AF7FE52EF}">
  <ds:schemaRefs>
    <ds:schemaRef ds:uri="http://schemas.microsoft.com/office/2006/metadata/properties"/>
    <ds:schemaRef ds:uri="http://schemas.microsoft.com/office/infopath/2007/PartnerControls"/>
    <ds:schemaRef ds:uri="d4f1f3fe-3486-4f83-bfe8-fce23edc88ec"/>
  </ds:schemaRefs>
</ds:datastoreItem>
</file>

<file path=customXml/itemProps4.xml><?xml version="1.0" encoding="utf-8"?>
<ds:datastoreItem xmlns:ds="http://schemas.openxmlformats.org/officeDocument/2006/customXml" ds:itemID="{142F1B70-72F5-C049-88C6-013742CA1D8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1817</TotalTime>
  <Pages>278</Pages>
  <Words>55419</Words>
  <Characters>308689</Characters>
  <Application>Microsoft Macintosh Word</Application>
  <DocSecurity>0</DocSecurity>
  <Lines>7915</Lines>
  <Paragraphs>4001</Paragraphs>
  <ScaleCrop>false</ScaleCrop>
  <Manager/>
  <Company>Hewlett-Packard Company</Company>
  <LinksUpToDate>false</LinksUpToDate>
  <CharactersWithSpaces>360107</CharactersWithSpaces>
  <SharedDoc>false</SharedDoc>
  <HyperlinkBase/>
  <HLinks>
    <vt:vector size="54" baseType="variant">
      <vt:variant>
        <vt:i4>5242967</vt:i4>
      </vt:variant>
      <vt:variant>
        <vt:i4>591</vt:i4>
      </vt:variant>
      <vt:variant>
        <vt:i4>0</vt:i4>
      </vt:variant>
      <vt:variant>
        <vt:i4>5</vt:i4>
      </vt:variant>
      <vt:variant>
        <vt:lpwstr>https://www.legifrance.gouv.fr/affichIDCC.do?idConvention=KALICONT000005635612&amp;cidTexte=&amp;idSectionTA=&amp;dateTexte=29990101</vt:lpwstr>
      </vt:variant>
      <vt:variant>
        <vt:lpwstr/>
      </vt:variant>
      <vt:variant>
        <vt:i4>6357116</vt:i4>
      </vt:variant>
      <vt:variant>
        <vt:i4>561</vt:i4>
      </vt:variant>
      <vt:variant>
        <vt:i4>0</vt:i4>
      </vt:variant>
      <vt:variant>
        <vt:i4>5</vt:i4>
      </vt:variant>
      <vt:variant>
        <vt:lpwstr>http://spw-iberica.eu/</vt:lpwstr>
      </vt:variant>
      <vt:variant>
        <vt:lpwstr/>
      </vt:variant>
      <vt:variant>
        <vt:i4>6357114</vt:i4>
      </vt:variant>
      <vt:variant>
        <vt:i4>558</vt:i4>
      </vt:variant>
      <vt:variant>
        <vt:i4>0</vt:i4>
      </vt:variant>
      <vt:variant>
        <vt:i4>5</vt:i4>
      </vt:variant>
      <vt:variant>
        <vt:lpwstr>http://spw-iberica.es/</vt:lpwstr>
      </vt:variant>
      <vt:variant>
        <vt:lpwstr/>
      </vt:variant>
      <vt:variant>
        <vt:i4>2424934</vt:i4>
      </vt:variant>
      <vt:variant>
        <vt:i4>555</vt:i4>
      </vt:variant>
      <vt:variant>
        <vt:i4>0</vt:i4>
      </vt:variant>
      <vt:variant>
        <vt:i4>5</vt:i4>
      </vt:variant>
      <vt:variant>
        <vt:lpwstr>http://spw-iberica.com/</vt:lpwstr>
      </vt:variant>
      <vt:variant>
        <vt:lpwstr/>
      </vt:variant>
      <vt:variant>
        <vt:i4>3080235</vt:i4>
      </vt:variant>
      <vt:variant>
        <vt:i4>552</vt:i4>
      </vt:variant>
      <vt:variant>
        <vt:i4>0</vt:i4>
      </vt:variant>
      <vt:variant>
        <vt:i4>5</vt:i4>
      </vt:variant>
      <vt:variant>
        <vt:lpwstr>http://spinewayusa.com/</vt:lpwstr>
      </vt:variant>
      <vt:variant>
        <vt:lpwstr/>
      </vt:variant>
      <vt:variant>
        <vt:i4>6029312</vt:i4>
      </vt:variant>
      <vt:variant>
        <vt:i4>549</vt:i4>
      </vt:variant>
      <vt:variant>
        <vt:i4>0</vt:i4>
      </vt:variant>
      <vt:variant>
        <vt:i4>5</vt:i4>
      </vt:variant>
      <vt:variant>
        <vt:lpwstr>http://spineway-spain.es/</vt:lpwstr>
      </vt:variant>
      <vt:variant>
        <vt:lpwstr/>
      </vt:variant>
      <vt:variant>
        <vt:i4>4391000</vt:i4>
      </vt:variant>
      <vt:variant>
        <vt:i4>513</vt:i4>
      </vt:variant>
      <vt:variant>
        <vt:i4>0</vt:i4>
      </vt:variant>
      <vt:variant>
        <vt:i4>5</vt:i4>
      </vt:variant>
      <vt:variant>
        <vt:lpwstr>https://www.fda.gov/medical-devices/device-advice-comprehensive-regulatory-assistance/unique-device-identification-system-udi-system</vt:lpwstr>
      </vt:variant>
      <vt:variant>
        <vt:lpwstr/>
      </vt:variant>
      <vt:variant>
        <vt:i4>3866721</vt:i4>
      </vt:variant>
      <vt:variant>
        <vt:i4>3</vt:i4>
      </vt:variant>
      <vt:variant>
        <vt:i4>0</vt:i4>
      </vt:variant>
      <vt:variant>
        <vt:i4>5</vt:i4>
      </vt:variant>
      <vt:variant>
        <vt:lpwstr>http://www.amf-france.org/</vt:lpwstr>
      </vt:variant>
      <vt:variant>
        <vt:lpwstr/>
      </vt:variant>
      <vt:variant>
        <vt:i4>5963854</vt:i4>
      </vt:variant>
      <vt:variant>
        <vt:i4>0</vt:i4>
      </vt:variant>
      <vt:variant>
        <vt:i4>0</vt:i4>
      </vt:variant>
      <vt:variant>
        <vt:i4>5</vt:i4>
      </vt:variant>
      <vt:variant>
        <vt:lpwstr>http://www.spineway.com/</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Christian Viguie</dc:creator>
  <cp:keywords/>
  <dc:description/>
  <cp:lastModifiedBy>vanessa pierdet</cp:lastModifiedBy>
  <cp:revision>89</cp:revision>
  <cp:lastPrinted>2021-02-10T16:53:00Z</cp:lastPrinted>
  <dcterms:created xsi:type="dcterms:W3CDTF">2021-02-04T08:18:00Z</dcterms:created>
  <dcterms:modified xsi:type="dcterms:W3CDTF">2021-02-15T18:34:00Z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0x01010067E55DBF2D191B4C975C6CD4B475D5A4</vt:lpwstr>
  </property>
</Properties>
</file>