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5452A" w14:textId="7E7900FE" w:rsidR="00003BBA" w:rsidRDefault="00021254" w:rsidP="00003BBA">
      <w:pPr>
        <w:jc w:val="center"/>
        <w:rPr>
          <w:rFonts w:cs="Arial"/>
        </w:rPr>
      </w:pPr>
      <w:r>
        <w:t xml:space="preserve">At the Annual General Meeting of </w:t>
      </w:r>
      <w:proofErr w:type="spellStart"/>
      <w:r>
        <w:t>Worldsec</w:t>
      </w:r>
      <w:proofErr w:type="spellEnd"/>
      <w:r>
        <w:t xml:space="preserve"> Limited duly convened</w:t>
      </w:r>
      <w:r w:rsidR="00002E3A" w:rsidRPr="00002E3A">
        <w:t xml:space="preserve"> at </w:t>
      </w:r>
      <w:r w:rsidR="00324ADE" w:rsidRPr="00324ADE">
        <w:t xml:space="preserve">5, Southampton Place, </w:t>
      </w:r>
      <w:r w:rsidR="00324ADE">
        <w:t xml:space="preserve">London, </w:t>
      </w:r>
      <w:r w:rsidR="00324ADE" w:rsidRPr="00324ADE">
        <w:t>WC1A 2DC</w:t>
      </w:r>
      <w:r w:rsidR="00002E3A" w:rsidRPr="00002E3A">
        <w:t xml:space="preserve"> on </w:t>
      </w:r>
      <w:r w:rsidR="00002E3A">
        <w:t xml:space="preserve">Friday </w:t>
      </w:r>
      <w:r w:rsidR="00B01E47">
        <w:t>26 November</w:t>
      </w:r>
      <w:r w:rsidR="00002E3A">
        <w:t xml:space="preserve"> 20</w:t>
      </w:r>
      <w:r w:rsidR="00B01E47">
        <w:t>21</w:t>
      </w:r>
      <w:r w:rsidR="00002E3A">
        <w:t xml:space="preserve"> at 11.30 </w:t>
      </w:r>
      <w:r w:rsidR="00002E3A" w:rsidRPr="00002E3A">
        <w:t>am (UK Time)</w:t>
      </w:r>
      <w:r w:rsidR="00B825BA">
        <w:t xml:space="preserve">, the following </w:t>
      </w:r>
      <w:r w:rsidR="00003BBA">
        <w:rPr>
          <w:rFonts w:cs="Arial"/>
        </w:rPr>
        <w:t>special resolutions were passed on a show of hands:</w:t>
      </w:r>
    </w:p>
    <w:p w14:paraId="02315BFE" w14:textId="1E7579AA" w:rsidR="00002E3A" w:rsidRDefault="00002E3A"/>
    <w:p w14:paraId="1BC91EB7" w14:textId="0DAC0F8D" w:rsidR="00A30863" w:rsidRDefault="00A30863"/>
    <w:p w14:paraId="1CDD4920" w14:textId="77777777" w:rsidR="00A30863" w:rsidRDefault="00A30863"/>
    <w:p w14:paraId="54FC0395" w14:textId="77777777" w:rsidR="00B825BA" w:rsidRDefault="00B825BA" w:rsidP="00B825BA">
      <w:pPr>
        <w:rPr>
          <w:b/>
        </w:rPr>
      </w:pPr>
    </w:p>
    <w:p w14:paraId="07F541A6" w14:textId="7BA8B307" w:rsidR="00B825BA" w:rsidRDefault="00B825BA" w:rsidP="00B825BA">
      <w:pPr>
        <w:jc w:val="center"/>
        <w:rPr>
          <w:b/>
        </w:rPr>
      </w:pPr>
      <w:r>
        <w:rPr>
          <w:b/>
        </w:rPr>
        <w:t>Special Resolutions</w:t>
      </w:r>
    </w:p>
    <w:p w14:paraId="11E91F5D" w14:textId="3764E42A" w:rsidR="00B825BA" w:rsidRDefault="00B825BA" w:rsidP="00B825BA">
      <w:pPr>
        <w:rPr>
          <w:b/>
        </w:rPr>
      </w:pPr>
    </w:p>
    <w:p w14:paraId="5D56398A" w14:textId="18229956" w:rsidR="00B825BA" w:rsidRPr="0065427F" w:rsidRDefault="00B825BA" w:rsidP="00B825BA">
      <w:pPr>
        <w:widowControl w:val="0"/>
        <w:numPr>
          <w:ilvl w:val="0"/>
          <w:numId w:val="7"/>
        </w:numPr>
        <w:tabs>
          <w:tab w:val="left" w:pos="567"/>
        </w:tabs>
        <w:ind w:left="567" w:hanging="567"/>
        <w:rPr>
          <w:rFonts w:cs="Arial"/>
        </w:rPr>
      </w:pPr>
      <w:r w:rsidRPr="0065427F">
        <w:rPr>
          <w:rFonts w:cs="Arial"/>
        </w:rPr>
        <w:t>To, in addition to the authority granted</w:t>
      </w:r>
      <w:r w:rsidRPr="0065427F">
        <w:rPr>
          <w:rFonts w:cs="Arial" w:hint="eastAsia"/>
        </w:rPr>
        <w:t xml:space="preserve"> to the Directors</w:t>
      </w:r>
      <w:r w:rsidRPr="0065427F">
        <w:rPr>
          <w:rFonts w:cs="Arial"/>
        </w:rPr>
        <w:t xml:space="preserve"> under Bye-Law 8 of the Company's Bye-Laws, generally and unconditionally authorise the Directors to exercise all the powers of the Company </w:t>
      </w:r>
      <w:r w:rsidRPr="0065427F">
        <w:rPr>
          <w:rFonts w:cs="Arial" w:hint="eastAsia"/>
        </w:rPr>
        <w:t xml:space="preserve">(i) </w:t>
      </w:r>
      <w:r w:rsidRPr="0065427F">
        <w:rPr>
          <w:rFonts w:cs="Arial"/>
        </w:rPr>
        <w:t xml:space="preserve">to allot </w:t>
      </w:r>
      <w:r w:rsidRPr="0065427F">
        <w:rPr>
          <w:rFonts w:cs="Arial" w:hint="eastAsia"/>
        </w:rPr>
        <w:t xml:space="preserve">and issue </w:t>
      </w:r>
      <w:r w:rsidRPr="0065427F">
        <w:rPr>
          <w:rFonts w:cs="Arial"/>
        </w:rPr>
        <w:t xml:space="preserve">new ordinary shares of par value US$0.001 each in the </w:t>
      </w:r>
      <w:r w:rsidRPr="0065427F">
        <w:rPr>
          <w:rFonts w:cs="Arial" w:hint="eastAsia"/>
        </w:rPr>
        <w:t xml:space="preserve">share capital of the </w:t>
      </w:r>
      <w:r w:rsidRPr="0065427F">
        <w:rPr>
          <w:rFonts w:cs="Arial"/>
        </w:rPr>
        <w:t>Company</w:t>
      </w:r>
      <w:r w:rsidRPr="0065427F">
        <w:rPr>
          <w:rFonts w:cs="Arial" w:hint="eastAsia"/>
        </w:rPr>
        <w:t xml:space="preserve"> (</w:t>
      </w:r>
      <w:r w:rsidRPr="0065427F">
        <w:rPr>
          <w:rFonts w:cs="Arial"/>
        </w:rPr>
        <w:t>“</w:t>
      </w:r>
      <w:r w:rsidRPr="0065427F">
        <w:rPr>
          <w:rFonts w:cs="Arial" w:hint="eastAsia"/>
        </w:rPr>
        <w:t>Ordinary Shares</w:t>
      </w:r>
      <w:r w:rsidRPr="0065427F">
        <w:rPr>
          <w:rFonts w:cs="Arial"/>
        </w:rPr>
        <w:t>”</w:t>
      </w:r>
      <w:r w:rsidRPr="0065427F">
        <w:rPr>
          <w:rFonts w:cs="Arial" w:hint="eastAsia"/>
        </w:rPr>
        <w:t>)</w:t>
      </w:r>
      <w:r w:rsidRPr="0065427F">
        <w:rPr>
          <w:rFonts w:cs="Arial"/>
        </w:rPr>
        <w:t xml:space="preserve"> and</w:t>
      </w:r>
      <w:r w:rsidRPr="0065427F">
        <w:rPr>
          <w:rFonts w:cs="Arial" w:hint="eastAsia"/>
        </w:rPr>
        <w:t xml:space="preserve"> (ii)</w:t>
      </w:r>
      <w:r w:rsidRPr="0065427F">
        <w:rPr>
          <w:rFonts w:cs="Arial"/>
        </w:rPr>
        <w:t xml:space="preserve"> to grant rights to subscribe for or to convert any security into </w:t>
      </w:r>
      <w:r w:rsidRPr="0065427F">
        <w:rPr>
          <w:rFonts w:cs="Arial" w:hint="eastAsia"/>
        </w:rPr>
        <w:t>O</w:t>
      </w:r>
      <w:r w:rsidRPr="0065427F">
        <w:rPr>
          <w:rFonts w:cs="Arial"/>
        </w:rPr>
        <w:t xml:space="preserve">rdinary </w:t>
      </w:r>
      <w:r w:rsidRPr="0065427F">
        <w:rPr>
          <w:rFonts w:cs="Arial" w:hint="eastAsia"/>
        </w:rPr>
        <w:t>S</w:t>
      </w:r>
      <w:r w:rsidRPr="0065427F">
        <w:rPr>
          <w:rFonts w:cs="Arial"/>
        </w:rPr>
        <w:t xml:space="preserve">hares </w:t>
      </w:r>
      <w:r w:rsidRPr="0065427F">
        <w:rPr>
          <w:rFonts w:cs="Arial" w:hint="eastAsia"/>
        </w:rPr>
        <w:t xml:space="preserve">(collectively, the </w:t>
      </w:r>
      <w:r w:rsidRPr="0065427F">
        <w:rPr>
          <w:rFonts w:cs="Arial"/>
        </w:rPr>
        <w:t>“</w:t>
      </w:r>
      <w:r w:rsidRPr="0065427F">
        <w:rPr>
          <w:rFonts w:cs="Arial" w:hint="eastAsia"/>
        </w:rPr>
        <w:t>Additional Authority</w:t>
      </w:r>
      <w:r w:rsidRPr="0065427F">
        <w:rPr>
          <w:rFonts w:cs="Arial"/>
        </w:rPr>
        <w:t>”</w:t>
      </w:r>
      <w:r w:rsidRPr="0065427F">
        <w:rPr>
          <w:rFonts w:cs="Arial" w:hint="eastAsia"/>
        </w:rPr>
        <w:t xml:space="preserve">) </w:t>
      </w:r>
      <w:r w:rsidRPr="0065427F">
        <w:rPr>
          <w:rFonts w:cs="Arial"/>
        </w:rPr>
        <w:t xml:space="preserve">provided that the aggregate number of Ordinary Shares allotted and issued or agreed conditionally or unconditionally to be allotted and issued (pursuant to the conversion of any security) by the Directors pursuant to the Additional Authority </w:t>
      </w:r>
      <w:r w:rsidRPr="0065427F">
        <w:rPr>
          <w:rFonts w:cs="Arial" w:hint="eastAsia"/>
        </w:rPr>
        <w:t xml:space="preserve">shall not exceed 85,000,000 Ordinary Shares, being </w:t>
      </w:r>
      <w:r>
        <w:rPr>
          <w:rFonts w:cs="Arial"/>
        </w:rPr>
        <w:t xml:space="preserve">approximately </w:t>
      </w:r>
      <w:r w:rsidRPr="0065427F">
        <w:rPr>
          <w:rFonts w:cs="Arial" w:hint="eastAsia"/>
        </w:rPr>
        <w:t>1</w:t>
      </w:r>
      <w:r w:rsidRPr="0065427F">
        <w:rPr>
          <w:rFonts w:cs="Arial"/>
        </w:rPr>
        <w:t>0</w:t>
      </w:r>
      <w:r w:rsidRPr="0065427F">
        <w:rPr>
          <w:rFonts w:cs="Arial" w:hint="eastAsia"/>
        </w:rPr>
        <w:t>0</w:t>
      </w:r>
      <w:r w:rsidRPr="0065427F">
        <w:rPr>
          <w:rFonts w:cs="Arial"/>
        </w:rPr>
        <w:t xml:space="preserve"> per cent of the</w:t>
      </w:r>
      <w:r w:rsidRPr="0065427F">
        <w:rPr>
          <w:rFonts w:cs="Arial" w:hint="eastAsia"/>
        </w:rPr>
        <w:t xml:space="preserve"> total number of </w:t>
      </w:r>
      <w:r w:rsidRPr="0065427F">
        <w:rPr>
          <w:rFonts w:cs="Arial"/>
        </w:rPr>
        <w:t>issued share</w:t>
      </w:r>
      <w:r w:rsidRPr="0065427F">
        <w:rPr>
          <w:rFonts w:cs="Arial" w:hint="eastAsia"/>
        </w:rPr>
        <w:t>s</w:t>
      </w:r>
      <w:r w:rsidRPr="0065427F">
        <w:rPr>
          <w:rFonts w:cs="Arial"/>
        </w:rPr>
        <w:t xml:space="preserve"> of the Company as at </w:t>
      </w:r>
      <w:r w:rsidR="00B01E47" w:rsidRPr="00183814">
        <w:rPr>
          <w:rFonts w:cs="Arial"/>
        </w:rPr>
        <w:t>2</w:t>
      </w:r>
      <w:r w:rsidR="00114634" w:rsidRPr="00183814">
        <w:rPr>
          <w:rFonts w:cs="Arial"/>
        </w:rPr>
        <w:t>0</w:t>
      </w:r>
      <w:r w:rsidR="00B01E47" w:rsidRPr="00183814">
        <w:rPr>
          <w:rFonts w:cs="Arial"/>
          <w:vertAlign w:val="superscript"/>
        </w:rPr>
        <w:t>th</w:t>
      </w:r>
      <w:r w:rsidR="00B01E47" w:rsidRPr="00183814">
        <w:rPr>
          <w:rFonts w:cs="Arial"/>
        </w:rPr>
        <w:t xml:space="preserve"> October 2021 </w:t>
      </w:r>
      <w:r w:rsidR="00B01E47" w:rsidRPr="00183814">
        <w:rPr>
          <w:rFonts w:cs="Arial"/>
          <w:i/>
          <w:iCs/>
        </w:rPr>
        <w:t xml:space="preserve">or earlier </w:t>
      </w:r>
      <w:r w:rsidRPr="0065427F">
        <w:rPr>
          <w:rFonts w:cs="Arial"/>
        </w:rPr>
        <w:t xml:space="preserve">, </w:t>
      </w:r>
      <w:r w:rsidRPr="0065427F">
        <w:rPr>
          <w:rFonts w:cs="Arial" w:hint="eastAsia"/>
        </w:rPr>
        <w:t xml:space="preserve">and that </w:t>
      </w:r>
      <w:r w:rsidRPr="0065427F">
        <w:rPr>
          <w:rFonts w:cs="Arial"/>
        </w:rPr>
        <w:t xml:space="preserve">such </w:t>
      </w:r>
      <w:r w:rsidRPr="0065427F">
        <w:rPr>
          <w:rFonts w:cs="Arial" w:hint="eastAsia"/>
        </w:rPr>
        <w:t>Additional A</w:t>
      </w:r>
      <w:r w:rsidRPr="0065427F">
        <w:rPr>
          <w:rFonts w:cs="Arial"/>
        </w:rPr>
        <w:t xml:space="preserve">uthority </w:t>
      </w:r>
      <w:r w:rsidRPr="0065427F">
        <w:rPr>
          <w:rFonts w:cs="Arial" w:hint="eastAsia"/>
        </w:rPr>
        <w:t xml:space="preserve">shall </w:t>
      </w:r>
      <w:r w:rsidRPr="0065427F">
        <w:rPr>
          <w:rFonts w:cs="Arial"/>
        </w:rPr>
        <w:t>expire at the conclusion of the next Annual General Meeting of the Company after the passing of this resolution unless previously revoked, varied or extended by the Company in a general meeting, save that the Company may at any time prior to the expiry of th</w:t>
      </w:r>
      <w:r w:rsidRPr="0065427F">
        <w:rPr>
          <w:rFonts w:cs="Arial" w:hint="eastAsia"/>
        </w:rPr>
        <w:t>e</w:t>
      </w:r>
      <w:r w:rsidRPr="0065427F">
        <w:rPr>
          <w:rFonts w:cs="Arial"/>
        </w:rPr>
        <w:t xml:space="preserve"> </w:t>
      </w:r>
      <w:r w:rsidRPr="0065427F">
        <w:rPr>
          <w:rFonts w:cs="Arial" w:hint="eastAsia"/>
        </w:rPr>
        <w:t>Additional A</w:t>
      </w:r>
      <w:r w:rsidRPr="0065427F">
        <w:rPr>
          <w:rFonts w:cs="Arial"/>
        </w:rPr>
        <w:t>uthority make an offer or enter into an agreement which would or might require securities to be allotted</w:t>
      </w:r>
      <w:r w:rsidRPr="0065427F">
        <w:rPr>
          <w:rFonts w:cs="Arial" w:hint="eastAsia"/>
        </w:rPr>
        <w:t xml:space="preserve"> and issued </w:t>
      </w:r>
      <w:r w:rsidRPr="0065427F">
        <w:rPr>
          <w:rFonts w:cs="Arial"/>
        </w:rPr>
        <w:t xml:space="preserve">or granted after the expiry of </w:t>
      </w:r>
      <w:r w:rsidRPr="0065427F">
        <w:rPr>
          <w:rFonts w:cs="Arial" w:hint="eastAsia"/>
        </w:rPr>
        <w:t>the Additional A</w:t>
      </w:r>
      <w:r w:rsidRPr="0065427F">
        <w:rPr>
          <w:rFonts w:cs="Arial"/>
        </w:rPr>
        <w:t xml:space="preserve">uthority and the Directors shall be entitled to allot </w:t>
      </w:r>
      <w:r w:rsidRPr="0065427F">
        <w:rPr>
          <w:rFonts w:cs="Arial" w:hint="eastAsia"/>
        </w:rPr>
        <w:t xml:space="preserve">and issue </w:t>
      </w:r>
      <w:r w:rsidRPr="0065427F">
        <w:rPr>
          <w:rFonts w:cs="Arial"/>
        </w:rPr>
        <w:t xml:space="preserve">grant securities in pursuance of such an offer or agreement as if </w:t>
      </w:r>
      <w:r w:rsidRPr="0065427F">
        <w:rPr>
          <w:rFonts w:cs="Arial" w:hint="eastAsia"/>
        </w:rPr>
        <w:t>the Additional</w:t>
      </w:r>
      <w:r w:rsidRPr="0065427F">
        <w:rPr>
          <w:rFonts w:cs="Arial"/>
        </w:rPr>
        <w:t xml:space="preserve"> </w:t>
      </w:r>
      <w:r w:rsidRPr="0065427F">
        <w:rPr>
          <w:rFonts w:cs="Arial" w:hint="eastAsia"/>
        </w:rPr>
        <w:t>A</w:t>
      </w:r>
      <w:r w:rsidRPr="0065427F">
        <w:rPr>
          <w:rFonts w:cs="Arial"/>
        </w:rPr>
        <w:t>uthority had not expired.</w:t>
      </w:r>
    </w:p>
    <w:p w14:paraId="4FEA4D3B" w14:textId="77777777" w:rsidR="00B825BA" w:rsidRPr="0065427F" w:rsidRDefault="00B825BA" w:rsidP="00B825BA">
      <w:pPr>
        <w:widowControl w:val="0"/>
        <w:tabs>
          <w:tab w:val="left" w:pos="567"/>
        </w:tabs>
        <w:ind w:left="567"/>
        <w:rPr>
          <w:rFonts w:cs="Arial"/>
        </w:rPr>
      </w:pPr>
    </w:p>
    <w:p w14:paraId="6AA1B210" w14:textId="77777777" w:rsidR="00B825BA" w:rsidRPr="00DE324E" w:rsidRDefault="00B825BA" w:rsidP="00B825BA">
      <w:pPr>
        <w:widowControl w:val="0"/>
        <w:numPr>
          <w:ilvl w:val="0"/>
          <w:numId w:val="7"/>
        </w:numPr>
        <w:tabs>
          <w:tab w:val="left" w:pos="567"/>
        </w:tabs>
        <w:ind w:left="562" w:hanging="562"/>
        <w:rPr>
          <w:rFonts w:cs="Arial"/>
          <w:kern w:val="2"/>
        </w:rPr>
      </w:pPr>
      <w:r w:rsidRPr="00890CF4">
        <w:t xml:space="preserve">To, subject to the passing of resolution </w:t>
      </w:r>
      <w:r>
        <w:t>10</w:t>
      </w:r>
      <w:r w:rsidRPr="00890CF4">
        <w:t xml:space="preserve"> above, generally authorise the Directors, to allot </w:t>
      </w:r>
      <w:r w:rsidRPr="00DE324E">
        <w:rPr>
          <w:rFonts w:hint="eastAsia"/>
        </w:rPr>
        <w:t xml:space="preserve">and issue </w:t>
      </w:r>
      <w:r w:rsidRPr="00890CF4">
        <w:t xml:space="preserve">new </w:t>
      </w:r>
      <w:r w:rsidRPr="00DE324E">
        <w:rPr>
          <w:rFonts w:hint="eastAsia"/>
        </w:rPr>
        <w:t>O</w:t>
      </w:r>
      <w:r w:rsidRPr="00890CF4">
        <w:t xml:space="preserve">rdinary </w:t>
      </w:r>
      <w:r w:rsidRPr="00DE324E">
        <w:rPr>
          <w:rFonts w:hint="eastAsia"/>
        </w:rPr>
        <w:t>S</w:t>
      </w:r>
      <w:r w:rsidRPr="00890CF4">
        <w:t xml:space="preserve">hares or grant rights to subscribe for, or to convert securities into, </w:t>
      </w:r>
      <w:r w:rsidRPr="00DE324E">
        <w:rPr>
          <w:rFonts w:hint="eastAsia"/>
        </w:rPr>
        <w:t>O</w:t>
      </w:r>
      <w:r w:rsidRPr="00890CF4">
        <w:t xml:space="preserve">rdinary </w:t>
      </w:r>
      <w:r w:rsidRPr="00DE324E">
        <w:rPr>
          <w:rFonts w:hint="eastAsia"/>
        </w:rPr>
        <w:t>S</w:t>
      </w:r>
      <w:r w:rsidRPr="00890CF4">
        <w:t>hare</w:t>
      </w:r>
      <w:r>
        <w:t>s</w:t>
      </w:r>
      <w:r w:rsidRPr="00DE324E">
        <w:rPr>
          <w:rFonts w:hint="eastAsia"/>
        </w:rPr>
        <w:t xml:space="preserve"> </w:t>
      </w:r>
      <w:r w:rsidRPr="00890CF4">
        <w:t xml:space="preserve">(“equity securities”), for cash, as if any pre-emption rights in relation to the issue of shares as set out in the </w:t>
      </w:r>
      <w:r>
        <w:t>L</w:t>
      </w:r>
      <w:r w:rsidRPr="00890CF4">
        <w:t xml:space="preserve">isting </w:t>
      </w:r>
      <w:r>
        <w:t>R</w:t>
      </w:r>
      <w:r w:rsidRPr="00890CF4">
        <w:t>ules made by the Financial Conduct Authority under Part VI of the Financial Services and Markets Act 2000 (as amended) did not apply to any such allotment</w:t>
      </w:r>
      <w:r w:rsidRPr="00DE324E">
        <w:rPr>
          <w:rFonts w:hint="eastAsia"/>
        </w:rPr>
        <w:t xml:space="preserve"> and issuance</w:t>
      </w:r>
      <w:r w:rsidRPr="00890CF4">
        <w:t xml:space="preserve"> of equity securities</w:t>
      </w:r>
      <w:r w:rsidRPr="00DE324E">
        <w:rPr>
          <w:rFonts w:hint="eastAsia"/>
        </w:rPr>
        <w:t xml:space="preserve"> </w:t>
      </w:r>
      <w:r w:rsidRPr="00890CF4">
        <w:t>(collectively, the “Further Authority”), provided that:</w:t>
      </w:r>
      <w:r w:rsidRPr="00DE324E">
        <w:rPr>
          <w:b/>
        </w:rPr>
        <w:t xml:space="preserve"> </w:t>
      </w:r>
    </w:p>
    <w:p w14:paraId="583903A7" w14:textId="77777777" w:rsidR="00B825BA" w:rsidRPr="00890CF4" w:rsidRDefault="00B825BA" w:rsidP="00B825BA">
      <w:pPr>
        <w:pStyle w:val="BodyText"/>
        <w:tabs>
          <w:tab w:val="left" w:pos="567"/>
        </w:tabs>
        <w:spacing w:after="0" w:line="280" w:lineRule="exact"/>
        <w:ind w:left="567" w:hanging="567"/>
        <w:rPr>
          <w:rFonts w:eastAsia="PMingLiU"/>
          <w:b/>
          <w:lang w:eastAsia="zh-TW"/>
        </w:rPr>
      </w:pPr>
    </w:p>
    <w:p w14:paraId="1E4DF077" w14:textId="77777777" w:rsidR="00B825BA" w:rsidRPr="00890CF4" w:rsidRDefault="00B825BA" w:rsidP="00B825BA">
      <w:pPr>
        <w:pStyle w:val="DMOtherNumberinga"/>
        <w:numPr>
          <w:ilvl w:val="0"/>
          <w:numId w:val="0"/>
        </w:numPr>
        <w:tabs>
          <w:tab w:val="left" w:pos="567"/>
          <w:tab w:val="left" w:pos="1134"/>
        </w:tabs>
        <w:spacing w:after="0" w:line="280" w:lineRule="exact"/>
        <w:ind w:leftChars="283" w:left="1133" w:hanging="567"/>
      </w:pPr>
      <w:r w:rsidRPr="00890CF4">
        <w:rPr>
          <w:rFonts w:eastAsia="PMingLiU" w:hint="eastAsia"/>
          <w:lang w:eastAsia="zh-TW"/>
        </w:rPr>
        <w:t>(a)</w:t>
      </w:r>
      <w:r w:rsidRPr="00890CF4">
        <w:rPr>
          <w:rFonts w:eastAsia="PMingLiU" w:hint="eastAsia"/>
          <w:lang w:eastAsia="zh-TW"/>
        </w:rPr>
        <w:tab/>
        <w:t>the Further Authority shall e</w:t>
      </w:r>
      <w:r w:rsidRPr="00890CF4">
        <w:t>xpire at the conclusion of the next Annual General Meeting of the Company after the passing of this resolution, unless previously revoked, varied or extended by the Company in a general meeting, save that the Company may, before such expiry, make an offer or agreement which would or might require equity securities to be allotted</w:t>
      </w:r>
      <w:r w:rsidRPr="00890CF4">
        <w:rPr>
          <w:rFonts w:eastAsia="PMingLiU" w:hint="eastAsia"/>
          <w:lang w:eastAsia="zh-TW"/>
        </w:rPr>
        <w:t xml:space="preserve"> and issued</w:t>
      </w:r>
      <w:r w:rsidRPr="00890CF4">
        <w:t xml:space="preserve"> after such expiry and the Directors may allot </w:t>
      </w:r>
      <w:r w:rsidRPr="00890CF4">
        <w:rPr>
          <w:rFonts w:eastAsia="PMingLiU" w:hint="eastAsia"/>
          <w:lang w:eastAsia="zh-TW"/>
        </w:rPr>
        <w:t xml:space="preserve">and issue </w:t>
      </w:r>
      <w:r w:rsidRPr="00890CF4">
        <w:t xml:space="preserve">equity securities in pursuance of any such offer or agreement as if the </w:t>
      </w:r>
      <w:r w:rsidRPr="00890CF4">
        <w:rPr>
          <w:rFonts w:eastAsia="PMingLiU" w:hint="eastAsia"/>
          <w:lang w:eastAsia="zh-TW"/>
        </w:rPr>
        <w:t xml:space="preserve">Further Authority </w:t>
      </w:r>
      <w:r w:rsidRPr="00890CF4">
        <w:t>conferred hereby had not expired; and</w:t>
      </w:r>
    </w:p>
    <w:p w14:paraId="2F0ED40E" w14:textId="60C29AA7" w:rsidR="00B825BA" w:rsidRPr="00183814" w:rsidRDefault="00B825BA" w:rsidP="00B825BA">
      <w:pPr>
        <w:widowControl w:val="0"/>
        <w:tabs>
          <w:tab w:val="left" w:pos="567"/>
          <w:tab w:val="left" w:pos="1134"/>
        </w:tabs>
        <w:ind w:leftChars="283" w:left="1132" w:hangingChars="283" w:hanging="566"/>
        <w:rPr>
          <w:rFonts w:cs="Arial"/>
          <w:kern w:val="2"/>
        </w:rPr>
      </w:pPr>
      <w:r w:rsidRPr="00890CF4">
        <w:rPr>
          <w:rFonts w:hint="eastAsia"/>
        </w:rPr>
        <w:t>(b)</w:t>
      </w:r>
      <w:r w:rsidRPr="00890CF4">
        <w:rPr>
          <w:rFonts w:hint="eastAsia"/>
        </w:rPr>
        <w:tab/>
      </w:r>
      <w:r w:rsidRPr="00890CF4">
        <w:t xml:space="preserve">the aggregate number of Ordinary Shares allotted and issued or agreed conditionally or unconditionally to be allotted and issued (pursuant to the conversion of any equity </w:t>
      </w:r>
      <w:r w:rsidRPr="00890CF4">
        <w:lastRenderedPageBreak/>
        <w:t>securities) by the Directors pursuant to the Further Authority shall not exceed</w:t>
      </w:r>
      <w:r w:rsidRPr="00890CF4">
        <w:rPr>
          <w:rFonts w:hint="eastAsia"/>
        </w:rPr>
        <w:t xml:space="preserve"> 85,000,000 Ordinary Shares, being</w:t>
      </w:r>
      <w:r w:rsidRPr="00890CF4">
        <w:t xml:space="preserve"> </w:t>
      </w:r>
      <w:r>
        <w:rPr>
          <w:rFonts w:cs="Arial"/>
        </w:rPr>
        <w:t xml:space="preserve">approximately </w:t>
      </w:r>
      <w:r w:rsidRPr="00890CF4">
        <w:rPr>
          <w:rFonts w:hint="eastAsia"/>
        </w:rPr>
        <w:t>1</w:t>
      </w:r>
      <w:r>
        <w:t>0</w:t>
      </w:r>
      <w:r w:rsidRPr="00890CF4">
        <w:rPr>
          <w:rFonts w:hint="eastAsia"/>
        </w:rPr>
        <w:t>0</w:t>
      </w:r>
      <w:r w:rsidRPr="00890CF4">
        <w:t xml:space="preserve"> per cent of the total number of issued shares of the Company as </w:t>
      </w:r>
      <w:proofErr w:type="gramStart"/>
      <w:r w:rsidRPr="00890CF4">
        <w:t>at</w:t>
      </w:r>
      <w:proofErr w:type="gramEnd"/>
      <w:r>
        <w:t xml:space="preserve"> </w:t>
      </w:r>
      <w:r w:rsidR="00B01E47" w:rsidRPr="00183814">
        <w:rPr>
          <w:rFonts w:cs="Arial"/>
        </w:rPr>
        <w:t>2</w:t>
      </w:r>
      <w:r w:rsidR="00114634" w:rsidRPr="00183814">
        <w:rPr>
          <w:rFonts w:cs="Arial"/>
        </w:rPr>
        <w:t>0</w:t>
      </w:r>
      <w:r w:rsidR="00B01E47" w:rsidRPr="00183814">
        <w:rPr>
          <w:rFonts w:cs="Arial"/>
          <w:vertAlign w:val="superscript"/>
        </w:rPr>
        <w:t>th</w:t>
      </w:r>
      <w:r w:rsidR="00B01E47" w:rsidRPr="00183814">
        <w:rPr>
          <w:rFonts w:cs="Arial"/>
        </w:rPr>
        <w:t xml:space="preserve"> October 2021 or earlier</w:t>
      </w:r>
      <w:r w:rsidRPr="00183814">
        <w:t>.</w:t>
      </w:r>
    </w:p>
    <w:p w14:paraId="3491EDA2" w14:textId="77777777" w:rsidR="00B825BA" w:rsidRPr="00B825BA" w:rsidRDefault="00B825BA" w:rsidP="00B825BA">
      <w:pPr>
        <w:rPr>
          <w:b/>
        </w:rPr>
      </w:pPr>
    </w:p>
    <w:p w14:paraId="65E6858E" w14:textId="77777777" w:rsidR="00CC743B" w:rsidRDefault="00CC743B" w:rsidP="00002E3A"/>
    <w:p w14:paraId="579E93FE" w14:textId="3EEC0E89" w:rsidR="00002E3A" w:rsidRDefault="00002E3A" w:rsidP="00002E3A"/>
    <w:p w14:paraId="760934EA" w14:textId="77777777" w:rsidR="00003BBA" w:rsidRPr="00003BBA" w:rsidRDefault="00003BBA" w:rsidP="00003BBA">
      <w:pPr>
        <w:spacing w:line="300" w:lineRule="atLeast"/>
        <w:rPr>
          <w:rFonts w:eastAsia="Times New Roman" w:cs="Arial"/>
          <w:szCs w:val="20"/>
        </w:rPr>
      </w:pPr>
      <w:r w:rsidRPr="00003BBA">
        <w:rPr>
          <w:rFonts w:eastAsia="Times New Roman" w:cs="Arial"/>
          <w:szCs w:val="20"/>
        </w:rPr>
        <w:t>Vistra Company Secretaries Limited</w:t>
      </w:r>
    </w:p>
    <w:p w14:paraId="5A3FD8F6" w14:textId="77777777" w:rsidR="00003BBA" w:rsidRPr="00003BBA" w:rsidRDefault="00003BBA" w:rsidP="00003BBA">
      <w:pPr>
        <w:spacing w:line="300" w:lineRule="atLeast"/>
        <w:rPr>
          <w:rFonts w:eastAsia="Times New Roman" w:cs="Arial"/>
          <w:szCs w:val="20"/>
        </w:rPr>
      </w:pPr>
      <w:r w:rsidRPr="00003BBA">
        <w:rPr>
          <w:rFonts w:eastAsia="Times New Roman" w:cs="Arial"/>
          <w:szCs w:val="20"/>
        </w:rPr>
        <w:t>Corporate Secretary</w:t>
      </w:r>
    </w:p>
    <w:p w14:paraId="5E733B31" w14:textId="77777777" w:rsidR="00003BBA" w:rsidRPr="00003BBA" w:rsidRDefault="00003BBA" w:rsidP="00003BBA">
      <w:pPr>
        <w:spacing w:line="300" w:lineRule="atLeast"/>
        <w:rPr>
          <w:rFonts w:eastAsia="Times New Roman" w:cs="Arial"/>
          <w:szCs w:val="20"/>
        </w:rPr>
      </w:pPr>
      <w:r w:rsidRPr="00003BBA">
        <w:rPr>
          <w:rFonts w:eastAsia="Times New Roman" w:cs="Arial"/>
          <w:szCs w:val="20"/>
        </w:rPr>
        <w:t xml:space="preserve">For and on behalf of </w:t>
      </w:r>
      <w:proofErr w:type="spellStart"/>
      <w:r w:rsidRPr="00003BBA">
        <w:rPr>
          <w:rFonts w:eastAsia="Times New Roman" w:cs="Arial"/>
          <w:szCs w:val="20"/>
        </w:rPr>
        <w:t>Worldsec</w:t>
      </w:r>
      <w:proofErr w:type="spellEnd"/>
      <w:r w:rsidRPr="00003BBA">
        <w:rPr>
          <w:rFonts w:eastAsia="Times New Roman" w:cs="Arial"/>
          <w:szCs w:val="20"/>
        </w:rPr>
        <w:t xml:space="preserve"> Limited</w:t>
      </w:r>
    </w:p>
    <w:p w14:paraId="05B2C13D" w14:textId="77777777" w:rsidR="00003BBA" w:rsidRPr="00003BBA" w:rsidRDefault="00003BBA" w:rsidP="00003BBA">
      <w:pPr>
        <w:spacing w:line="300" w:lineRule="atLeast"/>
        <w:rPr>
          <w:rFonts w:eastAsia="Times New Roman" w:cs="Arial"/>
          <w:szCs w:val="20"/>
        </w:rPr>
      </w:pPr>
    </w:p>
    <w:p w14:paraId="070DFAA6" w14:textId="26D397DB" w:rsidR="00002E3A" w:rsidRDefault="00003BBA" w:rsidP="00002E3A">
      <w:r>
        <w:t>26 November 2021</w:t>
      </w:r>
    </w:p>
    <w:sectPr w:rsidR="00002E3A" w:rsidSect="009E2C66">
      <w:headerReference w:type="even" r:id="rId8"/>
      <w:headerReference w:type="default" r:id="rId9"/>
      <w:footerReference w:type="even" r:id="rId10"/>
      <w:footerReference w:type="default" r:id="rId11"/>
      <w:headerReference w:type="first" r:id="rId12"/>
      <w:footerReference w:type="first" r:id="rId13"/>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EFA80" w14:textId="77777777" w:rsidR="00002E3A" w:rsidRDefault="00002E3A" w:rsidP="00002E3A">
      <w:pPr>
        <w:spacing w:line="240" w:lineRule="auto"/>
      </w:pPr>
      <w:r>
        <w:separator/>
      </w:r>
    </w:p>
  </w:endnote>
  <w:endnote w:type="continuationSeparator" w:id="0">
    <w:p w14:paraId="572F4745" w14:textId="77777777" w:rsidR="00002E3A" w:rsidRDefault="00002E3A" w:rsidP="00002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FKai-SB">
    <w:altName w:val="Microsoft YaHei"/>
    <w:charset w:val="88"/>
    <w:family w:val="script"/>
    <w:pitch w:val="fixed"/>
    <w:sig w:usb0="00000003" w:usb1="080E0000" w:usb2="00000016" w:usb3="00000000" w:csb0="00100001" w:csb1="00000000"/>
  </w:font>
  <w:font w:name="Avant Garde">
    <w:altName w:val="Century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A6760" w14:textId="77777777" w:rsidR="00B01E47" w:rsidRDefault="00B01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20DBF" w14:textId="77777777" w:rsidR="009E2C66" w:rsidRPr="009E2C66" w:rsidRDefault="009E2C66" w:rsidP="009E2C66">
    <w:pPr>
      <w:pStyle w:val="Footer"/>
      <w:jc w:val="center"/>
      <w:rPr>
        <w:lang w:val="en-US"/>
      </w:rPr>
    </w:pPr>
    <w:r>
      <w:rPr>
        <w:lang w:val="en-US"/>
      </w:rPr>
      <w:t xml:space="preserve">Page </w:t>
    </w:r>
    <w:r w:rsidRPr="009E2C66">
      <w:rPr>
        <w:lang w:val="en-US"/>
      </w:rPr>
      <w:fldChar w:fldCharType="begin"/>
    </w:r>
    <w:r w:rsidRPr="009E2C66">
      <w:rPr>
        <w:lang w:val="en-US"/>
      </w:rPr>
      <w:instrText xml:space="preserve"> PAGE   \* MERGEFORMAT </w:instrText>
    </w:r>
    <w:r w:rsidRPr="009E2C66">
      <w:rPr>
        <w:lang w:val="en-US"/>
      </w:rPr>
      <w:fldChar w:fldCharType="separate"/>
    </w:r>
    <w:r w:rsidR="00882D9B">
      <w:rPr>
        <w:noProof/>
        <w:lang w:val="en-US"/>
      </w:rPr>
      <w:t>3</w:t>
    </w:r>
    <w:r w:rsidRPr="009E2C66">
      <w:rPr>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FAC93" w14:textId="77777777" w:rsidR="00B01E47" w:rsidRDefault="00B01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783D2" w14:textId="77777777" w:rsidR="00002E3A" w:rsidRDefault="00002E3A" w:rsidP="00002E3A">
      <w:pPr>
        <w:spacing w:line="240" w:lineRule="auto"/>
      </w:pPr>
      <w:r>
        <w:separator/>
      </w:r>
    </w:p>
  </w:footnote>
  <w:footnote w:type="continuationSeparator" w:id="0">
    <w:p w14:paraId="6B0FF471" w14:textId="77777777" w:rsidR="00002E3A" w:rsidRDefault="00002E3A" w:rsidP="00002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BBAF1" w14:textId="77777777" w:rsidR="00B01E47" w:rsidRDefault="00B01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B7E8B" w14:textId="350973A8" w:rsidR="00002E3A" w:rsidRPr="0032675A" w:rsidRDefault="00002E3A" w:rsidP="00002E3A">
    <w:pPr>
      <w:widowControl w:val="0"/>
      <w:tabs>
        <w:tab w:val="center" w:pos="4153"/>
        <w:tab w:val="right" w:pos="8306"/>
      </w:tabs>
      <w:snapToGrid w:val="0"/>
      <w:spacing w:line="240" w:lineRule="auto"/>
      <w:jc w:val="center"/>
      <w:rPr>
        <w:rFonts w:eastAsia="DFKai-SB"/>
        <w:kern w:val="2"/>
        <w:lang w:val="en-US" w:eastAsia="zh-TW"/>
      </w:rPr>
    </w:pPr>
    <w:r w:rsidRPr="0032675A">
      <w:rPr>
        <w:rFonts w:eastAsia="DFKai-SB"/>
        <w:noProof/>
        <w:kern w:val="2"/>
        <w:lang w:eastAsia="en-GB"/>
      </w:rPr>
      <w:drawing>
        <wp:inline distT="0" distB="0" distL="0" distR="0" wp14:anchorId="536E221D" wp14:editId="431F8A0D">
          <wp:extent cx="1104900" cy="628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28650"/>
                  </a:xfrm>
                  <a:prstGeom prst="rect">
                    <a:avLst/>
                  </a:prstGeom>
                  <a:noFill/>
                  <a:ln>
                    <a:noFill/>
                  </a:ln>
                </pic:spPr>
              </pic:pic>
            </a:graphicData>
          </a:graphic>
        </wp:inline>
      </w:drawing>
    </w:r>
  </w:p>
  <w:p w14:paraId="5752778E" w14:textId="77777777" w:rsidR="00002E3A" w:rsidRPr="0032675A" w:rsidRDefault="00002E3A" w:rsidP="00002E3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before="120" w:line="320" w:lineRule="atLeast"/>
      <w:jc w:val="center"/>
      <w:rPr>
        <w:rFonts w:ascii="Avant Garde" w:eastAsia="DFKai-SB" w:hAnsi="Avant Garde"/>
        <w:b/>
        <w:color w:val="000000"/>
        <w:kern w:val="2"/>
        <w:sz w:val="38"/>
        <w:lang w:val="en-US" w:eastAsia="zh-TW"/>
      </w:rPr>
    </w:pPr>
    <w:proofErr w:type="spellStart"/>
    <w:r w:rsidRPr="0032675A">
      <w:rPr>
        <w:rFonts w:ascii="Avant Garde" w:eastAsia="DFKai-SB" w:hAnsi="Avant Garde"/>
        <w:b/>
        <w:color w:val="000000"/>
        <w:kern w:val="2"/>
        <w:sz w:val="38"/>
        <w:lang w:val="en-US" w:eastAsia="zh-TW"/>
      </w:rPr>
      <w:t>Worldsec</w:t>
    </w:r>
    <w:proofErr w:type="spellEnd"/>
    <w:r w:rsidRPr="0032675A">
      <w:rPr>
        <w:rFonts w:ascii="Avant Garde" w:eastAsia="DFKai-SB" w:hAnsi="Avant Garde"/>
        <w:b/>
        <w:color w:val="000000"/>
        <w:kern w:val="2"/>
        <w:sz w:val="38"/>
        <w:lang w:val="en-US" w:eastAsia="zh-TW"/>
      </w:rPr>
      <w:t xml:space="preserve"> Limited</w:t>
    </w:r>
  </w:p>
  <w:p w14:paraId="11C1735B" w14:textId="77777777" w:rsidR="00002E3A" w:rsidRDefault="00002E3A" w:rsidP="00002E3A">
    <w:pPr>
      <w:jc w:val="center"/>
      <w:rPr>
        <w:rFonts w:cs="Arial"/>
        <w:i/>
        <w:u w:val="single"/>
      </w:rPr>
    </w:pPr>
    <w:r w:rsidRPr="00ED2DA6">
      <w:rPr>
        <w:rFonts w:cs="Arial"/>
        <w:i/>
      </w:rPr>
      <w:t>(</w:t>
    </w:r>
    <w:r w:rsidRPr="00ED2DA6">
      <w:rPr>
        <w:rFonts w:cs="Arial"/>
        <w:i/>
        <w:u w:val="single"/>
      </w:rPr>
      <w:t>incorporated with limited liability in Bermuda wi</w:t>
    </w:r>
    <w:r>
      <w:rPr>
        <w:rFonts w:cs="Arial"/>
        <w:i/>
        <w:u w:val="single"/>
      </w:rPr>
      <w:t>th registration number EC21466)</w:t>
    </w:r>
  </w:p>
  <w:p w14:paraId="45732BB2" w14:textId="77777777" w:rsidR="009E2C66" w:rsidRDefault="009E2C66" w:rsidP="00002E3A">
    <w:pPr>
      <w:jc w:val="center"/>
      <w:rPr>
        <w:rFonts w:cs="Arial"/>
        <w:i/>
        <w:u w:val="single"/>
      </w:rPr>
    </w:pPr>
  </w:p>
  <w:p w14:paraId="6E6029FF" w14:textId="77777777" w:rsidR="00882D9B" w:rsidRPr="00002E3A" w:rsidRDefault="00882D9B" w:rsidP="00002E3A">
    <w:pPr>
      <w:jc w:val="center"/>
      <w:rPr>
        <w:rFonts w:cs="Arial"/>
        <w:i/>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9F4A5" w14:textId="77777777" w:rsidR="00B01E47" w:rsidRDefault="00B01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3D9F"/>
    <w:multiLevelType w:val="multilevel"/>
    <w:tmpl w:val="8A58DE62"/>
    <w:numStyleLink w:val="DMOtherNumberingaList"/>
  </w:abstractNum>
  <w:abstractNum w:abstractNumId="1" w15:restartNumberingAfterBreak="0">
    <w:nsid w:val="37B54E23"/>
    <w:multiLevelType w:val="hybridMultilevel"/>
    <w:tmpl w:val="71984B14"/>
    <w:lvl w:ilvl="0" w:tplc="D818AC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5E07B7"/>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562A5B48"/>
    <w:multiLevelType w:val="hybridMultilevel"/>
    <w:tmpl w:val="C340F468"/>
    <w:lvl w:ilvl="0" w:tplc="2CB2214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62787184"/>
    <w:multiLevelType w:val="multilevel"/>
    <w:tmpl w:val="9E4C5998"/>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5" w15:restartNumberingAfterBreak="0">
    <w:nsid w:val="6AF87361"/>
    <w:multiLevelType w:val="hybridMultilevel"/>
    <w:tmpl w:val="30DCBD92"/>
    <w:lvl w:ilvl="0" w:tplc="08090001">
      <w:start w:val="1"/>
      <w:numFmt w:val="bullet"/>
      <w:lvlText w:val=""/>
      <w:lvlJc w:val="left"/>
      <w:pPr>
        <w:tabs>
          <w:tab w:val="num" w:pos="873"/>
        </w:tabs>
        <w:ind w:left="873" w:hanging="360"/>
      </w:pPr>
      <w:rPr>
        <w:rFonts w:ascii="Symbol" w:hAnsi="Symbol" w:hint="default"/>
      </w:rPr>
    </w:lvl>
    <w:lvl w:ilvl="1" w:tplc="08090003" w:tentative="1">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6" w15:restartNumberingAfterBreak="0">
    <w:nsid w:val="750F1636"/>
    <w:multiLevelType w:val="multilevel"/>
    <w:tmpl w:val="8A58DE62"/>
    <w:styleLink w:val="DMOtherNumberingaList"/>
    <w:lvl w:ilvl="0">
      <w:start w:val="1"/>
      <w:numFmt w:val="lowerLetter"/>
      <w:pStyle w:val="DMOtherNumberinga"/>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773A4966"/>
    <w:multiLevelType w:val="hybridMultilevel"/>
    <w:tmpl w:val="A712F6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4D631A"/>
    <w:multiLevelType w:val="multilevel"/>
    <w:tmpl w:val="7B0E42A6"/>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8"/>
    <w:lvlOverride w:ilvl="0">
      <w:startOverride w:val="1"/>
    </w:lvlOverride>
  </w:num>
  <w:num w:numId="3">
    <w:abstractNumId w:val="2"/>
  </w:num>
  <w:num w:numId="4">
    <w:abstractNumId w:val="7"/>
  </w:num>
  <w:num w:numId="5">
    <w:abstractNumId w:val="3"/>
  </w:num>
  <w:num w:numId="6">
    <w:abstractNumId w:val="4"/>
  </w:num>
  <w:num w:numId="7">
    <w:abstractNumId w:val="1"/>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E3A"/>
    <w:rsid w:val="00002E3A"/>
    <w:rsid w:val="00003BBA"/>
    <w:rsid w:val="00021254"/>
    <w:rsid w:val="0003672A"/>
    <w:rsid w:val="000F2704"/>
    <w:rsid w:val="00114634"/>
    <w:rsid w:val="00171DA1"/>
    <w:rsid w:val="00183814"/>
    <w:rsid w:val="00194D5B"/>
    <w:rsid w:val="001F660E"/>
    <w:rsid w:val="00324ADE"/>
    <w:rsid w:val="00390595"/>
    <w:rsid w:val="003F59E9"/>
    <w:rsid w:val="00446D3D"/>
    <w:rsid w:val="00454232"/>
    <w:rsid w:val="0053570A"/>
    <w:rsid w:val="00581657"/>
    <w:rsid w:val="005A7036"/>
    <w:rsid w:val="00613542"/>
    <w:rsid w:val="006C4F0E"/>
    <w:rsid w:val="006D42D3"/>
    <w:rsid w:val="007F2EAE"/>
    <w:rsid w:val="00827399"/>
    <w:rsid w:val="00846251"/>
    <w:rsid w:val="00882D9B"/>
    <w:rsid w:val="009E2C66"/>
    <w:rsid w:val="00A30863"/>
    <w:rsid w:val="00AA5718"/>
    <w:rsid w:val="00B01E47"/>
    <w:rsid w:val="00B825BA"/>
    <w:rsid w:val="00CC743B"/>
    <w:rsid w:val="00D54934"/>
    <w:rsid w:val="00F47877"/>
    <w:rsid w:val="00FE3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555D1A4"/>
  <w15:chartTrackingRefBased/>
  <w15:docId w15:val="{50542B65-6EAB-4C99-A737-14B4CE0F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D9B"/>
    <w:pPr>
      <w:spacing w:after="0" w:line="280" w:lineRule="exact"/>
      <w:jc w:val="both"/>
    </w:pPr>
    <w:rPr>
      <w:rFonts w:ascii="Arial" w:hAnsi="Arial"/>
      <w:sz w:val="20"/>
    </w:rPr>
  </w:style>
  <w:style w:type="paragraph" w:styleId="Heading1">
    <w:name w:val="heading 1"/>
    <w:basedOn w:val="Normal"/>
    <w:next w:val="Normal"/>
    <w:link w:val="Heading1Char"/>
    <w:uiPriority w:val="9"/>
    <w:qFormat/>
    <w:rsid w:val="00CC743B"/>
    <w:pPr>
      <w:keepNext/>
      <w:keepLines/>
      <w:numPr>
        <w:numId w:val="1"/>
      </w:numPr>
      <w:ind w:left="567" w:hanging="567"/>
      <w:outlineLvl w:val="0"/>
    </w:pPr>
    <w:rPr>
      <w:rFonts w:eastAsiaTheme="majorEastAsia"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2E3A"/>
    <w:pPr>
      <w:tabs>
        <w:tab w:val="center" w:pos="4513"/>
        <w:tab w:val="right" w:pos="9026"/>
      </w:tabs>
      <w:spacing w:line="240" w:lineRule="auto"/>
    </w:pPr>
  </w:style>
  <w:style w:type="character" w:customStyle="1" w:styleId="HeaderChar">
    <w:name w:val="Header Char"/>
    <w:basedOn w:val="DefaultParagraphFont"/>
    <w:link w:val="Header"/>
    <w:uiPriority w:val="99"/>
    <w:rsid w:val="00002E3A"/>
  </w:style>
  <w:style w:type="paragraph" w:styleId="Footer">
    <w:name w:val="footer"/>
    <w:basedOn w:val="Normal"/>
    <w:link w:val="FooterChar"/>
    <w:uiPriority w:val="99"/>
    <w:unhideWhenUsed/>
    <w:rsid w:val="00002E3A"/>
    <w:pPr>
      <w:tabs>
        <w:tab w:val="center" w:pos="4513"/>
        <w:tab w:val="right" w:pos="9026"/>
      </w:tabs>
      <w:spacing w:line="240" w:lineRule="auto"/>
    </w:pPr>
  </w:style>
  <w:style w:type="character" w:customStyle="1" w:styleId="FooterChar">
    <w:name w:val="Footer Char"/>
    <w:basedOn w:val="DefaultParagraphFont"/>
    <w:link w:val="Footer"/>
    <w:uiPriority w:val="99"/>
    <w:rsid w:val="00002E3A"/>
  </w:style>
  <w:style w:type="paragraph" w:customStyle="1" w:styleId="TLTBodyText">
    <w:name w:val="TLT Body Text"/>
    <w:basedOn w:val="Normal"/>
    <w:link w:val="TLTBodyTextChar"/>
    <w:rsid w:val="00002E3A"/>
    <w:pPr>
      <w:spacing w:before="100" w:after="100"/>
    </w:pPr>
    <w:rPr>
      <w:rFonts w:eastAsia="PMingLiU" w:cs="Times New Roman"/>
      <w:szCs w:val="24"/>
      <w:lang w:eastAsia="en-GB"/>
    </w:rPr>
  </w:style>
  <w:style w:type="character" w:customStyle="1" w:styleId="TLTBodyTextChar">
    <w:name w:val="TLT Body Text Char"/>
    <w:link w:val="TLTBodyText"/>
    <w:rsid w:val="00002E3A"/>
    <w:rPr>
      <w:rFonts w:ascii="Arial" w:eastAsia="PMingLiU" w:hAnsi="Arial" w:cs="Times New Roman"/>
      <w:sz w:val="20"/>
      <w:szCs w:val="24"/>
      <w:lang w:eastAsia="en-GB"/>
    </w:rPr>
  </w:style>
  <w:style w:type="character" w:customStyle="1" w:styleId="Heading1Char">
    <w:name w:val="Heading 1 Char"/>
    <w:basedOn w:val="DefaultParagraphFont"/>
    <w:link w:val="Heading1"/>
    <w:uiPriority w:val="9"/>
    <w:rsid w:val="00CC743B"/>
    <w:rPr>
      <w:rFonts w:ascii="Arial" w:eastAsiaTheme="majorEastAsia" w:hAnsi="Arial" w:cstheme="majorBidi"/>
      <w:b/>
      <w:caps/>
      <w:sz w:val="20"/>
      <w:szCs w:val="32"/>
    </w:rPr>
  </w:style>
  <w:style w:type="paragraph" w:styleId="ListParagraph">
    <w:name w:val="List Paragraph"/>
    <w:basedOn w:val="Normal"/>
    <w:uiPriority w:val="34"/>
    <w:qFormat/>
    <w:rsid w:val="00002E3A"/>
    <w:pPr>
      <w:ind w:left="720"/>
      <w:contextualSpacing/>
    </w:pPr>
  </w:style>
  <w:style w:type="paragraph" w:customStyle="1" w:styleId="Level1">
    <w:name w:val="Level 1"/>
    <w:basedOn w:val="Normal"/>
    <w:rsid w:val="00CC743B"/>
    <w:pPr>
      <w:numPr>
        <w:numId w:val="6"/>
      </w:numPr>
      <w:spacing w:after="240" w:line="312" w:lineRule="auto"/>
      <w:outlineLvl w:val="0"/>
    </w:pPr>
    <w:rPr>
      <w:rFonts w:ascii="Times New Roman" w:eastAsia="SimSun" w:hAnsi="Times New Roman" w:cs="Times New Roman"/>
      <w:sz w:val="24"/>
      <w:szCs w:val="20"/>
      <w:lang w:eastAsia="en-GB"/>
    </w:rPr>
  </w:style>
  <w:style w:type="paragraph" w:customStyle="1" w:styleId="Level2">
    <w:name w:val="Level 2"/>
    <w:basedOn w:val="Normal"/>
    <w:rsid w:val="00CC743B"/>
    <w:pPr>
      <w:numPr>
        <w:ilvl w:val="1"/>
        <w:numId w:val="6"/>
      </w:numPr>
      <w:spacing w:after="240" w:line="312" w:lineRule="auto"/>
      <w:outlineLvl w:val="1"/>
    </w:pPr>
    <w:rPr>
      <w:rFonts w:ascii="Times New Roman" w:eastAsia="SimSun" w:hAnsi="Times New Roman" w:cs="Times New Roman"/>
      <w:sz w:val="24"/>
      <w:szCs w:val="20"/>
      <w:lang w:eastAsia="en-GB"/>
    </w:rPr>
  </w:style>
  <w:style w:type="paragraph" w:customStyle="1" w:styleId="Level3">
    <w:name w:val="Level 3"/>
    <w:basedOn w:val="Normal"/>
    <w:rsid w:val="00CC743B"/>
    <w:pPr>
      <w:numPr>
        <w:ilvl w:val="2"/>
        <w:numId w:val="6"/>
      </w:numPr>
      <w:spacing w:after="240" w:line="312" w:lineRule="auto"/>
      <w:outlineLvl w:val="2"/>
    </w:pPr>
    <w:rPr>
      <w:rFonts w:ascii="Times New Roman" w:eastAsia="SimSun" w:hAnsi="Times New Roman" w:cs="Times New Roman"/>
      <w:sz w:val="24"/>
      <w:szCs w:val="20"/>
      <w:lang w:eastAsia="en-GB"/>
    </w:rPr>
  </w:style>
  <w:style w:type="paragraph" w:customStyle="1" w:styleId="Level4">
    <w:name w:val="Level 4"/>
    <w:basedOn w:val="Normal"/>
    <w:rsid w:val="00CC743B"/>
    <w:pPr>
      <w:numPr>
        <w:ilvl w:val="3"/>
        <w:numId w:val="6"/>
      </w:numPr>
      <w:spacing w:after="240" w:line="312" w:lineRule="auto"/>
      <w:outlineLvl w:val="3"/>
    </w:pPr>
    <w:rPr>
      <w:rFonts w:ascii="Times New Roman" w:eastAsia="SimSun" w:hAnsi="Times New Roman" w:cs="Times New Roman"/>
      <w:sz w:val="24"/>
      <w:szCs w:val="20"/>
      <w:lang w:eastAsia="en-GB"/>
    </w:rPr>
  </w:style>
  <w:style w:type="paragraph" w:customStyle="1" w:styleId="Level5">
    <w:name w:val="Level 5"/>
    <w:basedOn w:val="Normal"/>
    <w:rsid w:val="00CC743B"/>
    <w:pPr>
      <w:numPr>
        <w:ilvl w:val="4"/>
        <w:numId w:val="6"/>
      </w:numPr>
      <w:spacing w:after="240" w:line="312" w:lineRule="auto"/>
      <w:outlineLvl w:val="4"/>
    </w:pPr>
    <w:rPr>
      <w:rFonts w:ascii="Times New Roman" w:eastAsia="SimSun" w:hAnsi="Times New Roman" w:cs="Times New Roman"/>
      <w:sz w:val="24"/>
      <w:szCs w:val="20"/>
      <w:lang w:eastAsia="en-GB"/>
    </w:rPr>
  </w:style>
  <w:style w:type="paragraph" w:styleId="BodyText">
    <w:name w:val="Body Text"/>
    <w:basedOn w:val="Normal"/>
    <w:link w:val="BodyTextChar"/>
    <w:rsid w:val="00CC743B"/>
    <w:pPr>
      <w:spacing w:after="240" w:line="300" w:lineRule="exact"/>
    </w:pPr>
    <w:rPr>
      <w:rFonts w:eastAsia="Times New Roman" w:cs="Times New Roman"/>
      <w:szCs w:val="24"/>
    </w:rPr>
  </w:style>
  <w:style w:type="character" w:customStyle="1" w:styleId="BodyTextChar">
    <w:name w:val="Body Text Char"/>
    <w:basedOn w:val="DefaultParagraphFont"/>
    <w:link w:val="BodyText"/>
    <w:rsid w:val="00CC743B"/>
    <w:rPr>
      <w:rFonts w:ascii="Arial" w:eastAsia="Times New Roman" w:hAnsi="Arial" w:cs="Times New Roman"/>
      <w:sz w:val="20"/>
      <w:szCs w:val="24"/>
    </w:rPr>
  </w:style>
  <w:style w:type="numbering" w:customStyle="1" w:styleId="DMOtherNumberingaList">
    <w:name w:val="DM Other Numbering (a) List"/>
    <w:uiPriority w:val="99"/>
    <w:rsid w:val="00CC743B"/>
    <w:pPr>
      <w:numPr>
        <w:numId w:val="8"/>
      </w:numPr>
    </w:pPr>
  </w:style>
  <w:style w:type="paragraph" w:customStyle="1" w:styleId="DMOtherNumberinga">
    <w:name w:val="DM Other Numbering (a)"/>
    <w:basedOn w:val="Normal"/>
    <w:qFormat/>
    <w:rsid w:val="00CC743B"/>
    <w:pPr>
      <w:numPr>
        <w:numId w:val="9"/>
      </w:numPr>
      <w:spacing w:after="240" w:line="300" w:lineRule="exact"/>
    </w:pPr>
    <w:rPr>
      <w:rFonts w:eastAsia="Times New Roman" w:cs="Times New Roman"/>
      <w:szCs w:val="24"/>
    </w:rPr>
  </w:style>
  <w:style w:type="character" w:styleId="CommentReference">
    <w:name w:val="annotation reference"/>
    <w:basedOn w:val="DefaultParagraphFont"/>
    <w:uiPriority w:val="99"/>
    <w:semiHidden/>
    <w:unhideWhenUsed/>
    <w:rsid w:val="00613542"/>
    <w:rPr>
      <w:sz w:val="16"/>
      <w:szCs w:val="16"/>
    </w:rPr>
  </w:style>
  <w:style w:type="paragraph" w:styleId="CommentText">
    <w:name w:val="annotation text"/>
    <w:basedOn w:val="Normal"/>
    <w:link w:val="CommentTextChar"/>
    <w:uiPriority w:val="99"/>
    <w:semiHidden/>
    <w:unhideWhenUsed/>
    <w:rsid w:val="00613542"/>
    <w:pPr>
      <w:spacing w:line="240" w:lineRule="auto"/>
    </w:pPr>
    <w:rPr>
      <w:szCs w:val="20"/>
    </w:rPr>
  </w:style>
  <w:style w:type="character" w:customStyle="1" w:styleId="CommentTextChar">
    <w:name w:val="Comment Text Char"/>
    <w:basedOn w:val="DefaultParagraphFont"/>
    <w:link w:val="CommentText"/>
    <w:uiPriority w:val="99"/>
    <w:semiHidden/>
    <w:rsid w:val="0061354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13542"/>
    <w:rPr>
      <w:b/>
      <w:bCs/>
    </w:rPr>
  </w:style>
  <w:style w:type="character" w:customStyle="1" w:styleId="CommentSubjectChar">
    <w:name w:val="Comment Subject Char"/>
    <w:basedOn w:val="CommentTextChar"/>
    <w:link w:val="CommentSubject"/>
    <w:uiPriority w:val="99"/>
    <w:semiHidden/>
    <w:rsid w:val="00613542"/>
    <w:rPr>
      <w:rFonts w:ascii="Arial" w:hAnsi="Arial"/>
      <w:b/>
      <w:bCs/>
      <w:sz w:val="20"/>
      <w:szCs w:val="20"/>
    </w:rPr>
  </w:style>
  <w:style w:type="paragraph" w:styleId="BalloonText">
    <w:name w:val="Balloon Text"/>
    <w:basedOn w:val="Normal"/>
    <w:link w:val="BalloonTextChar"/>
    <w:uiPriority w:val="99"/>
    <w:semiHidden/>
    <w:unhideWhenUsed/>
    <w:rsid w:val="006135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268">
      <w:bodyDiv w:val="1"/>
      <w:marLeft w:val="0"/>
      <w:marRight w:val="0"/>
      <w:marTop w:val="0"/>
      <w:marBottom w:val="0"/>
      <w:divBdr>
        <w:top w:val="none" w:sz="0" w:space="0" w:color="auto"/>
        <w:left w:val="none" w:sz="0" w:space="0" w:color="auto"/>
        <w:bottom w:val="none" w:sz="0" w:space="0" w:color="auto"/>
        <w:right w:val="none" w:sz="0" w:space="0" w:color="auto"/>
      </w:divBdr>
    </w:div>
    <w:div w:id="10634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C16BF-A5E2-4C55-B92F-2A261BC7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Jackson</dc:creator>
  <cp:keywords/>
  <dc:description/>
  <cp:lastModifiedBy>Tim Kendall</cp:lastModifiedBy>
  <cp:revision>2</cp:revision>
  <dcterms:created xsi:type="dcterms:W3CDTF">2021-11-26T15:10:00Z</dcterms:created>
  <dcterms:modified xsi:type="dcterms:W3CDTF">2021-11-26T15:10:00Z</dcterms:modified>
</cp:coreProperties>
</file>