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65C8" w14:textId="77777777" w:rsidR="00461987" w:rsidRDefault="00461987" w:rsidP="00461987">
      <w:pPr>
        <w:spacing w:after="0" w:line="240" w:lineRule="auto"/>
        <w:jc w:val="both"/>
        <w:rPr>
          <w:rFonts w:ascii="Arial" w:eastAsia="Times New Roman" w:hAnsi="Arial" w:cs="Arial"/>
          <w:color w:val="000000"/>
          <w:sz w:val="20"/>
          <w:szCs w:val="20"/>
          <w:lang w:eastAsia="en-GB"/>
        </w:rPr>
      </w:pPr>
    </w:p>
    <w:p w14:paraId="2A807808" w14:textId="77777777" w:rsidR="00461987" w:rsidRDefault="00461987" w:rsidP="00461987">
      <w:pPr>
        <w:spacing w:after="0" w:line="240" w:lineRule="auto"/>
        <w:jc w:val="both"/>
        <w:rPr>
          <w:rFonts w:ascii="Arial" w:eastAsia="Times New Roman" w:hAnsi="Arial" w:cs="Arial"/>
          <w:color w:val="000000"/>
          <w:sz w:val="20"/>
          <w:szCs w:val="20"/>
          <w:lang w:eastAsia="en-GB"/>
        </w:rPr>
      </w:pPr>
    </w:p>
    <w:p w14:paraId="1D89A499" w14:textId="77777777" w:rsidR="00461987" w:rsidRDefault="00461987" w:rsidP="00461987">
      <w:pPr>
        <w:spacing w:after="0" w:line="240" w:lineRule="auto"/>
        <w:jc w:val="center"/>
        <w:rPr>
          <w:rFonts w:ascii="Arial" w:eastAsia="Times New Roman" w:hAnsi="Arial" w:cs="Arial"/>
          <w:color w:val="000000"/>
          <w:sz w:val="20"/>
          <w:szCs w:val="20"/>
          <w:lang w:eastAsia="en-GB"/>
        </w:rPr>
      </w:pPr>
      <w:r>
        <w:rPr>
          <w:noProof/>
          <w:color w:val="0000FF"/>
          <w:lang w:val="en-IE" w:eastAsia="en-IE"/>
        </w:rPr>
        <w:drawing>
          <wp:inline distT="0" distB="0" distL="0" distR="0" wp14:anchorId="3AAFD836" wp14:editId="6881CFB7">
            <wp:extent cx="1695450" cy="409575"/>
            <wp:effectExtent l="0" t="0" r="0" b="9525"/>
            <wp:docPr id="1" name="irc_mi" descr="http://www.solgari.com/Portals/139273/images/ifg.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olgari.com/Portals/139273/images/ifg.gif">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28571" b="27551"/>
                    <a:stretch/>
                  </pic:blipFill>
                  <pic:spPr bwMode="auto">
                    <a:xfrm>
                      <a:off x="0" y="0"/>
                      <a:ext cx="169545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47C4551" w14:textId="77777777" w:rsidR="00461987" w:rsidRPr="00461987" w:rsidRDefault="00461987" w:rsidP="00461987">
      <w:pPr>
        <w:spacing w:after="0" w:line="240" w:lineRule="auto"/>
        <w:jc w:val="both"/>
        <w:rPr>
          <w:rFonts w:ascii="Arial" w:eastAsia="Times New Roman" w:hAnsi="Arial" w:cs="Arial"/>
          <w:color w:val="000000"/>
          <w:sz w:val="20"/>
          <w:szCs w:val="20"/>
          <w:lang w:eastAsia="en-GB"/>
        </w:rPr>
      </w:pPr>
    </w:p>
    <w:p w14:paraId="6E7C160E" w14:textId="77777777" w:rsidR="00461987" w:rsidRDefault="00461987" w:rsidP="00461987">
      <w:pPr>
        <w:spacing w:after="0" w:line="240" w:lineRule="auto"/>
        <w:jc w:val="center"/>
        <w:rPr>
          <w:rFonts w:ascii="Arial" w:eastAsia="Times New Roman" w:hAnsi="Arial" w:cs="Arial"/>
          <w:b/>
          <w:bCs/>
          <w:color w:val="000000"/>
          <w:sz w:val="20"/>
          <w:szCs w:val="20"/>
          <w:lang w:eastAsia="en-GB"/>
        </w:rPr>
      </w:pPr>
      <w:r w:rsidRPr="00461987">
        <w:rPr>
          <w:rFonts w:ascii="Arial" w:eastAsia="Times New Roman" w:hAnsi="Arial" w:cs="Arial"/>
          <w:b/>
          <w:bCs/>
          <w:color w:val="000000"/>
          <w:sz w:val="20"/>
          <w:szCs w:val="20"/>
          <w:lang w:eastAsia="en-GB"/>
        </w:rPr>
        <w:t>IFG Group plc</w:t>
      </w:r>
    </w:p>
    <w:p w14:paraId="29670AED" w14:textId="77777777" w:rsidR="00461987" w:rsidRPr="00461987" w:rsidRDefault="00461987" w:rsidP="00461987">
      <w:pPr>
        <w:spacing w:after="0" w:line="240" w:lineRule="auto"/>
        <w:jc w:val="center"/>
        <w:rPr>
          <w:rFonts w:ascii="Calibri" w:eastAsia="Times New Roman" w:hAnsi="Calibri" w:cs="Arial"/>
          <w:b/>
          <w:bCs/>
          <w:color w:val="000000"/>
          <w:sz w:val="20"/>
          <w:szCs w:val="20"/>
          <w:lang w:eastAsia="en-GB"/>
        </w:rPr>
      </w:pPr>
    </w:p>
    <w:p w14:paraId="711AF8E4" w14:textId="77777777" w:rsidR="00461987" w:rsidRPr="00461987" w:rsidRDefault="00461987" w:rsidP="00461987">
      <w:pPr>
        <w:spacing w:after="0" w:line="240" w:lineRule="auto"/>
        <w:jc w:val="center"/>
        <w:rPr>
          <w:rFonts w:ascii="Calibri" w:eastAsia="Times New Roman" w:hAnsi="Calibri" w:cs="Arial"/>
          <w:b/>
          <w:bCs/>
          <w:color w:val="000000"/>
          <w:sz w:val="20"/>
          <w:szCs w:val="20"/>
          <w:lang w:eastAsia="en-GB"/>
        </w:rPr>
      </w:pPr>
      <w:r w:rsidRPr="00461987">
        <w:rPr>
          <w:rFonts w:ascii="Arial" w:eastAsia="Times New Roman" w:hAnsi="Arial" w:cs="Arial"/>
          <w:b/>
          <w:bCs/>
          <w:color w:val="000000"/>
          <w:sz w:val="20"/>
          <w:szCs w:val="20"/>
          <w:lang w:eastAsia="en-GB"/>
        </w:rPr>
        <w:t>Notice of results</w:t>
      </w:r>
    </w:p>
    <w:p w14:paraId="32CB3804" w14:textId="77777777" w:rsidR="00461987" w:rsidRPr="00461987" w:rsidRDefault="00461987" w:rsidP="005670C1">
      <w:pPr>
        <w:spacing w:after="0"/>
        <w:jc w:val="both"/>
        <w:rPr>
          <w:rFonts w:ascii="Arial" w:eastAsia="Times New Roman" w:hAnsi="Arial" w:cs="Arial"/>
          <w:color w:val="000000"/>
          <w:sz w:val="20"/>
          <w:szCs w:val="20"/>
          <w:lang w:eastAsia="en-GB"/>
        </w:rPr>
      </w:pPr>
    </w:p>
    <w:p w14:paraId="3930CE97" w14:textId="77777777" w:rsidR="002F14AF" w:rsidRDefault="002F14AF" w:rsidP="002F14AF">
      <w:pPr>
        <w:pStyle w:val="y"/>
        <w:spacing w:before="0" w:beforeAutospacing="0" w:after="0" w:afterAutospacing="0" w:line="253" w:lineRule="atLeast"/>
        <w:jc w:val="both"/>
        <w:rPr>
          <w:rFonts w:ascii="Calibri" w:hAnsi="Calibri" w:cs="Calibri"/>
          <w:color w:val="000000"/>
          <w:sz w:val="22"/>
          <w:szCs w:val="22"/>
        </w:rPr>
      </w:pPr>
      <w:r>
        <w:rPr>
          <w:rStyle w:val="p"/>
          <w:rFonts w:ascii="Arial" w:hAnsi="Arial" w:cs="Arial"/>
          <w:color w:val="000000"/>
          <w:sz w:val="20"/>
          <w:szCs w:val="20"/>
          <w:bdr w:val="none" w:sz="0" w:space="0" w:color="auto" w:frame="1"/>
        </w:rPr>
        <w:t>IFG Group plc will announce half year results for the six months ended 30 June 2017 on Wednesday 30 August 2017.</w:t>
      </w:r>
    </w:p>
    <w:p w14:paraId="2072483B" w14:textId="77777777" w:rsidR="002F14AF" w:rsidRDefault="002F14AF" w:rsidP="002F14AF">
      <w:pPr>
        <w:pStyle w:val="y"/>
        <w:spacing w:before="0" w:beforeAutospacing="0" w:after="0" w:afterAutospacing="0" w:line="253" w:lineRule="atLeast"/>
        <w:jc w:val="both"/>
        <w:rPr>
          <w:rFonts w:ascii="Calibri" w:hAnsi="Calibri" w:cs="Calibri"/>
          <w:color w:val="000000"/>
          <w:sz w:val="22"/>
          <w:szCs w:val="22"/>
        </w:rPr>
      </w:pPr>
      <w:r>
        <w:rPr>
          <w:rStyle w:val="p"/>
          <w:rFonts w:ascii="Arial" w:hAnsi="Arial" w:cs="Arial"/>
          <w:color w:val="000000"/>
          <w:sz w:val="20"/>
          <w:szCs w:val="20"/>
          <w:bdr w:val="none" w:sz="0" w:space="0" w:color="auto" w:frame="1"/>
        </w:rPr>
        <w:t> </w:t>
      </w:r>
    </w:p>
    <w:p w14:paraId="5B49BCF3" w14:textId="77777777" w:rsidR="002F14AF" w:rsidRDefault="002F14AF" w:rsidP="002F14AF">
      <w:pPr>
        <w:pStyle w:val="y"/>
        <w:spacing w:before="0" w:beforeAutospacing="0" w:after="0" w:afterAutospacing="0" w:line="253" w:lineRule="atLeast"/>
        <w:jc w:val="both"/>
        <w:rPr>
          <w:rFonts w:ascii="Calibri" w:hAnsi="Calibri" w:cs="Calibri"/>
          <w:color w:val="000000"/>
          <w:sz w:val="22"/>
          <w:szCs w:val="22"/>
        </w:rPr>
      </w:pPr>
      <w:r>
        <w:rPr>
          <w:rStyle w:val="p"/>
          <w:rFonts w:ascii="Arial" w:hAnsi="Arial" w:cs="Arial"/>
          <w:color w:val="000000"/>
          <w:sz w:val="20"/>
          <w:szCs w:val="20"/>
          <w:bdr w:val="none" w:sz="0" w:space="0" w:color="auto" w:frame="1"/>
        </w:rPr>
        <w:t>An analyst presentation, hosted by</w:t>
      </w:r>
      <w:r>
        <w:rPr>
          <w:rStyle w:val="apple-converted-space"/>
          <w:rFonts w:ascii="Arial" w:hAnsi="Arial" w:cs="Arial"/>
          <w:color w:val="000000"/>
          <w:sz w:val="20"/>
          <w:szCs w:val="20"/>
          <w:bdr w:val="none" w:sz="0" w:space="0" w:color="auto" w:frame="1"/>
        </w:rPr>
        <w:t> </w:t>
      </w:r>
      <w:r>
        <w:rPr>
          <w:rStyle w:val="z"/>
          <w:rFonts w:ascii="Arial" w:hAnsi="Arial" w:cs="Arial"/>
          <w:color w:val="000000"/>
          <w:sz w:val="20"/>
          <w:szCs w:val="20"/>
          <w:bdr w:val="none" w:sz="0" w:space="0" w:color="auto" w:frame="1"/>
        </w:rPr>
        <w:t>John Cotter</w:t>
      </w:r>
      <w:r>
        <w:rPr>
          <w:rStyle w:val="apple-converted-space"/>
          <w:rFonts w:ascii="Arial" w:hAnsi="Arial" w:cs="Arial"/>
          <w:color w:val="000000"/>
          <w:sz w:val="20"/>
          <w:szCs w:val="20"/>
          <w:bdr w:val="none" w:sz="0" w:space="0" w:color="auto" w:frame="1"/>
        </w:rPr>
        <w:t> </w:t>
      </w:r>
      <w:r>
        <w:rPr>
          <w:rStyle w:val="n"/>
          <w:rFonts w:ascii="Arial" w:hAnsi="Arial" w:cs="Arial"/>
          <w:color w:val="000000"/>
          <w:sz w:val="20"/>
          <w:szCs w:val="20"/>
          <w:bdr w:val="none" w:sz="0" w:space="0" w:color="auto" w:frame="1"/>
        </w:rPr>
        <w:t>(Group CEO) and Andrew Price (Group CFO) will be held at 9.30am on 30 August 2017 at Macquarie offices, Ropemaker Place, 28 Ropemaker Street, London EC2Y 9HD. Those analysts wishing to attend are asked to contact IFG Group, details below:</w:t>
      </w:r>
    </w:p>
    <w:p w14:paraId="36E294FD" w14:textId="77777777" w:rsidR="002F14AF" w:rsidRDefault="002F14AF" w:rsidP="002F14AF">
      <w:pPr>
        <w:pStyle w:val="aa"/>
        <w:spacing w:before="0" w:beforeAutospacing="0" w:after="0" w:afterAutospacing="0" w:line="253" w:lineRule="atLeast"/>
        <w:jc w:val="both"/>
        <w:rPr>
          <w:rFonts w:ascii="Calibri" w:hAnsi="Calibri" w:cs="Calibri"/>
          <w:b/>
          <w:bCs/>
          <w:color w:val="000000"/>
          <w:sz w:val="22"/>
          <w:szCs w:val="22"/>
        </w:rPr>
      </w:pPr>
      <w:r>
        <w:rPr>
          <w:rStyle w:val="p"/>
          <w:rFonts w:ascii="Arial" w:hAnsi="Arial" w:cs="Arial"/>
          <w:b/>
          <w:bCs/>
          <w:color w:val="000000"/>
          <w:sz w:val="20"/>
          <w:szCs w:val="20"/>
          <w:bdr w:val="none" w:sz="0" w:space="0" w:color="auto" w:frame="1"/>
        </w:rPr>
        <w:t> </w:t>
      </w:r>
    </w:p>
    <w:p w14:paraId="2D7A782A" w14:textId="77777777" w:rsidR="002F14AF" w:rsidRPr="008514B8" w:rsidRDefault="002F14AF" w:rsidP="002F14AF">
      <w:pPr>
        <w:pStyle w:val="y"/>
        <w:spacing w:before="0" w:beforeAutospacing="0" w:after="0" w:afterAutospacing="0" w:line="253" w:lineRule="atLeast"/>
        <w:jc w:val="both"/>
        <w:rPr>
          <w:rStyle w:val="p"/>
          <w:rFonts w:ascii="Arial" w:hAnsi="Arial" w:cs="Arial"/>
          <w:bCs/>
          <w:color w:val="000000"/>
          <w:sz w:val="20"/>
          <w:szCs w:val="20"/>
          <w:bdr w:val="none" w:sz="0" w:space="0" w:color="auto" w:frame="1"/>
        </w:rPr>
      </w:pPr>
      <w:r>
        <w:rPr>
          <w:rStyle w:val="p"/>
          <w:rFonts w:ascii="Arial" w:hAnsi="Arial" w:cs="Arial"/>
          <w:b/>
          <w:bCs/>
          <w:color w:val="000000"/>
          <w:sz w:val="20"/>
          <w:szCs w:val="20"/>
          <w:bdr w:val="none" w:sz="0" w:space="0" w:color="auto" w:frame="1"/>
        </w:rPr>
        <w:t xml:space="preserve">Andrew Price: </w:t>
      </w:r>
      <w:r>
        <w:rPr>
          <w:rStyle w:val="p"/>
          <w:rFonts w:ascii="Arial" w:hAnsi="Arial" w:cs="Arial"/>
          <w:bCs/>
          <w:color w:val="000000"/>
          <w:sz w:val="20"/>
          <w:szCs w:val="20"/>
          <w:bdr w:val="none" w:sz="0" w:space="0" w:color="auto" w:frame="1"/>
        </w:rPr>
        <w:t>Tel: +44 (0)203 887 6172 or andrew.price@ifggroup.com</w:t>
      </w:r>
    </w:p>
    <w:p w14:paraId="4E60BD52" w14:textId="77777777" w:rsidR="002F14AF" w:rsidRPr="00544032" w:rsidRDefault="002F14AF" w:rsidP="002F14AF">
      <w:pPr>
        <w:pStyle w:val="y"/>
        <w:spacing w:before="0" w:beforeAutospacing="0" w:after="0" w:afterAutospacing="0" w:line="253" w:lineRule="atLeast"/>
        <w:jc w:val="both"/>
        <w:rPr>
          <w:rFonts w:ascii="Arial" w:hAnsi="Arial" w:cs="Arial"/>
          <w:bCs/>
          <w:color w:val="000000"/>
          <w:sz w:val="20"/>
          <w:szCs w:val="20"/>
          <w:bdr w:val="none" w:sz="0" w:space="0" w:color="auto" w:frame="1"/>
        </w:rPr>
      </w:pPr>
      <w:r>
        <w:rPr>
          <w:rStyle w:val="p"/>
          <w:rFonts w:ascii="Arial" w:hAnsi="Arial" w:cs="Arial"/>
          <w:b/>
          <w:bCs/>
          <w:color w:val="000000"/>
          <w:sz w:val="20"/>
          <w:szCs w:val="20"/>
          <w:bdr w:val="none" w:sz="0" w:space="0" w:color="auto" w:frame="1"/>
        </w:rPr>
        <w:t xml:space="preserve">Cassandra Kendall: </w:t>
      </w:r>
      <w:r>
        <w:rPr>
          <w:rStyle w:val="p"/>
          <w:rFonts w:ascii="Arial" w:hAnsi="Arial" w:cs="Arial"/>
          <w:bCs/>
          <w:color w:val="000000"/>
          <w:sz w:val="20"/>
          <w:szCs w:val="20"/>
          <w:bdr w:val="none" w:sz="0" w:space="0" w:color="auto" w:frame="1"/>
        </w:rPr>
        <w:t>Tel: +44 (0)20</w:t>
      </w:r>
      <w:r w:rsidRPr="00A56C96">
        <w:rPr>
          <w:rStyle w:val="p"/>
          <w:rFonts w:ascii="Arial" w:hAnsi="Arial" w:cs="Arial"/>
          <w:bCs/>
          <w:color w:val="000000"/>
          <w:sz w:val="20"/>
          <w:szCs w:val="20"/>
          <w:bdr w:val="none" w:sz="0" w:space="0" w:color="auto" w:frame="1"/>
        </w:rPr>
        <w:t>3</w:t>
      </w:r>
      <w:r>
        <w:rPr>
          <w:rStyle w:val="p"/>
          <w:rFonts w:ascii="Arial" w:hAnsi="Arial" w:cs="Arial"/>
          <w:bCs/>
          <w:color w:val="000000"/>
          <w:sz w:val="20"/>
          <w:szCs w:val="20"/>
          <w:bdr w:val="none" w:sz="0" w:space="0" w:color="auto" w:frame="1"/>
        </w:rPr>
        <w:t xml:space="preserve"> </w:t>
      </w:r>
      <w:r w:rsidRPr="00A56C96">
        <w:rPr>
          <w:rStyle w:val="p"/>
          <w:rFonts w:ascii="Arial" w:hAnsi="Arial" w:cs="Arial"/>
          <w:bCs/>
          <w:color w:val="000000"/>
          <w:sz w:val="20"/>
          <w:szCs w:val="20"/>
          <w:bdr w:val="none" w:sz="0" w:space="0" w:color="auto" w:frame="1"/>
        </w:rPr>
        <w:t>887 6181</w:t>
      </w:r>
      <w:r>
        <w:rPr>
          <w:rStyle w:val="p"/>
          <w:rFonts w:ascii="Arial" w:hAnsi="Arial" w:cs="Arial"/>
          <w:bCs/>
          <w:color w:val="000000"/>
          <w:sz w:val="20"/>
          <w:szCs w:val="20"/>
          <w:bdr w:val="none" w:sz="0" w:space="0" w:color="auto" w:frame="1"/>
        </w:rPr>
        <w:t xml:space="preserve"> or cassandra.kendall@ifggroup.com</w:t>
      </w:r>
    </w:p>
    <w:p w14:paraId="704BD95D" w14:textId="77777777" w:rsidR="002F14AF" w:rsidRDefault="002F14AF" w:rsidP="002F14AF">
      <w:pPr>
        <w:pStyle w:val="aa"/>
        <w:spacing w:before="0" w:beforeAutospacing="0" w:after="0" w:afterAutospacing="0" w:line="253" w:lineRule="atLeast"/>
        <w:jc w:val="both"/>
        <w:rPr>
          <w:rFonts w:ascii="Calibri" w:hAnsi="Calibri" w:cs="Calibri"/>
          <w:b/>
          <w:bCs/>
          <w:color w:val="000000"/>
          <w:sz w:val="22"/>
          <w:szCs w:val="22"/>
        </w:rPr>
      </w:pPr>
      <w:r>
        <w:rPr>
          <w:rStyle w:val="p"/>
          <w:rFonts w:ascii="Arial" w:hAnsi="Arial" w:cs="Arial"/>
          <w:b/>
          <w:bCs/>
          <w:color w:val="000000"/>
          <w:sz w:val="20"/>
          <w:szCs w:val="20"/>
          <w:bdr w:val="none" w:sz="0" w:space="0" w:color="auto" w:frame="1"/>
        </w:rPr>
        <w:t> </w:t>
      </w:r>
    </w:p>
    <w:p w14:paraId="28DEB82D" w14:textId="77777777" w:rsidR="002F14AF" w:rsidRDefault="002F14AF" w:rsidP="002F14AF">
      <w:pPr>
        <w:pStyle w:val="aa"/>
        <w:spacing w:before="0" w:beforeAutospacing="0" w:after="0" w:afterAutospacing="0" w:line="253" w:lineRule="atLeast"/>
        <w:jc w:val="both"/>
        <w:rPr>
          <w:rFonts w:ascii="Calibri" w:hAnsi="Calibri" w:cs="Calibri"/>
          <w:b/>
          <w:bCs/>
          <w:color w:val="000000"/>
          <w:sz w:val="22"/>
          <w:szCs w:val="22"/>
        </w:rPr>
      </w:pPr>
      <w:r>
        <w:rPr>
          <w:rStyle w:val="p"/>
          <w:rFonts w:ascii="Arial" w:hAnsi="Arial" w:cs="Arial"/>
          <w:b/>
          <w:bCs/>
          <w:color w:val="000000"/>
          <w:sz w:val="20"/>
          <w:szCs w:val="20"/>
          <w:bdr w:val="none" w:sz="0" w:space="0" w:color="auto" w:frame="1"/>
        </w:rPr>
        <w:t>About IFG Group plc</w:t>
      </w:r>
    </w:p>
    <w:p w14:paraId="034C65B3" w14:textId="77777777" w:rsidR="002F14AF" w:rsidRDefault="002F14AF" w:rsidP="002F14AF">
      <w:pPr>
        <w:pStyle w:val="y"/>
        <w:spacing w:before="0" w:beforeAutospacing="0" w:after="0" w:afterAutospacing="0" w:line="253" w:lineRule="atLeast"/>
        <w:jc w:val="both"/>
        <w:rPr>
          <w:rFonts w:ascii="Calibri" w:hAnsi="Calibri" w:cs="Calibri"/>
          <w:color w:val="000000"/>
          <w:sz w:val="22"/>
          <w:szCs w:val="22"/>
        </w:rPr>
      </w:pPr>
      <w:r>
        <w:rPr>
          <w:rStyle w:val="p"/>
          <w:rFonts w:ascii="Arial" w:hAnsi="Arial" w:cs="Arial"/>
          <w:color w:val="000000"/>
          <w:sz w:val="20"/>
          <w:szCs w:val="20"/>
          <w:bdr w:val="none" w:sz="0" w:space="0" w:color="auto" w:frame="1"/>
        </w:rPr>
        <w:t>IFG Group plc is a focused financial services company with full market listings in London and Dublin. Operating in the UK wealth management market, it is the parent of leading platform provider James Hay Partnership and financial advisor Saunderson House. For more information, please see www.ifggroup.com</w:t>
      </w:r>
    </w:p>
    <w:p w14:paraId="24E64538" w14:textId="77777777" w:rsidR="00735CB6" w:rsidRDefault="00735CB6"/>
    <w:p w14:paraId="6423E663" w14:textId="46E82656" w:rsidR="00F90825" w:rsidRDefault="00F90825"/>
    <w:p w14:paraId="17DE5178" w14:textId="77777777" w:rsidR="00F90825" w:rsidRDefault="00F90825"/>
    <w:p w14:paraId="2E71B8F2" w14:textId="77777777" w:rsidR="00F90825" w:rsidRDefault="00F90825"/>
    <w:p w14:paraId="5DED08E7" w14:textId="77777777" w:rsidR="00F90825" w:rsidRPr="00F90825" w:rsidRDefault="00F90825" w:rsidP="00F90825">
      <w:pPr>
        <w:spacing w:after="0" w:line="240" w:lineRule="auto"/>
        <w:jc w:val="center"/>
        <w:rPr>
          <w:rFonts w:ascii="Arial" w:eastAsia="Times New Roman" w:hAnsi="Arial" w:cs="Arial"/>
          <w:sz w:val="19"/>
          <w:szCs w:val="19"/>
          <w:lang w:val="en-IE" w:eastAsia="en-GB"/>
        </w:rPr>
      </w:pPr>
      <w:r w:rsidRPr="00F90825">
        <w:rPr>
          <w:rFonts w:ascii="Arial" w:eastAsia="Times New Roman" w:hAnsi="Arial" w:cs="Arial"/>
          <w:sz w:val="19"/>
          <w:szCs w:val="19"/>
          <w:lang w:val="en-IE" w:eastAsia="en-GB"/>
        </w:rPr>
        <w:t>This announcement has been issued through the Companies Announcement Service of</w:t>
      </w:r>
    </w:p>
    <w:p w14:paraId="697B6EBE" w14:textId="77777777" w:rsidR="00F90825" w:rsidRPr="00F90825" w:rsidRDefault="00F90825" w:rsidP="00F90825">
      <w:pPr>
        <w:spacing w:after="0" w:line="240" w:lineRule="auto"/>
        <w:jc w:val="center"/>
        <w:rPr>
          <w:rFonts w:ascii="Arial" w:eastAsia="Times New Roman" w:hAnsi="Arial" w:cs="Arial"/>
          <w:sz w:val="19"/>
          <w:szCs w:val="19"/>
          <w:lang w:val="en-IE" w:eastAsia="en-GB"/>
        </w:rPr>
      </w:pPr>
      <w:r w:rsidRPr="00F90825">
        <w:rPr>
          <w:rFonts w:ascii="Arial" w:eastAsia="Times New Roman" w:hAnsi="Arial" w:cs="Arial"/>
          <w:sz w:val="19"/>
          <w:szCs w:val="19"/>
          <w:lang w:val="en-IE" w:eastAsia="en-GB"/>
        </w:rPr>
        <w:t>the Irish Stock Exchange.</w:t>
      </w:r>
    </w:p>
    <w:p w14:paraId="3F544D49" w14:textId="77777777" w:rsidR="00F90825" w:rsidRPr="00F90825" w:rsidRDefault="00F90825" w:rsidP="00F90825">
      <w:pPr>
        <w:spacing w:after="0" w:line="240" w:lineRule="auto"/>
        <w:jc w:val="center"/>
        <w:rPr>
          <w:rFonts w:ascii="Arial" w:eastAsia="Times New Roman" w:hAnsi="Arial" w:cs="Arial"/>
          <w:sz w:val="19"/>
          <w:szCs w:val="19"/>
          <w:lang w:val="en-IE" w:eastAsia="en-GB"/>
        </w:rPr>
      </w:pPr>
    </w:p>
    <w:p w14:paraId="2025B054" w14:textId="77777777" w:rsidR="00F90825" w:rsidRPr="00F90825" w:rsidRDefault="00F90825" w:rsidP="00F90825">
      <w:pPr>
        <w:spacing w:after="0" w:line="240" w:lineRule="auto"/>
        <w:jc w:val="center"/>
        <w:rPr>
          <w:rFonts w:ascii="Arial" w:eastAsia="Times New Roman" w:hAnsi="Arial" w:cs="Arial"/>
          <w:sz w:val="19"/>
          <w:szCs w:val="19"/>
          <w:lang w:val="en-IE" w:eastAsia="en-GB"/>
        </w:rPr>
      </w:pPr>
    </w:p>
    <w:p w14:paraId="13080678" w14:textId="77777777" w:rsidR="00F90825" w:rsidRDefault="00F90825">
      <w:bookmarkStart w:id="0" w:name="_GoBack"/>
      <w:bookmarkEnd w:id="0"/>
    </w:p>
    <w:sectPr w:rsidR="00F9082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87"/>
    <w:rsid w:val="001F48C3"/>
    <w:rsid w:val="002F14AF"/>
    <w:rsid w:val="00374DDE"/>
    <w:rsid w:val="00452996"/>
    <w:rsid w:val="00461987"/>
    <w:rsid w:val="00520413"/>
    <w:rsid w:val="00542575"/>
    <w:rsid w:val="005670C1"/>
    <w:rsid w:val="005C6673"/>
    <w:rsid w:val="006D22EF"/>
    <w:rsid w:val="00714FC9"/>
    <w:rsid w:val="00735CB6"/>
    <w:rsid w:val="00805E77"/>
    <w:rsid w:val="008D6EFA"/>
    <w:rsid w:val="009874E2"/>
    <w:rsid w:val="009D3DBD"/>
    <w:rsid w:val="00AB445D"/>
    <w:rsid w:val="00B80E38"/>
    <w:rsid w:val="00C15246"/>
    <w:rsid w:val="00C3559F"/>
    <w:rsid w:val="00F90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987"/>
    <w:rPr>
      <w:rFonts w:ascii="Tahoma" w:hAnsi="Tahoma" w:cs="Tahoma"/>
      <w:sz w:val="16"/>
      <w:szCs w:val="16"/>
    </w:rPr>
  </w:style>
  <w:style w:type="character" w:customStyle="1" w:styleId="l">
    <w:name w:val="l"/>
    <w:basedOn w:val="DefaultParagraphFont"/>
    <w:rsid w:val="00AB445D"/>
  </w:style>
  <w:style w:type="character" w:styleId="Hyperlink">
    <w:name w:val="Hyperlink"/>
    <w:basedOn w:val="DefaultParagraphFont"/>
    <w:uiPriority w:val="99"/>
    <w:unhideWhenUsed/>
    <w:rsid w:val="001F48C3"/>
    <w:rPr>
      <w:color w:val="0000FF" w:themeColor="hyperlink"/>
      <w:u w:val="single"/>
    </w:rPr>
  </w:style>
  <w:style w:type="character" w:customStyle="1" w:styleId="Mention">
    <w:name w:val="Mention"/>
    <w:basedOn w:val="DefaultParagraphFont"/>
    <w:uiPriority w:val="99"/>
    <w:semiHidden/>
    <w:unhideWhenUsed/>
    <w:rsid w:val="001F48C3"/>
    <w:rPr>
      <w:color w:val="2B579A"/>
      <w:shd w:val="clear" w:color="auto" w:fill="E6E6E6"/>
    </w:rPr>
  </w:style>
  <w:style w:type="paragraph" w:customStyle="1" w:styleId="y">
    <w:name w:val="y"/>
    <w:basedOn w:val="Normal"/>
    <w:rsid w:val="002F14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
    <w:name w:val="p"/>
    <w:basedOn w:val="DefaultParagraphFont"/>
    <w:rsid w:val="002F14AF"/>
  </w:style>
  <w:style w:type="character" w:customStyle="1" w:styleId="apple-converted-space">
    <w:name w:val="apple-converted-space"/>
    <w:basedOn w:val="DefaultParagraphFont"/>
    <w:rsid w:val="002F14AF"/>
  </w:style>
  <w:style w:type="character" w:customStyle="1" w:styleId="z">
    <w:name w:val="z"/>
    <w:basedOn w:val="DefaultParagraphFont"/>
    <w:rsid w:val="002F14AF"/>
  </w:style>
  <w:style w:type="character" w:customStyle="1" w:styleId="n">
    <w:name w:val="n"/>
    <w:basedOn w:val="DefaultParagraphFont"/>
    <w:rsid w:val="002F14AF"/>
  </w:style>
  <w:style w:type="paragraph" w:customStyle="1" w:styleId="aa">
    <w:name w:val="aa"/>
    <w:basedOn w:val="Normal"/>
    <w:rsid w:val="002F14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987"/>
    <w:rPr>
      <w:rFonts w:ascii="Tahoma" w:hAnsi="Tahoma" w:cs="Tahoma"/>
      <w:sz w:val="16"/>
      <w:szCs w:val="16"/>
    </w:rPr>
  </w:style>
  <w:style w:type="character" w:customStyle="1" w:styleId="l">
    <w:name w:val="l"/>
    <w:basedOn w:val="DefaultParagraphFont"/>
    <w:rsid w:val="00AB445D"/>
  </w:style>
  <w:style w:type="character" w:styleId="Hyperlink">
    <w:name w:val="Hyperlink"/>
    <w:basedOn w:val="DefaultParagraphFont"/>
    <w:uiPriority w:val="99"/>
    <w:unhideWhenUsed/>
    <w:rsid w:val="001F48C3"/>
    <w:rPr>
      <w:color w:val="0000FF" w:themeColor="hyperlink"/>
      <w:u w:val="single"/>
    </w:rPr>
  </w:style>
  <w:style w:type="character" w:customStyle="1" w:styleId="Mention">
    <w:name w:val="Mention"/>
    <w:basedOn w:val="DefaultParagraphFont"/>
    <w:uiPriority w:val="99"/>
    <w:semiHidden/>
    <w:unhideWhenUsed/>
    <w:rsid w:val="001F48C3"/>
    <w:rPr>
      <w:color w:val="2B579A"/>
      <w:shd w:val="clear" w:color="auto" w:fill="E6E6E6"/>
    </w:rPr>
  </w:style>
  <w:style w:type="paragraph" w:customStyle="1" w:styleId="y">
    <w:name w:val="y"/>
    <w:basedOn w:val="Normal"/>
    <w:rsid w:val="002F14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
    <w:name w:val="p"/>
    <w:basedOn w:val="DefaultParagraphFont"/>
    <w:rsid w:val="002F14AF"/>
  </w:style>
  <w:style w:type="character" w:customStyle="1" w:styleId="apple-converted-space">
    <w:name w:val="apple-converted-space"/>
    <w:basedOn w:val="DefaultParagraphFont"/>
    <w:rsid w:val="002F14AF"/>
  </w:style>
  <w:style w:type="character" w:customStyle="1" w:styleId="z">
    <w:name w:val="z"/>
    <w:basedOn w:val="DefaultParagraphFont"/>
    <w:rsid w:val="002F14AF"/>
  </w:style>
  <w:style w:type="character" w:customStyle="1" w:styleId="n">
    <w:name w:val="n"/>
    <w:basedOn w:val="DefaultParagraphFont"/>
    <w:rsid w:val="002F14AF"/>
  </w:style>
  <w:style w:type="paragraph" w:customStyle="1" w:styleId="aa">
    <w:name w:val="aa"/>
    <w:basedOn w:val="Normal"/>
    <w:rsid w:val="002F14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56499">
      <w:bodyDiv w:val="1"/>
      <w:marLeft w:val="0"/>
      <w:marRight w:val="0"/>
      <w:marTop w:val="0"/>
      <w:marBottom w:val="0"/>
      <w:divBdr>
        <w:top w:val="none" w:sz="0" w:space="0" w:color="auto"/>
        <w:left w:val="none" w:sz="0" w:space="0" w:color="auto"/>
        <w:bottom w:val="none" w:sz="0" w:space="0" w:color="auto"/>
        <w:right w:val="none" w:sz="0" w:space="0" w:color="auto"/>
      </w:divBdr>
      <w:divsChild>
        <w:div w:id="1459951248">
          <w:marLeft w:val="0"/>
          <w:marRight w:val="0"/>
          <w:marTop w:val="0"/>
          <w:marBottom w:val="0"/>
          <w:divBdr>
            <w:top w:val="none" w:sz="0" w:space="0" w:color="auto"/>
            <w:left w:val="none" w:sz="0" w:space="0" w:color="auto"/>
            <w:bottom w:val="none" w:sz="0" w:space="0" w:color="auto"/>
            <w:right w:val="none" w:sz="0" w:space="0" w:color="auto"/>
          </w:divBdr>
          <w:divsChild>
            <w:div w:id="493835916">
              <w:marLeft w:val="150"/>
              <w:marRight w:val="150"/>
              <w:marTop w:val="225"/>
              <w:marBottom w:val="1500"/>
              <w:divBdr>
                <w:top w:val="none" w:sz="0" w:space="0" w:color="auto"/>
                <w:left w:val="none" w:sz="0" w:space="0" w:color="auto"/>
                <w:bottom w:val="none" w:sz="0" w:space="0" w:color="auto"/>
                <w:right w:val="none" w:sz="0" w:space="0" w:color="auto"/>
              </w:divBdr>
              <w:divsChild>
                <w:div w:id="643699708">
                  <w:marLeft w:val="0"/>
                  <w:marRight w:val="0"/>
                  <w:marTop w:val="0"/>
                  <w:marBottom w:val="0"/>
                  <w:divBdr>
                    <w:top w:val="none" w:sz="0" w:space="0" w:color="auto"/>
                    <w:left w:val="none" w:sz="0" w:space="0" w:color="auto"/>
                    <w:bottom w:val="none" w:sz="0" w:space="0" w:color="auto"/>
                    <w:right w:val="none" w:sz="0" w:space="0" w:color="auto"/>
                  </w:divBdr>
                  <w:divsChild>
                    <w:div w:id="1505776620">
                      <w:marLeft w:val="0"/>
                      <w:marRight w:val="0"/>
                      <w:marTop w:val="0"/>
                      <w:marBottom w:val="0"/>
                      <w:divBdr>
                        <w:top w:val="none" w:sz="0" w:space="0" w:color="auto"/>
                        <w:left w:val="none" w:sz="0" w:space="0" w:color="auto"/>
                        <w:bottom w:val="none" w:sz="0" w:space="0" w:color="auto"/>
                        <w:right w:val="none" w:sz="0" w:space="0" w:color="auto"/>
                      </w:divBdr>
                      <w:divsChild>
                        <w:div w:id="864172382">
                          <w:marLeft w:val="0"/>
                          <w:marRight w:val="0"/>
                          <w:marTop w:val="0"/>
                          <w:marBottom w:val="0"/>
                          <w:divBdr>
                            <w:top w:val="none" w:sz="0" w:space="0" w:color="auto"/>
                            <w:left w:val="none" w:sz="0" w:space="0" w:color="auto"/>
                            <w:bottom w:val="none" w:sz="0" w:space="0" w:color="auto"/>
                            <w:right w:val="none" w:sz="0" w:space="0" w:color="auto"/>
                          </w:divBdr>
                        </w:div>
                        <w:div w:id="1592008219">
                          <w:marLeft w:val="0"/>
                          <w:marRight w:val="0"/>
                          <w:marTop w:val="0"/>
                          <w:marBottom w:val="0"/>
                          <w:divBdr>
                            <w:top w:val="none" w:sz="0" w:space="0" w:color="auto"/>
                            <w:left w:val="none" w:sz="0" w:space="0" w:color="auto"/>
                            <w:bottom w:val="none" w:sz="0" w:space="0" w:color="auto"/>
                            <w:right w:val="none" w:sz="0" w:space="0" w:color="auto"/>
                          </w:divBdr>
                        </w:div>
                        <w:div w:id="1922567515">
                          <w:marLeft w:val="0"/>
                          <w:marRight w:val="0"/>
                          <w:marTop w:val="0"/>
                          <w:marBottom w:val="0"/>
                          <w:divBdr>
                            <w:top w:val="none" w:sz="0" w:space="0" w:color="auto"/>
                            <w:left w:val="none" w:sz="0" w:space="0" w:color="auto"/>
                            <w:bottom w:val="none" w:sz="0" w:space="0" w:color="auto"/>
                            <w:right w:val="none" w:sz="0" w:space="0" w:color="auto"/>
                          </w:divBdr>
                        </w:div>
                        <w:div w:id="1774396965">
                          <w:marLeft w:val="1440"/>
                          <w:marRight w:val="144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ifg+group&amp;source=images&amp;cd=&amp;cad=rja&amp;docid=lhXDv-5RNtmMIM&amp;tbnid=vI_xKrB0IlHegM:&amp;ved=0CAUQjRw&amp;url=http://www.solgari.com/case-studies/blog/bid/148545/IFG-Group-Plc-Uses-Solgari-Hosted-PBX&amp;ei=B5oLUuPECciihgf__YGIDg&amp;bvm=bv.50723672,d.ZGU&amp;psig=AFQjCNGgAd02ZwIcN5mTQ0aleO0Af0BCpw&amp;ust=137657843769722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2017-07-28T09:24:07+00:00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FAEDD-A323-4E88-8631-00D8107B10B5}"/>
</file>

<file path=customXml/itemProps2.xml><?xml version="1.0" encoding="utf-8"?>
<ds:datastoreItem xmlns:ds="http://schemas.openxmlformats.org/officeDocument/2006/customXml" ds:itemID="{D1FB6FDD-AFAE-4BB1-B45B-ABECAD3E0CED}"/>
</file>

<file path=customXml/itemProps3.xml><?xml version="1.0" encoding="utf-8"?>
<ds:datastoreItem xmlns:ds="http://schemas.openxmlformats.org/officeDocument/2006/customXml" ds:itemID="{A682FA61-18D1-4DE3-8268-1B47F83A6272}"/>
</file>

<file path=docProps/app.xml><?xml version="1.0" encoding="utf-8"?>
<Properties xmlns="http://schemas.openxmlformats.org/officeDocument/2006/extended-properties" xmlns:vt="http://schemas.openxmlformats.org/officeDocument/2006/docPropsVTypes">
  <Template>Normal</Template>
  <TotalTime>168</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FTI Consulting</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Ewart, Laura</dc:creator>
  <cp:lastModifiedBy>Moore, Nicola</cp:lastModifiedBy>
  <cp:revision>7</cp:revision>
  <cp:lastPrinted>2014-08-15T14:24:00Z</cp:lastPrinted>
  <dcterms:created xsi:type="dcterms:W3CDTF">2017-07-10T10:04:00Z</dcterms:created>
  <dcterms:modified xsi:type="dcterms:W3CDTF">2017-07-28T10:12:00Z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RNS Announcement</vt:lpwstr>
  </property>
  <property fmtid="{D5CDD505-2E9C-101B-9397-08002B2CF9AE}" pid="4" name="SendToWeb">
    <vt:bool>false</vt:bool>
  </property>
  <property fmtid="{D5CDD505-2E9C-101B-9397-08002B2CF9AE}" pid="5" name="Visible">
    <vt:bool>false</vt:bool>
  </property>
  <property fmtid="{D5CDD505-2E9C-101B-9397-08002B2CF9AE}" pid="6" name="DocType_Miscellaneous">
    <vt:lpwstr>Miscellaneous</vt:lpwstr>
  </property>
  <property fmtid="{D5CDD505-2E9C-101B-9397-08002B2CF9AE}" pid="7" name="IssuerID">
    <vt:lpwstr/>
  </property>
  <property fmtid="{D5CDD505-2E9C-101B-9397-08002B2CF9AE}" pid="8" name="JobContentType">
    <vt:lpwstr/>
  </property>
  <property fmtid="{D5CDD505-2E9C-101B-9397-08002B2CF9AE}" pid="9" name="MediaServiceImageTags">
    <vt:lpwstr/>
  </property>
  <property fmtid="{D5CDD505-2E9C-101B-9397-08002B2CF9AE}" pid="10" name="Organisation">
    <vt:lpwstr/>
  </property>
  <property fmtid="{D5CDD505-2E9C-101B-9397-08002B2CF9AE}" pid="11" name="JobType">
    <vt:lpwstr/>
  </property>
  <property fmtid="{D5CDD505-2E9C-101B-9397-08002B2CF9AE}" pid="12" name="Contact">
    <vt:lpwstr/>
  </property>
  <property fmtid="{D5CDD505-2E9C-101B-9397-08002B2CF9AE}" pid="13" name="IssuerName">
    <vt:lpwstr/>
  </property>
</Properties>
</file>