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46C07" w:rsidRDefault="009E66B8" w:rsidP="004C4ECA">
      <w:pPr>
        <w:rPr>
          <w:rFonts w:ascii="Arial" w:eastAsia="Times New Roman" w:hAnsi="Arial" w:cs="Arial"/>
          <w:bCs/>
          <w:color w:val="808080" w:themeColor="background1" w:themeShade="80"/>
          <w:sz w:val="32"/>
          <w:lang w:val="en-IE"/>
        </w:rPr>
      </w:pPr>
      <w:bookmarkStart w:id="0" w:name="_Toc255821605"/>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Pr>
          <w:rFonts w:ascii="Arial" w:eastAsia="Times New Roman" w:hAnsi="Arial" w:cs="Arial"/>
          <w:bCs/>
          <w:color w:val="808080" w:themeColor="background1" w:themeShade="80"/>
          <w:sz w:val="32"/>
          <w:lang w:val="en-IE"/>
        </w:rPr>
        <w:tab/>
      </w:r>
      <w:r w:rsidR="00D82D69">
        <w:rPr>
          <w:rFonts w:ascii="Arial" w:eastAsia="Times New Roman" w:hAnsi="Arial" w:cs="Arial"/>
          <w:bCs/>
          <w:color w:val="808080" w:themeColor="background1" w:themeShade="80"/>
          <w:sz w:val="32"/>
          <w:lang w:val="en-IE"/>
        </w:rPr>
        <w:t xml:space="preserve">      </w:t>
      </w:r>
      <w:r w:rsidR="00CF1D9D">
        <w:rPr>
          <w:rFonts w:ascii="Arial" w:eastAsia="Times New Roman" w:hAnsi="Arial" w:cs="Arial"/>
          <w:bCs/>
          <w:color w:val="808080" w:themeColor="background1" w:themeShade="80"/>
          <w:sz w:val="32"/>
          <w:lang w:val="en-IE"/>
        </w:rPr>
        <w:t xml:space="preserve">    </w:t>
      </w:r>
      <w:r w:rsidR="00AA645D" w:rsidRPr="001B1861">
        <w:rPr>
          <w:rFonts w:ascii="Arial" w:hAnsi="Arial" w:cs="Arial"/>
          <w:b/>
          <w:noProof/>
          <w:color w:val="1F497D" w:themeColor="text2"/>
          <w:sz w:val="24"/>
          <w:szCs w:val="24"/>
          <w:lang w:eastAsia="en-GB"/>
        </w:rPr>
        <w:drawing>
          <wp:inline distT="0" distB="0" distL="0" distR="0" wp14:anchorId="2CCAC04F" wp14:editId="794050C4">
            <wp:extent cx="1301443"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15261" cy="375419"/>
                    </a:xfrm>
                    <a:prstGeom prst="rect">
                      <a:avLst/>
                    </a:prstGeom>
                    <a:noFill/>
                    <a:ln w="9525">
                      <a:noFill/>
                      <a:miter lim="800000"/>
                      <a:headEnd/>
                      <a:tailEnd/>
                    </a:ln>
                  </pic:spPr>
                </pic:pic>
              </a:graphicData>
            </a:graphic>
          </wp:inline>
        </w:drawing>
      </w:r>
    </w:p>
    <w:p w:rsidR="009E66B8" w:rsidRPr="00CF7773" w:rsidRDefault="009E66B8" w:rsidP="009E66B8">
      <w:pPr>
        <w:spacing w:after="0" w:line="360" w:lineRule="auto"/>
        <w:ind w:right="-541"/>
        <w:jc w:val="center"/>
        <w:rPr>
          <w:rFonts w:ascii="Arial" w:hAnsi="Arial" w:cs="Arial"/>
          <w:b/>
          <w:color w:val="1F497D" w:themeColor="text2"/>
          <w:sz w:val="28"/>
          <w:szCs w:val="28"/>
        </w:rPr>
      </w:pPr>
      <w:r w:rsidRPr="00CF7773">
        <w:rPr>
          <w:rFonts w:ascii="Arial" w:hAnsi="Arial" w:cs="Arial"/>
          <w:b/>
          <w:color w:val="1F497D" w:themeColor="text2"/>
          <w:sz w:val="28"/>
          <w:szCs w:val="28"/>
        </w:rPr>
        <w:t>IFG Group plc</w:t>
      </w:r>
    </w:p>
    <w:p w:rsidR="00A85424" w:rsidRPr="00B61833" w:rsidRDefault="009E66B8" w:rsidP="00A50753">
      <w:pPr>
        <w:spacing w:after="0" w:line="360" w:lineRule="auto"/>
        <w:ind w:right="-541"/>
        <w:jc w:val="center"/>
        <w:rPr>
          <w:rFonts w:ascii="Arial" w:hAnsi="Arial" w:cs="Arial"/>
          <w:b/>
          <w:color w:val="1F497D" w:themeColor="text2"/>
          <w:sz w:val="20"/>
          <w:szCs w:val="20"/>
        </w:rPr>
      </w:pPr>
      <w:r w:rsidRPr="00CF7773">
        <w:rPr>
          <w:rFonts w:ascii="Arial" w:hAnsi="Arial" w:cs="Arial"/>
          <w:b/>
          <w:color w:val="1F497D" w:themeColor="text2"/>
          <w:sz w:val="28"/>
          <w:szCs w:val="28"/>
        </w:rPr>
        <w:t>Preliminary statement of results for the year ended 31 December 201</w:t>
      </w:r>
      <w:r w:rsidR="00052021">
        <w:rPr>
          <w:rFonts w:ascii="Arial" w:hAnsi="Arial" w:cs="Arial"/>
          <w:b/>
          <w:color w:val="1F497D" w:themeColor="text2"/>
          <w:sz w:val="28"/>
          <w:szCs w:val="28"/>
        </w:rPr>
        <w:t>7</w:t>
      </w:r>
    </w:p>
    <w:p w:rsidR="00A85424" w:rsidRDefault="00A85424" w:rsidP="00BE6E45">
      <w:pPr>
        <w:pStyle w:val="Heading1"/>
        <w:tabs>
          <w:tab w:val="left" w:pos="3780"/>
          <w:tab w:val="left" w:pos="5400"/>
        </w:tabs>
        <w:spacing w:before="0" w:line="240" w:lineRule="auto"/>
        <w:rPr>
          <w:rFonts w:ascii="Arial" w:eastAsia="Times New Roman" w:hAnsi="Arial" w:cs="Arial"/>
          <w:color w:val="1F497D" w:themeColor="text2"/>
          <w:sz w:val="20"/>
          <w:szCs w:val="20"/>
          <w:lang w:val="en-IE"/>
        </w:rPr>
      </w:pPr>
    </w:p>
    <w:p w:rsidR="009E66B8" w:rsidRPr="00CF7773" w:rsidRDefault="00DC0794" w:rsidP="00BE6E45">
      <w:pPr>
        <w:pStyle w:val="Heading1"/>
        <w:tabs>
          <w:tab w:val="left" w:pos="3780"/>
          <w:tab w:val="left" w:pos="5400"/>
        </w:tabs>
        <w:spacing w:before="0" w:line="240" w:lineRule="auto"/>
        <w:rPr>
          <w:rFonts w:ascii="Arial" w:eastAsia="Times New Roman" w:hAnsi="Arial" w:cs="Arial"/>
          <w:color w:val="1F497D" w:themeColor="text2"/>
          <w:sz w:val="20"/>
          <w:szCs w:val="20"/>
          <w:lang w:val="en-IE"/>
        </w:rPr>
      </w:pPr>
      <w:r>
        <w:rPr>
          <w:rFonts w:ascii="Arial" w:eastAsia="Times New Roman" w:hAnsi="Arial" w:cs="Arial"/>
          <w:color w:val="1F497D" w:themeColor="text2"/>
          <w:sz w:val="20"/>
          <w:szCs w:val="20"/>
          <w:lang w:val="en-IE"/>
        </w:rPr>
        <w:t>Strategic</w:t>
      </w:r>
      <w:r w:rsidR="009E66B8" w:rsidRPr="00CF7773">
        <w:rPr>
          <w:rFonts w:ascii="Arial" w:eastAsia="Times New Roman" w:hAnsi="Arial" w:cs="Arial"/>
          <w:color w:val="1F497D" w:themeColor="text2"/>
          <w:sz w:val="20"/>
          <w:szCs w:val="20"/>
          <w:lang w:val="en-IE"/>
        </w:rPr>
        <w:t xml:space="preserve"> Highlights</w:t>
      </w:r>
    </w:p>
    <w:p w:rsidR="002037D9" w:rsidRDefault="002037D9" w:rsidP="002037D9">
      <w:pPr>
        <w:rPr>
          <w:b/>
          <w:lang w:val="en-IE"/>
        </w:rPr>
      </w:pPr>
    </w:p>
    <w:p w:rsidR="002037D9" w:rsidRPr="008E44ED" w:rsidRDefault="002037D9" w:rsidP="002037D9">
      <w:pPr>
        <w:rPr>
          <w:b/>
          <w:lang w:val="en-IE"/>
        </w:rPr>
      </w:pPr>
      <w:r w:rsidRPr="008E44ED">
        <w:rPr>
          <w:b/>
          <w:lang w:val="en-IE"/>
        </w:rPr>
        <w:t>Group</w:t>
      </w:r>
    </w:p>
    <w:p w:rsidR="00E55CB1" w:rsidRDefault="002037D9" w:rsidP="00217692">
      <w:pPr>
        <w:numPr>
          <w:ilvl w:val="0"/>
          <w:numId w:val="78"/>
        </w:numPr>
        <w:spacing w:after="0" w:line="360" w:lineRule="auto"/>
        <w:ind w:left="714" w:hanging="357"/>
        <w:rPr>
          <w:rFonts w:ascii="Arial" w:hAnsi="Arial" w:cs="Arial"/>
          <w:sz w:val="18"/>
          <w:szCs w:val="18"/>
        </w:rPr>
      </w:pPr>
      <w:r w:rsidRPr="00217692">
        <w:rPr>
          <w:rFonts w:ascii="Arial" w:hAnsi="Arial" w:cs="Arial"/>
          <w:color w:val="000000"/>
          <w:spacing w:val="-2"/>
          <w:sz w:val="18"/>
          <w:szCs w:val="18"/>
        </w:rPr>
        <w:t xml:space="preserve">Strong underlying performance in both </w:t>
      </w:r>
      <w:r w:rsidRPr="00217692">
        <w:rPr>
          <w:rFonts w:ascii="Arial" w:hAnsi="Arial" w:cs="Arial"/>
          <w:sz w:val="18"/>
          <w:szCs w:val="18"/>
        </w:rPr>
        <w:t xml:space="preserve">James Hay and Saunderson House </w:t>
      </w:r>
      <w:r w:rsidRPr="00217692">
        <w:rPr>
          <w:rFonts w:ascii="Arial" w:hAnsi="Arial" w:cs="Arial"/>
          <w:color w:val="000000"/>
          <w:spacing w:val="-2"/>
          <w:sz w:val="18"/>
          <w:szCs w:val="18"/>
        </w:rPr>
        <w:t>in 2017</w:t>
      </w:r>
    </w:p>
    <w:p w:rsidR="002037D9" w:rsidRPr="00617E9F" w:rsidRDefault="002037D9" w:rsidP="00217692">
      <w:pPr>
        <w:numPr>
          <w:ilvl w:val="0"/>
          <w:numId w:val="78"/>
        </w:numPr>
        <w:spacing w:after="0" w:line="360" w:lineRule="auto"/>
        <w:ind w:left="714" w:hanging="357"/>
        <w:rPr>
          <w:rFonts w:ascii="Arial" w:hAnsi="Arial" w:cs="Arial"/>
          <w:sz w:val="18"/>
          <w:szCs w:val="18"/>
        </w:rPr>
      </w:pPr>
      <w:r w:rsidRPr="00617E9F">
        <w:rPr>
          <w:rFonts w:ascii="Arial" w:hAnsi="Arial" w:cs="Arial"/>
          <w:sz w:val="18"/>
          <w:szCs w:val="18"/>
        </w:rPr>
        <w:t xml:space="preserve">Growth in fee revenue, clients and assets under administration and advice </w:t>
      </w:r>
      <w:r w:rsidR="009103CC" w:rsidRPr="00617E9F">
        <w:rPr>
          <w:rFonts w:ascii="Arial" w:hAnsi="Arial" w:cs="Arial"/>
          <w:sz w:val="18"/>
          <w:szCs w:val="18"/>
        </w:rPr>
        <w:t>underpins</w:t>
      </w:r>
      <w:r w:rsidRPr="00617E9F">
        <w:rPr>
          <w:rFonts w:ascii="Arial" w:hAnsi="Arial" w:cs="Arial"/>
          <w:sz w:val="18"/>
          <w:szCs w:val="18"/>
        </w:rPr>
        <w:t xml:space="preserve"> future embedded value   </w:t>
      </w:r>
    </w:p>
    <w:p w:rsidR="002037D9" w:rsidRDefault="002037D9" w:rsidP="002037D9">
      <w:pPr>
        <w:numPr>
          <w:ilvl w:val="0"/>
          <w:numId w:val="78"/>
        </w:numPr>
        <w:spacing w:after="0" w:line="360" w:lineRule="auto"/>
        <w:ind w:left="714" w:hanging="357"/>
        <w:rPr>
          <w:rFonts w:ascii="Arial" w:hAnsi="Arial" w:cs="Arial"/>
          <w:sz w:val="18"/>
          <w:szCs w:val="18"/>
        </w:rPr>
      </w:pPr>
      <w:r w:rsidRPr="006010C1">
        <w:rPr>
          <w:rFonts w:ascii="Arial" w:hAnsi="Arial" w:cs="Arial"/>
          <w:sz w:val="18"/>
          <w:szCs w:val="18"/>
        </w:rPr>
        <w:t>Total assets under administration and advice at year end up 1</w:t>
      </w:r>
      <w:r>
        <w:rPr>
          <w:rFonts w:ascii="Arial" w:hAnsi="Arial" w:cs="Arial"/>
          <w:sz w:val="18"/>
          <w:szCs w:val="18"/>
        </w:rPr>
        <w:t>5</w:t>
      </w:r>
      <w:r w:rsidRPr="006010C1">
        <w:rPr>
          <w:rFonts w:ascii="Arial" w:hAnsi="Arial" w:cs="Arial"/>
          <w:sz w:val="18"/>
          <w:szCs w:val="18"/>
        </w:rPr>
        <w:t>% to £</w:t>
      </w:r>
      <w:r>
        <w:rPr>
          <w:rFonts w:ascii="Arial" w:hAnsi="Arial" w:cs="Arial"/>
          <w:sz w:val="18"/>
          <w:szCs w:val="18"/>
        </w:rPr>
        <w:t>30.6</w:t>
      </w:r>
      <w:r w:rsidRPr="006010C1">
        <w:rPr>
          <w:rFonts w:ascii="Arial" w:hAnsi="Arial" w:cs="Arial"/>
          <w:sz w:val="18"/>
          <w:szCs w:val="18"/>
        </w:rPr>
        <w:t xml:space="preserve"> billion (201</w:t>
      </w:r>
      <w:r>
        <w:rPr>
          <w:rFonts w:ascii="Arial" w:hAnsi="Arial" w:cs="Arial"/>
          <w:sz w:val="18"/>
          <w:szCs w:val="18"/>
        </w:rPr>
        <w:t>6</w:t>
      </w:r>
      <w:r w:rsidRPr="006010C1">
        <w:rPr>
          <w:rFonts w:ascii="Arial" w:hAnsi="Arial" w:cs="Arial"/>
          <w:sz w:val="18"/>
          <w:szCs w:val="18"/>
        </w:rPr>
        <w:t>: £2</w:t>
      </w:r>
      <w:r>
        <w:rPr>
          <w:rFonts w:ascii="Arial" w:hAnsi="Arial" w:cs="Arial"/>
          <w:sz w:val="18"/>
          <w:szCs w:val="18"/>
        </w:rPr>
        <w:t>6</w:t>
      </w:r>
      <w:r w:rsidRPr="006010C1">
        <w:rPr>
          <w:rFonts w:ascii="Arial" w:hAnsi="Arial" w:cs="Arial"/>
          <w:sz w:val="18"/>
          <w:szCs w:val="18"/>
        </w:rPr>
        <w:t>.</w:t>
      </w:r>
      <w:r>
        <w:rPr>
          <w:rFonts w:ascii="Arial" w:hAnsi="Arial" w:cs="Arial"/>
          <w:sz w:val="18"/>
          <w:szCs w:val="18"/>
        </w:rPr>
        <w:t>7</w:t>
      </w:r>
      <w:r w:rsidRPr="006010C1">
        <w:rPr>
          <w:rFonts w:ascii="Arial" w:hAnsi="Arial" w:cs="Arial"/>
          <w:sz w:val="18"/>
          <w:szCs w:val="18"/>
        </w:rPr>
        <w:t xml:space="preserve"> billion)</w:t>
      </w:r>
    </w:p>
    <w:p w:rsidR="002037D9"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Focus on the resolution of legacy matters has resulted in increased exceptional costs</w:t>
      </w:r>
      <w:r w:rsidR="009103CC">
        <w:rPr>
          <w:rFonts w:ascii="Arial" w:hAnsi="Arial" w:cs="Arial"/>
          <w:sz w:val="18"/>
          <w:szCs w:val="18"/>
        </w:rPr>
        <w:t xml:space="preserve"> </w:t>
      </w:r>
      <w:r w:rsidR="00DF0135">
        <w:rPr>
          <w:rFonts w:ascii="Arial" w:hAnsi="Arial" w:cs="Arial"/>
          <w:sz w:val="18"/>
          <w:szCs w:val="18"/>
        </w:rPr>
        <w:t>of</w:t>
      </w:r>
      <w:r w:rsidR="00346D14">
        <w:rPr>
          <w:rFonts w:ascii="Arial" w:hAnsi="Arial" w:cs="Arial"/>
          <w:sz w:val="18"/>
          <w:szCs w:val="18"/>
        </w:rPr>
        <w:t xml:space="preserve"> </w:t>
      </w:r>
      <w:r>
        <w:rPr>
          <w:rFonts w:ascii="Arial" w:hAnsi="Arial" w:cs="Arial"/>
          <w:sz w:val="18"/>
          <w:szCs w:val="18"/>
        </w:rPr>
        <w:t>£8.8 million (2016: £1.7 million), which ha</w:t>
      </w:r>
      <w:r w:rsidR="00346D14">
        <w:rPr>
          <w:rFonts w:ascii="Arial" w:hAnsi="Arial" w:cs="Arial"/>
          <w:sz w:val="18"/>
          <w:szCs w:val="18"/>
        </w:rPr>
        <w:t>s</w:t>
      </w:r>
      <w:r w:rsidR="00C374C2">
        <w:rPr>
          <w:rFonts w:ascii="Arial" w:hAnsi="Arial" w:cs="Arial"/>
          <w:sz w:val="18"/>
          <w:szCs w:val="18"/>
        </w:rPr>
        <w:t xml:space="preserve"> </w:t>
      </w:r>
      <w:r w:rsidR="00346D14">
        <w:rPr>
          <w:rFonts w:ascii="Arial" w:hAnsi="Arial" w:cs="Arial"/>
          <w:sz w:val="18"/>
          <w:szCs w:val="18"/>
        </w:rPr>
        <w:t>offset</w:t>
      </w:r>
      <w:r w:rsidR="00E55CB1">
        <w:rPr>
          <w:rFonts w:ascii="Arial" w:hAnsi="Arial" w:cs="Arial"/>
          <w:sz w:val="18"/>
          <w:szCs w:val="18"/>
        </w:rPr>
        <w:t xml:space="preserve"> </w:t>
      </w:r>
      <w:r>
        <w:rPr>
          <w:rFonts w:ascii="Arial" w:hAnsi="Arial" w:cs="Arial"/>
          <w:sz w:val="18"/>
          <w:szCs w:val="18"/>
        </w:rPr>
        <w:t>the underlying performance of the business in 2017</w:t>
      </w:r>
    </w:p>
    <w:p w:rsidR="002037D9"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Considering disposal of Saunderson House if accelerated Shareholder value can be achieved</w:t>
      </w:r>
    </w:p>
    <w:p w:rsidR="00346D14" w:rsidRDefault="00346D14" w:rsidP="002037D9">
      <w:pPr>
        <w:spacing w:after="0" w:line="360" w:lineRule="auto"/>
        <w:rPr>
          <w:rFonts w:ascii="Arial" w:hAnsi="Arial" w:cs="Arial"/>
          <w:b/>
          <w:sz w:val="18"/>
          <w:szCs w:val="18"/>
        </w:rPr>
      </w:pPr>
    </w:p>
    <w:p w:rsidR="002037D9" w:rsidRPr="008E44ED" w:rsidRDefault="002037D9" w:rsidP="002037D9">
      <w:pPr>
        <w:spacing w:after="0" w:line="360" w:lineRule="auto"/>
        <w:rPr>
          <w:rFonts w:ascii="Arial" w:hAnsi="Arial" w:cs="Arial"/>
          <w:b/>
          <w:sz w:val="18"/>
          <w:szCs w:val="18"/>
        </w:rPr>
      </w:pPr>
      <w:r w:rsidRPr="008E44ED">
        <w:rPr>
          <w:rFonts w:ascii="Arial" w:hAnsi="Arial" w:cs="Arial"/>
          <w:b/>
          <w:sz w:val="18"/>
          <w:szCs w:val="18"/>
        </w:rPr>
        <w:t>James Hay</w:t>
      </w:r>
    </w:p>
    <w:p w:rsidR="002037D9" w:rsidRPr="006010C1"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N</w:t>
      </w:r>
      <w:r w:rsidRPr="006010C1">
        <w:rPr>
          <w:rFonts w:ascii="Arial" w:hAnsi="Arial" w:cs="Arial"/>
          <w:sz w:val="18"/>
          <w:szCs w:val="18"/>
        </w:rPr>
        <w:t xml:space="preserve">et </w:t>
      </w:r>
      <w:r>
        <w:rPr>
          <w:rFonts w:ascii="Arial" w:hAnsi="Arial" w:cs="Arial"/>
          <w:sz w:val="18"/>
          <w:szCs w:val="18"/>
        </w:rPr>
        <w:t>in</w:t>
      </w:r>
      <w:r w:rsidRPr="006010C1">
        <w:rPr>
          <w:rFonts w:ascii="Arial" w:hAnsi="Arial" w:cs="Arial"/>
          <w:sz w:val="18"/>
          <w:szCs w:val="18"/>
        </w:rPr>
        <w:t>flows of £</w:t>
      </w:r>
      <w:r>
        <w:rPr>
          <w:rFonts w:ascii="Arial" w:hAnsi="Arial" w:cs="Arial"/>
          <w:sz w:val="18"/>
          <w:szCs w:val="18"/>
        </w:rPr>
        <w:t>3</w:t>
      </w:r>
      <w:r w:rsidRPr="006010C1">
        <w:rPr>
          <w:rFonts w:ascii="Arial" w:hAnsi="Arial" w:cs="Arial"/>
          <w:sz w:val="18"/>
          <w:szCs w:val="18"/>
        </w:rPr>
        <w:t>.</w:t>
      </w:r>
      <w:r>
        <w:rPr>
          <w:rFonts w:ascii="Arial" w:hAnsi="Arial" w:cs="Arial"/>
          <w:sz w:val="18"/>
          <w:szCs w:val="18"/>
        </w:rPr>
        <w:t>4</w:t>
      </w:r>
      <w:r w:rsidRPr="006010C1">
        <w:rPr>
          <w:rFonts w:ascii="Arial" w:hAnsi="Arial" w:cs="Arial"/>
          <w:sz w:val="18"/>
          <w:szCs w:val="18"/>
        </w:rPr>
        <w:t xml:space="preserve"> billion (201</w:t>
      </w:r>
      <w:r>
        <w:rPr>
          <w:rFonts w:ascii="Arial" w:hAnsi="Arial" w:cs="Arial"/>
          <w:sz w:val="18"/>
          <w:szCs w:val="18"/>
        </w:rPr>
        <w:t>6</w:t>
      </w:r>
      <w:r w:rsidRPr="006010C1">
        <w:rPr>
          <w:rFonts w:ascii="Arial" w:hAnsi="Arial" w:cs="Arial"/>
          <w:sz w:val="18"/>
          <w:szCs w:val="18"/>
        </w:rPr>
        <w:t>: £</w:t>
      </w:r>
      <w:r>
        <w:rPr>
          <w:rFonts w:ascii="Arial" w:hAnsi="Arial" w:cs="Arial"/>
          <w:sz w:val="18"/>
          <w:szCs w:val="18"/>
        </w:rPr>
        <w:t>2</w:t>
      </w:r>
      <w:r w:rsidRPr="006010C1">
        <w:rPr>
          <w:rFonts w:ascii="Arial" w:hAnsi="Arial" w:cs="Arial"/>
          <w:sz w:val="18"/>
          <w:szCs w:val="18"/>
        </w:rPr>
        <w:t>.</w:t>
      </w:r>
      <w:r>
        <w:rPr>
          <w:rFonts w:ascii="Arial" w:hAnsi="Arial" w:cs="Arial"/>
          <w:sz w:val="18"/>
          <w:szCs w:val="18"/>
        </w:rPr>
        <w:t>6</w:t>
      </w:r>
      <w:r w:rsidRPr="006010C1">
        <w:rPr>
          <w:rFonts w:ascii="Arial" w:hAnsi="Arial" w:cs="Arial"/>
          <w:sz w:val="18"/>
          <w:szCs w:val="18"/>
        </w:rPr>
        <w:t xml:space="preserve"> billion), with assets under administration up 1</w:t>
      </w:r>
      <w:r>
        <w:rPr>
          <w:rFonts w:ascii="Arial" w:hAnsi="Arial" w:cs="Arial"/>
          <w:sz w:val="18"/>
          <w:szCs w:val="18"/>
        </w:rPr>
        <w:t>5</w:t>
      </w:r>
      <w:r w:rsidRPr="006010C1">
        <w:rPr>
          <w:rFonts w:ascii="Arial" w:hAnsi="Arial" w:cs="Arial"/>
          <w:sz w:val="18"/>
          <w:szCs w:val="18"/>
        </w:rPr>
        <w:t>% to £2</w:t>
      </w:r>
      <w:r>
        <w:rPr>
          <w:rFonts w:ascii="Arial" w:hAnsi="Arial" w:cs="Arial"/>
          <w:sz w:val="18"/>
          <w:szCs w:val="18"/>
        </w:rPr>
        <w:t>5</w:t>
      </w:r>
      <w:r w:rsidRPr="006010C1">
        <w:rPr>
          <w:rFonts w:ascii="Arial" w:hAnsi="Arial" w:cs="Arial"/>
          <w:sz w:val="18"/>
          <w:szCs w:val="18"/>
        </w:rPr>
        <w:t>.</w:t>
      </w:r>
      <w:r>
        <w:rPr>
          <w:rFonts w:ascii="Arial" w:hAnsi="Arial" w:cs="Arial"/>
          <w:sz w:val="18"/>
          <w:szCs w:val="18"/>
        </w:rPr>
        <w:t>5</w:t>
      </w:r>
      <w:r w:rsidRPr="006010C1">
        <w:rPr>
          <w:rFonts w:ascii="Arial" w:hAnsi="Arial" w:cs="Arial"/>
          <w:sz w:val="18"/>
          <w:szCs w:val="18"/>
        </w:rPr>
        <w:t xml:space="preserve"> billion (201</w:t>
      </w:r>
      <w:r>
        <w:rPr>
          <w:rFonts w:ascii="Arial" w:hAnsi="Arial" w:cs="Arial"/>
          <w:sz w:val="18"/>
          <w:szCs w:val="18"/>
        </w:rPr>
        <w:t>6</w:t>
      </w:r>
      <w:r w:rsidRPr="006010C1">
        <w:rPr>
          <w:rFonts w:ascii="Arial" w:hAnsi="Arial" w:cs="Arial"/>
          <w:sz w:val="18"/>
          <w:szCs w:val="18"/>
        </w:rPr>
        <w:t>: £</w:t>
      </w:r>
      <w:r>
        <w:rPr>
          <w:rFonts w:ascii="Arial" w:hAnsi="Arial" w:cs="Arial"/>
          <w:sz w:val="18"/>
          <w:szCs w:val="18"/>
        </w:rPr>
        <w:t>22.1</w:t>
      </w:r>
      <w:r w:rsidRPr="006010C1">
        <w:rPr>
          <w:rFonts w:ascii="Arial" w:hAnsi="Arial" w:cs="Arial"/>
          <w:sz w:val="18"/>
          <w:szCs w:val="18"/>
        </w:rPr>
        <w:t xml:space="preserve"> billion)</w:t>
      </w:r>
    </w:p>
    <w:p w:rsidR="002037D9"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F</w:t>
      </w:r>
      <w:r w:rsidRPr="006010C1">
        <w:rPr>
          <w:rFonts w:ascii="Arial" w:hAnsi="Arial" w:cs="Arial"/>
          <w:sz w:val="18"/>
          <w:szCs w:val="18"/>
        </w:rPr>
        <w:t>lagship MiPlan product now represents 4</w:t>
      </w:r>
      <w:r>
        <w:rPr>
          <w:rFonts w:ascii="Arial" w:hAnsi="Arial" w:cs="Arial"/>
          <w:sz w:val="18"/>
          <w:szCs w:val="18"/>
        </w:rPr>
        <w:t>9</w:t>
      </w:r>
      <w:r w:rsidRPr="006010C1">
        <w:rPr>
          <w:rFonts w:ascii="Arial" w:hAnsi="Arial" w:cs="Arial"/>
          <w:sz w:val="18"/>
          <w:szCs w:val="18"/>
        </w:rPr>
        <w:t>% of the James Hay assets under administration</w:t>
      </w:r>
    </w:p>
    <w:p w:rsidR="002037D9" w:rsidRPr="002F4D4A" w:rsidRDefault="00A431F6" w:rsidP="002037D9">
      <w:pPr>
        <w:numPr>
          <w:ilvl w:val="0"/>
          <w:numId w:val="78"/>
        </w:numPr>
        <w:spacing w:after="0" w:line="360" w:lineRule="auto"/>
        <w:ind w:left="714" w:hanging="357"/>
        <w:rPr>
          <w:rFonts w:ascii="Arial" w:hAnsi="Arial" w:cs="Arial"/>
          <w:sz w:val="18"/>
          <w:szCs w:val="18"/>
        </w:rPr>
      </w:pPr>
      <w:r w:rsidRPr="002F4D4A">
        <w:rPr>
          <w:rFonts w:ascii="Arial" w:hAnsi="Arial" w:cs="Arial"/>
          <w:sz w:val="18"/>
          <w:szCs w:val="18"/>
        </w:rPr>
        <w:t>More than 6,100 new clients added</w:t>
      </w:r>
      <w:r>
        <w:rPr>
          <w:rFonts w:ascii="Arial" w:hAnsi="Arial" w:cs="Arial"/>
          <w:sz w:val="18"/>
          <w:szCs w:val="18"/>
        </w:rPr>
        <w:t xml:space="preserve"> </w:t>
      </w:r>
    </w:p>
    <w:p w:rsidR="002037D9"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 xml:space="preserve">Pricing changes </w:t>
      </w:r>
      <w:r w:rsidR="009103CC">
        <w:rPr>
          <w:rFonts w:ascii="Arial" w:hAnsi="Arial" w:cs="Arial"/>
          <w:sz w:val="18"/>
          <w:szCs w:val="18"/>
        </w:rPr>
        <w:t>undertaken in H2 2017</w:t>
      </w:r>
      <w:r>
        <w:rPr>
          <w:rFonts w:ascii="Arial" w:hAnsi="Arial" w:cs="Arial"/>
          <w:sz w:val="18"/>
          <w:szCs w:val="18"/>
        </w:rPr>
        <w:t xml:space="preserve"> provide a fairer charging structure and underpin a more predictable profit trajectory, reducing historic</w:t>
      </w:r>
      <w:r w:rsidR="009103CC">
        <w:rPr>
          <w:rFonts w:ascii="Arial" w:hAnsi="Arial" w:cs="Arial"/>
          <w:sz w:val="18"/>
          <w:szCs w:val="18"/>
        </w:rPr>
        <w:t>al</w:t>
      </w:r>
      <w:r>
        <w:rPr>
          <w:rFonts w:ascii="Arial" w:hAnsi="Arial" w:cs="Arial"/>
          <w:sz w:val="18"/>
          <w:szCs w:val="18"/>
        </w:rPr>
        <w:t xml:space="preserve"> over-reliance on interest income</w:t>
      </w:r>
    </w:p>
    <w:p w:rsidR="00346D14" w:rsidRDefault="00346D14" w:rsidP="002037D9">
      <w:pPr>
        <w:spacing w:after="0" w:line="360" w:lineRule="auto"/>
        <w:rPr>
          <w:rFonts w:ascii="Arial" w:hAnsi="Arial" w:cs="Arial"/>
          <w:b/>
          <w:sz w:val="18"/>
          <w:szCs w:val="18"/>
        </w:rPr>
      </w:pPr>
    </w:p>
    <w:p w:rsidR="002037D9" w:rsidRPr="008E44ED" w:rsidRDefault="002037D9" w:rsidP="002037D9">
      <w:pPr>
        <w:spacing w:after="0" w:line="360" w:lineRule="auto"/>
        <w:rPr>
          <w:rFonts w:ascii="Arial" w:hAnsi="Arial" w:cs="Arial"/>
          <w:b/>
          <w:sz w:val="18"/>
          <w:szCs w:val="18"/>
        </w:rPr>
      </w:pPr>
      <w:r w:rsidRPr="008E44ED">
        <w:rPr>
          <w:rFonts w:ascii="Arial" w:hAnsi="Arial" w:cs="Arial"/>
          <w:b/>
          <w:sz w:val="18"/>
          <w:szCs w:val="18"/>
        </w:rPr>
        <w:t>Saunderson House</w:t>
      </w:r>
    </w:p>
    <w:p w:rsidR="002037D9" w:rsidRPr="006010C1"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A</w:t>
      </w:r>
      <w:r w:rsidRPr="006010C1">
        <w:rPr>
          <w:rFonts w:ascii="Arial" w:hAnsi="Arial" w:cs="Arial"/>
          <w:sz w:val="18"/>
          <w:szCs w:val="18"/>
        </w:rPr>
        <w:t>ssets under advice grew by 1</w:t>
      </w:r>
      <w:r>
        <w:rPr>
          <w:rFonts w:ascii="Arial" w:hAnsi="Arial" w:cs="Arial"/>
          <w:sz w:val="18"/>
          <w:szCs w:val="18"/>
        </w:rPr>
        <w:t>1</w:t>
      </w:r>
      <w:r w:rsidRPr="006010C1">
        <w:rPr>
          <w:rFonts w:ascii="Arial" w:hAnsi="Arial" w:cs="Arial"/>
          <w:sz w:val="18"/>
          <w:szCs w:val="18"/>
        </w:rPr>
        <w:t>% to £</w:t>
      </w:r>
      <w:r>
        <w:rPr>
          <w:rFonts w:ascii="Arial" w:hAnsi="Arial" w:cs="Arial"/>
          <w:sz w:val="18"/>
          <w:szCs w:val="18"/>
        </w:rPr>
        <w:t>5</w:t>
      </w:r>
      <w:r w:rsidRPr="006010C1">
        <w:rPr>
          <w:rFonts w:ascii="Arial" w:hAnsi="Arial" w:cs="Arial"/>
          <w:sz w:val="18"/>
          <w:szCs w:val="18"/>
        </w:rPr>
        <w:t>.</w:t>
      </w:r>
      <w:r>
        <w:rPr>
          <w:rFonts w:ascii="Arial" w:hAnsi="Arial" w:cs="Arial"/>
          <w:sz w:val="18"/>
          <w:szCs w:val="18"/>
        </w:rPr>
        <w:t>1</w:t>
      </w:r>
      <w:r w:rsidRPr="006010C1">
        <w:rPr>
          <w:rFonts w:ascii="Arial" w:hAnsi="Arial" w:cs="Arial"/>
          <w:sz w:val="18"/>
          <w:szCs w:val="18"/>
        </w:rPr>
        <w:t xml:space="preserve"> billion at year end (201</w:t>
      </w:r>
      <w:r>
        <w:rPr>
          <w:rFonts w:ascii="Arial" w:hAnsi="Arial" w:cs="Arial"/>
          <w:sz w:val="18"/>
          <w:szCs w:val="18"/>
        </w:rPr>
        <w:t>6</w:t>
      </w:r>
      <w:r w:rsidRPr="006010C1">
        <w:rPr>
          <w:rFonts w:ascii="Arial" w:hAnsi="Arial" w:cs="Arial"/>
          <w:sz w:val="18"/>
          <w:szCs w:val="18"/>
        </w:rPr>
        <w:t>: £4.</w:t>
      </w:r>
      <w:r>
        <w:rPr>
          <w:rFonts w:ascii="Arial" w:hAnsi="Arial" w:cs="Arial"/>
          <w:sz w:val="18"/>
          <w:szCs w:val="18"/>
        </w:rPr>
        <w:t>6</w:t>
      </w:r>
      <w:r w:rsidRPr="006010C1">
        <w:rPr>
          <w:rFonts w:ascii="Arial" w:hAnsi="Arial" w:cs="Arial"/>
          <w:sz w:val="18"/>
          <w:szCs w:val="18"/>
        </w:rPr>
        <w:t xml:space="preserve"> billion)</w:t>
      </w:r>
    </w:p>
    <w:p w:rsidR="002037D9" w:rsidRPr="006010C1"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A</w:t>
      </w:r>
      <w:r w:rsidRPr="006010C1">
        <w:rPr>
          <w:rFonts w:ascii="Arial" w:hAnsi="Arial" w:cs="Arial"/>
          <w:sz w:val="18"/>
          <w:szCs w:val="18"/>
        </w:rPr>
        <w:t>dded 2</w:t>
      </w:r>
      <w:r>
        <w:rPr>
          <w:rFonts w:ascii="Arial" w:hAnsi="Arial" w:cs="Arial"/>
          <w:sz w:val="18"/>
          <w:szCs w:val="18"/>
        </w:rPr>
        <w:t>47</w:t>
      </w:r>
      <w:r w:rsidRPr="006010C1">
        <w:rPr>
          <w:rFonts w:ascii="Arial" w:hAnsi="Arial" w:cs="Arial"/>
          <w:sz w:val="18"/>
          <w:szCs w:val="18"/>
        </w:rPr>
        <w:t xml:space="preserve"> new clients (201</w:t>
      </w:r>
      <w:r>
        <w:rPr>
          <w:rFonts w:ascii="Arial" w:hAnsi="Arial" w:cs="Arial"/>
          <w:sz w:val="18"/>
          <w:szCs w:val="18"/>
        </w:rPr>
        <w:t>6</w:t>
      </w:r>
      <w:r w:rsidRPr="006010C1">
        <w:rPr>
          <w:rFonts w:ascii="Arial" w:hAnsi="Arial" w:cs="Arial"/>
          <w:sz w:val="18"/>
          <w:szCs w:val="18"/>
        </w:rPr>
        <w:t>: 2</w:t>
      </w:r>
      <w:r>
        <w:rPr>
          <w:rFonts w:ascii="Arial" w:hAnsi="Arial" w:cs="Arial"/>
          <w:sz w:val="18"/>
          <w:szCs w:val="18"/>
        </w:rPr>
        <w:t>15</w:t>
      </w:r>
      <w:r w:rsidRPr="006010C1">
        <w:rPr>
          <w:rFonts w:ascii="Arial" w:hAnsi="Arial" w:cs="Arial"/>
          <w:sz w:val="18"/>
          <w:szCs w:val="18"/>
        </w:rPr>
        <w:t xml:space="preserve">), growing total clients served </w:t>
      </w:r>
      <w:r w:rsidRPr="002F4D4A">
        <w:rPr>
          <w:rFonts w:ascii="Arial" w:hAnsi="Arial" w:cs="Arial"/>
          <w:sz w:val="18"/>
          <w:szCs w:val="18"/>
        </w:rPr>
        <w:t xml:space="preserve">by </w:t>
      </w:r>
      <w:r w:rsidR="00A431F6" w:rsidRPr="002F4D4A">
        <w:rPr>
          <w:rFonts w:ascii="Arial" w:hAnsi="Arial" w:cs="Arial"/>
          <w:sz w:val="18"/>
          <w:szCs w:val="18"/>
        </w:rPr>
        <w:t>8.4</w:t>
      </w:r>
      <w:r w:rsidRPr="006010C1">
        <w:rPr>
          <w:rFonts w:ascii="Arial" w:hAnsi="Arial" w:cs="Arial"/>
          <w:sz w:val="18"/>
          <w:szCs w:val="18"/>
        </w:rPr>
        <w:t xml:space="preserve">% to </w:t>
      </w:r>
      <w:r>
        <w:rPr>
          <w:rFonts w:ascii="Arial" w:hAnsi="Arial" w:cs="Arial"/>
          <w:sz w:val="18"/>
          <w:szCs w:val="18"/>
        </w:rPr>
        <w:t>2</w:t>
      </w:r>
      <w:r w:rsidRPr="006010C1">
        <w:rPr>
          <w:rFonts w:ascii="Arial" w:hAnsi="Arial" w:cs="Arial"/>
          <w:sz w:val="18"/>
          <w:szCs w:val="18"/>
        </w:rPr>
        <w:t>,</w:t>
      </w:r>
      <w:r>
        <w:rPr>
          <w:rFonts w:ascii="Arial" w:hAnsi="Arial" w:cs="Arial"/>
          <w:sz w:val="18"/>
          <w:szCs w:val="18"/>
        </w:rPr>
        <w:t>121</w:t>
      </w:r>
      <w:r w:rsidRPr="006010C1">
        <w:rPr>
          <w:rFonts w:ascii="Arial" w:hAnsi="Arial" w:cs="Arial"/>
          <w:sz w:val="18"/>
          <w:szCs w:val="18"/>
        </w:rPr>
        <w:t xml:space="preserve"> (201</w:t>
      </w:r>
      <w:r w:rsidR="000A156F">
        <w:rPr>
          <w:rFonts w:ascii="Arial" w:hAnsi="Arial" w:cs="Arial"/>
          <w:sz w:val="18"/>
          <w:szCs w:val="18"/>
        </w:rPr>
        <w:t>6</w:t>
      </w:r>
      <w:r w:rsidRPr="006010C1">
        <w:rPr>
          <w:rFonts w:ascii="Arial" w:hAnsi="Arial" w:cs="Arial"/>
          <w:sz w:val="18"/>
          <w:szCs w:val="18"/>
        </w:rPr>
        <w:t>: 1,</w:t>
      </w:r>
      <w:r>
        <w:rPr>
          <w:rFonts w:ascii="Arial" w:hAnsi="Arial" w:cs="Arial"/>
          <w:sz w:val="18"/>
          <w:szCs w:val="18"/>
        </w:rPr>
        <w:t>956</w:t>
      </w:r>
      <w:r w:rsidRPr="006010C1">
        <w:rPr>
          <w:rFonts w:ascii="Arial" w:hAnsi="Arial" w:cs="Arial"/>
          <w:sz w:val="18"/>
          <w:szCs w:val="18"/>
        </w:rPr>
        <w:t>)</w:t>
      </w:r>
    </w:p>
    <w:p w:rsidR="002037D9" w:rsidRDefault="002037D9" w:rsidP="002037D9">
      <w:pPr>
        <w:numPr>
          <w:ilvl w:val="0"/>
          <w:numId w:val="78"/>
        </w:numPr>
        <w:spacing w:after="0" w:line="360" w:lineRule="auto"/>
        <w:ind w:left="714" w:hanging="357"/>
        <w:rPr>
          <w:rFonts w:ascii="Arial" w:hAnsi="Arial" w:cs="Arial"/>
          <w:sz w:val="18"/>
          <w:szCs w:val="18"/>
        </w:rPr>
      </w:pPr>
      <w:r>
        <w:rPr>
          <w:rFonts w:ascii="Arial" w:hAnsi="Arial" w:cs="Arial"/>
          <w:sz w:val="18"/>
          <w:szCs w:val="18"/>
        </w:rPr>
        <w:t>D</w:t>
      </w:r>
      <w:r w:rsidRPr="006010C1">
        <w:rPr>
          <w:rFonts w:ascii="Arial" w:hAnsi="Arial" w:cs="Arial"/>
          <w:sz w:val="18"/>
          <w:szCs w:val="18"/>
        </w:rPr>
        <w:t>iscretionary management product</w:t>
      </w:r>
      <w:r>
        <w:rPr>
          <w:rFonts w:ascii="Arial" w:hAnsi="Arial" w:cs="Arial"/>
          <w:sz w:val="18"/>
          <w:szCs w:val="18"/>
        </w:rPr>
        <w:t xml:space="preserve"> is growing ahead of expectations and is </w:t>
      </w:r>
      <w:r w:rsidRPr="006010C1">
        <w:rPr>
          <w:rFonts w:ascii="Arial" w:hAnsi="Arial" w:cs="Arial"/>
          <w:sz w:val="18"/>
          <w:szCs w:val="18"/>
        </w:rPr>
        <w:t>attracting a broader client range</w:t>
      </w:r>
      <w:r>
        <w:rPr>
          <w:rFonts w:ascii="Arial" w:hAnsi="Arial" w:cs="Arial"/>
          <w:sz w:val="18"/>
          <w:szCs w:val="18"/>
        </w:rPr>
        <w:t>, providing scalability to</w:t>
      </w:r>
      <w:r w:rsidRPr="006010C1">
        <w:rPr>
          <w:rFonts w:ascii="Arial" w:hAnsi="Arial" w:cs="Arial"/>
          <w:sz w:val="18"/>
          <w:szCs w:val="18"/>
        </w:rPr>
        <w:t xml:space="preserve"> underpin our growth trajectory going forward</w:t>
      </w:r>
    </w:p>
    <w:p w:rsidR="009E66B8" w:rsidRPr="006C3343" w:rsidRDefault="009E66B8" w:rsidP="00E87B60">
      <w:pPr>
        <w:pStyle w:val="Heading1"/>
        <w:tabs>
          <w:tab w:val="left" w:pos="3780"/>
          <w:tab w:val="left" w:pos="5400"/>
        </w:tabs>
        <w:spacing w:before="0" w:line="240" w:lineRule="auto"/>
        <w:rPr>
          <w:rFonts w:ascii="Arial" w:eastAsia="Times New Roman" w:hAnsi="Arial" w:cs="Arial"/>
          <w:color w:val="1F497D" w:themeColor="text2"/>
          <w:sz w:val="20"/>
          <w:szCs w:val="20"/>
          <w:lang w:val="en-IE"/>
        </w:rPr>
      </w:pPr>
    </w:p>
    <w:p w:rsidR="009E66B8" w:rsidRPr="006C3343" w:rsidRDefault="009E66B8">
      <w:pPr>
        <w:pStyle w:val="Heading1"/>
        <w:tabs>
          <w:tab w:val="left" w:pos="3780"/>
          <w:tab w:val="left" w:pos="5400"/>
        </w:tabs>
        <w:spacing w:before="0" w:line="240" w:lineRule="auto"/>
        <w:rPr>
          <w:rFonts w:ascii="Arial" w:eastAsia="Times New Roman" w:hAnsi="Arial" w:cs="Arial"/>
          <w:color w:val="1F497D" w:themeColor="text2"/>
          <w:sz w:val="20"/>
          <w:szCs w:val="20"/>
          <w:lang w:val="en-IE"/>
        </w:rPr>
      </w:pPr>
      <w:r w:rsidRPr="00A95934">
        <w:rPr>
          <w:rFonts w:ascii="Arial" w:eastAsia="Times New Roman" w:hAnsi="Arial" w:cs="Arial"/>
          <w:color w:val="1F497D" w:themeColor="text2"/>
          <w:sz w:val="20"/>
          <w:szCs w:val="20"/>
          <w:lang w:val="en-IE"/>
        </w:rPr>
        <w:t>Financial Highlights</w:t>
      </w:r>
    </w:p>
    <w:p w:rsidR="009E66B8" w:rsidRPr="006C3343" w:rsidRDefault="009E66B8">
      <w:pPr>
        <w:rPr>
          <w:rFonts w:ascii="Arial" w:hAnsi="Arial" w:cs="Arial"/>
          <w:sz w:val="20"/>
          <w:szCs w:val="20"/>
          <w:lang w:val="en-IE"/>
        </w:rPr>
      </w:pPr>
    </w:p>
    <w:p w:rsidR="009E66B8" w:rsidRPr="006010C1" w:rsidRDefault="009E66B8" w:rsidP="00591021">
      <w:pPr>
        <w:pStyle w:val="ListParagraph"/>
        <w:numPr>
          <w:ilvl w:val="0"/>
          <w:numId w:val="77"/>
        </w:numPr>
        <w:spacing w:line="360" w:lineRule="auto"/>
        <w:ind w:left="714" w:hanging="357"/>
        <w:rPr>
          <w:rFonts w:ascii="Arial" w:hAnsi="Arial" w:cs="Arial"/>
          <w:sz w:val="18"/>
          <w:szCs w:val="18"/>
        </w:rPr>
      </w:pPr>
      <w:r w:rsidRPr="006010C1">
        <w:rPr>
          <w:rFonts w:ascii="Arial" w:hAnsi="Arial" w:cs="Arial"/>
          <w:sz w:val="18"/>
          <w:szCs w:val="18"/>
        </w:rPr>
        <w:t xml:space="preserve">Revenue from James Hay and Saunderson House combined </w:t>
      </w:r>
      <w:r w:rsidR="008404FB">
        <w:rPr>
          <w:rFonts w:ascii="Arial" w:hAnsi="Arial" w:cs="Arial"/>
          <w:sz w:val="18"/>
          <w:szCs w:val="18"/>
        </w:rPr>
        <w:t>remained constant, despite £5.9 million reduction in interest income</w:t>
      </w:r>
      <w:r w:rsidR="00C831B9">
        <w:rPr>
          <w:rFonts w:ascii="Arial" w:hAnsi="Arial" w:cs="Arial"/>
          <w:sz w:val="18"/>
          <w:szCs w:val="18"/>
        </w:rPr>
        <w:t>,</w:t>
      </w:r>
      <w:r w:rsidR="008404FB" w:rsidRPr="006010C1">
        <w:rPr>
          <w:rFonts w:ascii="Arial" w:hAnsi="Arial" w:cs="Arial"/>
          <w:sz w:val="18"/>
          <w:szCs w:val="18"/>
        </w:rPr>
        <w:t xml:space="preserve"> </w:t>
      </w:r>
      <w:r w:rsidRPr="006010C1">
        <w:rPr>
          <w:rFonts w:ascii="Arial" w:hAnsi="Arial" w:cs="Arial"/>
          <w:sz w:val="18"/>
          <w:szCs w:val="18"/>
        </w:rPr>
        <w:t>£</w:t>
      </w:r>
      <w:r w:rsidR="00E32D81" w:rsidRPr="006010C1">
        <w:rPr>
          <w:rFonts w:ascii="Arial" w:hAnsi="Arial" w:cs="Arial"/>
          <w:sz w:val="18"/>
          <w:szCs w:val="18"/>
        </w:rPr>
        <w:t>7</w:t>
      </w:r>
      <w:r w:rsidR="00BD0072" w:rsidRPr="006010C1">
        <w:rPr>
          <w:rFonts w:ascii="Arial" w:hAnsi="Arial" w:cs="Arial"/>
          <w:sz w:val="18"/>
          <w:szCs w:val="18"/>
        </w:rPr>
        <w:t>8</w:t>
      </w:r>
      <w:r w:rsidR="00E32D81" w:rsidRPr="006010C1">
        <w:rPr>
          <w:rFonts w:ascii="Arial" w:hAnsi="Arial" w:cs="Arial"/>
          <w:sz w:val="18"/>
          <w:szCs w:val="18"/>
        </w:rPr>
        <w:t>.</w:t>
      </w:r>
      <w:r w:rsidR="008404FB">
        <w:rPr>
          <w:rFonts w:ascii="Arial" w:hAnsi="Arial" w:cs="Arial"/>
          <w:sz w:val="18"/>
          <w:szCs w:val="18"/>
        </w:rPr>
        <w:t>4</w:t>
      </w:r>
      <w:r w:rsidRPr="006010C1">
        <w:rPr>
          <w:rFonts w:ascii="Arial" w:hAnsi="Arial" w:cs="Arial"/>
          <w:sz w:val="18"/>
          <w:szCs w:val="18"/>
        </w:rPr>
        <w:t xml:space="preserve"> million</w:t>
      </w:r>
      <w:r w:rsidR="008404FB">
        <w:rPr>
          <w:rFonts w:ascii="Arial" w:hAnsi="Arial" w:cs="Arial"/>
          <w:sz w:val="18"/>
          <w:szCs w:val="18"/>
        </w:rPr>
        <w:t xml:space="preserve"> (2016: £78.5 million)</w:t>
      </w:r>
    </w:p>
    <w:p w:rsidR="009E66B8" w:rsidRPr="006010C1" w:rsidRDefault="009E66B8" w:rsidP="00591021">
      <w:pPr>
        <w:pStyle w:val="ListParagraph"/>
        <w:numPr>
          <w:ilvl w:val="0"/>
          <w:numId w:val="77"/>
        </w:numPr>
        <w:spacing w:line="360" w:lineRule="auto"/>
        <w:ind w:left="714" w:hanging="357"/>
        <w:rPr>
          <w:rFonts w:ascii="Arial" w:hAnsi="Arial" w:cs="Arial"/>
          <w:sz w:val="18"/>
          <w:szCs w:val="18"/>
        </w:rPr>
      </w:pPr>
      <w:r w:rsidRPr="006010C1">
        <w:rPr>
          <w:rFonts w:ascii="Arial" w:hAnsi="Arial" w:cs="Arial"/>
          <w:sz w:val="18"/>
          <w:szCs w:val="18"/>
        </w:rPr>
        <w:t xml:space="preserve">Adjusted operating </w:t>
      </w:r>
      <w:r w:rsidR="00C43661">
        <w:rPr>
          <w:rFonts w:ascii="Arial" w:hAnsi="Arial" w:cs="Arial"/>
          <w:sz w:val="18"/>
          <w:szCs w:val="18"/>
        </w:rPr>
        <w:t xml:space="preserve">profit </w:t>
      </w:r>
      <w:r w:rsidR="00C831B9">
        <w:rPr>
          <w:rFonts w:ascii="Arial" w:hAnsi="Arial" w:cs="Arial"/>
          <w:sz w:val="18"/>
          <w:szCs w:val="18"/>
        </w:rPr>
        <w:t>increased 5</w:t>
      </w:r>
      <w:r w:rsidR="00E32D81" w:rsidRPr="006010C1">
        <w:rPr>
          <w:rFonts w:ascii="Arial" w:hAnsi="Arial" w:cs="Arial"/>
          <w:sz w:val="18"/>
          <w:szCs w:val="18"/>
        </w:rPr>
        <w:t>% to £1</w:t>
      </w:r>
      <w:r w:rsidR="00BD0072" w:rsidRPr="006010C1">
        <w:rPr>
          <w:rFonts w:ascii="Arial" w:hAnsi="Arial" w:cs="Arial"/>
          <w:sz w:val="18"/>
          <w:szCs w:val="18"/>
        </w:rPr>
        <w:t>0</w:t>
      </w:r>
      <w:r w:rsidR="00E32D81" w:rsidRPr="006010C1">
        <w:rPr>
          <w:rFonts w:ascii="Arial" w:hAnsi="Arial" w:cs="Arial"/>
          <w:sz w:val="18"/>
          <w:szCs w:val="18"/>
        </w:rPr>
        <w:t>.</w:t>
      </w:r>
      <w:r w:rsidR="00C831B9">
        <w:rPr>
          <w:rFonts w:ascii="Arial" w:hAnsi="Arial" w:cs="Arial"/>
          <w:sz w:val="18"/>
          <w:szCs w:val="18"/>
        </w:rPr>
        <w:t>5</w:t>
      </w:r>
      <w:r w:rsidR="00CF1D9D" w:rsidRPr="006010C1">
        <w:rPr>
          <w:rFonts w:ascii="Arial" w:hAnsi="Arial" w:cs="Arial"/>
          <w:sz w:val="18"/>
          <w:szCs w:val="18"/>
        </w:rPr>
        <w:t xml:space="preserve"> million</w:t>
      </w:r>
      <w:r w:rsidR="00F16341">
        <w:rPr>
          <w:rFonts w:ascii="Arial" w:hAnsi="Arial" w:cs="Arial"/>
          <w:sz w:val="18"/>
          <w:szCs w:val="18"/>
        </w:rPr>
        <w:t xml:space="preserve"> </w:t>
      </w:r>
      <w:r w:rsidR="00420D86">
        <w:rPr>
          <w:rFonts w:ascii="Arial" w:hAnsi="Arial" w:cs="Arial"/>
          <w:sz w:val="18"/>
          <w:szCs w:val="18"/>
        </w:rPr>
        <w:t xml:space="preserve">(2016: £10.0 million) </w:t>
      </w:r>
      <w:r w:rsidR="00F16341">
        <w:rPr>
          <w:rFonts w:ascii="Arial" w:hAnsi="Arial" w:cs="Arial"/>
          <w:sz w:val="18"/>
          <w:szCs w:val="18"/>
        </w:rPr>
        <w:t xml:space="preserve">due to </w:t>
      </w:r>
      <w:r w:rsidR="00C831B9">
        <w:rPr>
          <w:rFonts w:ascii="Arial" w:hAnsi="Arial" w:cs="Arial"/>
          <w:sz w:val="18"/>
          <w:szCs w:val="18"/>
        </w:rPr>
        <w:t xml:space="preserve">repricing in James Hay undertaken in H2 2017 and a focus on cost </w:t>
      </w:r>
      <w:r w:rsidR="00346D14">
        <w:rPr>
          <w:rFonts w:ascii="Arial" w:hAnsi="Arial" w:cs="Arial"/>
          <w:sz w:val="18"/>
          <w:szCs w:val="18"/>
        </w:rPr>
        <w:t>management</w:t>
      </w:r>
    </w:p>
    <w:p w:rsidR="00F16341" w:rsidRDefault="009E66B8" w:rsidP="00591021">
      <w:pPr>
        <w:pStyle w:val="ListParagraph"/>
        <w:numPr>
          <w:ilvl w:val="0"/>
          <w:numId w:val="77"/>
        </w:numPr>
        <w:spacing w:line="360" w:lineRule="auto"/>
        <w:ind w:left="714" w:hanging="357"/>
        <w:rPr>
          <w:rFonts w:ascii="Arial" w:hAnsi="Arial" w:cs="Arial"/>
          <w:sz w:val="18"/>
          <w:szCs w:val="18"/>
        </w:rPr>
      </w:pPr>
      <w:r w:rsidRPr="006010C1">
        <w:rPr>
          <w:rFonts w:ascii="Arial" w:hAnsi="Arial" w:cs="Arial"/>
          <w:sz w:val="18"/>
          <w:szCs w:val="18"/>
        </w:rPr>
        <w:t xml:space="preserve">Profit before tax from operations </w:t>
      </w:r>
      <w:r w:rsidR="00BD0072" w:rsidRPr="006010C1">
        <w:rPr>
          <w:rFonts w:ascii="Arial" w:hAnsi="Arial" w:cs="Arial"/>
          <w:sz w:val="18"/>
          <w:szCs w:val="18"/>
        </w:rPr>
        <w:t>de</w:t>
      </w:r>
      <w:r w:rsidR="00CF1D9D" w:rsidRPr="006010C1">
        <w:rPr>
          <w:rFonts w:ascii="Arial" w:hAnsi="Arial" w:cs="Arial"/>
          <w:sz w:val="18"/>
          <w:szCs w:val="18"/>
        </w:rPr>
        <w:t>creased to</w:t>
      </w:r>
      <w:r w:rsidR="00C831B9">
        <w:rPr>
          <w:rFonts w:ascii="Arial" w:hAnsi="Arial" w:cs="Arial"/>
          <w:sz w:val="18"/>
          <w:szCs w:val="18"/>
        </w:rPr>
        <w:t xml:space="preserve"> a loss of (£0.4 million) (2016: profit</w:t>
      </w:r>
      <w:r w:rsidR="00CF1D9D" w:rsidRPr="006010C1">
        <w:rPr>
          <w:rFonts w:ascii="Arial" w:hAnsi="Arial" w:cs="Arial"/>
          <w:sz w:val="18"/>
          <w:szCs w:val="18"/>
        </w:rPr>
        <w:t xml:space="preserve"> £</w:t>
      </w:r>
      <w:r w:rsidR="00BD0072" w:rsidRPr="006010C1">
        <w:rPr>
          <w:rFonts w:ascii="Arial" w:hAnsi="Arial" w:cs="Arial"/>
          <w:sz w:val="18"/>
          <w:szCs w:val="18"/>
        </w:rPr>
        <w:t>6</w:t>
      </w:r>
      <w:r w:rsidR="00E32D81" w:rsidRPr="006010C1">
        <w:rPr>
          <w:rFonts w:ascii="Arial" w:hAnsi="Arial" w:cs="Arial"/>
          <w:sz w:val="18"/>
          <w:szCs w:val="18"/>
        </w:rPr>
        <w:t>.</w:t>
      </w:r>
      <w:r w:rsidR="00BD0072" w:rsidRPr="006010C1">
        <w:rPr>
          <w:rFonts w:ascii="Arial" w:hAnsi="Arial" w:cs="Arial"/>
          <w:sz w:val="18"/>
          <w:szCs w:val="18"/>
        </w:rPr>
        <w:t>4</w:t>
      </w:r>
      <w:r w:rsidR="00CF1D9D" w:rsidRPr="006010C1">
        <w:rPr>
          <w:rFonts w:ascii="Arial" w:hAnsi="Arial" w:cs="Arial"/>
          <w:sz w:val="18"/>
          <w:szCs w:val="18"/>
        </w:rPr>
        <w:t xml:space="preserve"> million</w:t>
      </w:r>
      <w:r w:rsidR="00C831B9">
        <w:rPr>
          <w:rFonts w:ascii="Arial" w:hAnsi="Arial" w:cs="Arial"/>
          <w:sz w:val="18"/>
          <w:szCs w:val="18"/>
        </w:rPr>
        <w:t>)</w:t>
      </w:r>
      <w:r w:rsidR="00E9750E" w:rsidRPr="006010C1">
        <w:rPr>
          <w:rFonts w:ascii="Arial" w:hAnsi="Arial" w:cs="Arial"/>
          <w:sz w:val="18"/>
          <w:szCs w:val="18"/>
        </w:rPr>
        <w:t xml:space="preserve"> </w:t>
      </w:r>
    </w:p>
    <w:p w:rsidR="00C831B9" w:rsidRDefault="00F16341" w:rsidP="00C831B9">
      <w:pPr>
        <w:pStyle w:val="ListParagraph"/>
        <w:numPr>
          <w:ilvl w:val="0"/>
          <w:numId w:val="77"/>
        </w:numPr>
        <w:spacing w:line="360" w:lineRule="auto"/>
        <w:ind w:left="714" w:hanging="357"/>
        <w:rPr>
          <w:rFonts w:ascii="Arial" w:hAnsi="Arial" w:cs="Arial"/>
          <w:sz w:val="18"/>
          <w:szCs w:val="18"/>
        </w:rPr>
      </w:pPr>
      <w:r w:rsidRPr="00C831B9">
        <w:rPr>
          <w:rFonts w:ascii="Arial" w:hAnsi="Arial" w:cs="Arial"/>
          <w:sz w:val="18"/>
          <w:szCs w:val="18"/>
        </w:rPr>
        <w:t>Exceptional costs of £</w:t>
      </w:r>
      <w:r w:rsidR="00C831B9" w:rsidRPr="00C831B9">
        <w:rPr>
          <w:rFonts w:ascii="Arial" w:hAnsi="Arial" w:cs="Arial"/>
          <w:sz w:val="18"/>
          <w:szCs w:val="18"/>
        </w:rPr>
        <w:t>8</w:t>
      </w:r>
      <w:r w:rsidRPr="00C831B9">
        <w:rPr>
          <w:rFonts w:ascii="Arial" w:hAnsi="Arial" w:cs="Arial"/>
          <w:sz w:val="18"/>
          <w:szCs w:val="18"/>
        </w:rPr>
        <w:t>.</w:t>
      </w:r>
      <w:r w:rsidR="00C831B9" w:rsidRPr="00C831B9">
        <w:rPr>
          <w:rFonts w:ascii="Arial" w:hAnsi="Arial" w:cs="Arial"/>
          <w:sz w:val="18"/>
          <w:szCs w:val="18"/>
        </w:rPr>
        <w:t>8</w:t>
      </w:r>
      <w:r w:rsidRPr="00C831B9">
        <w:rPr>
          <w:rFonts w:ascii="Arial" w:hAnsi="Arial" w:cs="Arial"/>
          <w:sz w:val="18"/>
          <w:szCs w:val="18"/>
        </w:rPr>
        <w:t xml:space="preserve"> million </w:t>
      </w:r>
      <w:r w:rsidR="00C831B9" w:rsidRPr="00C831B9">
        <w:rPr>
          <w:rFonts w:ascii="Arial" w:hAnsi="Arial" w:cs="Arial"/>
          <w:sz w:val="18"/>
          <w:szCs w:val="18"/>
        </w:rPr>
        <w:t xml:space="preserve">increased materially </w:t>
      </w:r>
      <w:r w:rsidR="00346D14">
        <w:rPr>
          <w:rFonts w:ascii="Arial" w:hAnsi="Arial" w:cs="Arial"/>
          <w:sz w:val="18"/>
          <w:szCs w:val="18"/>
        </w:rPr>
        <w:t>due to</w:t>
      </w:r>
      <w:r w:rsidR="00C831B9" w:rsidRPr="00C831B9">
        <w:rPr>
          <w:rFonts w:ascii="Arial" w:hAnsi="Arial" w:cs="Arial"/>
          <w:sz w:val="18"/>
          <w:szCs w:val="18"/>
        </w:rPr>
        <w:t xml:space="preserve"> a number of legacy matters relating to administrati</w:t>
      </w:r>
      <w:r w:rsidR="00C831B9" w:rsidRPr="00F73306">
        <w:rPr>
          <w:rFonts w:ascii="Arial" w:hAnsi="Arial" w:cs="Arial"/>
          <w:sz w:val="18"/>
          <w:szCs w:val="18"/>
        </w:rPr>
        <w:t xml:space="preserve">on and documentation of advice, these costs </w:t>
      </w:r>
      <w:r w:rsidR="009103CC">
        <w:rPr>
          <w:rFonts w:ascii="Arial" w:hAnsi="Arial" w:cs="Arial"/>
          <w:sz w:val="18"/>
          <w:szCs w:val="18"/>
        </w:rPr>
        <w:t>being</w:t>
      </w:r>
      <w:r w:rsidR="009103CC" w:rsidRPr="00F73306">
        <w:rPr>
          <w:rFonts w:ascii="Arial" w:hAnsi="Arial" w:cs="Arial"/>
          <w:sz w:val="18"/>
          <w:szCs w:val="18"/>
        </w:rPr>
        <w:t xml:space="preserve"> </w:t>
      </w:r>
      <w:r w:rsidR="00C831B9" w:rsidRPr="00F73306">
        <w:rPr>
          <w:rFonts w:ascii="Arial" w:hAnsi="Arial" w:cs="Arial"/>
          <w:sz w:val="18"/>
          <w:szCs w:val="18"/>
        </w:rPr>
        <w:t>a combination of remediation and legal costs</w:t>
      </w:r>
      <w:r w:rsidR="009103CC">
        <w:rPr>
          <w:rFonts w:ascii="Arial" w:hAnsi="Arial" w:cs="Arial"/>
          <w:sz w:val="18"/>
          <w:szCs w:val="18"/>
        </w:rPr>
        <w:t xml:space="preserve"> and</w:t>
      </w:r>
      <w:r w:rsidR="00C831B9" w:rsidRPr="00F73306">
        <w:rPr>
          <w:rFonts w:ascii="Arial" w:hAnsi="Arial" w:cs="Arial"/>
          <w:sz w:val="18"/>
          <w:szCs w:val="18"/>
        </w:rPr>
        <w:t xml:space="preserve"> provisions for client redress</w:t>
      </w:r>
      <w:r w:rsidR="009103CC">
        <w:rPr>
          <w:rFonts w:ascii="Arial" w:hAnsi="Arial" w:cs="Arial"/>
          <w:sz w:val="18"/>
          <w:szCs w:val="18"/>
        </w:rPr>
        <w:t xml:space="preserve">, together with </w:t>
      </w:r>
      <w:r w:rsidR="00C831B9" w:rsidRPr="00F73306">
        <w:rPr>
          <w:rFonts w:ascii="Arial" w:hAnsi="Arial" w:cs="Arial"/>
          <w:sz w:val="18"/>
          <w:szCs w:val="18"/>
        </w:rPr>
        <w:t>previously announced reorganisation costs</w:t>
      </w:r>
      <w:r w:rsidR="0059375C">
        <w:rPr>
          <w:rFonts w:ascii="Arial" w:hAnsi="Arial" w:cs="Arial"/>
          <w:sz w:val="18"/>
          <w:szCs w:val="18"/>
        </w:rPr>
        <w:t xml:space="preserve"> (2016: £1.7 million)</w:t>
      </w:r>
    </w:p>
    <w:p w:rsidR="009E66B8" w:rsidRPr="00C831B9" w:rsidRDefault="009E66B8" w:rsidP="00C831B9">
      <w:pPr>
        <w:pStyle w:val="ListParagraph"/>
        <w:numPr>
          <w:ilvl w:val="0"/>
          <w:numId w:val="77"/>
        </w:numPr>
        <w:spacing w:line="360" w:lineRule="auto"/>
        <w:ind w:left="714" w:hanging="357"/>
        <w:rPr>
          <w:rFonts w:ascii="Arial" w:hAnsi="Arial" w:cs="Arial"/>
          <w:sz w:val="18"/>
          <w:szCs w:val="18"/>
        </w:rPr>
      </w:pPr>
      <w:r w:rsidRPr="00C831B9">
        <w:rPr>
          <w:rFonts w:ascii="Arial" w:hAnsi="Arial" w:cs="Arial"/>
          <w:sz w:val="18"/>
          <w:szCs w:val="18"/>
        </w:rPr>
        <w:t xml:space="preserve">Adjusted EPS </w:t>
      </w:r>
      <w:r w:rsidR="00C831B9">
        <w:rPr>
          <w:rFonts w:ascii="Arial" w:hAnsi="Arial" w:cs="Arial"/>
          <w:sz w:val="18"/>
          <w:szCs w:val="18"/>
        </w:rPr>
        <w:t>increased by</w:t>
      </w:r>
      <w:r w:rsidR="00C831B9" w:rsidRPr="00C831B9">
        <w:rPr>
          <w:rFonts w:ascii="Arial" w:hAnsi="Arial" w:cs="Arial"/>
          <w:sz w:val="18"/>
          <w:szCs w:val="18"/>
        </w:rPr>
        <w:t xml:space="preserve"> </w:t>
      </w:r>
      <w:r w:rsidR="00C831B9">
        <w:rPr>
          <w:rFonts w:ascii="Arial" w:hAnsi="Arial" w:cs="Arial"/>
          <w:sz w:val="18"/>
          <w:szCs w:val="18"/>
        </w:rPr>
        <w:t>10</w:t>
      </w:r>
      <w:r w:rsidR="00FD7AA6" w:rsidRPr="00C831B9">
        <w:rPr>
          <w:rFonts w:ascii="Arial" w:hAnsi="Arial" w:cs="Arial"/>
          <w:sz w:val="18"/>
          <w:szCs w:val="18"/>
        </w:rPr>
        <w:t xml:space="preserve">% to </w:t>
      </w:r>
      <w:r w:rsidR="00C831B9">
        <w:rPr>
          <w:rFonts w:ascii="Arial" w:hAnsi="Arial" w:cs="Arial"/>
          <w:sz w:val="18"/>
          <w:szCs w:val="18"/>
        </w:rPr>
        <w:t>8.34</w:t>
      </w:r>
      <w:r w:rsidRPr="00C831B9">
        <w:rPr>
          <w:rFonts w:ascii="Arial" w:hAnsi="Arial" w:cs="Arial"/>
          <w:sz w:val="18"/>
          <w:szCs w:val="18"/>
        </w:rPr>
        <w:t xml:space="preserve"> pence (201</w:t>
      </w:r>
      <w:r w:rsidR="00C831B9">
        <w:rPr>
          <w:rFonts w:ascii="Arial" w:hAnsi="Arial" w:cs="Arial"/>
          <w:sz w:val="18"/>
          <w:szCs w:val="18"/>
        </w:rPr>
        <w:t>6</w:t>
      </w:r>
      <w:r w:rsidRPr="00C831B9">
        <w:rPr>
          <w:rFonts w:ascii="Arial" w:hAnsi="Arial" w:cs="Arial"/>
          <w:sz w:val="18"/>
          <w:szCs w:val="18"/>
        </w:rPr>
        <w:t xml:space="preserve">: </w:t>
      </w:r>
      <w:r w:rsidR="00C831B9">
        <w:rPr>
          <w:rFonts w:ascii="Arial" w:hAnsi="Arial" w:cs="Arial"/>
          <w:sz w:val="18"/>
          <w:szCs w:val="18"/>
        </w:rPr>
        <w:t>7</w:t>
      </w:r>
      <w:r w:rsidR="00BD0072" w:rsidRPr="00C831B9">
        <w:rPr>
          <w:rFonts w:ascii="Arial" w:hAnsi="Arial" w:cs="Arial"/>
          <w:sz w:val="18"/>
          <w:szCs w:val="18"/>
        </w:rPr>
        <w:t>.</w:t>
      </w:r>
      <w:r w:rsidR="00C831B9">
        <w:rPr>
          <w:rFonts w:ascii="Arial" w:hAnsi="Arial" w:cs="Arial"/>
          <w:sz w:val="18"/>
          <w:szCs w:val="18"/>
        </w:rPr>
        <w:t>57</w:t>
      </w:r>
      <w:r w:rsidRPr="00C831B9">
        <w:rPr>
          <w:rFonts w:ascii="Arial" w:hAnsi="Arial" w:cs="Arial"/>
          <w:sz w:val="18"/>
          <w:szCs w:val="18"/>
        </w:rPr>
        <w:t xml:space="preserve"> pence); basic </w:t>
      </w:r>
      <w:r w:rsidR="00C831B9">
        <w:rPr>
          <w:rFonts w:ascii="Arial" w:hAnsi="Arial" w:cs="Arial"/>
          <w:sz w:val="18"/>
          <w:szCs w:val="18"/>
        </w:rPr>
        <w:t>loss per share</w:t>
      </w:r>
      <w:r w:rsidR="00C831B9" w:rsidRPr="00C831B9">
        <w:rPr>
          <w:rFonts w:ascii="Arial" w:hAnsi="Arial" w:cs="Arial"/>
          <w:sz w:val="18"/>
          <w:szCs w:val="18"/>
        </w:rPr>
        <w:t xml:space="preserve"> </w:t>
      </w:r>
      <w:r w:rsidRPr="00C831B9">
        <w:rPr>
          <w:rFonts w:ascii="Arial" w:hAnsi="Arial" w:cs="Arial"/>
          <w:sz w:val="18"/>
          <w:szCs w:val="18"/>
        </w:rPr>
        <w:t xml:space="preserve">of </w:t>
      </w:r>
      <w:r w:rsidR="00C831B9">
        <w:rPr>
          <w:rFonts w:ascii="Arial" w:hAnsi="Arial" w:cs="Arial"/>
          <w:sz w:val="18"/>
          <w:szCs w:val="18"/>
        </w:rPr>
        <w:t>0.32</w:t>
      </w:r>
      <w:r w:rsidRPr="00C831B9">
        <w:rPr>
          <w:rFonts w:ascii="Arial" w:hAnsi="Arial" w:cs="Arial"/>
          <w:sz w:val="18"/>
          <w:szCs w:val="18"/>
        </w:rPr>
        <w:t xml:space="preserve"> pence (201</w:t>
      </w:r>
      <w:r w:rsidR="00C831B9">
        <w:rPr>
          <w:rFonts w:ascii="Arial" w:hAnsi="Arial" w:cs="Arial"/>
          <w:sz w:val="18"/>
          <w:szCs w:val="18"/>
        </w:rPr>
        <w:t>6</w:t>
      </w:r>
      <w:r w:rsidRPr="00C831B9">
        <w:rPr>
          <w:rFonts w:ascii="Arial" w:hAnsi="Arial" w:cs="Arial"/>
          <w:sz w:val="18"/>
          <w:szCs w:val="18"/>
        </w:rPr>
        <w:t xml:space="preserve">: </w:t>
      </w:r>
      <w:r w:rsidR="00481FE8">
        <w:rPr>
          <w:rFonts w:ascii="Arial" w:hAnsi="Arial" w:cs="Arial"/>
          <w:sz w:val="18"/>
          <w:szCs w:val="18"/>
        </w:rPr>
        <w:t xml:space="preserve">earnings </w:t>
      </w:r>
      <w:r w:rsidR="00C831B9">
        <w:rPr>
          <w:rFonts w:ascii="Arial" w:hAnsi="Arial" w:cs="Arial"/>
          <w:sz w:val="18"/>
          <w:szCs w:val="18"/>
        </w:rPr>
        <w:t>4</w:t>
      </w:r>
      <w:r w:rsidR="00BD0072" w:rsidRPr="00C831B9">
        <w:rPr>
          <w:rFonts w:ascii="Arial" w:hAnsi="Arial" w:cs="Arial"/>
          <w:sz w:val="18"/>
          <w:szCs w:val="18"/>
        </w:rPr>
        <w:t>.</w:t>
      </w:r>
      <w:r w:rsidR="00C831B9">
        <w:rPr>
          <w:rFonts w:ascii="Arial" w:hAnsi="Arial" w:cs="Arial"/>
          <w:sz w:val="18"/>
          <w:szCs w:val="18"/>
        </w:rPr>
        <w:t>98</w:t>
      </w:r>
      <w:r w:rsidRPr="00C831B9">
        <w:rPr>
          <w:rFonts w:ascii="Arial" w:hAnsi="Arial" w:cs="Arial"/>
          <w:sz w:val="18"/>
          <w:szCs w:val="18"/>
        </w:rPr>
        <w:t xml:space="preserve"> pence)</w:t>
      </w:r>
    </w:p>
    <w:p w:rsidR="009E66B8" w:rsidRPr="006010C1" w:rsidRDefault="002F4D4A" w:rsidP="00591021">
      <w:pPr>
        <w:pStyle w:val="ListParagraph"/>
        <w:numPr>
          <w:ilvl w:val="0"/>
          <w:numId w:val="77"/>
        </w:numPr>
        <w:spacing w:line="360" w:lineRule="auto"/>
        <w:ind w:left="714" w:hanging="357"/>
        <w:rPr>
          <w:rFonts w:ascii="Arial" w:hAnsi="Arial" w:cs="Arial"/>
          <w:sz w:val="18"/>
          <w:szCs w:val="18"/>
        </w:rPr>
      </w:pPr>
      <w:r>
        <w:rPr>
          <w:rFonts w:ascii="Arial" w:hAnsi="Arial" w:cs="Arial"/>
          <w:sz w:val="18"/>
          <w:szCs w:val="18"/>
        </w:rPr>
        <w:t>Prudent decision of Board not to pay final dividend; remain committed to a progressive dividend policy once legacy issues resolved</w:t>
      </w:r>
    </w:p>
    <w:p w:rsidR="0059375C" w:rsidRDefault="009E66B8" w:rsidP="00591021">
      <w:pPr>
        <w:pStyle w:val="ListParagraph"/>
        <w:numPr>
          <w:ilvl w:val="0"/>
          <w:numId w:val="77"/>
        </w:numPr>
        <w:spacing w:line="360" w:lineRule="auto"/>
        <w:ind w:left="714" w:hanging="357"/>
        <w:rPr>
          <w:rFonts w:ascii="Arial" w:hAnsi="Arial" w:cs="Arial"/>
          <w:sz w:val="18"/>
          <w:szCs w:val="18"/>
        </w:rPr>
      </w:pPr>
      <w:r w:rsidRPr="006010C1">
        <w:rPr>
          <w:rFonts w:ascii="Arial" w:hAnsi="Arial" w:cs="Arial"/>
          <w:sz w:val="18"/>
          <w:szCs w:val="18"/>
        </w:rPr>
        <w:t xml:space="preserve">Balance sheet </w:t>
      </w:r>
      <w:r w:rsidR="009F72A3" w:rsidRPr="006010C1">
        <w:rPr>
          <w:rFonts w:ascii="Arial" w:hAnsi="Arial" w:cs="Arial"/>
          <w:sz w:val="18"/>
          <w:szCs w:val="18"/>
        </w:rPr>
        <w:t xml:space="preserve">remains strong </w:t>
      </w:r>
      <w:r w:rsidRPr="006010C1">
        <w:rPr>
          <w:rFonts w:ascii="Arial" w:hAnsi="Arial" w:cs="Arial"/>
          <w:sz w:val="18"/>
          <w:szCs w:val="18"/>
        </w:rPr>
        <w:t>with net cash of £</w:t>
      </w:r>
      <w:r w:rsidR="00C45BEC" w:rsidRPr="006010C1">
        <w:rPr>
          <w:rFonts w:ascii="Arial" w:hAnsi="Arial" w:cs="Arial"/>
          <w:sz w:val="18"/>
          <w:szCs w:val="18"/>
        </w:rPr>
        <w:t>2</w:t>
      </w:r>
      <w:r w:rsidR="009A6CF2">
        <w:rPr>
          <w:rFonts w:ascii="Arial" w:hAnsi="Arial" w:cs="Arial"/>
          <w:sz w:val="18"/>
          <w:szCs w:val="18"/>
        </w:rPr>
        <w:t>4</w:t>
      </w:r>
      <w:r w:rsidR="00C45BEC" w:rsidRPr="006010C1">
        <w:rPr>
          <w:rFonts w:ascii="Arial" w:hAnsi="Arial" w:cs="Arial"/>
          <w:sz w:val="18"/>
          <w:szCs w:val="18"/>
        </w:rPr>
        <w:t>.</w:t>
      </w:r>
      <w:r w:rsidR="009A6CF2">
        <w:rPr>
          <w:rFonts w:ascii="Arial" w:hAnsi="Arial" w:cs="Arial"/>
          <w:sz w:val="18"/>
          <w:szCs w:val="18"/>
        </w:rPr>
        <w:t>6</w:t>
      </w:r>
      <w:r w:rsidRPr="006010C1">
        <w:rPr>
          <w:rFonts w:ascii="Arial" w:hAnsi="Arial" w:cs="Arial"/>
          <w:sz w:val="18"/>
          <w:szCs w:val="18"/>
        </w:rPr>
        <w:t xml:space="preserve"> million (201</w:t>
      </w:r>
      <w:r w:rsidR="00F73306">
        <w:rPr>
          <w:rFonts w:ascii="Arial" w:hAnsi="Arial" w:cs="Arial"/>
          <w:sz w:val="18"/>
          <w:szCs w:val="18"/>
        </w:rPr>
        <w:t>6</w:t>
      </w:r>
      <w:r w:rsidRPr="006010C1">
        <w:rPr>
          <w:rFonts w:ascii="Arial" w:hAnsi="Arial" w:cs="Arial"/>
          <w:sz w:val="18"/>
          <w:szCs w:val="18"/>
        </w:rPr>
        <w:t>: £</w:t>
      </w:r>
      <w:r w:rsidR="00C45BEC" w:rsidRPr="006010C1">
        <w:rPr>
          <w:rFonts w:ascii="Arial" w:hAnsi="Arial" w:cs="Arial"/>
          <w:sz w:val="18"/>
          <w:szCs w:val="18"/>
        </w:rPr>
        <w:t>2</w:t>
      </w:r>
      <w:r w:rsidR="00F73306">
        <w:rPr>
          <w:rFonts w:ascii="Arial" w:hAnsi="Arial" w:cs="Arial"/>
          <w:sz w:val="18"/>
          <w:szCs w:val="18"/>
        </w:rPr>
        <w:t>8</w:t>
      </w:r>
      <w:r w:rsidR="00C45BEC" w:rsidRPr="006010C1">
        <w:rPr>
          <w:rFonts w:ascii="Arial" w:hAnsi="Arial" w:cs="Arial"/>
          <w:sz w:val="18"/>
          <w:szCs w:val="18"/>
        </w:rPr>
        <w:t>.</w:t>
      </w:r>
      <w:r w:rsidR="00F73306">
        <w:rPr>
          <w:rFonts w:ascii="Arial" w:hAnsi="Arial" w:cs="Arial"/>
          <w:sz w:val="18"/>
          <w:szCs w:val="18"/>
        </w:rPr>
        <w:t>2</w:t>
      </w:r>
      <w:r w:rsidRPr="006010C1">
        <w:rPr>
          <w:rFonts w:ascii="Arial" w:hAnsi="Arial" w:cs="Arial"/>
          <w:sz w:val="18"/>
          <w:szCs w:val="18"/>
        </w:rPr>
        <w:t xml:space="preserve"> million)</w:t>
      </w:r>
      <w:r w:rsidR="009F72A3" w:rsidRPr="006010C1">
        <w:rPr>
          <w:rFonts w:ascii="Arial" w:hAnsi="Arial" w:cs="Arial"/>
          <w:sz w:val="18"/>
          <w:szCs w:val="18"/>
        </w:rPr>
        <w:t xml:space="preserve"> and no debt</w:t>
      </w:r>
      <w:r w:rsidR="0059375C">
        <w:rPr>
          <w:rFonts w:ascii="Arial" w:hAnsi="Arial" w:cs="Arial"/>
          <w:sz w:val="18"/>
          <w:szCs w:val="18"/>
        </w:rPr>
        <w:t xml:space="preserve"> </w:t>
      </w:r>
    </w:p>
    <w:p w:rsidR="009E66B8" w:rsidRPr="006010C1" w:rsidRDefault="0059375C" w:rsidP="00591021">
      <w:pPr>
        <w:pStyle w:val="ListParagraph"/>
        <w:numPr>
          <w:ilvl w:val="0"/>
          <w:numId w:val="77"/>
        </w:numPr>
        <w:spacing w:line="360" w:lineRule="auto"/>
        <w:ind w:left="714" w:hanging="357"/>
        <w:rPr>
          <w:rFonts w:ascii="Arial" w:hAnsi="Arial" w:cs="Arial"/>
          <w:sz w:val="18"/>
          <w:szCs w:val="18"/>
        </w:rPr>
      </w:pPr>
      <w:r>
        <w:rPr>
          <w:rFonts w:ascii="Arial" w:hAnsi="Arial" w:cs="Arial"/>
          <w:sz w:val="18"/>
          <w:szCs w:val="18"/>
        </w:rPr>
        <w:t>The Group has regulatory capital resources of £49.5 million (2016: £47.6 million compared to its Pillar 1 requirement of £6.6 million (2016: £6.8 million</w:t>
      </w:r>
      <w:r w:rsidR="0048530A">
        <w:rPr>
          <w:rFonts w:ascii="Arial" w:hAnsi="Arial" w:cs="Arial"/>
          <w:sz w:val="18"/>
          <w:szCs w:val="18"/>
        </w:rPr>
        <w:t>)</w:t>
      </w:r>
    </w:p>
    <w:p w:rsidR="00570CCC" w:rsidRDefault="00570CCC" w:rsidP="00E87B60">
      <w:pPr>
        <w:rPr>
          <w:rFonts w:ascii="Arial" w:hAnsi="Arial" w:cs="Arial"/>
          <w:sz w:val="20"/>
          <w:szCs w:val="20"/>
        </w:rPr>
      </w:pPr>
    </w:p>
    <w:p w:rsidR="002F4D4A" w:rsidRPr="006C3343" w:rsidRDefault="002F4D4A" w:rsidP="00E87B60">
      <w:pPr>
        <w:rPr>
          <w:rFonts w:ascii="Arial" w:hAnsi="Arial" w:cs="Arial"/>
          <w:sz w:val="20"/>
          <w:szCs w:val="20"/>
        </w:rPr>
      </w:pPr>
    </w:p>
    <w:p w:rsidR="00DB3027" w:rsidRDefault="00DB3027" w:rsidP="00591021">
      <w:pPr>
        <w:ind w:right="-541"/>
        <w:rPr>
          <w:rFonts w:ascii="Arial" w:hAnsi="Arial" w:cs="Arial"/>
          <w:b/>
          <w:sz w:val="20"/>
          <w:szCs w:val="20"/>
        </w:rPr>
      </w:pPr>
    </w:p>
    <w:p w:rsidR="00DB3027" w:rsidRDefault="00DB3027" w:rsidP="00591021">
      <w:pPr>
        <w:ind w:right="-541"/>
        <w:rPr>
          <w:rFonts w:ascii="Arial" w:hAnsi="Arial" w:cs="Arial"/>
          <w:b/>
          <w:sz w:val="20"/>
          <w:szCs w:val="20"/>
        </w:rPr>
      </w:pPr>
    </w:p>
    <w:p w:rsidR="009E66B8" w:rsidRPr="006C3343" w:rsidRDefault="009E66B8" w:rsidP="00591021">
      <w:pPr>
        <w:ind w:right="-541"/>
        <w:rPr>
          <w:rFonts w:ascii="Arial" w:hAnsi="Arial" w:cs="Arial"/>
          <w:b/>
          <w:sz w:val="20"/>
          <w:szCs w:val="20"/>
        </w:rPr>
      </w:pPr>
      <w:r w:rsidRPr="006C3343">
        <w:rPr>
          <w:rFonts w:ascii="Arial" w:hAnsi="Arial" w:cs="Arial"/>
          <w:b/>
          <w:sz w:val="20"/>
          <w:szCs w:val="20"/>
        </w:rPr>
        <w:t xml:space="preserve">Commenting on the results </w:t>
      </w:r>
      <w:r w:rsidR="00512839" w:rsidRPr="006C3343">
        <w:rPr>
          <w:rFonts w:ascii="Arial" w:hAnsi="Arial" w:cs="Arial"/>
          <w:b/>
          <w:sz w:val="20"/>
          <w:szCs w:val="20"/>
        </w:rPr>
        <w:t>John Cotter</w:t>
      </w:r>
      <w:r w:rsidRPr="006C3343">
        <w:rPr>
          <w:rFonts w:ascii="Arial" w:hAnsi="Arial" w:cs="Arial"/>
          <w:b/>
          <w:sz w:val="20"/>
          <w:szCs w:val="20"/>
        </w:rPr>
        <w:t xml:space="preserve">, </w:t>
      </w:r>
      <w:r w:rsidR="003F718F" w:rsidRPr="00A95934">
        <w:rPr>
          <w:rFonts w:ascii="Arial" w:hAnsi="Arial" w:cs="Arial"/>
          <w:b/>
          <w:sz w:val="20"/>
          <w:szCs w:val="20"/>
          <w:lang w:val="en-IE"/>
        </w:rPr>
        <w:t>Chief Executive</w:t>
      </w:r>
      <w:r w:rsidR="003F718F" w:rsidRPr="006C3343">
        <w:rPr>
          <w:rFonts w:ascii="Arial" w:hAnsi="Arial" w:cs="Arial"/>
          <w:sz w:val="20"/>
          <w:szCs w:val="20"/>
          <w:lang w:val="en-IE"/>
        </w:rPr>
        <w:t xml:space="preserve"> </w:t>
      </w:r>
      <w:r w:rsidRPr="006C3343">
        <w:rPr>
          <w:rFonts w:ascii="Arial" w:hAnsi="Arial" w:cs="Arial"/>
          <w:b/>
          <w:sz w:val="20"/>
          <w:szCs w:val="20"/>
        </w:rPr>
        <w:t>of IFG Group plc, said:</w:t>
      </w:r>
    </w:p>
    <w:p w:rsidR="00201CA7" w:rsidRPr="006010C1" w:rsidRDefault="009E66B8" w:rsidP="00591021">
      <w:pPr>
        <w:rPr>
          <w:rFonts w:ascii="Arial" w:eastAsia="Times New Roman" w:hAnsi="Arial" w:cs="Arial"/>
          <w:sz w:val="18"/>
          <w:szCs w:val="18"/>
        </w:rPr>
      </w:pPr>
      <w:r w:rsidRPr="002F4D4A">
        <w:rPr>
          <w:rFonts w:ascii="Arial" w:eastAsia="Times New Roman" w:hAnsi="Arial" w:cs="Arial"/>
          <w:sz w:val="18"/>
          <w:szCs w:val="18"/>
        </w:rPr>
        <w:t>“</w:t>
      </w:r>
      <w:r w:rsidR="00346D14">
        <w:rPr>
          <w:rFonts w:ascii="Arial" w:eastAsia="Times New Roman" w:hAnsi="Arial" w:cs="Arial"/>
          <w:sz w:val="18"/>
          <w:szCs w:val="18"/>
        </w:rPr>
        <w:t>We have made substantive progress in improving our businesses, increasing assets under administration and advice, growing the client base, expanding our product offering and enhancing our capability</w:t>
      </w:r>
      <w:r w:rsidR="00C374C2">
        <w:rPr>
          <w:rFonts w:ascii="Arial" w:eastAsia="Times New Roman" w:hAnsi="Arial" w:cs="Arial"/>
          <w:sz w:val="18"/>
          <w:szCs w:val="18"/>
        </w:rPr>
        <w:t xml:space="preserve">. </w:t>
      </w:r>
      <w:r w:rsidR="00346D14">
        <w:rPr>
          <w:rFonts w:ascii="Arial" w:eastAsia="Times New Roman" w:hAnsi="Arial" w:cs="Arial"/>
          <w:sz w:val="18"/>
          <w:szCs w:val="18"/>
        </w:rPr>
        <w:t>The changes to our pricing models</w:t>
      </w:r>
      <w:r w:rsidR="00F13D7B">
        <w:rPr>
          <w:rFonts w:ascii="Arial" w:eastAsia="Times New Roman" w:hAnsi="Arial" w:cs="Arial"/>
          <w:sz w:val="18"/>
          <w:szCs w:val="18"/>
        </w:rPr>
        <w:t xml:space="preserve"> and</w:t>
      </w:r>
      <w:r w:rsidR="00346D14">
        <w:rPr>
          <w:rFonts w:ascii="Arial" w:eastAsia="Times New Roman" w:hAnsi="Arial" w:cs="Arial"/>
          <w:sz w:val="18"/>
          <w:szCs w:val="18"/>
        </w:rPr>
        <w:t xml:space="preserve"> the improving interest rate environment, mean we are well positioned to deliver sustainable growth and improved financial performance.</w:t>
      </w:r>
      <w:r w:rsidR="00F34B62">
        <w:rPr>
          <w:rFonts w:ascii="Arial" w:eastAsia="Times New Roman" w:hAnsi="Arial" w:cs="Arial"/>
          <w:sz w:val="18"/>
          <w:szCs w:val="18"/>
        </w:rPr>
        <w:t xml:space="preserve"> </w:t>
      </w:r>
      <w:r w:rsidR="00E54B9A">
        <w:rPr>
          <w:rFonts w:ascii="Arial" w:eastAsia="Times New Roman" w:hAnsi="Arial" w:cs="Arial"/>
          <w:sz w:val="18"/>
          <w:szCs w:val="18"/>
        </w:rPr>
        <w:t xml:space="preserve">We are committed to bringing closure to legacy issues, </w:t>
      </w:r>
      <w:r w:rsidR="00E6107A">
        <w:rPr>
          <w:rFonts w:ascii="Arial" w:eastAsia="Times New Roman" w:hAnsi="Arial" w:cs="Arial"/>
          <w:sz w:val="18"/>
          <w:szCs w:val="18"/>
        </w:rPr>
        <w:t xml:space="preserve">which </w:t>
      </w:r>
      <w:r w:rsidR="0059375C">
        <w:rPr>
          <w:rFonts w:ascii="Arial" w:eastAsia="Times New Roman" w:hAnsi="Arial" w:cs="Arial"/>
          <w:sz w:val="18"/>
          <w:szCs w:val="18"/>
        </w:rPr>
        <w:t>may continue to impact</w:t>
      </w:r>
      <w:r w:rsidR="00E6107A">
        <w:rPr>
          <w:rFonts w:ascii="Arial" w:eastAsia="Times New Roman" w:hAnsi="Arial" w:cs="Arial"/>
          <w:sz w:val="18"/>
          <w:szCs w:val="18"/>
        </w:rPr>
        <w:t xml:space="preserve"> financial performance, </w:t>
      </w:r>
      <w:r w:rsidR="00E54B9A">
        <w:rPr>
          <w:rFonts w:ascii="Arial" w:eastAsia="Times New Roman" w:hAnsi="Arial" w:cs="Arial"/>
          <w:sz w:val="18"/>
          <w:szCs w:val="18"/>
        </w:rPr>
        <w:t>in order to return to paying a progressive dividend</w:t>
      </w:r>
      <w:r w:rsidR="00F13D7B">
        <w:rPr>
          <w:rFonts w:ascii="Arial" w:eastAsia="Times New Roman" w:hAnsi="Arial" w:cs="Arial"/>
          <w:sz w:val="18"/>
          <w:szCs w:val="18"/>
        </w:rPr>
        <w:t xml:space="preserve"> and delivering increasing value to our shareholders</w:t>
      </w:r>
      <w:r w:rsidR="00737495" w:rsidRPr="002F4D4A">
        <w:rPr>
          <w:rFonts w:ascii="Arial" w:eastAsia="Times New Roman" w:hAnsi="Arial" w:cs="Arial"/>
          <w:sz w:val="18"/>
          <w:szCs w:val="18"/>
        </w:rPr>
        <w:t>”</w:t>
      </w:r>
      <w:r w:rsidR="00737495" w:rsidRPr="006010C1">
        <w:rPr>
          <w:rFonts w:ascii="Arial" w:eastAsia="Times New Roman" w:hAnsi="Arial" w:cs="Arial"/>
          <w:sz w:val="18"/>
          <w:szCs w:val="18"/>
        </w:rPr>
        <w:t xml:space="preserve">   </w:t>
      </w:r>
      <w:r w:rsidR="009F72A3" w:rsidRPr="006010C1">
        <w:rPr>
          <w:rFonts w:ascii="Arial" w:eastAsia="Times New Roman" w:hAnsi="Arial" w:cs="Arial"/>
          <w:sz w:val="18"/>
          <w:szCs w:val="18"/>
        </w:rPr>
        <w:t xml:space="preserve">     </w:t>
      </w:r>
    </w:p>
    <w:p w:rsidR="00A50753" w:rsidRDefault="00A50753" w:rsidP="009E66B8">
      <w:pPr>
        <w:spacing w:after="0" w:line="240" w:lineRule="auto"/>
        <w:ind w:right="-541"/>
        <w:rPr>
          <w:rFonts w:ascii="Arial" w:eastAsia="Times New Roman" w:hAnsi="Arial" w:cs="Arial"/>
          <w:b/>
          <w:bCs/>
          <w:color w:val="1F497D" w:themeColor="text2"/>
          <w:sz w:val="20"/>
          <w:szCs w:val="20"/>
          <w:lang w:val="en-IE"/>
        </w:rPr>
      </w:pPr>
    </w:p>
    <w:p w:rsidR="009E66B8" w:rsidRPr="006C3343" w:rsidRDefault="009E66B8" w:rsidP="009E66B8">
      <w:pPr>
        <w:spacing w:after="0" w:line="240" w:lineRule="auto"/>
        <w:ind w:right="-541"/>
        <w:rPr>
          <w:rFonts w:ascii="Arial" w:eastAsia="Times New Roman" w:hAnsi="Arial" w:cs="Arial"/>
          <w:b/>
          <w:bCs/>
          <w:color w:val="1F497D" w:themeColor="text2"/>
          <w:sz w:val="20"/>
          <w:szCs w:val="20"/>
          <w:lang w:val="en-IE"/>
        </w:rPr>
      </w:pPr>
      <w:r w:rsidRPr="00A95934">
        <w:rPr>
          <w:rFonts w:ascii="Arial" w:eastAsia="Times New Roman" w:hAnsi="Arial" w:cs="Arial"/>
          <w:b/>
          <w:bCs/>
          <w:color w:val="1F497D" w:themeColor="text2"/>
          <w:sz w:val="20"/>
          <w:szCs w:val="20"/>
          <w:lang w:val="en-IE"/>
        </w:rPr>
        <w:t>Contacts:</w:t>
      </w:r>
    </w:p>
    <w:p w:rsidR="009E66B8" w:rsidRDefault="009E66B8" w:rsidP="009E66B8">
      <w:pPr>
        <w:spacing w:after="0" w:line="240" w:lineRule="auto"/>
        <w:ind w:right="-541"/>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649"/>
      </w:tblGrid>
      <w:tr w:rsidR="0008256B" w:rsidTr="0008256B">
        <w:tc>
          <w:tcPr>
            <w:tcW w:w="3114" w:type="dxa"/>
          </w:tcPr>
          <w:p w:rsidR="0008256B" w:rsidRDefault="0008256B" w:rsidP="009E66B8">
            <w:pPr>
              <w:ind w:right="-541"/>
              <w:rPr>
                <w:rFonts w:ascii="Arial" w:hAnsi="Arial" w:cs="Arial"/>
                <w:sz w:val="18"/>
                <w:szCs w:val="18"/>
              </w:rPr>
            </w:pPr>
            <w:r w:rsidRPr="006010C1">
              <w:rPr>
                <w:rFonts w:ascii="Arial" w:hAnsi="Arial" w:cs="Arial"/>
                <w:sz w:val="18"/>
                <w:szCs w:val="18"/>
              </w:rPr>
              <w:t>John Cotter</w:t>
            </w:r>
          </w:p>
          <w:p w:rsidR="0008256B" w:rsidRDefault="0008256B" w:rsidP="009E66B8">
            <w:pPr>
              <w:ind w:right="-541"/>
              <w:rPr>
                <w:rFonts w:ascii="Arial" w:hAnsi="Arial" w:cs="Arial"/>
                <w:sz w:val="18"/>
                <w:szCs w:val="18"/>
              </w:rPr>
            </w:pPr>
            <w:r w:rsidRPr="006010C1">
              <w:rPr>
                <w:rFonts w:ascii="Arial" w:hAnsi="Arial" w:cs="Arial"/>
                <w:sz w:val="18"/>
                <w:szCs w:val="18"/>
              </w:rPr>
              <w:t>Group Chief Executive</w:t>
            </w:r>
          </w:p>
          <w:p w:rsidR="0008256B" w:rsidRDefault="0008256B" w:rsidP="009E66B8">
            <w:pPr>
              <w:ind w:right="-541"/>
              <w:rPr>
                <w:rFonts w:ascii="Arial" w:hAnsi="Arial" w:cs="Arial"/>
                <w:sz w:val="18"/>
                <w:szCs w:val="18"/>
              </w:rPr>
            </w:pPr>
            <w:r w:rsidRPr="006010C1">
              <w:rPr>
                <w:rFonts w:ascii="Arial" w:hAnsi="Arial" w:cs="Arial"/>
                <w:sz w:val="18"/>
                <w:szCs w:val="18"/>
              </w:rPr>
              <w:t>IFG Group plc</w:t>
            </w:r>
            <w:r w:rsidRPr="006010C1">
              <w:rPr>
                <w:rFonts w:ascii="Arial" w:hAnsi="Arial" w:cs="Arial"/>
                <w:sz w:val="18"/>
                <w:szCs w:val="18"/>
              </w:rPr>
              <w:tab/>
            </w:r>
          </w:p>
          <w:p w:rsidR="0008256B" w:rsidRDefault="0008256B" w:rsidP="009E66B8">
            <w:pPr>
              <w:ind w:right="-541"/>
              <w:rPr>
                <w:rFonts w:ascii="Arial" w:hAnsi="Arial" w:cs="Arial"/>
                <w:b/>
                <w:sz w:val="20"/>
                <w:szCs w:val="20"/>
              </w:rPr>
            </w:pPr>
            <w:r w:rsidRPr="006010C1">
              <w:rPr>
                <w:rFonts w:ascii="Arial" w:hAnsi="Arial" w:cs="Arial"/>
                <w:sz w:val="18"/>
                <w:szCs w:val="18"/>
              </w:rPr>
              <w:t>Tel: +44 20 3887 6181</w:t>
            </w:r>
          </w:p>
        </w:tc>
        <w:tc>
          <w:tcPr>
            <w:tcW w:w="7649" w:type="dxa"/>
          </w:tcPr>
          <w:p w:rsidR="0008256B" w:rsidRDefault="0008256B" w:rsidP="009E66B8">
            <w:pPr>
              <w:ind w:right="-541"/>
              <w:rPr>
                <w:rFonts w:ascii="Arial" w:hAnsi="Arial" w:cs="Arial"/>
                <w:sz w:val="18"/>
                <w:szCs w:val="18"/>
              </w:rPr>
            </w:pPr>
            <w:r>
              <w:rPr>
                <w:rFonts w:ascii="Arial" w:hAnsi="Arial" w:cs="Arial"/>
                <w:sz w:val="18"/>
                <w:szCs w:val="18"/>
              </w:rPr>
              <w:t>Mark Dearsley</w:t>
            </w:r>
          </w:p>
          <w:p w:rsidR="0008256B" w:rsidRPr="006010C1" w:rsidRDefault="0008256B" w:rsidP="0008256B">
            <w:pPr>
              <w:ind w:right="-541"/>
              <w:rPr>
                <w:rFonts w:ascii="Arial" w:hAnsi="Arial" w:cs="Arial"/>
                <w:sz w:val="18"/>
                <w:szCs w:val="18"/>
              </w:rPr>
            </w:pPr>
            <w:r>
              <w:rPr>
                <w:rFonts w:ascii="Arial" w:hAnsi="Arial" w:cs="Arial"/>
                <w:sz w:val="18"/>
                <w:szCs w:val="18"/>
              </w:rPr>
              <w:t>Interim Group Chief Financial Officer</w:t>
            </w:r>
          </w:p>
          <w:p w:rsidR="0008256B" w:rsidRDefault="0008256B" w:rsidP="009E66B8">
            <w:pPr>
              <w:ind w:right="-541"/>
              <w:rPr>
                <w:rFonts w:ascii="Arial" w:hAnsi="Arial" w:cs="Arial"/>
                <w:sz w:val="18"/>
                <w:szCs w:val="18"/>
              </w:rPr>
            </w:pPr>
            <w:r w:rsidRPr="006010C1">
              <w:rPr>
                <w:rFonts w:ascii="Arial" w:hAnsi="Arial" w:cs="Arial"/>
                <w:sz w:val="18"/>
                <w:szCs w:val="18"/>
              </w:rPr>
              <w:t>IFG Group plc</w:t>
            </w:r>
          </w:p>
          <w:p w:rsidR="0008256B" w:rsidRDefault="0008256B" w:rsidP="009E66B8">
            <w:pPr>
              <w:ind w:right="-541"/>
              <w:rPr>
                <w:rFonts w:ascii="Arial" w:hAnsi="Arial" w:cs="Arial"/>
                <w:b/>
                <w:sz w:val="20"/>
                <w:szCs w:val="20"/>
              </w:rPr>
            </w:pPr>
            <w:r w:rsidRPr="006010C1">
              <w:rPr>
                <w:rFonts w:ascii="Arial" w:hAnsi="Arial" w:cs="Arial"/>
                <w:sz w:val="18"/>
                <w:szCs w:val="18"/>
              </w:rPr>
              <w:t>Tel: +44 20 3887 6181</w:t>
            </w:r>
          </w:p>
        </w:tc>
      </w:tr>
    </w:tbl>
    <w:p w:rsidR="0008256B" w:rsidRDefault="0008256B" w:rsidP="009E66B8">
      <w:pPr>
        <w:spacing w:after="0" w:line="240" w:lineRule="auto"/>
        <w:ind w:right="-541"/>
        <w:rPr>
          <w:rFonts w:ascii="Arial" w:hAnsi="Arial" w:cs="Arial"/>
          <w:b/>
          <w:sz w:val="20"/>
          <w:szCs w:val="20"/>
        </w:rPr>
      </w:pPr>
    </w:p>
    <w:p w:rsidR="0008256B" w:rsidRPr="006C3343" w:rsidRDefault="0008256B" w:rsidP="009E66B8">
      <w:pPr>
        <w:spacing w:after="0" w:line="240" w:lineRule="auto"/>
        <w:ind w:right="-541"/>
        <w:rPr>
          <w:rFonts w:ascii="Arial" w:hAnsi="Arial" w:cs="Arial"/>
          <w:b/>
          <w:sz w:val="20"/>
          <w:szCs w:val="20"/>
        </w:rPr>
      </w:pPr>
    </w:p>
    <w:p w:rsidR="009E66B8" w:rsidRPr="006010C1" w:rsidRDefault="000748D0" w:rsidP="009E66B8">
      <w:pPr>
        <w:spacing w:after="0" w:line="240" w:lineRule="auto"/>
        <w:ind w:right="-541"/>
        <w:rPr>
          <w:rFonts w:ascii="Arial" w:hAnsi="Arial" w:cs="Arial"/>
          <w:sz w:val="18"/>
          <w:szCs w:val="18"/>
        </w:rPr>
      </w:pPr>
      <w:r w:rsidRPr="006010C1">
        <w:rPr>
          <w:rFonts w:ascii="Arial" w:hAnsi="Arial" w:cs="Arial"/>
          <w:sz w:val="18"/>
          <w:szCs w:val="18"/>
        </w:rPr>
        <w:tab/>
      </w:r>
      <w:r w:rsidRPr="006010C1">
        <w:rPr>
          <w:rFonts w:ascii="Arial" w:hAnsi="Arial" w:cs="Arial"/>
          <w:sz w:val="18"/>
          <w:szCs w:val="18"/>
        </w:rPr>
        <w:tab/>
      </w:r>
      <w:r w:rsidRPr="006010C1">
        <w:rPr>
          <w:rFonts w:ascii="Arial" w:hAnsi="Arial" w:cs="Arial"/>
          <w:sz w:val="18"/>
          <w:szCs w:val="18"/>
        </w:rPr>
        <w:tab/>
      </w:r>
      <w:r w:rsidRPr="006010C1">
        <w:rPr>
          <w:rFonts w:ascii="Arial" w:hAnsi="Arial" w:cs="Arial"/>
          <w:sz w:val="18"/>
          <w:szCs w:val="18"/>
        </w:rPr>
        <w:tab/>
      </w:r>
      <w:r w:rsidRPr="006010C1">
        <w:rPr>
          <w:rFonts w:ascii="Arial" w:hAnsi="Arial" w:cs="Arial"/>
          <w:sz w:val="18"/>
          <w:szCs w:val="18"/>
        </w:rPr>
        <w:tab/>
      </w:r>
      <w:r w:rsidR="009E66B8" w:rsidRPr="006010C1">
        <w:rPr>
          <w:rFonts w:ascii="Arial" w:hAnsi="Arial" w:cs="Arial"/>
          <w:sz w:val="18"/>
          <w:szCs w:val="18"/>
        </w:rPr>
        <w:tab/>
      </w:r>
      <w:r w:rsidR="009E66B8" w:rsidRPr="006010C1">
        <w:rPr>
          <w:rFonts w:ascii="Arial" w:hAnsi="Arial" w:cs="Arial"/>
          <w:sz w:val="18"/>
          <w:szCs w:val="18"/>
        </w:rPr>
        <w:tab/>
      </w:r>
      <w:r w:rsidR="009E66B8" w:rsidRPr="006010C1">
        <w:rPr>
          <w:rFonts w:ascii="Arial" w:hAnsi="Arial" w:cs="Arial"/>
          <w:sz w:val="18"/>
          <w:szCs w:val="18"/>
        </w:rPr>
        <w:tab/>
      </w:r>
      <w:r w:rsidR="009E66B8" w:rsidRPr="006010C1">
        <w:rPr>
          <w:rFonts w:ascii="Arial" w:hAnsi="Arial" w:cs="Arial"/>
          <w:sz w:val="18"/>
          <w:szCs w:val="18"/>
        </w:rPr>
        <w:tab/>
      </w:r>
    </w:p>
    <w:p w:rsidR="00591021" w:rsidRPr="0008256B" w:rsidRDefault="009E66B8" w:rsidP="0008256B">
      <w:pPr>
        <w:spacing w:after="0" w:line="240" w:lineRule="auto"/>
        <w:ind w:right="-541"/>
        <w:rPr>
          <w:rFonts w:ascii="Arial" w:hAnsi="Arial" w:cs="Arial"/>
          <w:sz w:val="18"/>
          <w:szCs w:val="18"/>
        </w:rPr>
      </w:pPr>
      <w:r w:rsidRPr="006010C1">
        <w:rPr>
          <w:rFonts w:ascii="Arial" w:hAnsi="Arial" w:cs="Arial"/>
          <w:sz w:val="18"/>
          <w:szCs w:val="18"/>
        </w:rPr>
        <w:tab/>
      </w:r>
      <w:r w:rsidR="000748D0" w:rsidRPr="006010C1">
        <w:rPr>
          <w:rFonts w:ascii="Arial" w:hAnsi="Arial" w:cs="Arial"/>
          <w:sz w:val="18"/>
          <w:szCs w:val="18"/>
        </w:rPr>
        <w:tab/>
      </w:r>
      <w:r w:rsidR="000748D0" w:rsidRPr="006010C1">
        <w:rPr>
          <w:rFonts w:ascii="Arial" w:hAnsi="Arial" w:cs="Arial"/>
          <w:sz w:val="18"/>
          <w:szCs w:val="18"/>
        </w:rPr>
        <w:tab/>
      </w:r>
      <w:r w:rsidRPr="006010C1">
        <w:rPr>
          <w:rFonts w:ascii="Arial" w:hAnsi="Arial" w:cs="Arial"/>
          <w:sz w:val="18"/>
          <w:szCs w:val="18"/>
        </w:rPr>
        <w:tab/>
      </w:r>
      <w:r w:rsidRPr="006010C1">
        <w:rPr>
          <w:rFonts w:ascii="Arial" w:hAnsi="Arial" w:cs="Arial"/>
          <w:sz w:val="18"/>
          <w:szCs w:val="18"/>
        </w:rPr>
        <w:tab/>
      </w:r>
      <w:r w:rsidR="00591021" w:rsidRPr="006C3343">
        <w:rPr>
          <w:rFonts w:ascii="Arial" w:hAnsi="Arial" w:cs="Arial"/>
          <w:sz w:val="20"/>
          <w:szCs w:val="20"/>
        </w:rPr>
        <w:tab/>
      </w:r>
    </w:p>
    <w:p w:rsidR="00A6134A" w:rsidRPr="00CA7B24" w:rsidRDefault="00A6134A" w:rsidP="00A6134A">
      <w:pPr>
        <w:spacing w:after="0" w:line="240" w:lineRule="auto"/>
        <w:ind w:right="-541"/>
        <w:rPr>
          <w:rFonts w:ascii="Arial" w:eastAsia="Times New Roman" w:hAnsi="Arial" w:cs="Arial"/>
          <w:b/>
          <w:color w:val="1F497D" w:themeColor="text2"/>
          <w:sz w:val="20"/>
          <w:szCs w:val="20"/>
          <w:lang w:val="en-IE"/>
        </w:rPr>
      </w:pPr>
      <w:r w:rsidRPr="00BA1294">
        <w:rPr>
          <w:rFonts w:ascii="Arial" w:eastAsia="Times New Roman" w:hAnsi="Arial" w:cs="Arial"/>
          <w:b/>
          <w:bCs/>
          <w:color w:val="1F497D" w:themeColor="text2"/>
          <w:sz w:val="20"/>
          <w:szCs w:val="20"/>
          <w:lang w:val="en-IE"/>
        </w:rPr>
        <w:t>Presentation of results and dial-in</w:t>
      </w:r>
    </w:p>
    <w:p w:rsidR="00A6134A" w:rsidRDefault="00A6134A" w:rsidP="00A6134A">
      <w:pPr>
        <w:jc w:val="both"/>
        <w:rPr>
          <w:rFonts w:ascii="Arial" w:eastAsia="Times New Roman" w:hAnsi="Arial" w:cs="Arial"/>
          <w:sz w:val="20"/>
          <w:szCs w:val="20"/>
        </w:rPr>
      </w:pPr>
    </w:p>
    <w:p w:rsidR="00A6134A" w:rsidRPr="00B61833" w:rsidRDefault="00A6134A" w:rsidP="00B61833">
      <w:pPr>
        <w:rPr>
          <w:rFonts w:ascii="Arial" w:eastAsia="Times New Roman" w:hAnsi="Arial" w:cs="Arial"/>
          <w:sz w:val="18"/>
          <w:szCs w:val="18"/>
        </w:rPr>
      </w:pPr>
      <w:r w:rsidRPr="00B61833">
        <w:rPr>
          <w:rFonts w:ascii="Arial" w:eastAsia="Times New Roman" w:hAnsi="Arial" w:cs="Arial"/>
          <w:sz w:val="18"/>
          <w:szCs w:val="18"/>
        </w:rPr>
        <w:t>There will be a presentation of these results to analysts and investors/fund managers at 9.30am today at Macquarie offices, Ropemaker Place, 28 Ropemaker Street, London EC2Y 9HD. The slides for this presentation can be downloaded from IFG’s website, www.ifggroup.com.</w:t>
      </w:r>
    </w:p>
    <w:p w:rsidR="00A6134A" w:rsidRPr="00B61833" w:rsidRDefault="00A6134A" w:rsidP="00B61833">
      <w:pPr>
        <w:rPr>
          <w:rFonts w:ascii="Arial" w:eastAsia="Times New Roman" w:hAnsi="Arial" w:cs="Arial"/>
          <w:sz w:val="18"/>
          <w:szCs w:val="18"/>
        </w:rPr>
      </w:pPr>
      <w:r w:rsidRPr="00B61833">
        <w:rPr>
          <w:rFonts w:ascii="Arial" w:eastAsia="Times New Roman" w:hAnsi="Arial" w:cs="Arial"/>
          <w:sz w:val="18"/>
          <w:szCs w:val="18"/>
        </w:rPr>
        <w:t xml:space="preserve">There will also be audio conference access to the presentation. The access details for the presentation are:  </w:t>
      </w:r>
    </w:p>
    <w:p w:rsidR="00A6134A" w:rsidRPr="00B61833" w:rsidRDefault="00A6134A" w:rsidP="00A6134A">
      <w:pPr>
        <w:jc w:val="both"/>
        <w:rPr>
          <w:rFonts w:ascii="Arial" w:eastAsia="Times New Roman" w:hAnsi="Arial" w:cs="Arial"/>
          <w:sz w:val="18"/>
          <w:szCs w:val="18"/>
        </w:rPr>
      </w:pPr>
      <w:r w:rsidRPr="00B61833">
        <w:rPr>
          <w:rFonts w:ascii="Arial" w:eastAsia="Times New Roman" w:hAnsi="Arial" w:cs="Arial"/>
          <w:sz w:val="18"/>
          <w:szCs w:val="18"/>
        </w:rPr>
        <w:t xml:space="preserve"> </w:t>
      </w:r>
    </w:p>
    <w:tbl>
      <w:tblPr>
        <w:tblW w:w="6379" w:type="dxa"/>
        <w:jc w:val="center"/>
        <w:tblCellMar>
          <w:left w:w="0" w:type="dxa"/>
          <w:right w:w="0" w:type="dxa"/>
        </w:tblCellMar>
        <w:tblLook w:val="04A0" w:firstRow="1" w:lastRow="0" w:firstColumn="1" w:lastColumn="0" w:noHBand="0" w:noVBand="1"/>
      </w:tblPr>
      <w:tblGrid>
        <w:gridCol w:w="63"/>
        <w:gridCol w:w="3340"/>
        <w:gridCol w:w="2976"/>
      </w:tblGrid>
      <w:tr w:rsidR="00A6134A" w:rsidRPr="00DC0794" w:rsidTr="001A2035">
        <w:trPr>
          <w:trHeight w:val="830"/>
          <w:jc w:val="center"/>
        </w:trPr>
        <w:tc>
          <w:tcPr>
            <w:tcW w:w="2667" w:type="pct"/>
            <w:gridSpan w:val="2"/>
            <w:tcMar>
              <w:top w:w="30" w:type="dxa"/>
              <w:left w:w="30" w:type="dxa"/>
              <w:bottom w:w="30" w:type="dxa"/>
              <w:right w:w="30" w:type="dxa"/>
            </w:tcMar>
            <w:vAlign w:val="center"/>
            <w:hideMark/>
          </w:tcPr>
          <w:p w:rsidR="00A6134A" w:rsidRPr="00806547" w:rsidRDefault="00A6134A" w:rsidP="001A2035">
            <w:pPr>
              <w:rPr>
                <w:rFonts w:ascii="Arial" w:eastAsia="Times New Roman" w:hAnsi="Arial" w:cs="Arial"/>
                <w:b/>
                <w:sz w:val="18"/>
                <w:szCs w:val="18"/>
              </w:rPr>
            </w:pPr>
            <w:r w:rsidRPr="00806547">
              <w:rPr>
                <w:rFonts w:ascii="Arial" w:eastAsia="Times New Roman" w:hAnsi="Arial" w:cs="Arial"/>
                <w:b/>
                <w:sz w:val="18"/>
                <w:szCs w:val="18"/>
              </w:rPr>
              <w:t>Confirmation Code:</w:t>
            </w:r>
          </w:p>
        </w:tc>
        <w:tc>
          <w:tcPr>
            <w:tcW w:w="2333" w:type="pct"/>
            <w:tcMar>
              <w:top w:w="30" w:type="dxa"/>
              <w:left w:w="30" w:type="dxa"/>
              <w:bottom w:w="30" w:type="dxa"/>
              <w:right w:w="30" w:type="dxa"/>
            </w:tcMar>
            <w:vAlign w:val="center"/>
            <w:hideMark/>
          </w:tcPr>
          <w:p w:rsidR="00A6134A" w:rsidRPr="00806547" w:rsidRDefault="0053278F" w:rsidP="001A2035">
            <w:pPr>
              <w:rPr>
                <w:rFonts w:ascii="Arial" w:eastAsia="Times New Roman" w:hAnsi="Arial" w:cs="Arial"/>
                <w:b/>
                <w:sz w:val="18"/>
                <w:szCs w:val="18"/>
              </w:rPr>
            </w:pPr>
            <w:r>
              <w:rPr>
                <w:rFonts w:ascii="Arial" w:eastAsia="Times New Roman" w:hAnsi="Arial" w:cs="Arial"/>
                <w:b/>
                <w:sz w:val="18"/>
                <w:szCs w:val="18"/>
              </w:rPr>
              <w:t>5951288</w:t>
            </w:r>
          </w:p>
        </w:tc>
      </w:tr>
      <w:tr w:rsidR="00A6134A" w:rsidTr="001A2035">
        <w:trPr>
          <w:tblHeader/>
          <w:jc w:val="center"/>
        </w:trPr>
        <w:tc>
          <w:tcPr>
            <w:tcW w:w="49" w:type="pct"/>
            <w:vAlign w:val="center"/>
            <w:hideMark/>
          </w:tcPr>
          <w:p w:rsidR="00A6134A" w:rsidRDefault="00A6134A" w:rsidP="001A2035">
            <w:pPr>
              <w:rPr>
                <w:rFonts w:ascii="Verdana" w:hAnsi="Verdana" w:cs="Times New Roman"/>
                <w:sz w:val="18"/>
                <w:szCs w:val="18"/>
              </w:rPr>
            </w:pPr>
            <w:r>
              <w:t> </w:t>
            </w:r>
          </w:p>
        </w:tc>
        <w:tc>
          <w:tcPr>
            <w:tcW w:w="2618" w:type="pc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b/>
                <w:bCs/>
                <w:sz w:val="20"/>
                <w:szCs w:val="20"/>
              </w:rPr>
            </w:pPr>
            <w:r w:rsidRPr="00806547">
              <w:rPr>
                <w:rFonts w:ascii="Arial" w:hAnsi="Arial" w:cs="Arial"/>
                <w:b/>
                <w:bCs/>
                <w:sz w:val="20"/>
                <w:szCs w:val="20"/>
              </w:rPr>
              <w:t xml:space="preserve">Location </w:t>
            </w:r>
          </w:p>
        </w:tc>
        <w:tc>
          <w:tcPr>
            <w:tcW w:w="2333" w:type="pc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b/>
                <w:bCs/>
                <w:sz w:val="20"/>
                <w:szCs w:val="20"/>
              </w:rPr>
            </w:pPr>
            <w:r w:rsidRPr="00806547">
              <w:rPr>
                <w:rFonts w:ascii="Arial" w:hAnsi="Arial" w:cs="Arial"/>
                <w:b/>
                <w:bCs/>
                <w:sz w:val="20"/>
                <w:szCs w:val="20"/>
              </w:rPr>
              <w:t xml:space="preserve">Phone Number </w:t>
            </w:r>
          </w:p>
        </w:tc>
      </w:tr>
      <w:tr w:rsidR="00A6134A" w:rsidTr="001A2035">
        <w:trPr>
          <w:tblHeader/>
          <w:jc w:val="center"/>
        </w:trPr>
        <w:tc>
          <w:tcPr>
            <w:tcW w:w="49" w:type="pct"/>
            <w:vAlign w:val="center"/>
            <w:hideMark/>
          </w:tcPr>
          <w:p w:rsidR="00A6134A" w:rsidRDefault="00A6134A" w:rsidP="001A2035">
            <w:pPr>
              <w:rPr>
                <w:rFonts w:ascii="Verdana" w:hAnsi="Verdana" w:cs="Times New Roman"/>
                <w:sz w:val="18"/>
                <w:szCs w:val="18"/>
              </w:rPr>
            </w:pPr>
            <w:r>
              <w:t> </w:t>
            </w:r>
          </w:p>
        </w:tc>
        <w:tc>
          <w:tcPr>
            <w:tcW w:w="2618"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sz w:val="20"/>
                <w:szCs w:val="20"/>
              </w:rPr>
            </w:pPr>
            <w:r w:rsidRPr="00806547">
              <w:rPr>
                <w:rFonts w:ascii="Arial" w:hAnsi="Arial" w:cs="Arial"/>
                <w:sz w:val="20"/>
                <w:szCs w:val="20"/>
              </w:rPr>
              <w:t>United Kingdom</w:t>
            </w:r>
          </w:p>
        </w:tc>
        <w:tc>
          <w:tcPr>
            <w:tcW w:w="2333"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sz w:val="20"/>
                <w:szCs w:val="20"/>
              </w:rPr>
            </w:pPr>
            <w:r w:rsidRPr="00806547">
              <w:rPr>
                <w:rFonts w:ascii="Arial" w:hAnsi="Arial" w:cs="Arial"/>
                <w:sz w:val="20"/>
                <w:szCs w:val="20"/>
              </w:rPr>
              <w:t>+44 (0)330 336 9</w:t>
            </w:r>
            <w:r w:rsidR="0053278F">
              <w:rPr>
                <w:rFonts w:ascii="Arial" w:hAnsi="Arial" w:cs="Arial"/>
                <w:sz w:val="20"/>
                <w:szCs w:val="20"/>
              </w:rPr>
              <w:t>411</w:t>
            </w:r>
          </w:p>
        </w:tc>
      </w:tr>
      <w:tr w:rsidR="00A6134A" w:rsidTr="001A2035">
        <w:trPr>
          <w:jc w:val="center"/>
        </w:trPr>
        <w:tc>
          <w:tcPr>
            <w:tcW w:w="49" w:type="pct"/>
            <w:vAlign w:val="center"/>
            <w:hideMark/>
          </w:tcPr>
          <w:p w:rsidR="00A6134A" w:rsidRDefault="00A6134A" w:rsidP="001A2035">
            <w:pPr>
              <w:rPr>
                <w:rFonts w:ascii="Verdana" w:hAnsi="Verdana" w:cs="Times New Roman"/>
                <w:sz w:val="18"/>
                <w:szCs w:val="18"/>
              </w:rPr>
            </w:pPr>
            <w:r>
              <w:t> </w:t>
            </w:r>
          </w:p>
        </w:tc>
        <w:tc>
          <w:tcPr>
            <w:tcW w:w="2618"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sz w:val="20"/>
                <w:szCs w:val="20"/>
              </w:rPr>
            </w:pPr>
            <w:r w:rsidRPr="00806547">
              <w:rPr>
                <w:rFonts w:ascii="Arial" w:hAnsi="Arial" w:cs="Arial"/>
                <w:sz w:val="20"/>
                <w:szCs w:val="20"/>
              </w:rPr>
              <w:t>Ireland</w:t>
            </w:r>
          </w:p>
        </w:tc>
        <w:tc>
          <w:tcPr>
            <w:tcW w:w="2333"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sz w:val="20"/>
                <w:szCs w:val="20"/>
              </w:rPr>
            </w:pPr>
            <w:r w:rsidRPr="00806547">
              <w:rPr>
                <w:rFonts w:ascii="Arial" w:hAnsi="Arial" w:cs="Arial"/>
                <w:sz w:val="20"/>
                <w:szCs w:val="20"/>
              </w:rPr>
              <w:t>+353 (0)1 246 56</w:t>
            </w:r>
            <w:r w:rsidR="0053278F">
              <w:rPr>
                <w:rFonts w:ascii="Arial" w:hAnsi="Arial" w:cs="Arial"/>
                <w:sz w:val="20"/>
                <w:szCs w:val="20"/>
              </w:rPr>
              <w:t>21</w:t>
            </w:r>
          </w:p>
        </w:tc>
      </w:tr>
      <w:tr w:rsidR="00A6134A" w:rsidTr="001A2035">
        <w:trPr>
          <w:jc w:val="center"/>
        </w:trPr>
        <w:tc>
          <w:tcPr>
            <w:tcW w:w="49" w:type="pct"/>
            <w:vAlign w:val="center"/>
            <w:hideMark/>
          </w:tcPr>
          <w:p w:rsidR="00A6134A" w:rsidRDefault="00A6134A" w:rsidP="001A2035">
            <w:pPr>
              <w:rPr>
                <w:rFonts w:ascii="Verdana" w:hAnsi="Verdana" w:cs="Times New Roman"/>
                <w:sz w:val="18"/>
                <w:szCs w:val="18"/>
              </w:rPr>
            </w:pPr>
            <w:r>
              <w:t> </w:t>
            </w:r>
          </w:p>
        </w:tc>
        <w:tc>
          <w:tcPr>
            <w:tcW w:w="2618"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sz w:val="20"/>
                <w:szCs w:val="20"/>
              </w:rPr>
            </w:pPr>
            <w:r w:rsidRPr="00806547">
              <w:rPr>
                <w:rFonts w:ascii="Arial" w:hAnsi="Arial" w:cs="Arial"/>
                <w:sz w:val="20"/>
                <w:szCs w:val="20"/>
              </w:rPr>
              <w:t>France</w:t>
            </w:r>
          </w:p>
        </w:tc>
        <w:tc>
          <w:tcPr>
            <w:tcW w:w="2333"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A6134A" w:rsidRPr="00CF15D1" w:rsidRDefault="00A6134A" w:rsidP="001A2035">
            <w:pPr>
              <w:rPr>
                <w:rFonts w:ascii="Arial" w:hAnsi="Arial" w:cs="Arial"/>
                <w:sz w:val="20"/>
                <w:szCs w:val="20"/>
              </w:rPr>
            </w:pPr>
            <w:r w:rsidRPr="00CF15D1">
              <w:rPr>
                <w:rFonts w:ascii="Arial" w:hAnsi="Arial" w:cs="Arial"/>
                <w:sz w:val="20"/>
                <w:szCs w:val="20"/>
              </w:rPr>
              <w:t xml:space="preserve">+33 (0)1 76 77 22 </w:t>
            </w:r>
            <w:r w:rsidR="00CF15D1" w:rsidRPr="00CF15D1">
              <w:rPr>
                <w:rFonts w:ascii="Arial" w:hAnsi="Arial" w:cs="Arial"/>
                <w:sz w:val="20"/>
                <w:szCs w:val="20"/>
              </w:rPr>
              <w:t>57</w:t>
            </w:r>
          </w:p>
        </w:tc>
      </w:tr>
      <w:tr w:rsidR="00A6134A" w:rsidTr="001A2035">
        <w:trPr>
          <w:jc w:val="center"/>
        </w:trPr>
        <w:tc>
          <w:tcPr>
            <w:tcW w:w="49" w:type="pct"/>
            <w:vAlign w:val="center"/>
            <w:hideMark/>
          </w:tcPr>
          <w:p w:rsidR="00A6134A" w:rsidRDefault="00A6134A" w:rsidP="001A2035">
            <w:pPr>
              <w:rPr>
                <w:rFonts w:ascii="Verdana" w:hAnsi="Verdana" w:cs="Times New Roman"/>
                <w:sz w:val="18"/>
                <w:szCs w:val="18"/>
              </w:rPr>
            </w:pPr>
            <w:r>
              <w:t> </w:t>
            </w:r>
          </w:p>
        </w:tc>
        <w:tc>
          <w:tcPr>
            <w:tcW w:w="2618"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pPr>
              <w:rPr>
                <w:rFonts w:ascii="Arial" w:hAnsi="Arial" w:cs="Arial"/>
                <w:sz w:val="20"/>
                <w:szCs w:val="20"/>
              </w:rPr>
            </w:pPr>
            <w:r w:rsidRPr="00806547">
              <w:rPr>
                <w:rFonts w:ascii="Arial" w:hAnsi="Arial" w:cs="Arial"/>
                <w:sz w:val="20"/>
                <w:szCs w:val="20"/>
              </w:rPr>
              <w:t xml:space="preserve">Germany </w:t>
            </w:r>
          </w:p>
        </w:tc>
        <w:tc>
          <w:tcPr>
            <w:tcW w:w="2333"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A6134A" w:rsidRPr="00CF15D1" w:rsidRDefault="00A6134A" w:rsidP="001A2035">
            <w:pPr>
              <w:rPr>
                <w:rFonts w:ascii="Arial" w:hAnsi="Arial" w:cs="Arial"/>
                <w:sz w:val="20"/>
                <w:szCs w:val="20"/>
              </w:rPr>
            </w:pPr>
            <w:r w:rsidRPr="00CF15D1">
              <w:rPr>
                <w:rFonts w:ascii="Arial" w:hAnsi="Arial" w:cs="Arial"/>
                <w:sz w:val="20"/>
                <w:szCs w:val="20"/>
              </w:rPr>
              <w:t xml:space="preserve">+49 (0)69 2222 </w:t>
            </w:r>
            <w:r w:rsidR="00CF15D1" w:rsidRPr="00CF15D1">
              <w:rPr>
                <w:rFonts w:ascii="Arial" w:hAnsi="Arial" w:cs="Arial"/>
                <w:sz w:val="20"/>
                <w:szCs w:val="20"/>
              </w:rPr>
              <w:t>2018</w:t>
            </w:r>
          </w:p>
        </w:tc>
      </w:tr>
      <w:tr w:rsidR="00A6134A" w:rsidTr="001A2035">
        <w:trPr>
          <w:jc w:val="center"/>
        </w:trPr>
        <w:tc>
          <w:tcPr>
            <w:tcW w:w="49" w:type="pct"/>
            <w:vAlign w:val="center"/>
            <w:hideMark/>
          </w:tcPr>
          <w:p w:rsidR="00A6134A" w:rsidRDefault="00A6134A" w:rsidP="001A2035">
            <w:pPr>
              <w:rPr>
                <w:rFonts w:ascii="Verdana" w:hAnsi="Verdana" w:cs="Times New Roman"/>
                <w:sz w:val="18"/>
                <w:szCs w:val="18"/>
              </w:rPr>
            </w:pPr>
            <w:r>
              <w:t> </w:t>
            </w:r>
          </w:p>
        </w:tc>
        <w:tc>
          <w:tcPr>
            <w:tcW w:w="2618"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pPr>
              <w:rPr>
                <w:rFonts w:ascii="Arial" w:hAnsi="Arial" w:cs="Arial"/>
                <w:sz w:val="20"/>
                <w:szCs w:val="20"/>
              </w:rPr>
            </w:pPr>
            <w:r w:rsidRPr="00806547">
              <w:rPr>
                <w:rFonts w:ascii="Arial" w:hAnsi="Arial" w:cs="Arial"/>
                <w:sz w:val="20"/>
                <w:szCs w:val="20"/>
              </w:rPr>
              <w:t xml:space="preserve">Switzerland </w:t>
            </w:r>
          </w:p>
        </w:tc>
        <w:tc>
          <w:tcPr>
            <w:tcW w:w="2333"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A6134A" w:rsidRPr="00CF15D1" w:rsidRDefault="00A6134A" w:rsidP="001A2035">
            <w:pPr>
              <w:rPr>
                <w:rFonts w:ascii="Arial" w:hAnsi="Arial" w:cs="Arial"/>
                <w:sz w:val="20"/>
                <w:szCs w:val="20"/>
              </w:rPr>
            </w:pPr>
            <w:r w:rsidRPr="00CF15D1">
              <w:rPr>
                <w:rFonts w:ascii="Arial" w:hAnsi="Arial" w:cs="Arial"/>
                <w:sz w:val="20"/>
                <w:szCs w:val="20"/>
              </w:rPr>
              <w:t>+41 (0)22 567 57</w:t>
            </w:r>
            <w:r w:rsidR="00CF15D1" w:rsidRPr="00CF15D1">
              <w:rPr>
                <w:rFonts w:ascii="Arial" w:hAnsi="Arial" w:cs="Arial"/>
                <w:sz w:val="20"/>
                <w:szCs w:val="20"/>
              </w:rPr>
              <w:t>50</w:t>
            </w:r>
          </w:p>
        </w:tc>
      </w:tr>
      <w:tr w:rsidR="00A6134A" w:rsidTr="001A2035">
        <w:trPr>
          <w:jc w:val="center"/>
        </w:trPr>
        <w:tc>
          <w:tcPr>
            <w:tcW w:w="49" w:type="pct"/>
            <w:vAlign w:val="center"/>
            <w:hideMark/>
          </w:tcPr>
          <w:p w:rsidR="00A6134A" w:rsidRDefault="00A6134A" w:rsidP="001A2035">
            <w:pPr>
              <w:rPr>
                <w:rFonts w:ascii="Verdana" w:hAnsi="Verdana" w:cs="Times New Roman"/>
                <w:sz w:val="18"/>
                <w:szCs w:val="18"/>
              </w:rPr>
            </w:pPr>
            <w:r>
              <w:t> </w:t>
            </w:r>
          </w:p>
        </w:tc>
        <w:tc>
          <w:tcPr>
            <w:tcW w:w="2618"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A6134A" w:rsidRPr="00806547" w:rsidRDefault="00A6134A" w:rsidP="001A2035">
            <w:pPr>
              <w:rPr>
                <w:rFonts w:ascii="Arial" w:hAnsi="Arial" w:cs="Arial"/>
                <w:sz w:val="20"/>
                <w:szCs w:val="20"/>
              </w:rPr>
            </w:pPr>
            <w:r w:rsidRPr="00806547">
              <w:rPr>
                <w:rFonts w:ascii="Arial" w:hAnsi="Arial" w:cs="Arial"/>
                <w:sz w:val="20"/>
                <w:szCs w:val="20"/>
              </w:rPr>
              <w:t>US</w:t>
            </w:r>
          </w:p>
        </w:tc>
        <w:tc>
          <w:tcPr>
            <w:tcW w:w="2333"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rsidR="00A6134A" w:rsidRPr="00CF15D1" w:rsidRDefault="00A6134A" w:rsidP="001A2035">
            <w:pPr>
              <w:rPr>
                <w:rFonts w:ascii="Arial" w:hAnsi="Arial" w:cs="Arial"/>
                <w:sz w:val="20"/>
                <w:szCs w:val="20"/>
              </w:rPr>
            </w:pPr>
            <w:r w:rsidRPr="00CF15D1">
              <w:rPr>
                <w:rFonts w:ascii="Arial" w:hAnsi="Arial" w:cs="Arial"/>
                <w:sz w:val="20"/>
                <w:szCs w:val="20"/>
              </w:rPr>
              <w:t xml:space="preserve">+1 </w:t>
            </w:r>
            <w:r w:rsidR="00CF15D1" w:rsidRPr="00CF15D1">
              <w:rPr>
                <w:rFonts w:ascii="Arial" w:hAnsi="Arial" w:cs="Arial"/>
                <w:sz w:val="20"/>
                <w:szCs w:val="20"/>
              </w:rPr>
              <w:t>323 794 2093</w:t>
            </w:r>
          </w:p>
        </w:tc>
      </w:tr>
    </w:tbl>
    <w:p w:rsidR="00A6134A" w:rsidRPr="006C3343" w:rsidRDefault="00A6134A" w:rsidP="00A6134A">
      <w:pPr>
        <w:jc w:val="both"/>
        <w:rPr>
          <w:rFonts w:ascii="Arial" w:hAnsi="Arial" w:cs="Arial"/>
          <w:sz w:val="20"/>
          <w:szCs w:val="20"/>
        </w:rPr>
      </w:pPr>
    </w:p>
    <w:p w:rsidR="004C4ECA" w:rsidRPr="006010C1" w:rsidRDefault="00512839" w:rsidP="006010C1">
      <w:pPr>
        <w:spacing w:line="240" w:lineRule="auto"/>
        <w:rPr>
          <w:rFonts w:ascii="Arial" w:eastAsia="Times New Roman" w:hAnsi="Arial" w:cs="Arial"/>
          <w:bCs/>
          <w:color w:val="808080" w:themeColor="background1" w:themeShade="80"/>
          <w:sz w:val="28"/>
          <w:szCs w:val="28"/>
          <w:lang w:val="en-IE"/>
        </w:rPr>
      </w:pPr>
      <w:r w:rsidRPr="006C3343">
        <w:rPr>
          <w:rFonts w:ascii="Arial" w:hAnsi="Arial" w:cs="Arial"/>
          <w:b/>
          <w:sz w:val="20"/>
          <w:szCs w:val="20"/>
        </w:rPr>
        <w:br w:type="page"/>
      </w:r>
      <w:r w:rsidR="00DB0D70" w:rsidRPr="00E65E93">
        <w:rPr>
          <w:rFonts w:ascii="Arial" w:eastAsia="Times New Roman" w:hAnsi="Arial" w:cs="Arial"/>
          <w:bCs/>
          <w:color w:val="808080" w:themeColor="background1" w:themeShade="80"/>
          <w:sz w:val="28"/>
          <w:szCs w:val="28"/>
          <w:lang w:val="en-IE"/>
        </w:rPr>
        <w:lastRenderedPageBreak/>
        <w:t xml:space="preserve">Extract from </w:t>
      </w:r>
      <w:r w:rsidR="004C4ECA" w:rsidRPr="00E65E93">
        <w:rPr>
          <w:rFonts w:ascii="Arial" w:eastAsia="Times New Roman" w:hAnsi="Arial" w:cs="Arial"/>
          <w:bCs/>
          <w:color w:val="808080" w:themeColor="background1" w:themeShade="80"/>
          <w:sz w:val="28"/>
          <w:szCs w:val="28"/>
          <w:lang w:val="en-IE"/>
        </w:rPr>
        <w:t xml:space="preserve">Chairman’s Statement </w:t>
      </w:r>
    </w:p>
    <w:p w:rsidR="004C4ECA" w:rsidRPr="00BB7658" w:rsidRDefault="00BB7658" w:rsidP="006010C1">
      <w:pPr>
        <w:spacing w:line="240" w:lineRule="auto"/>
        <w:ind w:right="14"/>
        <w:rPr>
          <w:rFonts w:ascii="Arial" w:hAnsi="Arial" w:cs="Arial"/>
          <w:color w:val="1F497D" w:themeColor="text2"/>
          <w:lang w:val="en-IE"/>
        </w:rPr>
      </w:pPr>
      <w:r w:rsidRPr="00BB7658">
        <w:rPr>
          <w:rFonts w:ascii="Arial" w:hAnsi="Arial" w:cs="Arial"/>
          <w:color w:val="1F497D" w:themeColor="text2"/>
          <w:lang w:val="en-IE"/>
        </w:rPr>
        <w:t>CREATING SHAREHOLDER VALUE</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003B70"/>
          <w:spacing w:val="-2"/>
          <w:sz w:val="18"/>
          <w:szCs w:val="18"/>
        </w:rPr>
      </w:pPr>
      <w:r w:rsidRPr="005B1DE1">
        <w:rPr>
          <w:rFonts w:ascii="Arial" w:hAnsi="Arial" w:cs="Arial"/>
          <w:b/>
          <w:bCs/>
          <w:caps/>
          <w:color w:val="003B70"/>
          <w:spacing w:val="-2"/>
          <w:sz w:val="18"/>
          <w:szCs w:val="18"/>
        </w:rPr>
        <w:t>Strategy and Performance</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Since 2014 the Group has undergone a significant transformation, disposing of several businesses and focusing our investment to support the growth and development of James Hay and Saunderson House. Strong underlying performance pre-exceptional costs in both these businesses in 2017 reflects the benefits of the decisions we have taken, and has positioned them for growth as we go into 2018. We are also resolving a number of legacy issues, which has impacted financial performance but reflects a desire to bring closure to these issues. These matters are discussed in more detail in the Chief Executive's report</w:t>
      </w:r>
      <w:bookmarkStart w:id="1" w:name="_Hlk508612539"/>
      <w:r w:rsidRPr="005B1DE1">
        <w:rPr>
          <w:rFonts w:ascii="Arial" w:hAnsi="Arial" w:cs="Arial"/>
          <w:color w:val="000000"/>
          <w:spacing w:val="-2"/>
          <w:sz w:val="18"/>
          <w:szCs w:val="18"/>
        </w:rPr>
        <w:t>. In light of these legacy issues, the Board reluctantly took a decision not to pay a final dividend in respect of 2017, on the grounds of prudently retaining capital and liquidity in the Group, but we remain committed to a progressive dividend policy and to ensuring we reward shareholders in line with the improvements to the underlying performance of our businesses</w:t>
      </w:r>
      <w:bookmarkEnd w:id="1"/>
      <w:r w:rsidRPr="005B1DE1">
        <w:rPr>
          <w:rFonts w:ascii="Arial" w:hAnsi="Arial" w:cs="Arial"/>
          <w:color w:val="000000"/>
          <w:spacing w:val="-2"/>
          <w:sz w:val="18"/>
          <w:szCs w:val="18"/>
        </w:rPr>
        <w:t>.</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Board has continued to evaluate how best to deliver shareholder value and, having undertaken a strategic review, which commenced in early 2017, is considering whether a disposal of Saunderson House may accelerate value creation for shareholders, if the business proves more valuable to prospective owners who can leverage its capability more quickly. The Board will only consider a disposal if appropriate value for shareholders can be achieved.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Assets under Administration and Advice have grown by 15% to £30.6bn (2016 - £26.7bn), and we are privileged to serve over 61,000 clients (2016 - 58,000), having added more than 6,300 new clients across both businesses. Revenue was in line with 2016, a robust performance given the reduction in interest income from client balances in James Hay from £12.6 million in 2016 to £6.7 million in 2017. Whilst we increased adjusted operating profit before exceptional costs by 5%, we reported a statutory loss due to the level of exceptional costs associated with remediation of legacy issues as detailed in the Financial Review.</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regulatory landscape has continued to change, with significant initiatives such as Markets in Financial Instruments Directive ("MIFID II") and the General Data Protection Regime ("GDPR") driving higher standards of transparency and protection for consumers. We support these and other initiatives to ensure good client outcomes, and the investments we have made, and continue to make, will ensure the Group is well positioned to serve our clients.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Our clients are at the heart of our business and our ability to deliver quality advice and administration to our clients, current and prospective, will ensure strong client retention and new client growth, in competitive markets. The success we have had in 2017 in attracting more than 6,300 new clients, demonstrates the quality of our product capability, the strength of our relationships with clients and advisers, and the benefits of a commitment to our clients, which will deliver a sustainable business and long-term shareholder value. We enter 2018 with both businesses growing strongly, in markets which will continue to provide growth opportunities for high-quality businesses like ours.</w:t>
      </w:r>
    </w:p>
    <w:p w:rsidR="00BB7658" w:rsidRPr="005B1DE1" w:rsidRDefault="0022612E"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Pr>
          <w:rFonts w:ascii="Arial" w:hAnsi="Arial" w:cs="Arial"/>
          <w:color w:val="000000"/>
          <w:spacing w:val="-2"/>
          <w:sz w:val="18"/>
          <w:szCs w:val="18"/>
        </w:rPr>
        <w:t>The l</w:t>
      </w:r>
      <w:r w:rsidR="00BB7658" w:rsidRPr="005B1DE1">
        <w:rPr>
          <w:rFonts w:ascii="Arial" w:hAnsi="Arial" w:cs="Arial"/>
          <w:color w:val="000000"/>
          <w:spacing w:val="-2"/>
          <w:sz w:val="18"/>
          <w:szCs w:val="18"/>
        </w:rPr>
        <w:t xml:space="preserve">oss attributable to the Equity Shareholders of the Parent Company was £0.3 million (2016: profit £5.3 million). The Group delivered adjusted earnings per share of 8.34 pence (2016 - 7.57 pence) and </w:t>
      </w:r>
      <w:r>
        <w:rPr>
          <w:rFonts w:ascii="Arial" w:hAnsi="Arial" w:cs="Arial"/>
          <w:color w:val="000000"/>
          <w:spacing w:val="-2"/>
          <w:sz w:val="18"/>
          <w:szCs w:val="18"/>
        </w:rPr>
        <w:t xml:space="preserve">a </w:t>
      </w:r>
      <w:r w:rsidR="00BB7658" w:rsidRPr="005B1DE1">
        <w:rPr>
          <w:rFonts w:ascii="Arial" w:hAnsi="Arial" w:cs="Arial"/>
          <w:color w:val="000000"/>
          <w:spacing w:val="-2"/>
          <w:sz w:val="18"/>
          <w:szCs w:val="18"/>
        </w:rPr>
        <w:t xml:space="preserve">basic loss per share of 0.32 pence (2016 - earnings 4.98 pence).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b/>
          <w:bCs/>
          <w:caps/>
          <w:color w:val="003B70"/>
          <w:spacing w:val="-2"/>
          <w:sz w:val="18"/>
          <w:szCs w:val="18"/>
        </w:rPr>
        <w:t>RETURNS TO SHAREHOLDERS</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An interim dividend of 1.60p per share was paid to Shareholders on 27th November 2017. In 2016, we articulated our commitment to a progressive dividend policy. However, given the Group’s desire to conclude on a range of legacy matters, with resultant uncertainty over the quantum and timing of potentially material contingent exposures, the Board has reluctantly taken a prudent decision that no final dividend will be paid in respect of 2017 (2016: 3.35 pence per share).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Board remains committed to a progressive dividend policy, with two businesses which are cash generative. We intend to return to paying dividends at the earliest possible time, once there is more clarity on these uncertain potential exposures.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003B70"/>
          <w:spacing w:val="-2"/>
          <w:sz w:val="18"/>
          <w:szCs w:val="18"/>
        </w:rPr>
      </w:pPr>
      <w:r w:rsidRPr="005B1DE1">
        <w:rPr>
          <w:rFonts w:ascii="Arial" w:hAnsi="Arial" w:cs="Arial"/>
          <w:b/>
          <w:bCs/>
          <w:caps/>
          <w:color w:val="003B70"/>
          <w:spacing w:val="-2"/>
          <w:sz w:val="18"/>
          <w:szCs w:val="18"/>
        </w:rPr>
        <w:t>BOARD COMPOSITION AND RENEWAL</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Strong governance is important in ensuring the Group is managed to deliver on its strategy and operate in compliance with regulatory standards and expectations. During the year we completed the restructuring of the subsidiaries' governance structures, to ensure those individual businesses have the appropriate oversight and decision-making capability, which in turn has allowed the Group Board to focus on strategic matters.</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Group Board is unchanged in 2017. The Boards of both subsidiaries now have Independent Non-Executive Directors, as well as representatives from the Group and the Executive leadership teams.  We were pleased to welcome Amanda Davidson to the Board of Saunderson House, and Geoffrey Clarkson to the Board of James Hay. The Independent Non-Executive Directors bring a wealth of industry experience, which ensures an effective contribution from those Boards to the strategic direction and management of the businesses.</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003B70"/>
          <w:spacing w:val="-2"/>
          <w:sz w:val="18"/>
          <w:szCs w:val="18"/>
        </w:rPr>
      </w:pPr>
      <w:r w:rsidRPr="005B1DE1">
        <w:rPr>
          <w:rFonts w:ascii="Arial" w:hAnsi="Arial" w:cs="Arial"/>
          <w:b/>
          <w:bCs/>
          <w:caps/>
          <w:color w:val="003B70"/>
          <w:spacing w:val="-2"/>
          <w:sz w:val="18"/>
          <w:szCs w:val="18"/>
        </w:rPr>
        <w:t>people</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Recruiting, retaining and developing talented people is critical to our ability to build first-class client-centric businesses. We have added a number of talented management to the Group in 2017 and increased our focus on training and development of all staff. This has contributed, and will continue to contribute, to the long-term growth and capability of our businesses, in line with our strategic goals.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My thanks go to the Executive leadership of the Group and its subsidiaries, and to all our employees, for their continued diligence and contribution, in what has been a challenging year for the Group. Our success in growing both businesses, serving our existing clients and attracting new clients, is due to their hard work and commitment.  </w:t>
      </w:r>
    </w:p>
    <w:p w:rsidR="00DB3027" w:rsidRDefault="00DB3027" w:rsidP="005B1DE1">
      <w:pPr>
        <w:widowControl w:val="0"/>
        <w:suppressAutoHyphens/>
        <w:autoSpaceDE w:val="0"/>
        <w:autoSpaceDN w:val="0"/>
        <w:adjustRightInd w:val="0"/>
        <w:spacing w:line="200" w:lineRule="atLeast"/>
        <w:textAlignment w:val="center"/>
        <w:rPr>
          <w:rFonts w:ascii="Arial" w:hAnsi="Arial" w:cs="Arial"/>
          <w:b/>
          <w:bCs/>
          <w:caps/>
          <w:color w:val="003B70"/>
          <w:spacing w:val="-2"/>
          <w:sz w:val="18"/>
          <w:szCs w:val="18"/>
        </w:rPr>
      </w:pPr>
    </w:p>
    <w:p w:rsidR="00DB3027" w:rsidRDefault="00DB3027" w:rsidP="005B1DE1">
      <w:pPr>
        <w:widowControl w:val="0"/>
        <w:suppressAutoHyphens/>
        <w:autoSpaceDE w:val="0"/>
        <w:autoSpaceDN w:val="0"/>
        <w:adjustRightInd w:val="0"/>
        <w:spacing w:line="200" w:lineRule="atLeast"/>
        <w:textAlignment w:val="center"/>
        <w:rPr>
          <w:rFonts w:ascii="Arial" w:hAnsi="Arial" w:cs="Arial"/>
          <w:b/>
          <w:bCs/>
          <w:caps/>
          <w:color w:val="003B70"/>
          <w:spacing w:val="-2"/>
          <w:sz w:val="18"/>
          <w:szCs w:val="18"/>
        </w:rPr>
      </w:pPr>
    </w:p>
    <w:p w:rsidR="00BB7658" w:rsidRPr="005B1DE1" w:rsidRDefault="00BB7658" w:rsidP="005B1DE1">
      <w:pPr>
        <w:widowControl w:val="0"/>
        <w:suppressAutoHyphens/>
        <w:autoSpaceDE w:val="0"/>
        <w:autoSpaceDN w:val="0"/>
        <w:adjustRightInd w:val="0"/>
        <w:spacing w:line="200" w:lineRule="atLeast"/>
        <w:textAlignment w:val="center"/>
        <w:rPr>
          <w:rFonts w:ascii="Arial" w:hAnsi="Arial" w:cs="Arial"/>
          <w:b/>
          <w:bCs/>
          <w:caps/>
          <w:color w:val="003B70"/>
          <w:spacing w:val="-2"/>
          <w:sz w:val="18"/>
          <w:szCs w:val="18"/>
        </w:rPr>
      </w:pPr>
      <w:r w:rsidRPr="005B1DE1">
        <w:rPr>
          <w:rFonts w:ascii="Arial" w:hAnsi="Arial" w:cs="Arial"/>
          <w:b/>
          <w:bCs/>
          <w:caps/>
          <w:color w:val="003B70"/>
          <w:spacing w:val="-2"/>
          <w:sz w:val="18"/>
          <w:szCs w:val="18"/>
        </w:rPr>
        <w:lastRenderedPageBreak/>
        <w:t>OUTLOOK</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We enter 2018 with a clear strategy for two businesses that are growing strongly, winning clients, improving their capability and well positioned for improved underlying financial performance. We have addressed the historic over-reliance on interest income in James Hay through repricing </w:t>
      </w:r>
      <w:r w:rsidR="0022612E">
        <w:rPr>
          <w:rFonts w:ascii="Arial" w:hAnsi="Arial" w:cs="Arial"/>
          <w:color w:val="000000"/>
          <w:spacing w:val="-2"/>
          <w:sz w:val="18"/>
          <w:szCs w:val="18"/>
        </w:rPr>
        <w:t>and</w:t>
      </w:r>
      <w:r w:rsidR="0022612E" w:rsidRPr="005B1DE1">
        <w:rPr>
          <w:rFonts w:ascii="Arial" w:hAnsi="Arial" w:cs="Arial"/>
          <w:color w:val="000000"/>
          <w:spacing w:val="-2"/>
          <w:sz w:val="18"/>
          <w:szCs w:val="18"/>
        </w:rPr>
        <w:t xml:space="preserve"> </w:t>
      </w:r>
      <w:r w:rsidRPr="005B1DE1">
        <w:rPr>
          <w:rFonts w:ascii="Arial" w:hAnsi="Arial" w:cs="Arial"/>
          <w:color w:val="000000"/>
          <w:spacing w:val="-2"/>
          <w:sz w:val="18"/>
          <w:szCs w:val="18"/>
        </w:rPr>
        <w:t>will also benefit from the recent increases in interest rates. The growth in the discretionary offering in Saunderson House offers further opportunities to accelerate the growth in that business. We are also considering the potential disposal of Saunderson House, if it will deliver appropriate shareholder value, benchmarked against the future potential of the business if held within the Group. The resolution of legacy matters and the potential disposal of Saunderson House may result in some incremental costs in 2018.</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We expect both businesses to continue their growth trajectory in markets that offer strong fundamentals. We are focused on resolving legacy issues that have overshadowed the significant progress we have made in improving both of our businesses, and we believe we are well positioned for improved financial performance in 2018.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Board is committed and confident in our ability to create value for you, our shareholders.       </w:t>
      </w:r>
    </w:p>
    <w:p w:rsidR="000E3AF7" w:rsidRPr="006010C1" w:rsidRDefault="000E3AF7" w:rsidP="005B1DE1">
      <w:pPr>
        <w:widowControl w:val="0"/>
        <w:tabs>
          <w:tab w:val="left" w:pos="227"/>
          <w:tab w:val="left" w:pos="340"/>
        </w:tabs>
        <w:suppressAutoHyphens/>
        <w:autoSpaceDE w:val="0"/>
        <w:autoSpaceDN w:val="0"/>
        <w:adjustRightInd w:val="0"/>
        <w:spacing w:line="240" w:lineRule="auto"/>
        <w:textAlignment w:val="center"/>
        <w:rPr>
          <w:rFonts w:ascii="Arial" w:hAnsi="Arial" w:cs="Arial"/>
          <w:sz w:val="18"/>
          <w:szCs w:val="18"/>
        </w:rPr>
      </w:pPr>
    </w:p>
    <w:p w:rsidR="00E32D81" w:rsidRPr="006010C1" w:rsidRDefault="00E32D81" w:rsidP="005D3109">
      <w:pPr>
        <w:autoSpaceDE w:val="0"/>
        <w:autoSpaceDN w:val="0"/>
        <w:adjustRightInd w:val="0"/>
        <w:spacing w:after="0" w:line="240" w:lineRule="auto"/>
        <w:jc w:val="both"/>
        <w:rPr>
          <w:rFonts w:ascii="Arial" w:hAnsi="Arial" w:cs="Arial"/>
          <w:sz w:val="18"/>
          <w:szCs w:val="18"/>
        </w:rPr>
      </w:pPr>
    </w:p>
    <w:p w:rsidR="00DB0D70" w:rsidRPr="006010C1" w:rsidRDefault="00EC014A" w:rsidP="006010C1">
      <w:pPr>
        <w:widowControl w:val="0"/>
        <w:tabs>
          <w:tab w:val="left" w:pos="227"/>
          <w:tab w:val="left" w:pos="340"/>
        </w:tabs>
        <w:suppressAutoHyphens/>
        <w:autoSpaceDE w:val="0"/>
        <w:autoSpaceDN w:val="0"/>
        <w:adjustRightInd w:val="0"/>
        <w:spacing w:after="0" w:line="240" w:lineRule="auto"/>
        <w:textAlignment w:val="center"/>
        <w:rPr>
          <w:rFonts w:ascii="Arial" w:hAnsi="Arial" w:cs="Arial"/>
          <w:b/>
          <w:sz w:val="18"/>
          <w:szCs w:val="18"/>
        </w:rPr>
      </w:pPr>
      <w:r w:rsidRPr="006010C1">
        <w:rPr>
          <w:rFonts w:ascii="Arial" w:hAnsi="Arial" w:cs="Arial"/>
          <w:b/>
          <w:sz w:val="18"/>
          <w:szCs w:val="18"/>
        </w:rPr>
        <w:t>John Gallagher</w:t>
      </w:r>
    </w:p>
    <w:p w:rsidR="00EC014A" w:rsidRPr="006010C1" w:rsidRDefault="00EC014A" w:rsidP="006010C1">
      <w:pPr>
        <w:widowControl w:val="0"/>
        <w:tabs>
          <w:tab w:val="left" w:pos="227"/>
          <w:tab w:val="left" w:pos="340"/>
        </w:tabs>
        <w:suppressAutoHyphens/>
        <w:autoSpaceDE w:val="0"/>
        <w:autoSpaceDN w:val="0"/>
        <w:adjustRightInd w:val="0"/>
        <w:spacing w:after="0" w:line="240" w:lineRule="auto"/>
        <w:textAlignment w:val="center"/>
        <w:rPr>
          <w:rFonts w:ascii="Arial" w:hAnsi="Arial" w:cs="Arial"/>
          <w:sz w:val="18"/>
          <w:szCs w:val="18"/>
        </w:rPr>
      </w:pPr>
      <w:r w:rsidRPr="006010C1">
        <w:rPr>
          <w:rFonts w:ascii="Arial" w:hAnsi="Arial" w:cs="Arial"/>
          <w:sz w:val="18"/>
          <w:szCs w:val="18"/>
        </w:rPr>
        <w:t>Chairman</w:t>
      </w:r>
    </w:p>
    <w:p w:rsidR="00821E63" w:rsidRPr="006010C1" w:rsidRDefault="00EC014A" w:rsidP="003C2E32">
      <w:pPr>
        <w:widowControl w:val="0"/>
        <w:tabs>
          <w:tab w:val="left" w:pos="227"/>
          <w:tab w:val="left" w:pos="340"/>
        </w:tabs>
        <w:suppressAutoHyphens/>
        <w:autoSpaceDE w:val="0"/>
        <w:autoSpaceDN w:val="0"/>
        <w:adjustRightInd w:val="0"/>
        <w:spacing w:after="0" w:line="240" w:lineRule="auto"/>
        <w:textAlignment w:val="center"/>
        <w:rPr>
          <w:rFonts w:ascii="Arial" w:hAnsi="Arial" w:cs="Arial"/>
          <w:sz w:val="18"/>
          <w:szCs w:val="18"/>
        </w:rPr>
      </w:pPr>
      <w:r w:rsidRPr="006010C1">
        <w:rPr>
          <w:rFonts w:ascii="Arial" w:hAnsi="Arial" w:cs="Arial"/>
          <w:sz w:val="18"/>
          <w:szCs w:val="18"/>
        </w:rPr>
        <w:t>2</w:t>
      </w:r>
      <w:r w:rsidR="00BB7658">
        <w:rPr>
          <w:rFonts w:ascii="Arial" w:hAnsi="Arial" w:cs="Arial"/>
          <w:sz w:val="18"/>
          <w:szCs w:val="18"/>
        </w:rPr>
        <w:t>0</w:t>
      </w:r>
      <w:r w:rsidRPr="006010C1">
        <w:rPr>
          <w:rFonts w:ascii="Arial" w:hAnsi="Arial" w:cs="Arial"/>
          <w:sz w:val="18"/>
          <w:szCs w:val="18"/>
        </w:rPr>
        <w:t xml:space="preserve"> March 201</w:t>
      </w:r>
      <w:r w:rsidR="00BB7658">
        <w:rPr>
          <w:rFonts w:ascii="Arial" w:hAnsi="Arial" w:cs="Arial"/>
          <w:sz w:val="18"/>
          <w:szCs w:val="18"/>
        </w:rPr>
        <w:t>8</w:t>
      </w:r>
    </w:p>
    <w:p w:rsidR="00821E63" w:rsidRDefault="00821E63">
      <w:pPr>
        <w:rPr>
          <w:rFonts w:ascii="Arial" w:hAnsi="Arial" w:cs="Arial"/>
          <w:sz w:val="20"/>
          <w:szCs w:val="20"/>
        </w:rPr>
      </w:pPr>
    </w:p>
    <w:p w:rsidR="00A46AA9" w:rsidRPr="005F086E" w:rsidRDefault="00DB0D70" w:rsidP="006010C1">
      <w:pPr>
        <w:spacing w:line="240" w:lineRule="auto"/>
        <w:rPr>
          <w:rFonts w:ascii="Arial" w:hAnsi="Arial" w:cs="Arial"/>
          <w:b/>
          <w:color w:val="808080" w:themeColor="background1" w:themeShade="80"/>
          <w:sz w:val="28"/>
          <w:szCs w:val="28"/>
          <w:lang w:val="en-IE"/>
        </w:rPr>
      </w:pPr>
      <w:r w:rsidRPr="00E65E93">
        <w:rPr>
          <w:rFonts w:ascii="Arial" w:eastAsia="Times New Roman" w:hAnsi="Arial" w:cs="Arial"/>
          <w:bCs/>
          <w:color w:val="808080" w:themeColor="background1" w:themeShade="80"/>
          <w:sz w:val="28"/>
          <w:szCs w:val="28"/>
          <w:lang w:val="en-IE"/>
        </w:rPr>
        <w:t xml:space="preserve">Extract from </w:t>
      </w:r>
      <w:r w:rsidR="00A46AA9" w:rsidRPr="00E65E93">
        <w:rPr>
          <w:rFonts w:ascii="Arial" w:eastAsia="Times New Roman" w:hAnsi="Arial" w:cs="Arial"/>
          <w:bCs/>
          <w:color w:val="808080" w:themeColor="background1" w:themeShade="80"/>
          <w:sz w:val="28"/>
          <w:szCs w:val="28"/>
          <w:lang w:val="en-IE"/>
        </w:rPr>
        <w:t>Group Chief Executive’s statement</w:t>
      </w:r>
    </w:p>
    <w:p w:rsidR="009E66B8" w:rsidRPr="00902B54" w:rsidRDefault="009E66B8" w:rsidP="006010C1">
      <w:pPr>
        <w:spacing w:line="240" w:lineRule="auto"/>
        <w:rPr>
          <w:rFonts w:ascii="Arial" w:hAnsi="Arial" w:cs="Arial"/>
          <w:color w:val="1F497D" w:themeColor="text2"/>
          <w:lang w:val="en-IE"/>
        </w:rPr>
      </w:pPr>
      <w:r w:rsidRPr="00902B54">
        <w:rPr>
          <w:rFonts w:ascii="Arial" w:hAnsi="Arial" w:cs="Arial"/>
          <w:color w:val="1F497D" w:themeColor="text2"/>
          <w:lang w:val="en-IE"/>
        </w:rPr>
        <w:t xml:space="preserve">DELIVERING </w:t>
      </w:r>
      <w:r w:rsidR="00BB7658">
        <w:rPr>
          <w:rFonts w:ascii="Arial" w:hAnsi="Arial" w:cs="Arial"/>
          <w:color w:val="1F497D" w:themeColor="text2"/>
          <w:lang w:val="en-IE"/>
        </w:rPr>
        <w:t>SUSTAINABLE GROWTH IN PERFORMANCE</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t>2017 in review</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bookmarkStart w:id="2" w:name="_Hlk508613357"/>
      <w:r w:rsidRPr="005B1DE1">
        <w:rPr>
          <w:rFonts w:ascii="Arial" w:hAnsi="Arial" w:cs="Arial"/>
          <w:color w:val="000000"/>
          <w:spacing w:val="-2"/>
          <w:sz w:val="18"/>
          <w:szCs w:val="18"/>
        </w:rPr>
        <w:t>2017 was a challenging year for the Group, with strong growth and improving underlying financial performance in both businesses overshadowed by the impact of materially lower interest income and the resolution of a number of legacy issues. It was with reluctance that I recommended to the Board the decision not to pay a final dividend for 2017, but it was a prudent position to take to ensure we retain a strong capital base and liquidity within the businesses whilst we resolve these legacy matters. It is my desire to ensure we are in a position to return to our progressive dividend policy as soon as possible.</w:t>
      </w:r>
    </w:p>
    <w:p w:rsidR="00BB7658" w:rsidRPr="005B1DE1" w:rsidRDefault="00BB7658" w:rsidP="00BB7658">
      <w:pPr>
        <w:widowControl w:val="0"/>
        <w:suppressAutoHyphens/>
        <w:autoSpaceDE w:val="0"/>
        <w:autoSpaceDN w:val="0"/>
        <w:adjustRightInd w:val="0"/>
        <w:spacing w:line="200" w:lineRule="atLeast"/>
        <w:jc w:val="both"/>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legacy issues, some of which have come to light as we make changes and improvements to our businesses, have resulted in materially increased exceptional costs, but we believe that identifying all legacy issues and bringing them to closure, will better position our two businesses to focus on sustainable growth and improving profitability going forward. These legacy issues relate to administration and documentation of advice, which may result in </w:t>
      </w:r>
      <w:r w:rsidR="0022612E">
        <w:rPr>
          <w:rFonts w:ascii="Arial" w:hAnsi="Arial" w:cs="Arial"/>
          <w:color w:val="000000"/>
          <w:spacing w:val="-2"/>
          <w:sz w:val="18"/>
          <w:szCs w:val="18"/>
        </w:rPr>
        <w:t xml:space="preserve">HMRC </w:t>
      </w:r>
      <w:r w:rsidRPr="005B1DE1">
        <w:rPr>
          <w:rFonts w:ascii="Arial" w:hAnsi="Arial" w:cs="Arial"/>
          <w:color w:val="000000"/>
          <w:spacing w:val="-2"/>
          <w:sz w:val="18"/>
          <w:szCs w:val="18"/>
        </w:rPr>
        <w:t>sanction charges, client remediation payments and legal costs. The costs and provisions relating to these and other exceptional expenditure relating to restructuring in James Hay, have consumed the underlying contribution from the businesses in 2017. Resolving these legacy issues is the priority to allow the businesses to move forward and focus on achieving their potential, free of legacy risk. The Elysian issue is potentially material, with a potential maximum exposure of £20 million. Based on advice from the Group's legal advisers, the Directors are confident that the outcome at Tribunal and/or any settlement with HMRC would be substantially lower than the maximum potential sanction charge. The Directors are confident that any financial exposure would be fundable from the Group's cash resources. </w:t>
      </w:r>
      <w:r w:rsidR="0022612E">
        <w:rPr>
          <w:rFonts w:ascii="Arial" w:hAnsi="Arial" w:cs="Arial"/>
          <w:color w:val="000000"/>
          <w:spacing w:val="-2"/>
          <w:sz w:val="18"/>
          <w:szCs w:val="18"/>
        </w:rPr>
        <w:t>T</w:t>
      </w:r>
      <w:r w:rsidRPr="005B1DE1">
        <w:rPr>
          <w:rFonts w:ascii="Arial" w:hAnsi="Arial" w:cs="Arial"/>
          <w:color w:val="000000"/>
          <w:spacing w:val="-2"/>
          <w:sz w:val="18"/>
          <w:szCs w:val="18"/>
        </w:rPr>
        <w:t>he potential exposure remains uncertain and is expected to remain so whilst discussions with HMRC and/or any Tribunal proceedings continue.</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We have improved the quality and capability of both James Hay and Saunderson House through targeted investment in people and technology, and these improvements have translated into strong growth in clients and assets. The low interest rate environment in 2017 necessitated structural changes to James Hay's pricing model and business, but we are now well positioned in a growing pensions and retirement market for improved financial performance in 2018. In Saunderson House, the growth of the discretionary </w:t>
      </w:r>
      <w:r w:rsidR="0022612E">
        <w:rPr>
          <w:rFonts w:ascii="Arial" w:hAnsi="Arial" w:cs="Arial"/>
          <w:color w:val="000000"/>
          <w:spacing w:val="-2"/>
          <w:sz w:val="18"/>
          <w:szCs w:val="18"/>
        </w:rPr>
        <w:t xml:space="preserve">management </w:t>
      </w:r>
      <w:r w:rsidRPr="005B1DE1">
        <w:rPr>
          <w:rFonts w:ascii="Arial" w:hAnsi="Arial" w:cs="Arial"/>
          <w:color w:val="000000"/>
          <w:spacing w:val="-2"/>
          <w:sz w:val="18"/>
          <w:szCs w:val="18"/>
        </w:rPr>
        <w:t>proposition has exceeded our expectations, and this will be an increasingly important part of the growth of Saunderson House going forward.</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We have also announced that, following a strategic review early in 2017, we are considering whether a sale of Saunderson House would create greater shareholder value. We are in discussions with interested parties, but will only proceed to a transaction if appropriate value, reflecting the quality of this business, is realised for Shareholders.</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We have made substantial progress in 2017 in achieving our strategic goals, which positions both businesses and the Group strongly, as we look forward to 2018 and beyond.</w:t>
      </w:r>
    </w:p>
    <w:bookmarkEnd w:id="2"/>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t>CULTURE AND VALUES</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Successful businesses have strong cultural values, which motivate people, deliver good behaviours and result in a focus on delivering better outcomes for clients. Our two businesses serve clients who are often high net worth clients, and who seek a differentiated level of advice and administration to help them manage their wealth, through their working lives and beyond. In 2017, having reassessed in 2016 how we deliver on our commitment to serving our clients well, we continued to invest in enhancements to our business model to ensure we can exceed our clients’ expectations. This ongoing investment in people and in technology, allied to a ‘tone from the top’ which reinforces the standards we expect, has positioned both businesses with enhanced capability to deliver growth and improved financial performance, whilst meeting ever increasing client and regulatory expectations.</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t>CLIENTS</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In 2016, we established a new Group-wide conduct framework which reinforced our desire to put the client at the heart of everything we do: delivering better client experience, enhancing our ability to add value to our clients and improving the attractiveness of our businesses to discerning clients. In 2017, this framework has been embedded in the businesses, leading to changes in the way we deliver our services. We have seen the benefits of these changes in increased numbers of new clients coming to both businesses, and strong retention of existing clients.</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lastRenderedPageBreak/>
        <w:t>MARKET AND ENVIRONMENT</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markets in which we operate, UK high net worth platform and advisory services, are growing in line with economic recovery and supported by long-term structural changes. With increasing life expectancy and changes to the pensions market increasingly requiring individuals to own and manage their retirement planning in a more systematic manner, the longer-term growth trajectory for our businesses remains strong. The increasing complexity of retirement planning, growing freedoms and taxation changes in pension and savings legislation and a low interest rate environment, place a premium on the services we offer to our clients. We expect the recent trend of asset flows from legacy pension arrangements, including Defined Benefit Schemes, into Self Invested Personal Pensions ("SIPPs") to continue. In 2017 a significant component of James Hay's new business was as a result of such movement, and we expect that this will continue, notwithstanding increased regulatory focus, as members of defined benefit schemes continue to transfer out into alternative pension arrangements, and individuals take ownership of managing their own pensions into retirement. Market surveys indicate that up to £50 billion of existing assets will move into SIPPs over the coming three years. The need for good advice in this regard has never been higher, and our focus on strategic relationships with the larger IFAs, will position the businesses well in helping clients to take control of their pension arrangements.</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In 2016, we saw significant macro-political events, including the Brexit vote, that increased volatility in global markets. In 2017 markets performed strongly with less volatility, though the need for advice has remained strong. Ongoing market volatility, which may be exacerbated in the UK by the finalisation of the Brexit process, will mean the need for advice and the ability to manage retirement assets efficiently will remain critical to our clients. </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reduction, in late 2016, in Bank of England base rates had a significant impact on revenues in James Hay, where a component of revenues is a function of interest rates. This necessitated a change to the pricing philosophy and a move away from an over-reliance on interest income. These changes were implemented successfully during 2017, following appropriate consultation with clients and advisers, ensuring that our already transparent pricing model remains competitive, appropriate to the expectations of our clients and charges fairly for the services we provide. The increase, in late 2017, in the Bank of England base rates will support revenue growth in 2018.</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t>COMMENTARY ON KPIs</w:t>
      </w:r>
    </w:p>
    <w:p w:rsidR="00BB7658" w:rsidRPr="005B1DE1" w:rsidRDefault="00BB7658" w:rsidP="00BB7658">
      <w:pPr>
        <w:widowControl w:val="0"/>
        <w:suppressAutoHyphens/>
        <w:autoSpaceDE w:val="0"/>
        <w:autoSpaceDN w:val="0"/>
        <w:adjustRightInd w:val="0"/>
        <w:spacing w:line="200" w:lineRule="atLeast"/>
        <w:textAlignment w:val="center"/>
        <w:rPr>
          <w:rFonts w:ascii="Arial" w:eastAsia="Times New Roman" w:hAnsi="Arial" w:cs="Arial"/>
          <w:color w:val="000000"/>
          <w:spacing w:val="-2"/>
          <w:sz w:val="18"/>
          <w:szCs w:val="18"/>
        </w:rPr>
      </w:pPr>
      <w:r w:rsidRPr="005B1DE1">
        <w:rPr>
          <w:rFonts w:ascii="Arial" w:eastAsia="Times New Roman" w:hAnsi="Arial" w:cs="Arial"/>
          <w:color w:val="000000"/>
          <w:spacing w:val="-2"/>
          <w:sz w:val="18"/>
          <w:szCs w:val="18"/>
        </w:rPr>
        <w:t>We are pleased with the underlying performance of the Group in 2017 which is discussed in detail in the Financial Review. However, the overall financial result has been materially impacted by exceptional costs related to legacy matters</w:t>
      </w:r>
      <w:r w:rsidR="0022612E">
        <w:rPr>
          <w:rFonts w:ascii="Arial" w:eastAsia="Times New Roman" w:hAnsi="Arial" w:cs="Arial"/>
          <w:color w:val="000000"/>
          <w:spacing w:val="-2"/>
          <w:sz w:val="18"/>
          <w:szCs w:val="18"/>
        </w:rPr>
        <w:t xml:space="preserve"> and restructuring</w:t>
      </w:r>
      <w:r w:rsidRPr="005B1DE1">
        <w:rPr>
          <w:rFonts w:ascii="Arial" w:eastAsia="Times New Roman" w:hAnsi="Arial" w:cs="Arial"/>
          <w:color w:val="000000"/>
          <w:spacing w:val="-2"/>
          <w:sz w:val="18"/>
          <w:szCs w:val="18"/>
        </w:rPr>
        <w:t>.</w:t>
      </w:r>
    </w:p>
    <w:p w:rsidR="00BB7658" w:rsidRPr="005B1DE1" w:rsidRDefault="00BB7658" w:rsidP="00BB7658">
      <w:pPr>
        <w:pStyle w:val="ListParagraph"/>
        <w:widowControl w:val="0"/>
        <w:suppressAutoHyphens/>
        <w:autoSpaceDE w:val="0"/>
        <w:autoSpaceDN w:val="0"/>
        <w:adjustRightInd w:val="0"/>
        <w:spacing w:line="200" w:lineRule="atLeast"/>
        <w:ind w:left="284"/>
        <w:textAlignment w:val="center"/>
        <w:rPr>
          <w:rFonts w:ascii="Arial" w:hAnsi="Arial" w:cs="Arial"/>
          <w:color w:val="000000"/>
          <w:spacing w:val="-2"/>
          <w:sz w:val="18"/>
          <w:szCs w:val="18"/>
        </w:rPr>
      </w:pPr>
    </w:p>
    <w:p w:rsidR="00BB7658" w:rsidRPr="005B1DE1" w:rsidRDefault="00BB7658" w:rsidP="00BB7658">
      <w:pPr>
        <w:pStyle w:val="ListParagraph"/>
        <w:widowControl w:val="0"/>
        <w:numPr>
          <w:ilvl w:val="0"/>
          <w:numId w:val="81"/>
        </w:numPr>
        <w:suppressAutoHyphens/>
        <w:autoSpaceDE w:val="0"/>
        <w:autoSpaceDN w:val="0"/>
        <w:adjustRightInd w:val="0"/>
        <w:spacing w:line="200" w:lineRule="atLeast"/>
        <w:contextualSpacing/>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Group reported a loss in 2017 as operating performance, and consequently earnings per share, was materially impacted by exceptional costs, see note 6. These costs, which are a combination of remediation and legal costs within the business, provisions for redress for clients and reorganisation costs, are necessary to ensure we address all historic issues within the Group, so we can move forward with a focus on the future. </w:t>
      </w:r>
    </w:p>
    <w:p w:rsidR="00BB7658" w:rsidRPr="005B1DE1" w:rsidRDefault="00BB7658" w:rsidP="00BB7658">
      <w:pPr>
        <w:pStyle w:val="ListParagraph"/>
        <w:widowControl w:val="0"/>
        <w:numPr>
          <w:ilvl w:val="0"/>
          <w:numId w:val="81"/>
        </w:numPr>
        <w:suppressAutoHyphens/>
        <w:autoSpaceDE w:val="0"/>
        <w:autoSpaceDN w:val="0"/>
        <w:adjustRightInd w:val="0"/>
        <w:spacing w:line="200" w:lineRule="atLeast"/>
        <w:contextualSpacing/>
        <w:textAlignment w:val="center"/>
        <w:rPr>
          <w:rFonts w:ascii="Arial" w:hAnsi="Arial" w:cs="Arial"/>
          <w:color w:val="000000"/>
          <w:spacing w:val="-2"/>
          <w:sz w:val="18"/>
          <w:szCs w:val="18"/>
        </w:rPr>
      </w:pPr>
      <w:r w:rsidRPr="005B1DE1">
        <w:rPr>
          <w:rFonts w:ascii="Arial" w:hAnsi="Arial" w:cs="Arial"/>
          <w:color w:val="000000"/>
          <w:spacing w:val="-2"/>
          <w:sz w:val="18"/>
          <w:szCs w:val="18"/>
        </w:rPr>
        <w:t>Adjusted operating profit and adjusted EPS increased despite lower interest revenues, due to repricing in James Hay, a focus on cost control and lower levels of performance related remuneration.</w:t>
      </w:r>
    </w:p>
    <w:p w:rsidR="00BB7658" w:rsidRPr="005B1DE1" w:rsidRDefault="00BB7658" w:rsidP="00BB7658">
      <w:pPr>
        <w:pStyle w:val="ListParagraph"/>
        <w:widowControl w:val="0"/>
        <w:numPr>
          <w:ilvl w:val="0"/>
          <w:numId w:val="81"/>
        </w:numPr>
        <w:suppressAutoHyphens/>
        <w:autoSpaceDE w:val="0"/>
        <w:autoSpaceDN w:val="0"/>
        <w:adjustRightInd w:val="0"/>
        <w:spacing w:line="200" w:lineRule="atLeast"/>
        <w:contextualSpacing/>
        <w:textAlignment w:val="center"/>
        <w:rPr>
          <w:rFonts w:ascii="Arial" w:hAnsi="Arial" w:cs="Arial"/>
          <w:color w:val="000000"/>
          <w:spacing w:val="-2"/>
          <w:sz w:val="18"/>
          <w:szCs w:val="18"/>
        </w:rPr>
      </w:pPr>
      <w:r w:rsidRPr="005B1DE1">
        <w:rPr>
          <w:rFonts w:ascii="Arial" w:hAnsi="Arial" w:cs="Arial"/>
          <w:color w:val="000000"/>
          <w:spacing w:val="-2"/>
          <w:sz w:val="18"/>
          <w:szCs w:val="18"/>
        </w:rPr>
        <w:t>Assets under administration and advice increased from £26.7 billion to £30.6 billion helped by high retention rates, good growth in our discretionary offering in Saunderson House, strong inflows from new and existing clients in both businesses, and positive market movements.</w:t>
      </w:r>
    </w:p>
    <w:p w:rsidR="00BB7658" w:rsidRPr="005B1DE1" w:rsidRDefault="00BB7658" w:rsidP="00BB7658">
      <w:pPr>
        <w:pStyle w:val="ListParagraph"/>
        <w:widowControl w:val="0"/>
        <w:numPr>
          <w:ilvl w:val="0"/>
          <w:numId w:val="81"/>
        </w:numPr>
        <w:suppressAutoHyphens/>
        <w:autoSpaceDE w:val="0"/>
        <w:autoSpaceDN w:val="0"/>
        <w:adjustRightInd w:val="0"/>
        <w:spacing w:line="200" w:lineRule="atLeast"/>
        <w:contextualSpacing/>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Client retention remains strong in both businesses and the quality of new client activity continues to improve, with average AUA of new clients in both businesses increasing. </w:t>
      </w:r>
    </w:p>
    <w:p w:rsidR="00BB7658" w:rsidRPr="005B1DE1" w:rsidRDefault="00BB7658" w:rsidP="00BB7658">
      <w:pPr>
        <w:pStyle w:val="ListParagraph"/>
        <w:widowControl w:val="0"/>
        <w:numPr>
          <w:ilvl w:val="0"/>
          <w:numId w:val="81"/>
        </w:numPr>
        <w:suppressAutoHyphens/>
        <w:autoSpaceDE w:val="0"/>
        <w:autoSpaceDN w:val="0"/>
        <w:adjustRightInd w:val="0"/>
        <w:spacing w:line="200" w:lineRule="atLeast"/>
        <w:contextualSpacing/>
        <w:textAlignment w:val="center"/>
        <w:rPr>
          <w:rFonts w:ascii="Arial" w:hAnsi="Arial" w:cs="Arial"/>
          <w:color w:val="000000"/>
          <w:spacing w:val="-2"/>
          <w:sz w:val="18"/>
          <w:szCs w:val="18"/>
        </w:rPr>
      </w:pPr>
      <w:r w:rsidRPr="005B1DE1">
        <w:rPr>
          <w:rFonts w:ascii="Arial" w:hAnsi="Arial" w:cs="Arial"/>
          <w:color w:val="000000"/>
          <w:spacing w:val="-2"/>
          <w:sz w:val="18"/>
          <w:szCs w:val="18"/>
        </w:rPr>
        <w:t>The business consumed cash overall due to the lower than anticipated profits and exceptional costs, however, free cashflows increased marginally from £5.5 million to £5.7 million reflecting the Group's ability to generate cash from the underlying business operations. Contingent consideration of £4.0 million in respect of 2014 disposals was received in Q1 2017. The business is expected to return to strong cash generation in 2018, subject to any impact from resolving legacy matters.</w:t>
      </w:r>
    </w:p>
    <w:p w:rsidR="00BB7658" w:rsidRPr="005B1DE1" w:rsidRDefault="00BB7658" w:rsidP="00BB7658">
      <w:pPr>
        <w:pStyle w:val="ListParagraph"/>
        <w:widowControl w:val="0"/>
        <w:suppressAutoHyphens/>
        <w:autoSpaceDE w:val="0"/>
        <w:autoSpaceDN w:val="0"/>
        <w:adjustRightInd w:val="0"/>
        <w:spacing w:line="200" w:lineRule="atLeast"/>
        <w:ind w:left="284"/>
        <w:textAlignment w:val="center"/>
        <w:rPr>
          <w:rFonts w:ascii="Arial" w:hAnsi="Arial" w:cs="Arial"/>
          <w:color w:val="000000"/>
          <w:spacing w:val="-2"/>
          <w:sz w:val="18"/>
          <w:szCs w:val="18"/>
        </w:rPr>
      </w:pP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t>THE BUSINESSES</w:t>
      </w:r>
    </w:p>
    <w:p w:rsidR="00BB7658" w:rsidRPr="005B1DE1" w:rsidRDefault="00BB7658" w:rsidP="00BB7658">
      <w:pPr>
        <w:widowControl w:val="0"/>
        <w:tabs>
          <w:tab w:val="left" w:pos="227"/>
          <w:tab w:val="left" w:pos="454"/>
        </w:tabs>
        <w:suppressAutoHyphens/>
        <w:autoSpaceDE w:val="0"/>
        <w:autoSpaceDN w:val="0"/>
        <w:adjustRightInd w:val="0"/>
        <w:spacing w:line="200" w:lineRule="atLeast"/>
        <w:textAlignment w:val="center"/>
        <w:rPr>
          <w:rFonts w:ascii="Arial" w:eastAsia="Times New Roman" w:hAnsi="Arial" w:cs="Arial"/>
          <w:b/>
          <w:bCs/>
          <w:color w:val="000000"/>
          <w:spacing w:val="-2"/>
          <w:sz w:val="18"/>
          <w:szCs w:val="18"/>
        </w:rPr>
      </w:pPr>
      <w:r w:rsidRPr="005B1DE1">
        <w:rPr>
          <w:rFonts w:ascii="Arial" w:eastAsia="Times New Roman" w:hAnsi="Arial" w:cs="Arial"/>
          <w:b/>
          <w:bCs/>
          <w:color w:val="000000"/>
          <w:spacing w:val="-2"/>
          <w:sz w:val="18"/>
          <w:szCs w:val="18"/>
        </w:rPr>
        <w:t xml:space="preserve">James Hay </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James Hay is continuing its development from being a specialist Self-Invested Personal Pension (SIPP) provider to becoming a broader platform for retirement wealth management, offering Individual Savings Account (ISA) and General Investment Account (GIA) capability to its existing broad range of pension products. We offer a tailored service, a broad range of investment options</w:t>
      </w:r>
      <w:r w:rsidR="00230102">
        <w:rPr>
          <w:rFonts w:ascii="Arial" w:hAnsi="Arial" w:cs="Arial"/>
          <w:color w:val="000000"/>
          <w:spacing w:val="-2"/>
          <w:sz w:val="18"/>
          <w:szCs w:val="18"/>
        </w:rPr>
        <w:t>,</w:t>
      </w:r>
      <w:r w:rsidRPr="005B1DE1">
        <w:rPr>
          <w:rFonts w:ascii="Arial" w:hAnsi="Arial" w:cs="Arial"/>
          <w:color w:val="000000"/>
          <w:spacing w:val="-2"/>
          <w:sz w:val="18"/>
          <w:szCs w:val="18"/>
        </w:rPr>
        <w:t xml:space="preserve"> together with online capability in account opening, trading and access to valuation and documentation. </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distribution strategy for James Hay focuses on building strategic partnerships with larger IFAs, enhancing our technological interfaces with them, so we serve both the adviser and the end clients effectively and efficiently. This has contributed to the increased number of new clients coming to James Hay in 2017, with more than 52% of new clients being advised by our Top 25 key relationships. The average level of client assets has also increased materially from £3</w:t>
      </w:r>
      <w:r w:rsidR="0022612E">
        <w:rPr>
          <w:rFonts w:ascii="Arial" w:hAnsi="Arial" w:cs="Arial"/>
          <w:color w:val="000000"/>
          <w:spacing w:val="-2"/>
          <w:sz w:val="18"/>
          <w:szCs w:val="18"/>
        </w:rPr>
        <w:t>94</w:t>
      </w:r>
      <w:r w:rsidRPr="005B1DE1">
        <w:rPr>
          <w:rFonts w:ascii="Arial" w:hAnsi="Arial" w:cs="Arial"/>
          <w:color w:val="000000"/>
          <w:spacing w:val="-2"/>
          <w:sz w:val="18"/>
          <w:szCs w:val="18"/>
        </w:rPr>
        <w:t>,000 to £4</w:t>
      </w:r>
      <w:r w:rsidR="0022612E">
        <w:rPr>
          <w:rFonts w:ascii="Arial" w:hAnsi="Arial" w:cs="Arial"/>
          <w:color w:val="000000"/>
          <w:spacing w:val="-2"/>
          <w:sz w:val="18"/>
          <w:szCs w:val="18"/>
        </w:rPr>
        <w:t>36</w:t>
      </w:r>
      <w:r w:rsidRPr="005B1DE1">
        <w:rPr>
          <w:rFonts w:ascii="Arial" w:hAnsi="Arial" w:cs="Arial"/>
          <w:color w:val="000000"/>
          <w:spacing w:val="-2"/>
          <w:sz w:val="18"/>
          <w:szCs w:val="18"/>
        </w:rPr>
        <w:t>,000, thereby improving the quality and consistency of new business flows. We retain our direct to consumer offering, but our focus remains on the intermediated advised business.</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investment programme in James Hay, in terms of the senior leadership team, the training and development of all of our staff and investment in technology, has delivered a much-improved business capability, with a lower level of staffing in support functions, increasing our ability to grow the business without commensurate increases in the cost base. We believe these investments will not only mitigate increases in the cost base going forward, but will support accelerated growth at lower marginal cost.</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Whilst the revenue in 2017 was adversely affected by the changes to Bank of England base rates in 2016, the changes we have made to pricing have addressed this in the second half of 2017, leading to an improved and more sustainable margin going forward. We expect the underlying financial performance in 2018 to improve and also benefit from the increase in base rates in late 2017. We believe the business is well positioned for strong growth in clients and assets given current market conditions in the pensions market.</w:t>
      </w:r>
    </w:p>
    <w:p w:rsidR="00BB7658" w:rsidRPr="005B1DE1" w:rsidRDefault="00BB7658" w:rsidP="00BB7658">
      <w:pPr>
        <w:widowControl w:val="0"/>
        <w:tabs>
          <w:tab w:val="left" w:pos="227"/>
          <w:tab w:val="left" w:pos="454"/>
        </w:tabs>
        <w:suppressAutoHyphens/>
        <w:autoSpaceDE w:val="0"/>
        <w:autoSpaceDN w:val="0"/>
        <w:adjustRightInd w:val="0"/>
        <w:spacing w:line="200" w:lineRule="atLeast"/>
        <w:textAlignment w:val="center"/>
        <w:rPr>
          <w:rFonts w:ascii="Arial" w:eastAsia="Times New Roman" w:hAnsi="Arial" w:cs="Arial"/>
          <w:b/>
          <w:bCs/>
          <w:color w:val="000000"/>
          <w:spacing w:val="-2"/>
          <w:sz w:val="18"/>
          <w:szCs w:val="18"/>
        </w:rPr>
      </w:pPr>
      <w:r w:rsidRPr="005B1DE1">
        <w:rPr>
          <w:rFonts w:ascii="Arial" w:eastAsia="Times New Roman" w:hAnsi="Arial" w:cs="Arial"/>
          <w:b/>
          <w:bCs/>
          <w:color w:val="000000"/>
          <w:spacing w:val="-2"/>
          <w:sz w:val="18"/>
          <w:szCs w:val="18"/>
        </w:rPr>
        <w:t>Saunderson House</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Saunderson House continues to perform in line with expectations, growing assets under advice, revenues and profits in 2017, aided by the success of its discretionary management offering which is attracting a broader range of clients to the business. Saunderson House’s deep relationships with its circa 2,100 clients, its continued excellence in investment performance and delivery of tailored client service, differentiates the business from many of its competitors. </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lastRenderedPageBreak/>
        <w:t xml:space="preserve">We continue to invest in the capability of the business, as it has grown from less than 100 people in 2013 to 180 people at the end of 2017. We made further investments in technology to support the investment proposition. This is designed to enhance the analytics to manage the £5.1 billion under advice, and provide scalability to the growing discretionary offering, which is growing ahead of expectations. It is also enabling an enhanced and more efficient delivery of service to our clients which is proving beneficial to clients across the wealth spectrum. </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We expect Saunderson House to continue to grow, in line with its current trajectory, and we believe this will deliver an increase in operating margins over time. The growth of the discretionary offering will increasingly contribute to the development of the business as we go forward. We continue to invest in training and developing our staff to develop a sharper focus on how we engage with prospective clients in light of the evolving proposition, which will allow Saunderson House to penetrate existing and adjacent markets more effectively and efficiently.</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We are also considering the potential disposal of Saunderson House, if it will deliver appropriate Shareholder value.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t>PEOPLE</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quality of our people, both in our operating businesses and in Group functions, supports our success and our future growth plans. Providing a culture and an environment that supports and facilitates high performance is a key priority for executive management. </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Our approach to employee reward and development recognises our staff’s contribution to our business, aligns senior management compensation and Shareholder interests and, importantly, ensures we have the capability and capacity to meet current and future expectations of our clients.</w:t>
      </w:r>
    </w:p>
    <w:p w:rsidR="00BB7658" w:rsidRPr="005B1DE1" w:rsidRDefault="00BB7658" w:rsidP="00BB7658">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I would like to thank all colleagues throughout the Group for their professionalism, their commitment to our clients and their contribution to our success in 2017.</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eastAsia="Times New Roman" w:hAnsi="Arial" w:cs="Arial"/>
          <w:b/>
          <w:bCs/>
          <w:caps/>
          <w:color w:val="003E6F"/>
          <w:spacing w:val="-2"/>
          <w:sz w:val="18"/>
          <w:szCs w:val="18"/>
        </w:rPr>
      </w:pPr>
      <w:r w:rsidRPr="005B1DE1">
        <w:rPr>
          <w:rFonts w:ascii="Arial" w:eastAsia="Times New Roman" w:hAnsi="Arial" w:cs="Arial"/>
          <w:b/>
          <w:bCs/>
          <w:caps/>
          <w:color w:val="003E6F"/>
          <w:spacing w:val="-2"/>
          <w:sz w:val="18"/>
          <w:szCs w:val="18"/>
        </w:rPr>
        <w:t>LOOKING FORWARD</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Whilst 2017 has been a challenging year in terms of financial performance and dealing with legacy issues, we enter 2018 with both businesses having strengthened governance and control, and with both positioned strongly to continue their growth trajectory whilst better serving clients. Our markets remain highly competitive, the landscape in the pension markets sees continued change and client and regulatory expectations require businesses to continue to evolve. Our clients demand best in class advice and administration, and our success is founded upon delivering on those expectations. We will continue to invest and to innovate, building our capability and increasing efficiency, so we can effectively scale our businesses and drive improved operating margins. </w:t>
      </w:r>
    </w:p>
    <w:p w:rsidR="00BB7658" w:rsidRPr="005B1DE1" w:rsidRDefault="00BB7658" w:rsidP="00BB7658">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We see 2018 in a positive light. The decisions we have taken on pricing combined with a more favourable interest rate environment and the investments we have made, will deliver a stronger, more profitable, more client-centric business with an improved growth trajectory going forward. We will continue our disciplined focus on cost control, but the resolution of legacy matters and the potential disposal of Saunderson House may result in some incremental costs in 2018. Whilst we expect meaningful organic growth in 2018, subject to progress on resolving legacy issues, we will be mindful of opportunities to accelerate that trajectory through acquisition, principally in the platform business. A sale of Saunderson House will be considered only if we believe it delivers a value for shareholders which reflects the capability and quality of this business. </w:t>
      </w:r>
    </w:p>
    <w:p w:rsidR="00E6678B" w:rsidRPr="006010C1" w:rsidRDefault="00E6678B" w:rsidP="00471C5D">
      <w:pPr>
        <w:spacing w:line="240" w:lineRule="auto"/>
        <w:rPr>
          <w:rFonts w:ascii="Arial" w:hAnsi="Arial" w:cs="Arial"/>
          <w:sz w:val="18"/>
          <w:szCs w:val="18"/>
          <w:lang w:val="en-IE"/>
        </w:rPr>
      </w:pPr>
    </w:p>
    <w:p w:rsidR="00EC014A" w:rsidRPr="006010C1" w:rsidRDefault="00EC014A" w:rsidP="006010C1">
      <w:pPr>
        <w:widowControl w:val="0"/>
        <w:tabs>
          <w:tab w:val="left" w:pos="227"/>
          <w:tab w:val="left" w:pos="340"/>
        </w:tabs>
        <w:suppressAutoHyphens/>
        <w:autoSpaceDE w:val="0"/>
        <w:autoSpaceDN w:val="0"/>
        <w:adjustRightInd w:val="0"/>
        <w:spacing w:after="0" w:line="240" w:lineRule="auto"/>
        <w:textAlignment w:val="center"/>
        <w:rPr>
          <w:rFonts w:ascii="Arial" w:hAnsi="Arial" w:cs="Arial"/>
          <w:b/>
          <w:sz w:val="18"/>
          <w:szCs w:val="18"/>
        </w:rPr>
      </w:pPr>
      <w:r w:rsidRPr="006010C1">
        <w:rPr>
          <w:rFonts w:ascii="Arial" w:hAnsi="Arial" w:cs="Arial"/>
          <w:b/>
          <w:sz w:val="18"/>
          <w:szCs w:val="18"/>
        </w:rPr>
        <w:t>John Cotter</w:t>
      </w:r>
    </w:p>
    <w:p w:rsidR="00EC014A" w:rsidRPr="006010C1" w:rsidRDefault="00EC014A" w:rsidP="006010C1">
      <w:pPr>
        <w:widowControl w:val="0"/>
        <w:tabs>
          <w:tab w:val="left" w:pos="227"/>
          <w:tab w:val="left" w:pos="340"/>
        </w:tabs>
        <w:suppressAutoHyphens/>
        <w:autoSpaceDE w:val="0"/>
        <w:autoSpaceDN w:val="0"/>
        <w:adjustRightInd w:val="0"/>
        <w:spacing w:after="0" w:line="240" w:lineRule="auto"/>
        <w:textAlignment w:val="center"/>
        <w:rPr>
          <w:rFonts w:ascii="Arial" w:hAnsi="Arial" w:cs="Arial"/>
          <w:sz w:val="18"/>
          <w:szCs w:val="18"/>
        </w:rPr>
      </w:pPr>
      <w:r w:rsidRPr="006010C1">
        <w:rPr>
          <w:rFonts w:ascii="Arial" w:hAnsi="Arial" w:cs="Arial"/>
          <w:sz w:val="18"/>
          <w:szCs w:val="18"/>
        </w:rPr>
        <w:t xml:space="preserve">Group </w:t>
      </w:r>
      <w:r w:rsidR="002B6E0F" w:rsidRPr="006010C1">
        <w:rPr>
          <w:rFonts w:ascii="Arial" w:hAnsi="Arial" w:cs="Arial"/>
          <w:sz w:val="18"/>
          <w:szCs w:val="18"/>
        </w:rPr>
        <w:t>Chief Executive</w:t>
      </w:r>
    </w:p>
    <w:p w:rsidR="00EC014A" w:rsidRPr="006010C1" w:rsidRDefault="00EC014A" w:rsidP="006010C1">
      <w:pPr>
        <w:widowControl w:val="0"/>
        <w:tabs>
          <w:tab w:val="left" w:pos="227"/>
          <w:tab w:val="left" w:pos="340"/>
        </w:tabs>
        <w:suppressAutoHyphens/>
        <w:autoSpaceDE w:val="0"/>
        <w:autoSpaceDN w:val="0"/>
        <w:adjustRightInd w:val="0"/>
        <w:spacing w:after="0" w:line="240" w:lineRule="auto"/>
        <w:textAlignment w:val="center"/>
        <w:rPr>
          <w:rFonts w:ascii="Arial" w:hAnsi="Arial" w:cs="Arial"/>
          <w:sz w:val="18"/>
          <w:szCs w:val="18"/>
        </w:rPr>
      </w:pPr>
      <w:r w:rsidRPr="006010C1">
        <w:rPr>
          <w:rFonts w:ascii="Arial" w:hAnsi="Arial" w:cs="Arial"/>
          <w:sz w:val="18"/>
          <w:szCs w:val="18"/>
        </w:rPr>
        <w:t>2</w:t>
      </w:r>
      <w:r w:rsidR="00BB7658">
        <w:rPr>
          <w:rFonts w:ascii="Arial" w:hAnsi="Arial" w:cs="Arial"/>
          <w:sz w:val="18"/>
          <w:szCs w:val="18"/>
        </w:rPr>
        <w:t>0</w:t>
      </w:r>
      <w:r w:rsidRPr="006010C1">
        <w:rPr>
          <w:rFonts w:ascii="Arial" w:hAnsi="Arial" w:cs="Arial"/>
          <w:sz w:val="18"/>
          <w:szCs w:val="18"/>
        </w:rPr>
        <w:t xml:space="preserve"> March 201</w:t>
      </w:r>
      <w:r w:rsidR="00BB7658">
        <w:rPr>
          <w:rFonts w:ascii="Arial" w:hAnsi="Arial" w:cs="Arial"/>
          <w:sz w:val="18"/>
          <w:szCs w:val="18"/>
        </w:rPr>
        <w:t>8</w:t>
      </w:r>
    </w:p>
    <w:p w:rsidR="00D93F01" w:rsidRDefault="00D93F01" w:rsidP="006010C1">
      <w:pPr>
        <w:spacing w:line="240" w:lineRule="auto"/>
        <w:rPr>
          <w:rFonts w:ascii="Arial" w:hAnsi="Arial" w:cs="Arial"/>
          <w:color w:val="808080" w:themeColor="background1" w:themeShade="80"/>
          <w:sz w:val="20"/>
          <w:szCs w:val="20"/>
          <w:lang w:val="en-IE"/>
        </w:rPr>
      </w:pPr>
    </w:p>
    <w:p w:rsidR="004C4ECA" w:rsidRPr="00E65E93" w:rsidRDefault="00DB0D70" w:rsidP="00471C5D">
      <w:pPr>
        <w:spacing w:line="240" w:lineRule="auto"/>
        <w:rPr>
          <w:rFonts w:ascii="Arial" w:hAnsi="Arial" w:cs="Arial"/>
          <w:color w:val="808080" w:themeColor="background1" w:themeShade="80"/>
          <w:sz w:val="28"/>
          <w:szCs w:val="28"/>
          <w:lang w:val="en-IE"/>
        </w:rPr>
      </w:pPr>
      <w:r w:rsidRPr="00E65E93">
        <w:rPr>
          <w:rFonts w:ascii="Arial" w:hAnsi="Arial" w:cs="Arial"/>
          <w:color w:val="808080" w:themeColor="background1" w:themeShade="80"/>
          <w:sz w:val="28"/>
          <w:szCs w:val="28"/>
          <w:lang w:val="en-IE"/>
        </w:rPr>
        <w:t xml:space="preserve">Extract from </w:t>
      </w:r>
      <w:r w:rsidR="00A1132E" w:rsidRPr="00E65E93">
        <w:rPr>
          <w:rFonts w:ascii="Arial" w:hAnsi="Arial" w:cs="Arial"/>
          <w:color w:val="808080" w:themeColor="background1" w:themeShade="80"/>
          <w:sz w:val="28"/>
          <w:szCs w:val="28"/>
          <w:lang w:val="en-IE"/>
        </w:rPr>
        <w:t>f</w:t>
      </w:r>
      <w:r w:rsidR="004C4ECA" w:rsidRPr="00E65E93">
        <w:rPr>
          <w:rFonts w:ascii="Arial" w:hAnsi="Arial" w:cs="Arial"/>
          <w:color w:val="808080" w:themeColor="background1" w:themeShade="80"/>
          <w:sz w:val="28"/>
          <w:szCs w:val="28"/>
          <w:lang w:val="en-IE"/>
        </w:rPr>
        <w:t xml:space="preserve">inancial </w:t>
      </w:r>
      <w:r w:rsidR="00A1132E" w:rsidRPr="00E65E93">
        <w:rPr>
          <w:rFonts w:ascii="Arial" w:hAnsi="Arial" w:cs="Arial"/>
          <w:color w:val="808080" w:themeColor="background1" w:themeShade="80"/>
          <w:sz w:val="28"/>
          <w:szCs w:val="28"/>
          <w:lang w:val="en-IE"/>
        </w:rPr>
        <w:t>r</w:t>
      </w:r>
      <w:r w:rsidR="004C4ECA" w:rsidRPr="00E65E93">
        <w:rPr>
          <w:rFonts w:ascii="Arial" w:hAnsi="Arial" w:cs="Arial"/>
          <w:color w:val="808080" w:themeColor="background1" w:themeShade="80"/>
          <w:sz w:val="28"/>
          <w:szCs w:val="28"/>
          <w:lang w:val="en-IE"/>
        </w:rPr>
        <w:t>eview</w:t>
      </w:r>
    </w:p>
    <w:p w:rsidR="002B6E0F" w:rsidRPr="006C3343" w:rsidRDefault="00E2684D" w:rsidP="006010C1">
      <w:pPr>
        <w:spacing w:line="240" w:lineRule="auto"/>
        <w:rPr>
          <w:rFonts w:ascii="Arial" w:hAnsi="Arial" w:cs="Arial"/>
          <w:b/>
          <w:i/>
          <w:color w:val="1F497D" w:themeColor="text2"/>
          <w:sz w:val="20"/>
          <w:szCs w:val="20"/>
          <w:lang w:val="en-IE"/>
        </w:rPr>
      </w:pPr>
      <w:r>
        <w:rPr>
          <w:rFonts w:ascii="Arial" w:hAnsi="Arial" w:cs="Arial"/>
          <w:color w:val="1F497D" w:themeColor="text2"/>
          <w:lang w:val="en-IE"/>
        </w:rPr>
        <w:t>STRONG FUNDAMENTALS AND GOOD GROWTH</w:t>
      </w:r>
    </w:p>
    <w:p w:rsidR="00791B40" w:rsidRPr="005B1DE1" w:rsidRDefault="00791B40" w:rsidP="00791B40">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003B70"/>
          <w:spacing w:val="-2"/>
          <w:sz w:val="18"/>
          <w:szCs w:val="18"/>
        </w:rPr>
      </w:pPr>
      <w:r w:rsidRPr="005B1DE1">
        <w:rPr>
          <w:rFonts w:ascii="Arial" w:hAnsi="Arial" w:cs="Arial"/>
          <w:b/>
          <w:bCs/>
          <w:caps/>
          <w:color w:val="003B70"/>
          <w:spacing w:val="-2"/>
          <w:sz w:val="18"/>
          <w:szCs w:val="18"/>
        </w:rPr>
        <w:t>REVIEW AND COMMENTARY On THE RESULTS</w:t>
      </w:r>
    </w:p>
    <w:p w:rsidR="00791B40" w:rsidRPr="005B1DE1"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Group's businesses both delivered strong underlying performance in 2017, despite the challenges of a low interest rate environment, which materially impacted H1 performance, but was partly offset in H2 by the pricing changes we successfully implemented. Our platform business, James Hay, continued to grow assets under administration organically, adding more than 6,100 new clients whilst delivering further improvements to our operating model. In Saunderson House, the new Discretionary Management Service accounted for 60% of our new clients, exceeding our expectations both in terms of new clients and average assets per client. The strong underlying performance, which positions both businesses strongly going into 2018, was, however, adversely affected by significant exceptional costs relating to ongoing legacy matters, which impacted statutory results and contributed to a decision to not pay a final dividend in respect of 2017.</w:t>
      </w:r>
    </w:p>
    <w:p w:rsidR="00791B40" w:rsidRPr="005B1DE1"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Due to the statutory loss in 2017, and despite a focus on working capital management, the business consumed cash in 2017. The Board remains committed to the progressive dividend policy implemented in 2015, and is focused on resolving all legacy issues so that we can return to paying dividends as quickly as possible. The Group remains well capitalised, with a strong and liquid balance sheet. </w:t>
      </w:r>
    </w:p>
    <w:p w:rsidR="00791B40" w:rsidRPr="005B1DE1"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This financial review provides an overview of the Group’s financial performance for the year to 31 December 2017, and of the Group’s financial position at that date. The two businesses are separately disclosed as segments, with additional disclosure of the central Group costs. The results include exceptional costs relating to the ongoing legacy matters, as well as residual costs associated with the business disposals made in 2014, and the costs associated with the restructuring of the Group functions, principally the closure of the Dublin and Swavesey offices and the previously announced restructuring in James Hay.</w:t>
      </w:r>
    </w:p>
    <w:p w:rsidR="00791B40" w:rsidRPr="005B1DE1" w:rsidRDefault="00791B40" w:rsidP="00791B40">
      <w:pPr>
        <w:pStyle w:val="ListParagraph"/>
        <w:widowControl w:val="0"/>
        <w:numPr>
          <w:ilvl w:val="0"/>
          <w:numId w:val="82"/>
        </w:numPr>
        <w:suppressAutoHyphens/>
        <w:autoSpaceDE w:val="0"/>
        <w:autoSpaceDN w:val="0"/>
        <w:adjustRightInd w:val="0"/>
        <w:spacing w:line="200" w:lineRule="atLeast"/>
        <w:contextualSpacing/>
        <w:textAlignment w:val="center"/>
        <w:rPr>
          <w:rFonts w:ascii="Arial" w:hAnsi="Arial" w:cs="Arial"/>
          <w:color w:val="000000"/>
          <w:spacing w:val="-2"/>
          <w:sz w:val="18"/>
          <w:szCs w:val="18"/>
        </w:rPr>
      </w:pPr>
      <w:r w:rsidRPr="005B1DE1">
        <w:rPr>
          <w:rFonts w:ascii="Arial" w:hAnsi="Arial" w:cs="Arial"/>
          <w:color w:val="000000"/>
          <w:spacing w:val="-2"/>
          <w:sz w:val="18"/>
          <w:szCs w:val="18"/>
        </w:rPr>
        <w:t>Overall, revenue remained in line with 2016, with Saunderson House increasing revenue by 4% to £32.2 million and James Hay being slightly below 2016 due to the impact of lower interest income only partly offset by increased fee revenue.</w:t>
      </w:r>
    </w:p>
    <w:p w:rsidR="00791B40" w:rsidRPr="005B1DE1" w:rsidRDefault="00791B40" w:rsidP="00791B40">
      <w:pPr>
        <w:pStyle w:val="ListParagraph"/>
        <w:widowControl w:val="0"/>
        <w:numPr>
          <w:ilvl w:val="0"/>
          <w:numId w:val="82"/>
        </w:numPr>
        <w:suppressAutoHyphens/>
        <w:autoSpaceDE w:val="0"/>
        <w:autoSpaceDN w:val="0"/>
        <w:adjustRightInd w:val="0"/>
        <w:spacing w:line="200" w:lineRule="atLeast"/>
        <w:contextualSpacing/>
        <w:textAlignment w:val="center"/>
        <w:rPr>
          <w:rFonts w:ascii="Arial" w:hAnsi="Arial" w:cs="Arial"/>
          <w:color w:val="000000"/>
          <w:spacing w:val="-5"/>
          <w:sz w:val="18"/>
          <w:szCs w:val="18"/>
        </w:rPr>
      </w:pPr>
      <w:r w:rsidRPr="005B1DE1">
        <w:rPr>
          <w:rFonts w:ascii="Arial" w:hAnsi="Arial" w:cs="Arial"/>
          <w:color w:val="000000"/>
          <w:spacing w:val="-5"/>
          <w:sz w:val="18"/>
          <w:szCs w:val="18"/>
        </w:rPr>
        <w:t xml:space="preserve">The results for 2017 show strong growth in the key metrics of clients and assets under administration and advice. </w:t>
      </w:r>
    </w:p>
    <w:p w:rsidR="00791B40" w:rsidRPr="005B1DE1" w:rsidRDefault="00791B40" w:rsidP="00791B40">
      <w:pPr>
        <w:pStyle w:val="ListParagraph"/>
        <w:widowControl w:val="0"/>
        <w:numPr>
          <w:ilvl w:val="0"/>
          <w:numId w:val="82"/>
        </w:numPr>
        <w:suppressAutoHyphens/>
        <w:autoSpaceDE w:val="0"/>
        <w:autoSpaceDN w:val="0"/>
        <w:adjustRightInd w:val="0"/>
        <w:spacing w:line="200" w:lineRule="atLeast"/>
        <w:contextualSpacing/>
        <w:textAlignment w:val="center"/>
        <w:rPr>
          <w:rFonts w:ascii="Arial" w:hAnsi="Arial" w:cs="Arial"/>
          <w:color w:val="000000"/>
          <w:spacing w:val="-3"/>
          <w:sz w:val="18"/>
          <w:szCs w:val="18"/>
        </w:rPr>
      </w:pPr>
      <w:r w:rsidRPr="005B1DE1">
        <w:rPr>
          <w:rFonts w:ascii="Arial" w:hAnsi="Arial" w:cs="Arial"/>
          <w:color w:val="000000"/>
          <w:spacing w:val="-3"/>
          <w:sz w:val="18"/>
          <w:szCs w:val="18"/>
        </w:rPr>
        <w:t>The loss</w:t>
      </w:r>
      <w:r w:rsidR="00D601BE">
        <w:rPr>
          <w:rFonts w:ascii="Arial" w:hAnsi="Arial" w:cs="Arial"/>
          <w:color w:val="000000"/>
          <w:spacing w:val="-3"/>
          <w:sz w:val="18"/>
          <w:szCs w:val="18"/>
        </w:rPr>
        <w:t xml:space="preserve"> after tax</w:t>
      </w:r>
      <w:r w:rsidRPr="005B1DE1">
        <w:rPr>
          <w:rFonts w:ascii="Arial" w:hAnsi="Arial" w:cs="Arial"/>
          <w:color w:val="000000"/>
          <w:spacing w:val="-3"/>
          <w:sz w:val="18"/>
          <w:szCs w:val="18"/>
        </w:rPr>
        <w:t xml:space="preserve"> of £0.3 million is materially lower than 2016 profits of £5.</w:t>
      </w:r>
      <w:r w:rsidR="00D601BE">
        <w:rPr>
          <w:rFonts w:ascii="Arial" w:hAnsi="Arial" w:cs="Arial"/>
          <w:color w:val="000000"/>
          <w:spacing w:val="-3"/>
          <w:sz w:val="18"/>
          <w:szCs w:val="18"/>
        </w:rPr>
        <w:t>3</w:t>
      </w:r>
      <w:r w:rsidRPr="005B1DE1">
        <w:rPr>
          <w:rFonts w:ascii="Arial" w:hAnsi="Arial" w:cs="Arial"/>
          <w:color w:val="000000"/>
          <w:spacing w:val="-3"/>
          <w:sz w:val="18"/>
          <w:szCs w:val="18"/>
        </w:rPr>
        <w:t xml:space="preserve"> million, due to lower than expected revenues which were </w:t>
      </w:r>
      <w:r w:rsidRPr="005B1DE1">
        <w:rPr>
          <w:rFonts w:ascii="Arial" w:hAnsi="Arial" w:cs="Arial"/>
          <w:color w:val="000000"/>
          <w:spacing w:val="-3"/>
          <w:sz w:val="18"/>
          <w:szCs w:val="18"/>
        </w:rPr>
        <w:lastRenderedPageBreak/>
        <w:t>impacted by the Bank of England base rate reduction together with the material increase in exceptional costs.</w:t>
      </w:r>
    </w:p>
    <w:p w:rsidR="00791B40" w:rsidRPr="005B1DE1" w:rsidRDefault="00791B40" w:rsidP="00791B40">
      <w:pPr>
        <w:pStyle w:val="ListParagraph"/>
        <w:widowControl w:val="0"/>
        <w:numPr>
          <w:ilvl w:val="0"/>
          <w:numId w:val="82"/>
        </w:numPr>
        <w:suppressAutoHyphens/>
        <w:autoSpaceDE w:val="0"/>
        <w:autoSpaceDN w:val="0"/>
        <w:adjustRightInd w:val="0"/>
        <w:spacing w:line="200" w:lineRule="atLeast"/>
        <w:contextualSpacing/>
        <w:textAlignment w:val="center"/>
        <w:rPr>
          <w:rFonts w:ascii="Arial" w:hAnsi="Arial" w:cs="Arial"/>
          <w:color w:val="000000"/>
          <w:spacing w:val="-3"/>
          <w:sz w:val="18"/>
          <w:szCs w:val="18"/>
        </w:rPr>
      </w:pPr>
      <w:r w:rsidRPr="005B1DE1">
        <w:rPr>
          <w:rFonts w:ascii="Arial" w:hAnsi="Arial" w:cs="Arial"/>
          <w:color w:val="000000"/>
          <w:spacing w:val="-3"/>
          <w:sz w:val="18"/>
          <w:szCs w:val="18"/>
        </w:rPr>
        <w:t>Adjusted operating profits increased by 5% to £10.5 million, reflecting a lower contribution from James Hay, with Saunderson House increasing its profits on the back of continued client and asset growth and increased demand for its Discretionary Management Services.</w:t>
      </w:r>
    </w:p>
    <w:p w:rsidR="00791B40" w:rsidRPr="005B1DE1" w:rsidRDefault="00791B40" w:rsidP="00791B40">
      <w:pPr>
        <w:pStyle w:val="ListParagraph"/>
        <w:widowControl w:val="0"/>
        <w:numPr>
          <w:ilvl w:val="0"/>
          <w:numId w:val="82"/>
        </w:numPr>
        <w:suppressAutoHyphens/>
        <w:autoSpaceDE w:val="0"/>
        <w:autoSpaceDN w:val="0"/>
        <w:adjustRightInd w:val="0"/>
        <w:spacing w:line="200" w:lineRule="atLeast"/>
        <w:contextualSpacing/>
        <w:textAlignment w:val="center"/>
        <w:rPr>
          <w:rFonts w:ascii="Arial" w:hAnsi="Arial" w:cs="Arial"/>
          <w:color w:val="000000"/>
          <w:spacing w:val="-3"/>
          <w:sz w:val="18"/>
          <w:szCs w:val="18"/>
        </w:rPr>
      </w:pPr>
      <w:r w:rsidRPr="005B1DE1">
        <w:rPr>
          <w:rFonts w:ascii="Arial" w:hAnsi="Arial" w:cs="Arial"/>
          <w:color w:val="000000"/>
          <w:spacing w:val="-2"/>
          <w:sz w:val="18"/>
          <w:szCs w:val="18"/>
        </w:rPr>
        <w:t>The statement of financial position is strong and liquid, with capital in excess of regulatory requirements, which is important in light of the material uncertainty over the contingent exposure in relation to certain legacy issues.</w:t>
      </w:r>
    </w:p>
    <w:p w:rsidR="00791B40" w:rsidRPr="005B1DE1" w:rsidRDefault="00791B40" w:rsidP="00791B40">
      <w:pPr>
        <w:pStyle w:val="ListParagraph"/>
        <w:widowControl w:val="0"/>
        <w:numPr>
          <w:ilvl w:val="0"/>
          <w:numId w:val="82"/>
        </w:numPr>
        <w:suppressAutoHyphens/>
        <w:autoSpaceDE w:val="0"/>
        <w:autoSpaceDN w:val="0"/>
        <w:adjustRightInd w:val="0"/>
        <w:spacing w:line="200" w:lineRule="atLeast"/>
        <w:contextualSpacing/>
        <w:textAlignment w:val="center"/>
        <w:rPr>
          <w:rFonts w:ascii="Arial" w:hAnsi="Arial" w:cs="Arial"/>
          <w:color w:val="000000"/>
          <w:spacing w:val="-3"/>
          <w:sz w:val="18"/>
          <w:szCs w:val="18"/>
        </w:rPr>
      </w:pPr>
      <w:r w:rsidRPr="005B1DE1">
        <w:rPr>
          <w:rFonts w:ascii="Arial" w:hAnsi="Arial" w:cs="Arial"/>
          <w:color w:val="000000"/>
          <w:spacing w:val="-3"/>
          <w:sz w:val="18"/>
          <w:szCs w:val="18"/>
        </w:rPr>
        <w:t>Lower operating profits impacted cash flow, with a net reduction in cash of £3.6 million from £28.2 million in 2016 to £24.6 million.</w:t>
      </w:r>
    </w:p>
    <w:p w:rsidR="00A64650" w:rsidRPr="006C3343" w:rsidRDefault="00A64650" w:rsidP="004271C7">
      <w:pPr>
        <w:spacing w:after="0" w:line="240" w:lineRule="auto"/>
        <w:rPr>
          <w:rFonts w:ascii="Arial" w:hAnsi="Arial" w:cs="Arial"/>
          <w:b/>
          <w:sz w:val="20"/>
          <w:szCs w:val="20"/>
          <w:lang w:val="en-IE"/>
        </w:rPr>
      </w:pPr>
    </w:p>
    <w:p w:rsidR="00AE1C0F" w:rsidRPr="00A95934" w:rsidRDefault="007D2E59" w:rsidP="004271C7">
      <w:pPr>
        <w:spacing w:line="240" w:lineRule="auto"/>
        <w:rPr>
          <w:rFonts w:ascii="Arial" w:hAnsi="Arial" w:cs="Arial"/>
          <w:b/>
          <w:color w:val="1F497D" w:themeColor="text2"/>
          <w:sz w:val="20"/>
          <w:szCs w:val="20"/>
          <w:lang w:val="en-IE"/>
        </w:rPr>
      </w:pPr>
      <w:r w:rsidRPr="00A95934">
        <w:rPr>
          <w:rFonts w:ascii="Arial" w:hAnsi="Arial" w:cs="Arial"/>
          <w:b/>
          <w:color w:val="1F497D" w:themeColor="text2"/>
          <w:sz w:val="20"/>
          <w:szCs w:val="20"/>
          <w:lang w:val="en-IE"/>
        </w:rPr>
        <w:t>R</w:t>
      </w:r>
      <w:r>
        <w:rPr>
          <w:rFonts w:ascii="Arial" w:hAnsi="Arial" w:cs="Arial"/>
          <w:b/>
          <w:color w:val="1F497D" w:themeColor="text2"/>
          <w:sz w:val="20"/>
          <w:szCs w:val="20"/>
          <w:lang w:val="en-IE"/>
        </w:rPr>
        <w:t>evenue</w:t>
      </w:r>
    </w:p>
    <w:tbl>
      <w:tblPr>
        <w:tblStyle w:val="TableGrid"/>
        <w:tblW w:w="48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9"/>
        <w:gridCol w:w="2316"/>
        <w:gridCol w:w="1318"/>
        <w:gridCol w:w="1318"/>
      </w:tblGrid>
      <w:tr w:rsidR="00D559D5" w:rsidRPr="002F4B11" w:rsidTr="00027DF8">
        <w:trPr>
          <w:trHeight w:hRule="exact" w:val="313"/>
        </w:trPr>
        <w:tc>
          <w:tcPr>
            <w:tcW w:w="2640" w:type="pct"/>
          </w:tcPr>
          <w:p w:rsidR="00D2103E" w:rsidRPr="006010C1" w:rsidRDefault="00D2103E" w:rsidP="00D67869">
            <w:pPr>
              <w:jc w:val="both"/>
              <w:rPr>
                <w:rFonts w:ascii="Arial" w:hAnsi="Arial" w:cs="Arial"/>
                <w:b/>
                <w:sz w:val="18"/>
                <w:szCs w:val="18"/>
                <w:u w:val="single"/>
                <w:lang w:val="en-IE"/>
              </w:rPr>
            </w:pPr>
          </w:p>
        </w:tc>
        <w:tc>
          <w:tcPr>
            <w:tcW w:w="1104" w:type="pct"/>
          </w:tcPr>
          <w:p w:rsidR="00D2103E" w:rsidRPr="006010C1" w:rsidRDefault="00D2103E" w:rsidP="00D67869">
            <w:pPr>
              <w:jc w:val="both"/>
              <w:rPr>
                <w:rFonts w:ascii="Arial" w:hAnsi="Arial" w:cs="Arial"/>
                <w:sz w:val="18"/>
                <w:szCs w:val="18"/>
                <w:lang w:val="en-IE"/>
              </w:rPr>
            </w:pPr>
          </w:p>
        </w:tc>
        <w:tc>
          <w:tcPr>
            <w:tcW w:w="628" w:type="pct"/>
            <w:shd w:val="clear" w:color="auto" w:fill="auto"/>
          </w:tcPr>
          <w:p w:rsidR="00D2103E" w:rsidRPr="00567B94" w:rsidRDefault="00D2103E">
            <w:pPr>
              <w:jc w:val="right"/>
              <w:rPr>
                <w:rFonts w:ascii="Arial" w:hAnsi="Arial" w:cs="Arial"/>
                <w:b/>
                <w:color w:val="1F497D" w:themeColor="text2"/>
                <w:sz w:val="18"/>
                <w:szCs w:val="18"/>
                <w:lang w:val="en-IE"/>
              </w:rPr>
            </w:pPr>
            <w:r w:rsidRPr="00567B94">
              <w:rPr>
                <w:rFonts w:ascii="Arial" w:hAnsi="Arial" w:cs="Arial"/>
                <w:b/>
                <w:color w:val="1F497D" w:themeColor="text2"/>
                <w:sz w:val="18"/>
                <w:szCs w:val="18"/>
                <w:lang w:val="en-IE"/>
              </w:rPr>
              <w:t>201</w:t>
            </w:r>
            <w:r w:rsidR="00791B40" w:rsidRPr="00567B94">
              <w:rPr>
                <w:rFonts w:ascii="Arial" w:hAnsi="Arial" w:cs="Arial"/>
                <w:b/>
                <w:color w:val="1F497D" w:themeColor="text2"/>
                <w:sz w:val="18"/>
                <w:szCs w:val="18"/>
                <w:lang w:val="en-IE"/>
              </w:rPr>
              <w:t>7</w:t>
            </w:r>
          </w:p>
        </w:tc>
        <w:tc>
          <w:tcPr>
            <w:tcW w:w="628" w:type="pct"/>
          </w:tcPr>
          <w:p w:rsidR="00D2103E" w:rsidRPr="003E5A10" w:rsidRDefault="00D2103E" w:rsidP="004C34EC">
            <w:pPr>
              <w:jc w:val="right"/>
              <w:rPr>
                <w:rFonts w:ascii="Arial" w:hAnsi="Arial" w:cs="Arial"/>
                <w:color w:val="1F497D" w:themeColor="text2"/>
                <w:sz w:val="18"/>
                <w:szCs w:val="18"/>
                <w:lang w:val="en-IE"/>
              </w:rPr>
            </w:pPr>
            <w:r w:rsidRPr="003E5A10">
              <w:rPr>
                <w:rFonts w:ascii="Arial" w:hAnsi="Arial" w:cs="Arial"/>
                <w:color w:val="1F497D" w:themeColor="text2"/>
                <w:sz w:val="18"/>
                <w:szCs w:val="18"/>
                <w:lang w:val="en-IE"/>
              </w:rPr>
              <w:t>201</w:t>
            </w:r>
            <w:r w:rsidR="00791B40" w:rsidRPr="003E5A10">
              <w:rPr>
                <w:rFonts w:ascii="Arial" w:hAnsi="Arial" w:cs="Arial"/>
                <w:color w:val="1F497D" w:themeColor="text2"/>
                <w:sz w:val="18"/>
                <w:szCs w:val="18"/>
                <w:lang w:val="en-IE"/>
              </w:rPr>
              <w:t>6</w:t>
            </w:r>
          </w:p>
        </w:tc>
      </w:tr>
      <w:tr w:rsidR="00D559D5" w:rsidRPr="002F4B11" w:rsidTr="00027DF8">
        <w:trPr>
          <w:trHeight w:hRule="exact" w:val="313"/>
        </w:trPr>
        <w:tc>
          <w:tcPr>
            <w:tcW w:w="2640" w:type="pct"/>
          </w:tcPr>
          <w:p w:rsidR="00D2103E" w:rsidRPr="006010C1" w:rsidRDefault="00D2103E" w:rsidP="00D67869">
            <w:pPr>
              <w:autoSpaceDE w:val="0"/>
              <w:autoSpaceDN w:val="0"/>
              <w:adjustRightInd w:val="0"/>
              <w:spacing w:after="184"/>
              <w:jc w:val="both"/>
              <w:rPr>
                <w:rFonts w:ascii="Arial" w:hAnsi="Arial" w:cs="Arial"/>
                <w:b/>
                <w:sz w:val="18"/>
                <w:szCs w:val="18"/>
                <w:lang w:val="en-IE"/>
              </w:rPr>
            </w:pPr>
          </w:p>
        </w:tc>
        <w:tc>
          <w:tcPr>
            <w:tcW w:w="1104" w:type="pct"/>
          </w:tcPr>
          <w:p w:rsidR="00D2103E" w:rsidRPr="006010C1" w:rsidRDefault="00D2103E" w:rsidP="00D67869">
            <w:pPr>
              <w:spacing w:after="184"/>
              <w:jc w:val="both"/>
              <w:rPr>
                <w:rFonts w:ascii="Arial" w:hAnsi="Arial" w:cs="Arial"/>
                <w:sz w:val="18"/>
                <w:szCs w:val="18"/>
                <w:lang w:val="en-IE"/>
              </w:rPr>
            </w:pPr>
          </w:p>
        </w:tc>
        <w:tc>
          <w:tcPr>
            <w:tcW w:w="628" w:type="pct"/>
            <w:shd w:val="clear" w:color="auto" w:fill="auto"/>
          </w:tcPr>
          <w:p w:rsidR="00D2103E" w:rsidRPr="00567B94" w:rsidRDefault="00D2103E" w:rsidP="00D67869">
            <w:pPr>
              <w:autoSpaceDE w:val="0"/>
              <w:autoSpaceDN w:val="0"/>
              <w:adjustRightInd w:val="0"/>
              <w:spacing w:after="184"/>
              <w:jc w:val="right"/>
              <w:rPr>
                <w:rFonts w:ascii="Arial" w:hAnsi="Arial" w:cs="Arial"/>
                <w:b/>
                <w:color w:val="1F497D" w:themeColor="text2"/>
                <w:sz w:val="18"/>
                <w:szCs w:val="18"/>
                <w:lang w:val="en-IE"/>
              </w:rPr>
            </w:pPr>
            <w:r w:rsidRPr="00567B94">
              <w:rPr>
                <w:rFonts w:ascii="Arial" w:hAnsi="Arial" w:cs="Arial"/>
                <w:b/>
                <w:color w:val="1F497D" w:themeColor="text2"/>
                <w:sz w:val="18"/>
                <w:szCs w:val="18"/>
                <w:lang w:val="en-IE"/>
              </w:rPr>
              <w:t>£’000</w:t>
            </w:r>
          </w:p>
        </w:tc>
        <w:tc>
          <w:tcPr>
            <w:tcW w:w="628" w:type="pct"/>
          </w:tcPr>
          <w:p w:rsidR="00D2103E" w:rsidRPr="003E5A10" w:rsidRDefault="00D2103E" w:rsidP="003E5A10">
            <w:pPr>
              <w:jc w:val="right"/>
              <w:rPr>
                <w:rFonts w:ascii="Arial" w:hAnsi="Arial" w:cs="Arial"/>
                <w:color w:val="1F497D" w:themeColor="text2"/>
                <w:sz w:val="18"/>
                <w:szCs w:val="18"/>
                <w:lang w:val="en-IE"/>
              </w:rPr>
            </w:pPr>
            <w:r w:rsidRPr="003E5A10">
              <w:rPr>
                <w:rFonts w:ascii="Arial" w:hAnsi="Arial" w:cs="Arial"/>
                <w:color w:val="1F497D" w:themeColor="text2"/>
                <w:sz w:val="18"/>
                <w:szCs w:val="18"/>
                <w:lang w:val="en-IE"/>
              </w:rPr>
              <w:t>£’000</w:t>
            </w:r>
          </w:p>
        </w:tc>
      </w:tr>
      <w:tr w:rsidR="00D559D5" w:rsidRPr="002F4B11" w:rsidTr="00027DF8">
        <w:trPr>
          <w:trHeight w:hRule="exact" w:val="313"/>
        </w:trPr>
        <w:tc>
          <w:tcPr>
            <w:tcW w:w="2640" w:type="pct"/>
          </w:tcPr>
          <w:p w:rsidR="00D2103E" w:rsidRPr="006010C1" w:rsidRDefault="00D2103E" w:rsidP="00D67869">
            <w:pPr>
              <w:autoSpaceDE w:val="0"/>
              <w:autoSpaceDN w:val="0"/>
              <w:adjustRightInd w:val="0"/>
              <w:jc w:val="both"/>
              <w:rPr>
                <w:rFonts w:ascii="Arial" w:hAnsi="Arial" w:cs="Arial"/>
                <w:i/>
                <w:sz w:val="18"/>
                <w:szCs w:val="18"/>
                <w:lang w:val="en-IE"/>
              </w:rPr>
            </w:pPr>
          </w:p>
        </w:tc>
        <w:tc>
          <w:tcPr>
            <w:tcW w:w="1104" w:type="pct"/>
          </w:tcPr>
          <w:p w:rsidR="00D2103E" w:rsidRPr="006010C1" w:rsidRDefault="00D2103E" w:rsidP="00D67869">
            <w:pPr>
              <w:jc w:val="both"/>
              <w:rPr>
                <w:rFonts w:ascii="Arial" w:hAnsi="Arial" w:cs="Arial"/>
                <w:sz w:val="18"/>
                <w:szCs w:val="18"/>
                <w:lang w:val="en-IE"/>
              </w:rPr>
            </w:pPr>
          </w:p>
        </w:tc>
        <w:tc>
          <w:tcPr>
            <w:tcW w:w="628" w:type="pct"/>
            <w:shd w:val="clear" w:color="auto" w:fill="auto"/>
          </w:tcPr>
          <w:p w:rsidR="00D2103E" w:rsidRPr="00567B94" w:rsidRDefault="00D2103E" w:rsidP="00D67869">
            <w:pPr>
              <w:autoSpaceDE w:val="0"/>
              <w:autoSpaceDN w:val="0"/>
              <w:adjustRightInd w:val="0"/>
              <w:jc w:val="right"/>
              <w:rPr>
                <w:rFonts w:ascii="Arial" w:hAnsi="Arial" w:cs="Arial"/>
                <w:b/>
                <w:sz w:val="18"/>
                <w:szCs w:val="18"/>
                <w:lang w:val="en-IE"/>
              </w:rPr>
            </w:pPr>
          </w:p>
        </w:tc>
        <w:tc>
          <w:tcPr>
            <w:tcW w:w="628" w:type="pct"/>
          </w:tcPr>
          <w:p w:rsidR="00D2103E" w:rsidRPr="006010C1" w:rsidRDefault="00D2103E" w:rsidP="00D67869">
            <w:pPr>
              <w:autoSpaceDE w:val="0"/>
              <w:autoSpaceDN w:val="0"/>
              <w:adjustRightInd w:val="0"/>
              <w:jc w:val="right"/>
              <w:rPr>
                <w:rFonts w:ascii="Arial" w:hAnsi="Arial" w:cs="Arial"/>
                <w:sz w:val="18"/>
                <w:szCs w:val="18"/>
                <w:lang w:val="en-IE"/>
              </w:rPr>
            </w:pPr>
          </w:p>
        </w:tc>
      </w:tr>
      <w:tr w:rsidR="00791B40" w:rsidRPr="002F4B11" w:rsidTr="00027DF8">
        <w:trPr>
          <w:trHeight w:hRule="exact" w:val="313"/>
        </w:trPr>
        <w:tc>
          <w:tcPr>
            <w:tcW w:w="2640" w:type="pct"/>
            <w:vAlign w:val="center"/>
          </w:tcPr>
          <w:p w:rsidR="00791B40" w:rsidRPr="006010C1" w:rsidRDefault="00791B40" w:rsidP="00791B40">
            <w:pPr>
              <w:jc w:val="both"/>
              <w:rPr>
                <w:rFonts w:ascii="Arial" w:hAnsi="Arial" w:cs="Arial"/>
                <w:sz w:val="18"/>
                <w:szCs w:val="18"/>
                <w:lang w:val="en-IE"/>
              </w:rPr>
            </w:pPr>
            <w:r>
              <w:rPr>
                <w:rFonts w:ascii="Arial" w:hAnsi="Arial" w:cs="Arial"/>
                <w:sz w:val="18"/>
                <w:szCs w:val="18"/>
                <w:lang w:val="en-IE"/>
              </w:rPr>
              <w:t>Platform</w:t>
            </w:r>
          </w:p>
        </w:tc>
        <w:tc>
          <w:tcPr>
            <w:tcW w:w="1104" w:type="pct"/>
            <w:vAlign w:val="center"/>
          </w:tcPr>
          <w:p w:rsidR="00791B40" w:rsidRPr="006010C1" w:rsidRDefault="00791B40" w:rsidP="00791B40">
            <w:pPr>
              <w:jc w:val="both"/>
              <w:rPr>
                <w:rFonts w:ascii="Arial" w:hAnsi="Arial" w:cs="Arial"/>
                <w:sz w:val="18"/>
                <w:szCs w:val="18"/>
                <w:lang w:val="en-IE"/>
              </w:rPr>
            </w:pPr>
          </w:p>
        </w:tc>
        <w:tc>
          <w:tcPr>
            <w:tcW w:w="628" w:type="pct"/>
            <w:shd w:val="clear" w:color="auto" w:fill="auto"/>
            <w:vAlign w:val="center"/>
          </w:tcPr>
          <w:p w:rsidR="00791B40" w:rsidRPr="00567B94" w:rsidRDefault="00791B40" w:rsidP="00791B40">
            <w:pPr>
              <w:jc w:val="right"/>
              <w:rPr>
                <w:rFonts w:ascii="Arial" w:hAnsi="Arial" w:cs="Arial"/>
                <w:b/>
                <w:sz w:val="18"/>
                <w:szCs w:val="18"/>
                <w:lang w:val="en-IE"/>
              </w:rPr>
            </w:pPr>
            <w:r w:rsidRPr="00567B94">
              <w:rPr>
                <w:rFonts w:ascii="Arial" w:hAnsi="Arial" w:cs="Arial"/>
                <w:b/>
                <w:sz w:val="18"/>
                <w:szCs w:val="18"/>
                <w:lang w:val="en-IE"/>
              </w:rPr>
              <w:t>46,169</w:t>
            </w:r>
          </w:p>
        </w:tc>
        <w:tc>
          <w:tcPr>
            <w:tcW w:w="628" w:type="pct"/>
          </w:tcPr>
          <w:p w:rsidR="00791B40" w:rsidRPr="00791B40" w:rsidRDefault="00791B40" w:rsidP="00791B40">
            <w:pPr>
              <w:jc w:val="right"/>
              <w:rPr>
                <w:rFonts w:ascii="Arial" w:hAnsi="Arial" w:cs="Arial"/>
                <w:sz w:val="18"/>
                <w:szCs w:val="18"/>
                <w:lang w:val="en-IE"/>
              </w:rPr>
            </w:pPr>
            <w:r w:rsidRPr="005B1DE1">
              <w:rPr>
                <w:rFonts w:ascii="Arial" w:hAnsi="Arial" w:cs="Arial"/>
                <w:sz w:val="18"/>
                <w:szCs w:val="18"/>
              </w:rPr>
              <w:t>47,478</w:t>
            </w:r>
          </w:p>
        </w:tc>
      </w:tr>
      <w:tr w:rsidR="00791B40" w:rsidRPr="002F4B11" w:rsidTr="00027DF8">
        <w:trPr>
          <w:trHeight w:hRule="exact" w:val="313"/>
        </w:trPr>
        <w:tc>
          <w:tcPr>
            <w:tcW w:w="2640" w:type="pct"/>
            <w:tcBorders>
              <w:bottom w:val="single" w:sz="4" w:space="0" w:color="auto"/>
            </w:tcBorders>
            <w:vAlign w:val="center"/>
          </w:tcPr>
          <w:p w:rsidR="00791B40" w:rsidRPr="002F4B11" w:rsidRDefault="00791B40" w:rsidP="00791B40">
            <w:pPr>
              <w:jc w:val="both"/>
              <w:rPr>
                <w:rFonts w:ascii="Arial" w:hAnsi="Arial" w:cs="Arial"/>
                <w:sz w:val="18"/>
                <w:szCs w:val="18"/>
                <w:lang w:val="en-IE"/>
              </w:rPr>
            </w:pPr>
            <w:r w:rsidRPr="009D404B">
              <w:rPr>
                <w:rFonts w:ascii="Arial" w:hAnsi="Arial" w:cs="Arial"/>
                <w:sz w:val="18"/>
                <w:szCs w:val="18"/>
                <w:lang w:val="en-IE"/>
              </w:rPr>
              <w:t>Independent wealth management</w:t>
            </w:r>
          </w:p>
        </w:tc>
        <w:tc>
          <w:tcPr>
            <w:tcW w:w="1104" w:type="pct"/>
            <w:tcBorders>
              <w:bottom w:val="single" w:sz="4" w:space="0" w:color="auto"/>
            </w:tcBorders>
            <w:vAlign w:val="center"/>
          </w:tcPr>
          <w:p w:rsidR="00791B40" w:rsidRPr="002F4B11" w:rsidRDefault="00791B40" w:rsidP="00791B40">
            <w:pPr>
              <w:jc w:val="both"/>
              <w:rPr>
                <w:rFonts w:ascii="Arial" w:hAnsi="Arial" w:cs="Arial"/>
                <w:sz w:val="18"/>
                <w:szCs w:val="18"/>
                <w:lang w:val="en-IE"/>
              </w:rPr>
            </w:pPr>
          </w:p>
        </w:tc>
        <w:tc>
          <w:tcPr>
            <w:tcW w:w="628" w:type="pct"/>
            <w:tcBorders>
              <w:bottom w:val="single" w:sz="4" w:space="0" w:color="auto"/>
            </w:tcBorders>
            <w:shd w:val="clear" w:color="auto" w:fill="auto"/>
            <w:vAlign w:val="center"/>
          </w:tcPr>
          <w:p w:rsidR="00791B40" w:rsidRPr="00567B94" w:rsidRDefault="00791B40" w:rsidP="00791B40">
            <w:pPr>
              <w:jc w:val="right"/>
              <w:rPr>
                <w:rFonts w:ascii="Arial" w:hAnsi="Arial" w:cs="Arial"/>
                <w:b/>
                <w:sz w:val="18"/>
                <w:szCs w:val="18"/>
                <w:lang w:val="en-IE"/>
              </w:rPr>
            </w:pPr>
            <w:r w:rsidRPr="00567B94">
              <w:rPr>
                <w:rFonts w:ascii="Arial" w:hAnsi="Arial" w:cs="Arial"/>
                <w:b/>
                <w:sz w:val="18"/>
                <w:szCs w:val="18"/>
                <w:lang w:val="en-IE"/>
              </w:rPr>
              <w:t>32,225</w:t>
            </w:r>
          </w:p>
        </w:tc>
        <w:tc>
          <w:tcPr>
            <w:tcW w:w="628" w:type="pct"/>
            <w:tcBorders>
              <w:bottom w:val="single" w:sz="4" w:space="0" w:color="auto"/>
            </w:tcBorders>
          </w:tcPr>
          <w:p w:rsidR="00791B40" w:rsidRPr="00791B40" w:rsidRDefault="00791B40" w:rsidP="00791B40">
            <w:pPr>
              <w:jc w:val="right"/>
              <w:rPr>
                <w:rFonts w:ascii="Arial" w:hAnsi="Arial" w:cs="Arial"/>
                <w:sz w:val="18"/>
                <w:szCs w:val="18"/>
                <w:lang w:val="en-IE"/>
              </w:rPr>
            </w:pPr>
            <w:r w:rsidRPr="005B1DE1">
              <w:rPr>
                <w:rFonts w:ascii="Arial" w:hAnsi="Arial" w:cs="Arial"/>
                <w:sz w:val="18"/>
                <w:szCs w:val="18"/>
              </w:rPr>
              <w:t>30,987</w:t>
            </w:r>
          </w:p>
        </w:tc>
      </w:tr>
      <w:tr w:rsidR="00791B40" w:rsidRPr="002F4B11" w:rsidTr="00027DF8">
        <w:trPr>
          <w:trHeight w:hRule="exact" w:val="313"/>
        </w:trPr>
        <w:tc>
          <w:tcPr>
            <w:tcW w:w="2640" w:type="pct"/>
            <w:tcBorders>
              <w:top w:val="single" w:sz="4" w:space="0" w:color="auto"/>
              <w:bottom w:val="single" w:sz="4" w:space="0" w:color="auto"/>
            </w:tcBorders>
            <w:vAlign w:val="center"/>
          </w:tcPr>
          <w:p w:rsidR="00791B40" w:rsidRPr="006010C1" w:rsidRDefault="00791B40" w:rsidP="00791B40">
            <w:pPr>
              <w:jc w:val="both"/>
              <w:rPr>
                <w:rFonts w:ascii="Arial" w:hAnsi="Arial" w:cs="Arial"/>
                <w:sz w:val="18"/>
                <w:szCs w:val="18"/>
                <w:lang w:val="en-IE"/>
              </w:rPr>
            </w:pPr>
            <w:r w:rsidRPr="006010C1">
              <w:rPr>
                <w:rFonts w:ascii="Arial" w:hAnsi="Arial" w:cs="Arial"/>
                <w:b/>
                <w:sz w:val="18"/>
                <w:szCs w:val="18"/>
                <w:lang w:val="en-IE"/>
              </w:rPr>
              <w:t>Total revenue</w:t>
            </w:r>
          </w:p>
        </w:tc>
        <w:tc>
          <w:tcPr>
            <w:tcW w:w="1104" w:type="pct"/>
            <w:tcBorders>
              <w:top w:val="single" w:sz="4" w:space="0" w:color="auto"/>
              <w:bottom w:val="single" w:sz="4" w:space="0" w:color="auto"/>
            </w:tcBorders>
            <w:vAlign w:val="center"/>
          </w:tcPr>
          <w:p w:rsidR="00791B40" w:rsidRPr="006010C1" w:rsidRDefault="00791B40" w:rsidP="00791B40">
            <w:pPr>
              <w:jc w:val="both"/>
              <w:rPr>
                <w:rFonts w:ascii="Arial" w:hAnsi="Arial" w:cs="Arial"/>
                <w:sz w:val="18"/>
                <w:szCs w:val="18"/>
                <w:lang w:val="en-IE"/>
              </w:rPr>
            </w:pPr>
          </w:p>
        </w:tc>
        <w:tc>
          <w:tcPr>
            <w:tcW w:w="628" w:type="pct"/>
            <w:tcBorders>
              <w:top w:val="single" w:sz="4" w:space="0" w:color="auto"/>
              <w:bottom w:val="single" w:sz="4" w:space="0" w:color="auto"/>
            </w:tcBorders>
            <w:shd w:val="clear" w:color="auto" w:fill="auto"/>
            <w:vAlign w:val="center"/>
          </w:tcPr>
          <w:p w:rsidR="00791B40" w:rsidRPr="00567B94" w:rsidRDefault="00791B40" w:rsidP="00791B40">
            <w:pPr>
              <w:jc w:val="right"/>
              <w:rPr>
                <w:rFonts w:ascii="Arial" w:hAnsi="Arial" w:cs="Arial"/>
                <w:b/>
                <w:sz w:val="18"/>
                <w:szCs w:val="18"/>
                <w:lang w:val="en-IE"/>
              </w:rPr>
            </w:pPr>
            <w:r w:rsidRPr="00567B94">
              <w:rPr>
                <w:rFonts w:ascii="Arial" w:hAnsi="Arial" w:cs="Arial"/>
                <w:b/>
                <w:sz w:val="18"/>
                <w:szCs w:val="18"/>
                <w:lang w:val="en-IE"/>
              </w:rPr>
              <w:t>78,394</w:t>
            </w:r>
          </w:p>
        </w:tc>
        <w:tc>
          <w:tcPr>
            <w:tcW w:w="628" w:type="pct"/>
            <w:tcBorders>
              <w:top w:val="single" w:sz="4" w:space="0" w:color="auto"/>
              <w:bottom w:val="single" w:sz="4" w:space="0" w:color="auto"/>
            </w:tcBorders>
          </w:tcPr>
          <w:p w:rsidR="00791B40" w:rsidRPr="00791B40" w:rsidRDefault="00791B40" w:rsidP="00791B40">
            <w:pPr>
              <w:jc w:val="right"/>
              <w:rPr>
                <w:rFonts w:ascii="Arial" w:hAnsi="Arial" w:cs="Arial"/>
                <w:sz w:val="18"/>
                <w:szCs w:val="18"/>
                <w:lang w:val="en-IE"/>
              </w:rPr>
            </w:pPr>
            <w:r w:rsidRPr="005B1DE1">
              <w:rPr>
                <w:rFonts w:ascii="Arial" w:hAnsi="Arial" w:cs="Arial"/>
                <w:sz w:val="18"/>
                <w:szCs w:val="18"/>
              </w:rPr>
              <w:t>78,465</w:t>
            </w:r>
          </w:p>
        </w:tc>
      </w:tr>
    </w:tbl>
    <w:p w:rsidR="00D2103E" w:rsidRPr="006C3343" w:rsidRDefault="00D2103E" w:rsidP="00D2103E">
      <w:pPr>
        <w:spacing w:after="0" w:line="240" w:lineRule="auto"/>
        <w:rPr>
          <w:rFonts w:ascii="Arial" w:hAnsi="Arial" w:cs="Arial"/>
          <w:b/>
          <w:sz w:val="20"/>
          <w:szCs w:val="20"/>
          <w:lang w:val="en-IE"/>
        </w:rPr>
      </w:pPr>
    </w:p>
    <w:p w:rsidR="00791B40" w:rsidRPr="005B1DE1" w:rsidRDefault="00791B40" w:rsidP="00791B40">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Revenue was in line with the prior year at £78.4 million (2016 - £78.5 million), with James Hay decreasing by 3% from £47.5 million to £46.2 million, and Saunderson House increasing by 4% from £31.0 million to £32.2 million.  </w:t>
      </w:r>
    </w:p>
    <w:p w:rsidR="00791B40" w:rsidRPr="005B1DE1" w:rsidRDefault="00791B40" w:rsidP="00791B40">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In James Hay, the full year effect of the lower interest rate environment contributed to decreased revenue, though this impact was partly offset by pricing changes in H2 2017. Interest income fell </w:t>
      </w:r>
      <w:r w:rsidRPr="005B1DE1">
        <w:rPr>
          <w:rFonts w:ascii="Arial" w:hAnsi="Arial" w:cs="Arial"/>
          <w:spacing w:val="-2"/>
          <w:sz w:val="18"/>
          <w:szCs w:val="18"/>
        </w:rPr>
        <w:t>by £5.9 million, from £12.6 million to £6.7 million, whereas fee revenue increased to £39.5 million from £34.9 million. Following changes to pricing, fee revenue in H2 increased from £</w:t>
      </w:r>
      <w:r w:rsidR="00230102">
        <w:rPr>
          <w:rFonts w:ascii="Arial" w:hAnsi="Arial" w:cs="Arial"/>
          <w:spacing w:val="-2"/>
          <w:sz w:val="18"/>
          <w:szCs w:val="18"/>
        </w:rPr>
        <w:t>19</w:t>
      </w:r>
      <w:r w:rsidRPr="005B1DE1">
        <w:rPr>
          <w:rFonts w:ascii="Arial" w:hAnsi="Arial" w:cs="Arial"/>
          <w:spacing w:val="-2"/>
          <w:sz w:val="18"/>
          <w:szCs w:val="18"/>
        </w:rPr>
        <w:t>.</w:t>
      </w:r>
      <w:r w:rsidR="00230102">
        <w:rPr>
          <w:rFonts w:ascii="Arial" w:hAnsi="Arial" w:cs="Arial"/>
          <w:spacing w:val="-2"/>
          <w:sz w:val="18"/>
          <w:szCs w:val="18"/>
        </w:rPr>
        <w:t>1</w:t>
      </w:r>
      <w:r w:rsidRPr="005B1DE1">
        <w:rPr>
          <w:rFonts w:ascii="Arial" w:hAnsi="Arial" w:cs="Arial"/>
          <w:spacing w:val="-2"/>
          <w:sz w:val="18"/>
          <w:szCs w:val="18"/>
        </w:rPr>
        <w:t xml:space="preserve"> million to £2</w:t>
      </w:r>
      <w:r w:rsidR="00230102">
        <w:rPr>
          <w:rFonts w:ascii="Arial" w:hAnsi="Arial" w:cs="Arial"/>
          <w:spacing w:val="-2"/>
          <w:sz w:val="18"/>
          <w:szCs w:val="18"/>
        </w:rPr>
        <w:t>0</w:t>
      </w:r>
      <w:r w:rsidRPr="005B1DE1">
        <w:rPr>
          <w:rFonts w:ascii="Arial" w:hAnsi="Arial" w:cs="Arial"/>
          <w:spacing w:val="-2"/>
          <w:sz w:val="18"/>
          <w:szCs w:val="18"/>
        </w:rPr>
        <w:t>.</w:t>
      </w:r>
      <w:r w:rsidR="00230102">
        <w:rPr>
          <w:rFonts w:ascii="Arial" w:hAnsi="Arial" w:cs="Arial"/>
          <w:spacing w:val="-2"/>
          <w:sz w:val="18"/>
          <w:szCs w:val="18"/>
        </w:rPr>
        <w:t>4</w:t>
      </w:r>
      <w:r w:rsidRPr="005B1DE1">
        <w:rPr>
          <w:rFonts w:ascii="Arial" w:hAnsi="Arial" w:cs="Arial"/>
          <w:spacing w:val="-2"/>
          <w:sz w:val="18"/>
          <w:szCs w:val="18"/>
        </w:rPr>
        <w:t xml:space="preserve"> million, which together with the increase in interest rates in late 2017, positions the business well for material revenue growth in 2018</w:t>
      </w:r>
      <w:r w:rsidRPr="005B1DE1">
        <w:rPr>
          <w:rFonts w:ascii="Arial" w:hAnsi="Arial" w:cs="Arial"/>
          <w:color w:val="000000"/>
          <w:spacing w:val="-2"/>
          <w:sz w:val="18"/>
          <w:szCs w:val="18"/>
        </w:rPr>
        <w:t xml:space="preserve">. </w:t>
      </w:r>
    </w:p>
    <w:p w:rsidR="00791B40" w:rsidRPr="005B1DE1" w:rsidRDefault="00791B40" w:rsidP="00791B40">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Saunderson House benefitted from the full year effect of the growth in client numbers in prior years, though the increased demand for Discretionary Management Services has resulted in lower average fees per client from clients who are often in an earlier stage of wealth accumulation, compared to advisory clients. Markets were less volatile in 2017, compared to 2016 where the Brexit referendum was a factor. As a result, demand from existing clients lessened somewhat, which facilitated an increased focus on new client activity, which positions Saunderson House well in 2018.</w:t>
      </w:r>
    </w:p>
    <w:p w:rsidR="002B6E0F" w:rsidRPr="006C3343" w:rsidRDefault="007D2E59" w:rsidP="005707A8">
      <w:pPr>
        <w:rPr>
          <w:rFonts w:ascii="Arial" w:hAnsi="Arial" w:cs="Arial"/>
          <w:b/>
          <w:color w:val="1F497D" w:themeColor="text2"/>
          <w:sz w:val="20"/>
          <w:szCs w:val="20"/>
          <w:lang w:val="en-IE"/>
        </w:rPr>
      </w:pPr>
      <w:r>
        <w:rPr>
          <w:rFonts w:ascii="Arial" w:hAnsi="Arial" w:cs="Arial"/>
          <w:b/>
          <w:color w:val="1F497D" w:themeColor="text2"/>
          <w:sz w:val="20"/>
          <w:szCs w:val="20"/>
          <w:lang w:val="en-IE"/>
        </w:rPr>
        <w:t>Operating profit</w:t>
      </w:r>
    </w:p>
    <w:p w:rsidR="00DB3027" w:rsidRPr="003E5A10" w:rsidRDefault="00791B40" w:rsidP="003E5A10">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003B70"/>
          <w:spacing w:val="-2"/>
          <w:sz w:val="18"/>
          <w:szCs w:val="18"/>
        </w:rPr>
      </w:pPr>
      <w:r w:rsidRPr="005B1DE1">
        <w:rPr>
          <w:rFonts w:ascii="Arial" w:hAnsi="Arial" w:cs="Arial"/>
          <w:color w:val="000000"/>
          <w:spacing w:val="-2"/>
          <w:sz w:val="18"/>
          <w:szCs w:val="18"/>
        </w:rPr>
        <w:t xml:space="preserve">The Group incurred an operating loss, after amortisation of intangibles and exceptional costs, of £0.4 million (2016 Profit - £6.2 million). Amortisation of intangibles, principally related to the James Hay acquisition in 2010, remained in line with 2016 at £2.1 million. However, exceptional costs increased materially to £8.8 million (2016 - £1.7 million) due to the remediation of legacy issues and restructuring </w:t>
      </w:r>
      <w:r w:rsidR="00481FE8">
        <w:rPr>
          <w:rFonts w:ascii="Arial" w:hAnsi="Arial" w:cs="Arial"/>
          <w:color w:val="000000"/>
          <w:spacing w:val="-2"/>
          <w:sz w:val="18"/>
          <w:szCs w:val="18"/>
        </w:rPr>
        <w:t>i</w:t>
      </w:r>
      <w:r w:rsidRPr="005B1DE1">
        <w:rPr>
          <w:rFonts w:ascii="Arial" w:hAnsi="Arial" w:cs="Arial"/>
          <w:color w:val="000000"/>
          <w:spacing w:val="-2"/>
          <w:sz w:val="18"/>
          <w:szCs w:val="18"/>
        </w:rPr>
        <w:t>n James Hay as outlined below. These costs are net of actual and/or assumed recoveries under the Group's insurance arrangements.</w:t>
      </w:r>
    </w:p>
    <w:p w:rsidR="00DB3027" w:rsidRDefault="00DB3027" w:rsidP="004271C7">
      <w:pPr>
        <w:spacing w:after="0" w:line="240" w:lineRule="auto"/>
        <w:rPr>
          <w:rFonts w:ascii="Arial" w:hAnsi="Arial" w:cs="Arial"/>
          <w:b/>
          <w:color w:val="1F497D" w:themeColor="text2"/>
          <w:sz w:val="20"/>
          <w:szCs w:val="20"/>
          <w:lang w:val="en-IE"/>
        </w:rPr>
      </w:pPr>
    </w:p>
    <w:p w:rsidR="00230102" w:rsidRDefault="00230102" w:rsidP="004271C7">
      <w:pPr>
        <w:spacing w:after="0" w:line="240" w:lineRule="auto"/>
        <w:rPr>
          <w:rFonts w:ascii="Arial" w:hAnsi="Arial" w:cs="Arial"/>
          <w:b/>
          <w:color w:val="1F497D" w:themeColor="text2"/>
          <w:sz w:val="20"/>
          <w:szCs w:val="20"/>
          <w:lang w:val="en-IE"/>
        </w:rPr>
      </w:pPr>
    </w:p>
    <w:p w:rsidR="00DB3027" w:rsidRDefault="00DB3027" w:rsidP="004271C7">
      <w:pPr>
        <w:spacing w:after="0" w:line="240" w:lineRule="auto"/>
        <w:rPr>
          <w:rFonts w:ascii="Arial" w:hAnsi="Arial" w:cs="Arial"/>
          <w:b/>
          <w:color w:val="1F497D" w:themeColor="text2"/>
          <w:sz w:val="20"/>
          <w:szCs w:val="20"/>
          <w:lang w:val="en-IE"/>
        </w:rPr>
      </w:pPr>
    </w:p>
    <w:p w:rsidR="00AE1C0F" w:rsidRPr="006C3343" w:rsidRDefault="007D2E59" w:rsidP="004271C7">
      <w:pPr>
        <w:spacing w:after="0" w:line="240" w:lineRule="auto"/>
        <w:rPr>
          <w:rFonts w:ascii="Arial" w:hAnsi="Arial" w:cs="Arial"/>
          <w:b/>
          <w:color w:val="1F497D" w:themeColor="text2"/>
          <w:sz w:val="20"/>
          <w:szCs w:val="20"/>
          <w:lang w:val="en-IE"/>
        </w:rPr>
      </w:pPr>
      <w:r>
        <w:rPr>
          <w:rFonts w:ascii="Arial" w:hAnsi="Arial" w:cs="Arial"/>
          <w:b/>
          <w:color w:val="1F497D" w:themeColor="text2"/>
          <w:sz w:val="20"/>
          <w:szCs w:val="20"/>
          <w:lang w:val="en-IE"/>
        </w:rPr>
        <w:t>Adjusted operating profit</w:t>
      </w:r>
    </w:p>
    <w:tbl>
      <w:tblPr>
        <w:tblStyle w:val="TableGrid"/>
        <w:tblW w:w="48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2240"/>
        <w:gridCol w:w="1252"/>
        <w:gridCol w:w="1322"/>
      </w:tblGrid>
      <w:tr w:rsidR="00A2115C" w:rsidRPr="00040E7D" w:rsidTr="00027DF8">
        <w:trPr>
          <w:trHeight w:hRule="exact" w:val="313"/>
        </w:trPr>
        <w:tc>
          <w:tcPr>
            <w:tcW w:w="2704" w:type="pct"/>
            <w:vAlign w:val="center"/>
          </w:tcPr>
          <w:p w:rsidR="00D2103E" w:rsidRPr="006010C1" w:rsidRDefault="00D2103E" w:rsidP="00D2103E">
            <w:pPr>
              <w:jc w:val="both"/>
              <w:rPr>
                <w:rFonts w:ascii="Arial" w:hAnsi="Arial" w:cs="Arial"/>
                <w:b/>
                <w:sz w:val="18"/>
                <w:szCs w:val="18"/>
                <w:lang w:val="en-IE"/>
              </w:rPr>
            </w:pPr>
          </w:p>
        </w:tc>
        <w:tc>
          <w:tcPr>
            <w:tcW w:w="1068" w:type="pct"/>
            <w:vAlign w:val="center"/>
          </w:tcPr>
          <w:p w:rsidR="00D2103E" w:rsidRPr="006010C1" w:rsidRDefault="00D2103E" w:rsidP="00D2103E">
            <w:pPr>
              <w:jc w:val="both"/>
              <w:rPr>
                <w:rFonts w:ascii="Arial" w:hAnsi="Arial" w:cs="Arial"/>
                <w:sz w:val="18"/>
                <w:szCs w:val="18"/>
                <w:lang w:val="en-IE"/>
              </w:rPr>
            </w:pPr>
          </w:p>
        </w:tc>
        <w:tc>
          <w:tcPr>
            <w:tcW w:w="597" w:type="pct"/>
            <w:shd w:val="clear" w:color="auto" w:fill="auto"/>
            <w:vAlign w:val="center"/>
          </w:tcPr>
          <w:p w:rsidR="00D2103E" w:rsidRPr="006010C1" w:rsidRDefault="00D2103E" w:rsidP="004C34EC">
            <w:pPr>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791B40">
              <w:rPr>
                <w:rFonts w:ascii="Arial" w:hAnsi="Arial" w:cs="Arial"/>
                <w:b/>
                <w:color w:val="1F497D" w:themeColor="text2"/>
                <w:sz w:val="18"/>
                <w:szCs w:val="18"/>
                <w:lang w:val="en-IE"/>
              </w:rPr>
              <w:t>7</w:t>
            </w:r>
          </w:p>
        </w:tc>
        <w:tc>
          <w:tcPr>
            <w:tcW w:w="630" w:type="pct"/>
            <w:vAlign w:val="center"/>
          </w:tcPr>
          <w:p w:rsidR="00D2103E" w:rsidRPr="006010C1" w:rsidRDefault="00D2103E" w:rsidP="004C34EC">
            <w:pPr>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791B40">
              <w:rPr>
                <w:rFonts w:ascii="Arial" w:hAnsi="Arial" w:cs="Arial"/>
                <w:color w:val="1F497D" w:themeColor="text2"/>
                <w:sz w:val="18"/>
                <w:szCs w:val="18"/>
                <w:lang w:val="en-IE"/>
              </w:rPr>
              <w:t>6</w:t>
            </w:r>
          </w:p>
        </w:tc>
      </w:tr>
      <w:tr w:rsidR="00A2115C" w:rsidRPr="00040E7D" w:rsidTr="00027DF8">
        <w:trPr>
          <w:trHeight w:hRule="exact" w:val="313"/>
        </w:trPr>
        <w:tc>
          <w:tcPr>
            <w:tcW w:w="2704" w:type="pct"/>
            <w:vAlign w:val="center"/>
          </w:tcPr>
          <w:p w:rsidR="00D2103E" w:rsidRPr="006010C1" w:rsidRDefault="00D2103E" w:rsidP="00D2103E">
            <w:pPr>
              <w:jc w:val="both"/>
              <w:rPr>
                <w:rFonts w:ascii="Arial" w:hAnsi="Arial" w:cs="Arial"/>
                <w:i/>
                <w:color w:val="808080" w:themeColor="background1" w:themeShade="80"/>
                <w:sz w:val="18"/>
                <w:szCs w:val="18"/>
                <w:lang w:val="en-IE"/>
              </w:rPr>
            </w:pPr>
          </w:p>
        </w:tc>
        <w:tc>
          <w:tcPr>
            <w:tcW w:w="1068" w:type="pct"/>
            <w:vAlign w:val="center"/>
          </w:tcPr>
          <w:p w:rsidR="00D2103E" w:rsidRPr="006010C1" w:rsidRDefault="00D2103E" w:rsidP="00D2103E">
            <w:pPr>
              <w:jc w:val="both"/>
              <w:rPr>
                <w:rFonts w:ascii="Arial" w:hAnsi="Arial" w:cs="Arial"/>
                <w:sz w:val="18"/>
                <w:szCs w:val="18"/>
                <w:lang w:val="en-IE"/>
              </w:rPr>
            </w:pPr>
          </w:p>
        </w:tc>
        <w:tc>
          <w:tcPr>
            <w:tcW w:w="597" w:type="pct"/>
            <w:shd w:val="clear" w:color="auto" w:fill="auto"/>
            <w:vAlign w:val="center"/>
          </w:tcPr>
          <w:p w:rsidR="00D2103E" w:rsidRPr="006010C1" w:rsidRDefault="00D2103E" w:rsidP="00D2103E">
            <w:pPr>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630" w:type="pct"/>
            <w:vAlign w:val="center"/>
          </w:tcPr>
          <w:p w:rsidR="00D2103E" w:rsidRPr="006010C1" w:rsidRDefault="00D2103E" w:rsidP="00D2103E">
            <w:pPr>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791B40" w:rsidRPr="00040E7D" w:rsidTr="00027DF8">
        <w:trPr>
          <w:trHeight w:hRule="exact" w:val="313"/>
        </w:trPr>
        <w:tc>
          <w:tcPr>
            <w:tcW w:w="2704" w:type="pct"/>
            <w:vAlign w:val="center"/>
          </w:tcPr>
          <w:p w:rsidR="00791B40" w:rsidRPr="006010C1" w:rsidRDefault="00791B40" w:rsidP="00791B40">
            <w:pPr>
              <w:jc w:val="both"/>
              <w:rPr>
                <w:rFonts w:ascii="Arial" w:hAnsi="Arial" w:cs="Arial"/>
                <w:b/>
                <w:sz w:val="18"/>
                <w:szCs w:val="18"/>
                <w:u w:val="single"/>
                <w:lang w:val="en-IE"/>
              </w:rPr>
            </w:pPr>
            <w:bookmarkStart w:id="3" w:name="_Hlk508614073"/>
            <w:r w:rsidRPr="006010C1">
              <w:rPr>
                <w:rFonts w:ascii="Arial" w:hAnsi="Arial" w:cs="Arial"/>
                <w:sz w:val="18"/>
                <w:szCs w:val="18"/>
                <w:lang w:val="en-IE"/>
              </w:rPr>
              <w:t>Platform</w:t>
            </w:r>
          </w:p>
        </w:tc>
        <w:tc>
          <w:tcPr>
            <w:tcW w:w="1068" w:type="pct"/>
            <w:vAlign w:val="center"/>
          </w:tcPr>
          <w:p w:rsidR="00791B40" w:rsidRPr="006010C1" w:rsidRDefault="00791B40" w:rsidP="00791B40">
            <w:pPr>
              <w:jc w:val="both"/>
              <w:rPr>
                <w:rFonts w:ascii="Arial" w:hAnsi="Arial" w:cs="Arial"/>
                <w:sz w:val="18"/>
                <w:szCs w:val="18"/>
                <w:lang w:val="en-IE"/>
              </w:rPr>
            </w:pPr>
          </w:p>
        </w:tc>
        <w:tc>
          <w:tcPr>
            <w:tcW w:w="597" w:type="pct"/>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6,079</w:t>
            </w:r>
          </w:p>
        </w:tc>
        <w:tc>
          <w:tcPr>
            <w:tcW w:w="630" w:type="pct"/>
            <w:shd w:val="clear" w:color="auto" w:fill="auto"/>
            <w:vAlign w:val="center"/>
          </w:tcPr>
          <w:p w:rsidR="00791B40" w:rsidRPr="00791B40" w:rsidRDefault="00791B40" w:rsidP="00791B40">
            <w:pPr>
              <w:jc w:val="right"/>
              <w:rPr>
                <w:rFonts w:ascii="Arial" w:hAnsi="Arial" w:cs="Arial"/>
                <w:sz w:val="18"/>
                <w:szCs w:val="18"/>
                <w:lang w:val="en-IE"/>
              </w:rPr>
            </w:pPr>
            <w:r w:rsidRPr="005B1DE1">
              <w:rPr>
                <w:rFonts w:ascii="Arial" w:hAnsi="Arial" w:cs="Arial"/>
                <w:color w:val="000000"/>
                <w:spacing w:val="-5"/>
                <w:sz w:val="18"/>
                <w:szCs w:val="18"/>
              </w:rPr>
              <w:t>7,085</w:t>
            </w:r>
          </w:p>
        </w:tc>
      </w:tr>
      <w:tr w:rsidR="00791B40" w:rsidRPr="00040E7D" w:rsidTr="00027DF8">
        <w:trPr>
          <w:trHeight w:hRule="exact" w:val="313"/>
        </w:trPr>
        <w:tc>
          <w:tcPr>
            <w:tcW w:w="2704" w:type="pct"/>
            <w:vAlign w:val="center"/>
          </w:tcPr>
          <w:p w:rsidR="00791B40" w:rsidRPr="006010C1" w:rsidRDefault="00791B40" w:rsidP="00791B40">
            <w:pPr>
              <w:jc w:val="both"/>
              <w:rPr>
                <w:rFonts w:ascii="Arial" w:hAnsi="Arial" w:cs="Arial"/>
                <w:sz w:val="18"/>
                <w:szCs w:val="18"/>
                <w:lang w:val="en-IE"/>
              </w:rPr>
            </w:pPr>
            <w:r w:rsidRPr="006010C1">
              <w:rPr>
                <w:rFonts w:ascii="Arial" w:hAnsi="Arial" w:cs="Arial"/>
                <w:sz w:val="18"/>
                <w:szCs w:val="18"/>
                <w:lang w:val="en-IE"/>
              </w:rPr>
              <w:t>Independent wealth management</w:t>
            </w:r>
          </w:p>
        </w:tc>
        <w:tc>
          <w:tcPr>
            <w:tcW w:w="1068" w:type="pct"/>
            <w:vAlign w:val="center"/>
          </w:tcPr>
          <w:p w:rsidR="00791B40" w:rsidRPr="006010C1" w:rsidRDefault="00791B40" w:rsidP="00791B40">
            <w:pPr>
              <w:jc w:val="both"/>
              <w:rPr>
                <w:rFonts w:ascii="Arial" w:hAnsi="Arial" w:cs="Arial"/>
                <w:sz w:val="18"/>
                <w:szCs w:val="18"/>
                <w:lang w:val="en-IE"/>
              </w:rPr>
            </w:pPr>
          </w:p>
        </w:tc>
        <w:tc>
          <w:tcPr>
            <w:tcW w:w="597" w:type="pct"/>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8,599</w:t>
            </w:r>
          </w:p>
        </w:tc>
        <w:tc>
          <w:tcPr>
            <w:tcW w:w="630" w:type="pct"/>
            <w:shd w:val="clear" w:color="auto" w:fill="auto"/>
            <w:vAlign w:val="center"/>
          </w:tcPr>
          <w:p w:rsidR="00791B40" w:rsidRPr="00791B40" w:rsidRDefault="00791B40" w:rsidP="00791B40">
            <w:pPr>
              <w:jc w:val="right"/>
              <w:rPr>
                <w:rFonts w:ascii="Arial" w:hAnsi="Arial" w:cs="Arial"/>
                <w:sz w:val="18"/>
                <w:szCs w:val="18"/>
                <w:lang w:val="en-IE"/>
              </w:rPr>
            </w:pPr>
            <w:r w:rsidRPr="005B1DE1">
              <w:rPr>
                <w:rFonts w:ascii="Arial" w:hAnsi="Arial" w:cs="Arial"/>
                <w:color w:val="000000"/>
                <w:spacing w:val="-5"/>
                <w:sz w:val="18"/>
                <w:szCs w:val="18"/>
              </w:rPr>
              <w:t>7,058</w:t>
            </w:r>
          </w:p>
        </w:tc>
      </w:tr>
      <w:tr w:rsidR="00791B40" w:rsidRPr="00040E7D" w:rsidTr="00027DF8">
        <w:trPr>
          <w:trHeight w:hRule="exact" w:val="313"/>
        </w:trPr>
        <w:tc>
          <w:tcPr>
            <w:tcW w:w="2704" w:type="pct"/>
            <w:tcBorders>
              <w:bottom w:val="single" w:sz="4" w:space="0" w:color="auto"/>
            </w:tcBorders>
            <w:vAlign w:val="center"/>
          </w:tcPr>
          <w:p w:rsidR="00791B40" w:rsidRPr="006010C1" w:rsidRDefault="00791B40" w:rsidP="00791B40">
            <w:pPr>
              <w:jc w:val="both"/>
              <w:rPr>
                <w:rFonts w:ascii="Arial" w:hAnsi="Arial" w:cs="Arial"/>
                <w:sz w:val="18"/>
                <w:szCs w:val="18"/>
                <w:lang w:val="en-IE"/>
              </w:rPr>
            </w:pPr>
            <w:r w:rsidRPr="006010C1">
              <w:rPr>
                <w:rFonts w:ascii="Arial" w:hAnsi="Arial" w:cs="Arial"/>
                <w:sz w:val="18"/>
                <w:szCs w:val="18"/>
                <w:lang w:val="en-IE"/>
              </w:rPr>
              <w:t>Group/other</w:t>
            </w:r>
          </w:p>
        </w:tc>
        <w:tc>
          <w:tcPr>
            <w:tcW w:w="1068" w:type="pct"/>
            <w:tcBorders>
              <w:bottom w:val="single" w:sz="4" w:space="0" w:color="auto"/>
            </w:tcBorders>
            <w:vAlign w:val="center"/>
          </w:tcPr>
          <w:p w:rsidR="00791B40" w:rsidRPr="006010C1" w:rsidRDefault="00791B40" w:rsidP="00791B40">
            <w:pPr>
              <w:jc w:val="both"/>
              <w:rPr>
                <w:rFonts w:ascii="Arial" w:hAnsi="Arial" w:cs="Arial"/>
                <w:sz w:val="18"/>
                <w:szCs w:val="18"/>
                <w:lang w:val="en-IE"/>
              </w:rPr>
            </w:pPr>
          </w:p>
        </w:tc>
        <w:tc>
          <w:tcPr>
            <w:tcW w:w="597" w:type="pct"/>
            <w:tcBorders>
              <w:bottom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(4,179)</w:t>
            </w:r>
          </w:p>
        </w:tc>
        <w:tc>
          <w:tcPr>
            <w:tcW w:w="630" w:type="pct"/>
            <w:tcBorders>
              <w:bottom w:val="single" w:sz="4" w:space="0" w:color="auto"/>
            </w:tcBorders>
            <w:shd w:val="clear" w:color="auto" w:fill="auto"/>
            <w:vAlign w:val="center"/>
          </w:tcPr>
          <w:p w:rsidR="00791B40" w:rsidRPr="00791B40" w:rsidRDefault="00791B40" w:rsidP="00791B40">
            <w:pPr>
              <w:jc w:val="right"/>
              <w:rPr>
                <w:rFonts w:ascii="Arial" w:hAnsi="Arial" w:cs="Arial"/>
                <w:sz w:val="18"/>
                <w:szCs w:val="18"/>
                <w:lang w:val="en-IE"/>
              </w:rPr>
            </w:pPr>
            <w:r w:rsidRPr="005B1DE1">
              <w:rPr>
                <w:rFonts w:ascii="Arial" w:hAnsi="Arial" w:cs="Arial"/>
                <w:color w:val="000000"/>
                <w:spacing w:val="-5"/>
                <w:sz w:val="18"/>
                <w:szCs w:val="18"/>
              </w:rPr>
              <w:t>(4,176)</w:t>
            </w:r>
          </w:p>
        </w:tc>
      </w:tr>
      <w:tr w:rsidR="00791B40" w:rsidRPr="00040E7D" w:rsidTr="00027DF8">
        <w:trPr>
          <w:trHeight w:hRule="exact" w:val="313"/>
        </w:trPr>
        <w:tc>
          <w:tcPr>
            <w:tcW w:w="2704" w:type="pct"/>
            <w:tcBorders>
              <w:top w:val="single" w:sz="4" w:space="0" w:color="auto"/>
            </w:tcBorders>
            <w:vAlign w:val="center"/>
          </w:tcPr>
          <w:p w:rsidR="00791B40" w:rsidRPr="006010C1" w:rsidRDefault="00791B40" w:rsidP="00791B40">
            <w:pPr>
              <w:jc w:val="both"/>
              <w:rPr>
                <w:rFonts w:ascii="Arial" w:hAnsi="Arial" w:cs="Arial"/>
                <w:sz w:val="18"/>
                <w:szCs w:val="18"/>
                <w:lang w:val="en-IE"/>
              </w:rPr>
            </w:pPr>
            <w:r w:rsidRPr="006010C1">
              <w:rPr>
                <w:rFonts w:ascii="Arial" w:hAnsi="Arial" w:cs="Arial"/>
                <w:b/>
                <w:sz w:val="18"/>
                <w:szCs w:val="18"/>
                <w:lang w:val="en-IE"/>
              </w:rPr>
              <w:t>Total adjusted operating profit</w:t>
            </w:r>
          </w:p>
        </w:tc>
        <w:tc>
          <w:tcPr>
            <w:tcW w:w="1068" w:type="pct"/>
            <w:tcBorders>
              <w:top w:val="single" w:sz="4" w:space="0" w:color="auto"/>
            </w:tcBorders>
            <w:vAlign w:val="center"/>
          </w:tcPr>
          <w:p w:rsidR="00791B40" w:rsidRPr="006010C1" w:rsidRDefault="00791B40" w:rsidP="00791B40">
            <w:pPr>
              <w:jc w:val="both"/>
              <w:rPr>
                <w:rFonts w:ascii="Arial" w:hAnsi="Arial" w:cs="Arial"/>
                <w:sz w:val="18"/>
                <w:szCs w:val="18"/>
                <w:lang w:val="en-IE"/>
              </w:rPr>
            </w:pPr>
          </w:p>
        </w:tc>
        <w:tc>
          <w:tcPr>
            <w:tcW w:w="597" w:type="pct"/>
            <w:tcBorders>
              <w:top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10,499</w:t>
            </w:r>
          </w:p>
        </w:tc>
        <w:tc>
          <w:tcPr>
            <w:tcW w:w="630" w:type="pct"/>
            <w:tcBorders>
              <w:top w:val="single" w:sz="4" w:space="0" w:color="auto"/>
            </w:tcBorders>
            <w:shd w:val="clear" w:color="auto" w:fill="auto"/>
            <w:vAlign w:val="center"/>
          </w:tcPr>
          <w:p w:rsidR="00791B40" w:rsidRPr="00791B40" w:rsidRDefault="00791B40" w:rsidP="00791B40">
            <w:pPr>
              <w:jc w:val="right"/>
              <w:rPr>
                <w:rFonts w:ascii="Arial" w:hAnsi="Arial" w:cs="Arial"/>
                <w:sz w:val="18"/>
                <w:szCs w:val="18"/>
                <w:lang w:val="en-IE"/>
              </w:rPr>
            </w:pPr>
            <w:r w:rsidRPr="005B1DE1">
              <w:rPr>
                <w:rFonts w:ascii="Arial" w:hAnsi="Arial" w:cs="Arial"/>
                <w:color w:val="000000"/>
                <w:spacing w:val="-5"/>
                <w:sz w:val="18"/>
                <w:szCs w:val="18"/>
              </w:rPr>
              <w:t>9,967</w:t>
            </w:r>
          </w:p>
        </w:tc>
      </w:tr>
      <w:tr w:rsidR="00791B40" w:rsidRPr="00040E7D" w:rsidTr="00027DF8">
        <w:trPr>
          <w:trHeight w:hRule="exact" w:val="313"/>
        </w:trPr>
        <w:tc>
          <w:tcPr>
            <w:tcW w:w="2704" w:type="pct"/>
            <w:vAlign w:val="center"/>
          </w:tcPr>
          <w:p w:rsidR="00791B40" w:rsidRPr="006010C1" w:rsidRDefault="00791B40" w:rsidP="00791B40">
            <w:pPr>
              <w:autoSpaceDE w:val="0"/>
              <w:autoSpaceDN w:val="0"/>
              <w:adjustRightInd w:val="0"/>
              <w:jc w:val="both"/>
              <w:rPr>
                <w:rFonts w:ascii="Arial" w:hAnsi="Arial" w:cs="Arial"/>
                <w:sz w:val="18"/>
                <w:szCs w:val="18"/>
                <w:lang w:val="en-IE"/>
              </w:rPr>
            </w:pPr>
            <w:r w:rsidRPr="009D404B">
              <w:rPr>
                <w:rFonts w:ascii="Arial" w:hAnsi="Arial" w:cs="Arial"/>
                <w:sz w:val="18"/>
                <w:szCs w:val="18"/>
                <w:lang w:val="en-IE"/>
              </w:rPr>
              <w:t>Amortisation of intangibles</w:t>
            </w:r>
          </w:p>
        </w:tc>
        <w:tc>
          <w:tcPr>
            <w:tcW w:w="1068" w:type="pct"/>
            <w:vAlign w:val="center"/>
          </w:tcPr>
          <w:p w:rsidR="00791B40" w:rsidRPr="006010C1" w:rsidRDefault="00791B40" w:rsidP="00791B40">
            <w:pPr>
              <w:jc w:val="both"/>
              <w:rPr>
                <w:rFonts w:ascii="Arial" w:hAnsi="Arial" w:cs="Arial"/>
                <w:sz w:val="18"/>
                <w:szCs w:val="18"/>
                <w:lang w:val="en-IE"/>
              </w:rPr>
            </w:pPr>
          </w:p>
        </w:tc>
        <w:tc>
          <w:tcPr>
            <w:tcW w:w="597" w:type="pct"/>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(2,137)</w:t>
            </w:r>
          </w:p>
        </w:tc>
        <w:tc>
          <w:tcPr>
            <w:tcW w:w="630" w:type="pct"/>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(2,014)</w:t>
            </w:r>
          </w:p>
        </w:tc>
      </w:tr>
      <w:tr w:rsidR="00791B40" w:rsidRPr="00040E7D" w:rsidTr="00027DF8">
        <w:trPr>
          <w:trHeight w:hRule="exact" w:val="313"/>
        </w:trPr>
        <w:tc>
          <w:tcPr>
            <w:tcW w:w="2704" w:type="pct"/>
            <w:tcBorders>
              <w:bottom w:val="single" w:sz="4" w:space="0" w:color="auto"/>
            </w:tcBorders>
            <w:vAlign w:val="center"/>
          </w:tcPr>
          <w:p w:rsidR="00791B40" w:rsidRPr="00040E7D" w:rsidRDefault="00791B40" w:rsidP="00791B40">
            <w:pPr>
              <w:autoSpaceDE w:val="0"/>
              <w:autoSpaceDN w:val="0"/>
              <w:adjustRightInd w:val="0"/>
              <w:jc w:val="both"/>
              <w:rPr>
                <w:rFonts w:ascii="Arial" w:hAnsi="Arial" w:cs="Arial"/>
                <w:sz w:val="18"/>
                <w:szCs w:val="18"/>
                <w:lang w:val="en-IE"/>
              </w:rPr>
            </w:pPr>
            <w:r w:rsidRPr="009D404B">
              <w:rPr>
                <w:rFonts w:ascii="Arial" w:hAnsi="Arial" w:cs="Arial"/>
                <w:sz w:val="18"/>
                <w:szCs w:val="18"/>
                <w:lang w:val="en-IE"/>
              </w:rPr>
              <w:t>Exceptional costs</w:t>
            </w:r>
          </w:p>
        </w:tc>
        <w:tc>
          <w:tcPr>
            <w:tcW w:w="1068" w:type="pct"/>
            <w:tcBorders>
              <w:bottom w:val="single" w:sz="4" w:space="0" w:color="auto"/>
            </w:tcBorders>
            <w:vAlign w:val="center"/>
          </w:tcPr>
          <w:p w:rsidR="00791B40" w:rsidRPr="00040E7D" w:rsidRDefault="00791B40" w:rsidP="00791B40">
            <w:pPr>
              <w:jc w:val="both"/>
              <w:rPr>
                <w:rFonts w:ascii="Arial" w:hAnsi="Arial" w:cs="Arial"/>
                <w:sz w:val="18"/>
                <w:szCs w:val="18"/>
                <w:lang w:val="en-IE"/>
              </w:rPr>
            </w:pPr>
          </w:p>
        </w:tc>
        <w:tc>
          <w:tcPr>
            <w:tcW w:w="597" w:type="pct"/>
            <w:tcBorders>
              <w:bottom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(8,795)</w:t>
            </w:r>
          </w:p>
        </w:tc>
        <w:tc>
          <w:tcPr>
            <w:tcW w:w="630" w:type="pct"/>
            <w:tcBorders>
              <w:bottom w:val="single" w:sz="4" w:space="0" w:color="auto"/>
            </w:tcBorders>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(1,727)</w:t>
            </w:r>
          </w:p>
        </w:tc>
      </w:tr>
      <w:tr w:rsidR="00791B40" w:rsidRPr="00040E7D" w:rsidTr="00027DF8">
        <w:trPr>
          <w:trHeight w:hRule="exact" w:val="313"/>
        </w:trPr>
        <w:tc>
          <w:tcPr>
            <w:tcW w:w="2704" w:type="pct"/>
            <w:tcBorders>
              <w:top w:val="single" w:sz="4" w:space="0" w:color="auto"/>
            </w:tcBorders>
            <w:vAlign w:val="center"/>
          </w:tcPr>
          <w:p w:rsidR="00791B40" w:rsidRPr="006010C1" w:rsidRDefault="00791B40" w:rsidP="00791B40">
            <w:pPr>
              <w:autoSpaceDE w:val="0"/>
              <w:autoSpaceDN w:val="0"/>
              <w:adjustRightInd w:val="0"/>
              <w:jc w:val="both"/>
              <w:rPr>
                <w:rFonts w:ascii="Arial" w:hAnsi="Arial" w:cs="Arial"/>
                <w:sz w:val="18"/>
                <w:szCs w:val="18"/>
                <w:lang w:val="en-IE"/>
              </w:rPr>
            </w:pPr>
            <w:r w:rsidRPr="006010C1">
              <w:rPr>
                <w:rFonts w:ascii="Arial" w:hAnsi="Arial" w:cs="Arial"/>
                <w:b/>
                <w:sz w:val="18"/>
                <w:szCs w:val="18"/>
                <w:lang w:val="en-IE"/>
              </w:rPr>
              <w:t xml:space="preserve">Operating </w:t>
            </w:r>
            <w:r w:rsidR="00C43661">
              <w:rPr>
                <w:rFonts w:ascii="Arial" w:hAnsi="Arial" w:cs="Arial"/>
                <w:b/>
                <w:sz w:val="18"/>
                <w:szCs w:val="18"/>
                <w:lang w:val="en-IE"/>
              </w:rPr>
              <w:t>(loss)/</w:t>
            </w:r>
            <w:r w:rsidRPr="006010C1">
              <w:rPr>
                <w:rFonts w:ascii="Arial" w:hAnsi="Arial" w:cs="Arial"/>
                <w:b/>
                <w:sz w:val="18"/>
                <w:szCs w:val="18"/>
                <w:lang w:val="en-IE"/>
              </w:rPr>
              <w:t>profit</w:t>
            </w:r>
          </w:p>
        </w:tc>
        <w:tc>
          <w:tcPr>
            <w:tcW w:w="1068" w:type="pct"/>
            <w:tcBorders>
              <w:top w:val="single" w:sz="4" w:space="0" w:color="auto"/>
            </w:tcBorders>
            <w:vAlign w:val="center"/>
          </w:tcPr>
          <w:p w:rsidR="00791B40" w:rsidRPr="006010C1" w:rsidRDefault="00791B40" w:rsidP="00791B40">
            <w:pPr>
              <w:jc w:val="both"/>
              <w:rPr>
                <w:rFonts w:ascii="Arial" w:hAnsi="Arial" w:cs="Arial"/>
                <w:sz w:val="18"/>
                <w:szCs w:val="18"/>
                <w:lang w:val="en-IE"/>
              </w:rPr>
            </w:pPr>
          </w:p>
        </w:tc>
        <w:tc>
          <w:tcPr>
            <w:tcW w:w="597" w:type="pct"/>
            <w:tcBorders>
              <w:top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(433)</w:t>
            </w:r>
          </w:p>
        </w:tc>
        <w:tc>
          <w:tcPr>
            <w:tcW w:w="630" w:type="pct"/>
            <w:tcBorders>
              <w:top w:val="single" w:sz="4" w:space="0" w:color="auto"/>
            </w:tcBorders>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6,226</w:t>
            </w:r>
          </w:p>
        </w:tc>
      </w:tr>
      <w:tr w:rsidR="00791B40" w:rsidRPr="00040E7D" w:rsidTr="00027DF8">
        <w:trPr>
          <w:trHeight w:hRule="exact" w:val="313"/>
        </w:trPr>
        <w:tc>
          <w:tcPr>
            <w:tcW w:w="2704" w:type="pct"/>
            <w:vAlign w:val="center"/>
          </w:tcPr>
          <w:p w:rsidR="00791B40" w:rsidRPr="006010C1" w:rsidRDefault="00791B40" w:rsidP="00791B40">
            <w:pPr>
              <w:autoSpaceDE w:val="0"/>
              <w:autoSpaceDN w:val="0"/>
              <w:adjustRightInd w:val="0"/>
              <w:jc w:val="both"/>
              <w:rPr>
                <w:rFonts w:ascii="Arial" w:hAnsi="Arial" w:cs="Arial"/>
                <w:sz w:val="18"/>
                <w:szCs w:val="18"/>
                <w:lang w:val="en-IE"/>
              </w:rPr>
            </w:pPr>
            <w:r>
              <w:rPr>
                <w:rFonts w:ascii="Arial" w:hAnsi="Arial" w:cs="Arial"/>
                <w:sz w:val="18"/>
                <w:szCs w:val="18"/>
                <w:lang w:val="en-IE"/>
              </w:rPr>
              <w:t>Finance income</w:t>
            </w:r>
          </w:p>
        </w:tc>
        <w:tc>
          <w:tcPr>
            <w:tcW w:w="1068" w:type="pct"/>
            <w:vAlign w:val="center"/>
          </w:tcPr>
          <w:p w:rsidR="00791B40" w:rsidRPr="006010C1" w:rsidRDefault="00791B40" w:rsidP="00791B40">
            <w:pPr>
              <w:jc w:val="both"/>
              <w:rPr>
                <w:rFonts w:ascii="Arial" w:hAnsi="Arial" w:cs="Arial"/>
                <w:sz w:val="18"/>
                <w:szCs w:val="18"/>
                <w:lang w:val="en-IE"/>
              </w:rPr>
            </w:pPr>
          </w:p>
        </w:tc>
        <w:tc>
          <w:tcPr>
            <w:tcW w:w="597" w:type="pct"/>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52</w:t>
            </w:r>
          </w:p>
        </w:tc>
        <w:tc>
          <w:tcPr>
            <w:tcW w:w="630" w:type="pct"/>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414</w:t>
            </w:r>
          </w:p>
        </w:tc>
      </w:tr>
      <w:tr w:rsidR="00791B40" w:rsidRPr="00040E7D" w:rsidTr="00027DF8">
        <w:trPr>
          <w:trHeight w:hRule="exact" w:val="313"/>
        </w:trPr>
        <w:tc>
          <w:tcPr>
            <w:tcW w:w="2704" w:type="pct"/>
            <w:vAlign w:val="center"/>
          </w:tcPr>
          <w:p w:rsidR="00791B40" w:rsidRPr="00040E7D" w:rsidRDefault="00791B40" w:rsidP="00791B40">
            <w:pPr>
              <w:autoSpaceDE w:val="0"/>
              <w:autoSpaceDN w:val="0"/>
              <w:adjustRightInd w:val="0"/>
              <w:jc w:val="both"/>
              <w:rPr>
                <w:rFonts w:ascii="Arial" w:hAnsi="Arial" w:cs="Arial"/>
                <w:sz w:val="18"/>
                <w:szCs w:val="18"/>
                <w:lang w:val="en-IE"/>
              </w:rPr>
            </w:pPr>
            <w:r>
              <w:rPr>
                <w:rFonts w:ascii="Arial" w:hAnsi="Arial" w:cs="Arial"/>
                <w:sz w:val="18"/>
                <w:szCs w:val="18"/>
                <w:lang w:val="en-IE"/>
              </w:rPr>
              <w:t>Finance costs</w:t>
            </w:r>
          </w:p>
        </w:tc>
        <w:tc>
          <w:tcPr>
            <w:tcW w:w="1068" w:type="pct"/>
            <w:vAlign w:val="center"/>
          </w:tcPr>
          <w:p w:rsidR="00791B40" w:rsidRPr="00040E7D" w:rsidRDefault="00791B40" w:rsidP="00791B40">
            <w:pPr>
              <w:jc w:val="both"/>
              <w:rPr>
                <w:rFonts w:ascii="Arial" w:hAnsi="Arial" w:cs="Arial"/>
                <w:sz w:val="18"/>
                <w:szCs w:val="18"/>
                <w:lang w:val="en-IE"/>
              </w:rPr>
            </w:pPr>
          </w:p>
        </w:tc>
        <w:tc>
          <w:tcPr>
            <w:tcW w:w="597" w:type="pct"/>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630" w:type="pct"/>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(437)</w:t>
            </w:r>
          </w:p>
        </w:tc>
      </w:tr>
      <w:tr w:rsidR="00791B40" w:rsidRPr="00040E7D" w:rsidTr="00027DF8">
        <w:trPr>
          <w:trHeight w:hRule="exact" w:val="313"/>
        </w:trPr>
        <w:tc>
          <w:tcPr>
            <w:tcW w:w="2704" w:type="pct"/>
            <w:tcBorders>
              <w:bottom w:val="single" w:sz="4" w:space="0" w:color="auto"/>
            </w:tcBorders>
            <w:vAlign w:val="center"/>
          </w:tcPr>
          <w:p w:rsidR="00791B40" w:rsidRPr="00040E7D" w:rsidRDefault="00791B40" w:rsidP="00791B40">
            <w:pPr>
              <w:autoSpaceDE w:val="0"/>
              <w:autoSpaceDN w:val="0"/>
              <w:adjustRightInd w:val="0"/>
              <w:jc w:val="both"/>
              <w:rPr>
                <w:rFonts w:ascii="Arial" w:hAnsi="Arial" w:cs="Arial"/>
                <w:sz w:val="18"/>
                <w:szCs w:val="18"/>
                <w:lang w:val="en-IE"/>
              </w:rPr>
            </w:pPr>
            <w:r w:rsidRPr="009D404B">
              <w:rPr>
                <w:rFonts w:ascii="Arial" w:hAnsi="Arial" w:cs="Arial"/>
                <w:sz w:val="18"/>
                <w:szCs w:val="18"/>
                <w:lang w:val="en-IE"/>
              </w:rPr>
              <w:t>Dividend from associate</w:t>
            </w:r>
          </w:p>
        </w:tc>
        <w:tc>
          <w:tcPr>
            <w:tcW w:w="1068" w:type="pct"/>
            <w:tcBorders>
              <w:bottom w:val="single" w:sz="4" w:space="0" w:color="auto"/>
            </w:tcBorders>
            <w:vAlign w:val="center"/>
          </w:tcPr>
          <w:p w:rsidR="00791B40" w:rsidRPr="00040E7D" w:rsidRDefault="00791B40" w:rsidP="00791B40">
            <w:pPr>
              <w:jc w:val="both"/>
              <w:rPr>
                <w:rFonts w:ascii="Arial" w:hAnsi="Arial" w:cs="Arial"/>
                <w:sz w:val="18"/>
                <w:szCs w:val="18"/>
                <w:lang w:val="en-IE"/>
              </w:rPr>
            </w:pPr>
          </w:p>
        </w:tc>
        <w:tc>
          <w:tcPr>
            <w:tcW w:w="597" w:type="pct"/>
            <w:tcBorders>
              <w:bottom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630" w:type="pct"/>
            <w:tcBorders>
              <w:bottom w:val="single" w:sz="4" w:space="0" w:color="auto"/>
            </w:tcBorders>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242</w:t>
            </w:r>
          </w:p>
        </w:tc>
      </w:tr>
      <w:tr w:rsidR="00791B40" w:rsidRPr="00040E7D" w:rsidTr="00027DF8">
        <w:trPr>
          <w:trHeight w:hRule="exact" w:val="313"/>
        </w:trPr>
        <w:tc>
          <w:tcPr>
            <w:tcW w:w="2704" w:type="pct"/>
            <w:tcBorders>
              <w:top w:val="single" w:sz="4" w:space="0" w:color="auto"/>
            </w:tcBorders>
            <w:vAlign w:val="center"/>
          </w:tcPr>
          <w:p w:rsidR="00791B40" w:rsidRPr="006010C1" w:rsidRDefault="00C43661" w:rsidP="00791B40">
            <w:pPr>
              <w:autoSpaceDE w:val="0"/>
              <w:autoSpaceDN w:val="0"/>
              <w:adjustRightInd w:val="0"/>
              <w:jc w:val="both"/>
              <w:rPr>
                <w:rFonts w:ascii="Arial" w:hAnsi="Arial" w:cs="Arial"/>
                <w:sz w:val="18"/>
                <w:szCs w:val="18"/>
                <w:lang w:val="en-IE"/>
              </w:rPr>
            </w:pPr>
            <w:r>
              <w:rPr>
                <w:rFonts w:ascii="Arial" w:hAnsi="Arial" w:cs="Arial"/>
                <w:b/>
                <w:sz w:val="18"/>
                <w:szCs w:val="18"/>
                <w:lang w:val="en-IE"/>
              </w:rPr>
              <w:t>(Loss)/p</w:t>
            </w:r>
            <w:r w:rsidR="00791B40" w:rsidRPr="006010C1">
              <w:rPr>
                <w:rFonts w:ascii="Arial" w:hAnsi="Arial" w:cs="Arial"/>
                <w:b/>
                <w:sz w:val="18"/>
                <w:szCs w:val="18"/>
                <w:lang w:val="en-IE"/>
              </w:rPr>
              <w:t>rofit before income tax</w:t>
            </w:r>
          </w:p>
        </w:tc>
        <w:tc>
          <w:tcPr>
            <w:tcW w:w="1068" w:type="pct"/>
            <w:tcBorders>
              <w:top w:val="single" w:sz="4" w:space="0" w:color="auto"/>
            </w:tcBorders>
            <w:vAlign w:val="center"/>
          </w:tcPr>
          <w:p w:rsidR="00791B40" w:rsidRPr="006010C1" w:rsidRDefault="00791B40" w:rsidP="00791B40">
            <w:pPr>
              <w:jc w:val="both"/>
              <w:rPr>
                <w:rFonts w:ascii="Arial" w:hAnsi="Arial" w:cs="Arial"/>
                <w:sz w:val="18"/>
                <w:szCs w:val="18"/>
                <w:lang w:val="en-IE"/>
              </w:rPr>
            </w:pPr>
          </w:p>
        </w:tc>
        <w:tc>
          <w:tcPr>
            <w:tcW w:w="597" w:type="pct"/>
            <w:tcBorders>
              <w:top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(381)</w:t>
            </w:r>
          </w:p>
        </w:tc>
        <w:tc>
          <w:tcPr>
            <w:tcW w:w="630" w:type="pct"/>
            <w:tcBorders>
              <w:top w:val="single" w:sz="4" w:space="0" w:color="auto"/>
            </w:tcBorders>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6,445</w:t>
            </w:r>
          </w:p>
        </w:tc>
      </w:tr>
      <w:tr w:rsidR="00791B40" w:rsidRPr="00040E7D" w:rsidTr="00027DF8">
        <w:trPr>
          <w:trHeight w:hRule="exact" w:val="313"/>
        </w:trPr>
        <w:tc>
          <w:tcPr>
            <w:tcW w:w="2704" w:type="pct"/>
            <w:tcBorders>
              <w:bottom w:val="single" w:sz="4" w:space="0" w:color="auto"/>
            </w:tcBorders>
            <w:vAlign w:val="center"/>
          </w:tcPr>
          <w:p w:rsidR="00791B40" w:rsidRPr="006010C1" w:rsidRDefault="00791B40" w:rsidP="00791B40">
            <w:pPr>
              <w:autoSpaceDE w:val="0"/>
              <w:autoSpaceDN w:val="0"/>
              <w:adjustRightInd w:val="0"/>
              <w:jc w:val="both"/>
              <w:rPr>
                <w:rFonts w:ascii="Arial" w:hAnsi="Arial" w:cs="Arial"/>
                <w:b/>
                <w:sz w:val="18"/>
                <w:szCs w:val="18"/>
                <w:lang w:val="en-IE"/>
              </w:rPr>
            </w:pPr>
            <w:r w:rsidRPr="006010C1">
              <w:rPr>
                <w:rFonts w:ascii="Arial" w:hAnsi="Arial" w:cs="Arial"/>
                <w:sz w:val="18"/>
                <w:szCs w:val="18"/>
                <w:lang w:val="en-IE"/>
              </w:rPr>
              <w:t xml:space="preserve">Income tax </w:t>
            </w:r>
            <w:r w:rsidR="00C43661">
              <w:rPr>
                <w:rFonts w:ascii="Arial" w:hAnsi="Arial" w:cs="Arial"/>
                <w:sz w:val="18"/>
                <w:szCs w:val="18"/>
                <w:lang w:val="en-IE"/>
              </w:rPr>
              <w:t>credit/(</w:t>
            </w:r>
            <w:r w:rsidRPr="006010C1">
              <w:rPr>
                <w:rFonts w:ascii="Arial" w:hAnsi="Arial" w:cs="Arial"/>
                <w:sz w:val="18"/>
                <w:szCs w:val="18"/>
                <w:lang w:val="en-IE"/>
              </w:rPr>
              <w:t>expense</w:t>
            </w:r>
            <w:r w:rsidR="00C43661">
              <w:rPr>
                <w:rFonts w:ascii="Arial" w:hAnsi="Arial" w:cs="Arial"/>
                <w:sz w:val="18"/>
                <w:szCs w:val="18"/>
                <w:lang w:val="en-IE"/>
              </w:rPr>
              <w:t>)</w:t>
            </w:r>
          </w:p>
        </w:tc>
        <w:tc>
          <w:tcPr>
            <w:tcW w:w="1068" w:type="pct"/>
            <w:tcBorders>
              <w:bottom w:val="single" w:sz="4" w:space="0" w:color="auto"/>
            </w:tcBorders>
            <w:vAlign w:val="center"/>
          </w:tcPr>
          <w:p w:rsidR="00791B40" w:rsidRPr="006010C1" w:rsidRDefault="00791B40" w:rsidP="00791B40">
            <w:pPr>
              <w:jc w:val="both"/>
              <w:rPr>
                <w:rFonts w:ascii="Arial" w:hAnsi="Arial" w:cs="Arial"/>
                <w:sz w:val="18"/>
                <w:szCs w:val="18"/>
                <w:lang w:val="en-IE"/>
              </w:rPr>
            </w:pPr>
          </w:p>
        </w:tc>
        <w:tc>
          <w:tcPr>
            <w:tcW w:w="597" w:type="pct"/>
            <w:tcBorders>
              <w:bottom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43</w:t>
            </w:r>
          </w:p>
        </w:tc>
        <w:tc>
          <w:tcPr>
            <w:tcW w:w="630" w:type="pct"/>
            <w:tcBorders>
              <w:bottom w:val="single" w:sz="4" w:space="0" w:color="auto"/>
            </w:tcBorders>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(1,195)</w:t>
            </w:r>
          </w:p>
        </w:tc>
      </w:tr>
      <w:tr w:rsidR="00791B40" w:rsidRPr="00040E7D" w:rsidTr="00027DF8">
        <w:trPr>
          <w:trHeight w:hRule="exact" w:val="313"/>
        </w:trPr>
        <w:tc>
          <w:tcPr>
            <w:tcW w:w="2704" w:type="pct"/>
            <w:tcBorders>
              <w:top w:val="single" w:sz="4" w:space="0" w:color="auto"/>
              <w:bottom w:val="single" w:sz="4" w:space="0" w:color="auto"/>
            </w:tcBorders>
            <w:vAlign w:val="center"/>
          </w:tcPr>
          <w:p w:rsidR="00791B40" w:rsidRPr="006010C1" w:rsidRDefault="00C43661" w:rsidP="00791B40">
            <w:pPr>
              <w:autoSpaceDE w:val="0"/>
              <w:autoSpaceDN w:val="0"/>
              <w:adjustRightInd w:val="0"/>
              <w:jc w:val="both"/>
              <w:rPr>
                <w:rFonts w:ascii="Arial" w:hAnsi="Arial" w:cs="Arial"/>
                <w:sz w:val="18"/>
                <w:szCs w:val="18"/>
                <w:lang w:val="en-IE"/>
              </w:rPr>
            </w:pPr>
            <w:r>
              <w:rPr>
                <w:rFonts w:ascii="Arial" w:hAnsi="Arial" w:cs="Arial"/>
                <w:b/>
                <w:sz w:val="18"/>
                <w:szCs w:val="18"/>
                <w:lang w:val="en-IE"/>
              </w:rPr>
              <w:t>(Loss)/p</w:t>
            </w:r>
            <w:r w:rsidR="00791B40" w:rsidRPr="006010C1">
              <w:rPr>
                <w:rFonts w:ascii="Arial" w:hAnsi="Arial" w:cs="Arial"/>
                <w:b/>
                <w:sz w:val="18"/>
                <w:szCs w:val="18"/>
                <w:lang w:val="en-IE"/>
              </w:rPr>
              <w:t>rofit for the year from operations</w:t>
            </w:r>
          </w:p>
        </w:tc>
        <w:tc>
          <w:tcPr>
            <w:tcW w:w="1068" w:type="pct"/>
            <w:tcBorders>
              <w:top w:val="single" w:sz="4" w:space="0" w:color="auto"/>
              <w:bottom w:val="single" w:sz="4" w:space="0" w:color="auto"/>
            </w:tcBorders>
            <w:vAlign w:val="center"/>
          </w:tcPr>
          <w:p w:rsidR="00791B40" w:rsidRPr="006010C1" w:rsidRDefault="00791B40" w:rsidP="00791B40">
            <w:pPr>
              <w:jc w:val="both"/>
              <w:rPr>
                <w:rFonts w:ascii="Arial" w:hAnsi="Arial" w:cs="Arial"/>
                <w:sz w:val="18"/>
                <w:szCs w:val="18"/>
                <w:lang w:val="en-IE"/>
              </w:rPr>
            </w:pPr>
          </w:p>
        </w:tc>
        <w:tc>
          <w:tcPr>
            <w:tcW w:w="597" w:type="pct"/>
            <w:tcBorders>
              <w:top w:val="single" w:sz="4" w:space="0" w:color="auto"/>
              <w:bottom w:val="single" w:sz="4" w:space="0" w:color="auto"/>
            </w:tcBorders>
            <w:shd w:val="clear" w:color="auto" w:fill="auto"/>
            <w:vAlign w:val="bottom"/>
          </w:tcPr>
          <w:p w:rsidR="00791B40" w:rsidRPr="00791B40" w:rsidRDefault="00791B40" w:rsidP="00791B4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(338)</w:t>
            </w:r>
          </w:p>
        </w:tc>
        <w:tc>
          <w:tcPr>
            <w:tcW w:w="630" w:type="pct"/>
            <w:tcBorders>
              <w:top w:val="single" w:sz="4" w:space="0" w:color="auto"/>
              <w:bottom w:val="single" w:sz="4" w:space="0" w:color="auto"/>
            </w:tcBorders>
            <w:shd w:val="clear" w:color="auto" w:fill="auto"/>
            <w:vAlign w:val="center"/>
          </w:tcPr>
          <w:p w:rsidR="00791B40" w:rsidRPr="00791B40" w:rsidRDefault="00791B40" w:rsidP="00791B40">
            <w:pPr>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5,250</w:t>
            </w:r>
          </w:p>
        </w:tc>
      </w:tr>
      <w:bookmarkEnd w:id="3"/>
    </w:tbl>
    <w:p w:rsidR="00D2103E" w:rsidRPr="006C3343" w:rsidRDefault="00D2103E" w:rsidP="00D2103E">
      <w:pPr>
        <w:spacing w:after="0" w:line="240" w:lineRule="auto"/>
        <w:rPr>
          <w:rFonts w:ascii="Arial" w:hAnsi="Arial" w:cs="Arial"/>
          <w:sz w:val="20"/>
          <w:szCs w:val="20"/>
          <w:lang w:val="en-IE"/>
        </w:rPr>
      </w:pPr>
    </w:p>
    <w:p w:rsidR="00791B40"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Adjusted operating profit, before amortisation of intangibles and exceptional costs, increased by 5% from £10.0 million to £10.5 million, principally driven by the repricing in James Hay and a focus on costs, mainly staff related, which together offset the impact of lower revenues from interest income. The contribution from Saunderson House increased by 22% from £7.1 million to £8.6 million, but James Hay's contribution fell 14% from £7.1 million to £6.1 million. However, James Hay delivered an adjusted profit of £4.3 million in H2 2017, compared to £1.8 million in H1 2017, an improvement in the operating margin from 8% to 18%, which we believe is sustainable as we go into 2018. Group costs remained broadly in line with 2016 at £4.2 million. </w:t>
      </w:r>
    </w:p>
    <w:p w:rsidR="003E5A10" w:rsidRPr="005B1DE1" w:rsidRDefault="003E5A1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p>
    <w:p w:rsidR="002B6E0F" w:rsidRPr="006010C1" w:rsidRDefault="007D2E59"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sz w:val="20"/>
          <w:szCs w:val="20"/>
          <w:lang w:val="en-IE"/>
        </w:rPr>
      </w:pPr>
      <w:r>
        <w:rPr>
          <w:rFonts w:ascii="Arial" w:hAnsi="Arial" w:cs="Arial"/>
          <w:b/>
          <w:color w:val="1F497D" w:themeColor="text2"/>
          <w:sz w:val="20"/>
          <w:szCs w:val="20"/>
          <w:lang w:val="en-IE"/>
        </w:rPr>
        <w:lastRenderedPageBreak/>
        <w:t>Adjusted EPS and adjusted earnings</w:t>
      </w:r>
    </w:p>
    <w:p w:rsidR="00791B40" w:rsidRPr="005B1DE1"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Group uses adjusted operating profit and adjusted earnings as measures of performance to eliminate the impact of items it does not consider indicative of ongoing underlying performance due to their unusual, exceptional or non-recurring nature. </w:t>
      </w:r>
    </w:p>
    <w:tbl>
      <w:tblPr>
        <w:tblpPr w:leftFromText="180" w:rightFromText="180" w:bottomFromText="155" w:vertAnchor="text" w:horzAnchor="margin" w:tblpY="1"/>
        <w:tblW w:w="10490" w:type="dxa"/>
        <w:tblLayout w:type="fixed"/>
        <w:tblCellMar>
          <w:left w:w="0" w:type="dxa"/>
          <w:right w:w="0" w:type="dxa"/>
        </w:tblCellMar>
        <w:tblLook w:val="04A0" w:firstRow="1" w:lastRow="0" w:firstColumn="1" w:lastColumn="0" w:noHBand="0" w:noVBand="1"/>
      </w:tblPr>
      <w:tblGrid>
        <w:gridCol w:w="5812"/>
        <w:gridCol w:w="1134"/>
        <w:gridCol w:w="1134"/>
        <w:gridCol w:w="1134"/>
        <w:gridCol w:w="1276"/>
      </w:tblGrid>
      <w:tr w:rsidR="002B6E0F" w:rsidRPr="00040E7D" w:rsidTr="00027DF8">
        <w:trPr>
          <w:trHeight w:hRule="exact" w:val="227"/>
        </w:trPr>
        <w:tc>
          <w:tcPr>
            <w:tcW w:w="5812" w:type="dxa"/>
            <w:tcBorders>
              <w:top w:val="nil"/>
              <w:left w:val="nil"/>
              <w:bottom w:val="nil"/>
            </w:tcBorders>
            <w:tcMar>
              <w:top w:w="0" w:type="dxa"/>
              <w:left w:w="108" w:type="dxa"/>
              <w:bottom w:w="0" w:type="dxa"/>
              <w:right w:w="108" w:type="dxa"/>
            </w:tcMar>
          </w:tcPr>
          <w:p w:rsidR="002B6E0F" w:rsidRPr="006010C1" w:rsidRDefault="002B6E0F" w:rsidP="00604799">
            <w:pPr>
              <w:spacing w:after="196" w:line="240" w:lineRule="auto"/>
              <w:jc w:val="both"/>
              <w:rPr>
                <w:rFonts w:ascii="Arial" w:eastAsiaTheme="minorHAnsi" w:hAnsi="Arial" w:cs="Arial"/>
                <w:sz w:val="18"/>
                <w:szCs w:val="18"/>
                <w:lang w:val="en-IE" w:eastAsia="en-US"/>
              </w:rPr>
            </w:pPr>
          </w:p>
        </w:tc>
        <w:tc>
          <w:tcPr>
            <w:tcW w:w="2268" w:type="dxa"/>
            <w:gridSpan w:val="2"/>
            <w:shd w:val="clear" w:color="auto" w:fill="auto"/>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center"/>
              <w:rPr>
                <w:rFonts w:ascii="Arial" w:eastAsiaTheme="minorHAnsi"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Year ended</w:t>
            </w:r>
          </w:p>
        </w:tc>
        <w:tc>
          <w:tcPr>
            <w:tcW w:w="2410" w:type="dxa"/>
            <w:gridSpan w:val="2"/>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center"/>
              <w:rPr>
                <w:rFonts w:ascii="Arial" w:eastAsiaTheme="minorHAnsi"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Year ended</w:t>
            </w:r>
          </w:p>
        </w:tc>
      </w:tr>
      <w:tr w:rsidR="002B6E0F" w:rsidRPr="00040E7D" w:rsidTr="00027DF8">
        <w:trPr>
          <w:trHeight w:hRule="exact" w:val="227"/>
        </w:trPr>
        <w:tc>
          <w:tcPr>
            <w:tcW w:w="5812" w:type="dxa"/>
            <w:tcBorders>
              <w:top w:val="nil"/>
              <w:left w:val="nil"/>
              <w:bottom w:val="nil"/>
            </w:tcBorders>
            <w:tcMar>
              <w:top w:w="0" w:type="dxa"/>
              <w:left w:w="108" w:type="dxa"/>
              <w:bottom w:w="0" w:type="dxa"/>
              <w:right w:w="108" w:type="dxa"/>
            </w:tcMar>
          </w:tcPr>
          <w:p w:rsidR="002B6E0F" w:rsidRPr="006010C1" w:rsidRDefault="002B6E0F" w:rsidP="00604799">
            <w:pPr>
              <w:spacing w:after="196" w:line="240" w:lineRule="auto"/>
              <w:jc w:val="both"/>
              <w:rPr>
                <w:rFonts w:ascii="Arial" w:eastAsiaTheme="minorHAnsi" w:hAnsi="Arial" w:cs="Arial"/>
                <w:sz w:val="18"/>
                <w:szCs w:val="18"/>
                <w:lang w:val="en-IE" w:eastAsia="en-US"/>
              </w:rPr>
            </w:pPr>
          </w:p>
        </w:tc>
        <w:tc>
          <w:tcPr>
            <w:tcW w:w="2268" w:type="dxa"/>
            <w:gridSpan w:val="2"/>
            <w:tcBorders>
              <w:top w:val="nil"/>
              <w:bottom w:val="nil"/>
            </w:tcBorders>
            <w:shd w:val="clear" w:color="auto" w:fill="auto"/>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center"/>
              <w:rPr>
                <w:rFonts w:ascii="Arial" w:eastAsiaTheme="minorHAnsi"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31 December 201</w:t>
            </w:r>
            <w:r w:rsidR="00791B40">
              <w:rPr>
                <w:rFonts w:ascii="Arial" w:hAnsi="Arial" w:cs="Arial"/>
                <w:b/>
                <w:bCs/>
                <w:color w:val="1F497D" w:themeColor="text2"/>
                <w:sz w:val="18"/>
                <w:szCs w:val="18"/>
                <w:lang w:val="en-IE"/>
              </w:rPr>
              <w:t>7</w:t>
            </w:r>
          </w:p>
        </w:tc>
        <w:tc>
          <w:tcPr>
            <w:tcW w:w="2410" w:type="dxa"/>
            <w:gridSpan w:val="2"/>
            <w:tcBorders>
              <w:top w:val="nil"/>
              <w:bottom w:val="nil"/>
            </w:tcBorders>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center"/>
              <w:rPr>
                <w:rFonts w:ascii="Arial" w:eastAsiaTheme="minorHAnsi"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31 December 201</w:t>
            </w:r>
            <w:r w:rsidR="00791B40">
              <w:rPr>
                <w:rFonts w:ascii="Arial" w:hAnsi="Arial" w:cs="Arial"/>
                <w:b/>
                <w:bCs/>
                <w:color w:val="1F497D" w:themeColor="text2"/>
                <w:sz w:val="18"/>
                <w:szCs w:val="18"/>
                <w:lang w:val="en-IE"/>
              </w:rPr>
              <w:t>6</w:t>
            </w:r>
          </w:p>
        </w:tc>
      </w:tr>
      <w:tr w:rsidR="002B6E0F" w:rsidRPr="00040E7D" w:rsidTr="00027DF8">
        <w:trPr>
          <w:trHeight w:hRule="exact" w:val="116"/>
        </w:trPr>
        <w:tc>
          <w:tcPr>
            <w:tcW w:w="5812" w:type="dxa"/>
            <w:tcBorders>
              <w:top w:val="nil"/>
              <w:left w:val="nil"/>
              <w:bottom w:val="nil"/>
            </w:tcBorders>
            <w:tcMar>
              <w:top w:w="0" w:type="dxa"/>
              <w:left w:w="108" w:type="dxa"/>
              <w:bottom w:w="0" w:type="dxa"/>
              <w:right w:w="108" w:type="dxa"/>
            </w:tcMar>
          </w:tcPr>
          <w:p w:rsidR="002B6E0F" w:rsidRPr="006010C1" w:rsidRDefault="002B6E0F" w:rsidP="00604799">
            <w:pPr>
              <w:spacing w:after="196" w:line="240" w:lineRule="auto"/>
              <w:jc w:val="both"/>
              <w:rPr>
                <w:rFonts w:ascii="Arial" w:eastAsiaTheme="minorHAnsi" w:hAnsi="Arial" w:cs="Arial"/>
                <w:sz w:val="18"/>
                <w:szCs w:val="18"/>
                <w:lang w:val="en-IE" w:eastAsia="en-US"/>
              </w:rPr>
            </w:pPr>
          </w:p>
        </w:tc>
        <w:tc>
          <w:tcPr>
            <w:tcW w:w="2268" w:type="dxa"/>
            <w:gridSpan w:val="2"/>
            <w:tcBorders>
              <w:top w:val="nil"/>
              <w:bottom w:val="nil"/>
            </w:tcBorders>
            <w:shd w:val="clear" w:color="auto" w:fill="auto"/>
            <w:tcMar>
              <w:top w:w="0" w:type="dxa"/>
              <w:left w:w="108" w:type="dxa"/>
              <w:bottom w:w="0" w:type="dxa"/>
              <w:right w:w="108" w:type="dxa"/>
            </w:tcMar>
          </w:tcPr>
          <w:p w:rsidR="002B6E0F" w:rsidRPr="006010C1" w:rsidRDefault="002B6E0F" w:rsidP="00604799">
            <w:pPr>
              <w:autoSpaceDE w:val="0"/>
              <w:autoSpaceDN w:val="0"/>
              <w:adjustRightInd w:val="0"/>
              <w:spacing w:after="0" w:line="240" w:lineRule="auto"/>
              <w:jc w:val="center"/>
              <w:rPr>
                <w:rFonts w:ascii="Arial" w:hAnsi="Arial" w:cs="Arial"/>
                <w:b/>
                <w:bCs/>
                <w:color w:val="1F497D" w:themeColor="text2"/>
                <w:sz w:val="18"/>
                <w:szCs w:val="18"/>
                <w:lang w:val="en-IE"/>
              </w:rPr>
            </w:pPr>
          </w:p>
        </w:tc>
        <w:tc>
          <w:tcPr>
            <w:tcW w:w="2410" w:type="dxa"/>
            <w:gridSpan w:val="2"/>
            <w:tcBorders>
              <w:top w:val="nil"/>
              <w:bottom w:val="nil"/>
            </w:tcBorders>
            <w:tcMar>
              <w:top w:w="0" w:type="dxa"/>
              <w:left w:w="108" w:type="dxa"/>
              <w:bottom w:w="0" w:type="dxa"/>
              <w:right w:w="108" w:type="dxa"/>
            </w:tcMar>
          </w:tcPr>
          <w:p w:rsidR="002B6E0F" w:rsidRPr="006010C1" w:rsidRDefault="002B6E0F" w:rsidP="00604799">
            <w:pPr>
              <w:autoSpaceDE w:val="0"/>
              <w:autoSpaceDN w:val="0"/>
              <w:adjustRightInd w:val="0"/>
              <w:spacing w:after="0" w:line="240" w:lineRule="auto"/>
              <w:jc w:val="center"/>
              <w:rPr>
                <w:rFonts w:ascii="Arial" w:hAnsi="Arial" w:cs="Arial"/>
                <w:b/>
                <w:bCs/>
                <w:color w:val="1F497D" w:themeColor="text2"/>
                <w:sz w:val="18"/>
                <w:szCs w:val="18"/>
                <w:lang w:val="en-IE"/>
              </w:rPr>
            </w:pPr>
          </w:p>
        </w:tc>
      </w:tr>
      <w:tr w:rsidR="002B6E0F" w:rsidRPr="00040E7D" w:rsidTr="00027DF8">
        <w:trPr>
          <w:trHeight w:hRule="exact" w:val="601"/>
        </w:trPr>
        <w:tc>
          <w:tcPr>
            <w:tcW w:w="5812" w:type="dxa"/>
            <w:tcBorders>
              <w:top w:val="nil"/>
              <w:left w:val="nil"/>
              <w:bottom w:val="nil"/>
            </w:tcBorders>
            <w:tcMar>
              <w:top w:w="0" w:type="dxa"/>
              <w:left w:w="108" w:type="dxa"/>
              <w:bottom w:w="0" w:type="dxa"/>
              <w:right w:w="108" w:type="dxa"/>
            </w:tcMar>
          </w:tcPr>
          <w:p w:rsidR="002B6E0F" w:rsidRPr="006010C1" w:rsidRDefault="002B6E0F" w:rsidP="00604799">
            <w:pPr>
              <w:spacing w:after="196" w:line="240" w:lineRule="auto"/>
              <w:jc w:val="both"/>
              <w:rPr>
                <w:rFonts w:ascii="Arial" w:eastAsiaTheme="minorHAnsi" w:hAnsi="Arial" w:cs="Arial"/>
                <w:sz w:val="18"/>
                <w:szCs w:val="18"/>
                <w:lang w:val="en-IE" w:eastAsia="en-US"/>
              </w:rPr>
            </w:pPr>
          </w:p>
        </w:tc>
        <w:tc>
          <w:tcPr>
            <w:tcW w:w="1134" w:type="dxa"/>
            <w:tcBorders>
              <w:top w:val="nil"/>
              <w:bottom w:val="nil"/>
              <w:right w:val="nil"/>
            </w:tcBorders>
            <w:shd w:val="clear" w:color="auto" w:fill="auto"/>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right"/>
              <w:rPr>
                <w:rFonts w:ascii="Arial"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Per share pence</w:t>
            </w:r>
          </w:p>
        </w:tc>
        <w:tc>
          <w:tcPr>
            <w:tcW w:w="1134" w:type="dxa"/>
            <w:tcBorders>
              <w:top w:val="nil"/>
              <w:left w:val="nil"/>
              <w:bottom w:val="nil"/>
            </w:tcBorders>
            <w:shd w:val="clear" w:color="auto" w:fill="auto"/>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right"/>
              <w:rPr>
                <w:rFonts w:ascii="Arial" w:eastAsiaTheme="minorHAnsi" w:hAnsi="Arial" w:cs="Arial"/>
                <w:b/>
                <w:bCs/>
                <w:color w:val="1F497D" w:themeColor="text2"/>
                <w:sz w:val="18"/>
                <w:szCs w:val="18"/>
                <w:lang w:val="en-IE"/>
              </w:rPr>
            </w:pPr>
            <w:r w:rsidRPr="006010C1">
              <w:rPr>
                <w:rFonts w:ascii="Arial" w:hAnsi="Arial" w:cs="Arial"/>
                <w:b/>
                <w:bCs/>
                <w:color w:val="1F497D" w:themeColor="text2"/>
                <w:sz w:val="18"/>
                <w:szCs w:val="18"/>
                <w:lang w:val="en-IE"/>
              </w:rPr>
              <w:t>Earnings</w:t>
            </w:r>
          </w:p>
          <w:p w:rsidR="002B6E0F" w:rsidRPr="006010C1" w:rsidRDefault="002B6E0F" w:rsidP="00604799">
            <w:pPr>
              <w:spacing w:after="196" w:line="240" w:lineRule="auto"/>
              <w:jc w:val="right"/>
              <w:rPr>
                <w:rFonts w:ascii="Arial" w:eastAsiaTheme="minorHAnsi"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£’000</w:t>
            </w:r>
          </w:p>
        </w:tc>
        <w:tc>
          <w:tcPr>
            <w:tcW w:w="1134" w:type="dxa"/>
            <w:tcBorders>
              <w:top w:val="nil"/>
              <w:bottom w:val="nil"/>
            </w:tcBorders>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right"/>
              <w:rPr>
                <w:rFonts w:ascii="Arial" w:eastAsiaTheme="minorHAnsi"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 xml:space="preserve">Per share pence </w:t>
            </w:r>
          </w:p>
        </w:tc>
        <w:tc>
          <w:tcPr>
            <w:tcW w:w="1276" w:type="dxa"/>
            <w:tcBorders>
              <w:top w:val="nil"/>
              <w:bottom w:val="nil"/>
            </w:tcBorders>
            <w:tcMar>
              <w:top w:w="0" w:type="dxa"/>
              <w:left w:w="108" w:type="dxa"/>
              <w:bottom w:w="0" w:type="dxa"/>
              <w:right w:w="108" w:type="dxa"/>
            </w:tcMar>
            <w:hideMark/>
          </w:tcPr>
          <w:p w:rsidR="002B6E0F" w:rsidRPr="006010C1" w:rsidRDefault="002B6E0F" w:rsidP="00604799">
            <w:pPr>
              <w:autoSpaceDE w:val="0"/>
              <w:autoSpaceDN w:val="0"/>
              <w:adjustRightInd w:val="0"/>
              <w:spacing w:after="0" w:line="240" w:lineRule="auto"/>
              <w:jc w:val="right"/>
              <w:rPr>
                <w:rFonts w:ascii="Arial" w:eastAsiaTheme="minorHAnsi" w:hAnsi="Arial" w:cs="Arial"/>
                <w:b/>
                <w:bCs/>
                <w:color w:val="1F497D" w:themeColor="text2"/>
                <w:sz w:val="18"/>
                <w:szCs w:val="18"/>
                <w:lang w:val="en-IE"/>
              </w:rPr>
            </w:pPr>
            <w:r w:rsidRPr="006010C1">
              <w:rPr>
                <w:rFonts w:ascii="Arial" w:hAnsi="Arial" w:cs="Arial"/>
                <w:b/>
                <w:bCs/>
                <w:color w:val="1F497D" w:themeColor="text2"/>
                <w:sz w:val="18"/>
                <w:szCs w:val="18"/>
                <w:lang w:val="en-IE"/>
              </w:rPr>
              <w:t>Earnings</w:t>
            </w:r>
          </w:p>
          <w:p w:rsidR="002B6E0F" w:rsidRPr="006010C1" w:rsidRDefault="002B6E0F" w:rsidP="00604799">
            <w:pPr>
              <w:spacing w:after="196" w:line="240" w:lineRule="auto"/>
              <w:jc w:val="right"/>
              <w:rPr>
                <w:rFonts w:ascii="Arial" w:hAnsi="Arial" w:cs="Arial"/>
                <w:b/>
                <w:bCs/>
                <w:color w:val="1F497D" w:themeColor="text2"/>
                <w:sz w:val="18"/>
                <w:szCs w:val="18"/>
                <w:lang w:val="en-IE" w:eastAsia="en-US"/>
              </w:rPr>
            </w:pPr>
            <w:r w:rsidRPr="006010C1">
              <w:rPr>
                <w:rFonts w:ascii="Arial" w:hAnsi="Arial" w:cs="Arial"/>
                <w:b/>
                <w:bCs/>
                <w:color w:val="1F497D" w:themeColor="text2"/>
                <w:sz w:val="18"/>
                <w:szCs w:val="18"/>
                <w:lang w:val="en-IE"/>
              </w:rPr>
              <w:t xml:space="preserve">£’000 </w:t>
            </w:r>
          </w:p>
        </w:tc>
      </w:tr>
      <w:tr w:rsidR="00791B40" w:rsidRPr="00040E7D" w:rsidTr="00027DF8">
        <w:trPr>
          <w:trHeight w:hRule="exact" w:val="284"/>
        </w:trPr>
        <w:tc>
          <w:tcPr>
            <w:tcW w:w="5812" w:type="dxa"/>
            <w:tcBorders>
              <w:top w:val="nil"/>
              <w:left w:val="nil"/>
              <w:bottom w:val="nil"/>
            </w:tcBorders>
            <w:tcMar>
              <w:top w:w="0" w:type="dxa"/>
              <w:left w:w="108" w:type="dxa"/>
              <w:bottom w:w="0" w:type="dxa"/>
              <w:right w:w="108" w:type="dxa"/>
            </w:tcMar>
            <w:hideMark/>
          </w:tcPr>
          <w:p w:rsidR="00791B40" w:rsidRPr="006010C1" w:rsidRDefault="00791B40" w:rsidP="00791B40">
            <w:pPr>
              <w:spacing w:after="196" w:line="240" w:lineRule="auto"/>
              <w:jc w:val="both"/>
              <w:rPr>
                <w:rFonts w:ascii="Arial" w:eastAsiaTheme="minorHAnsi" w:hAnsi="Arial" w:cs="Arial"/>
                <w:sz w:val="18"/>
                <w:szCs w:val="18"/>
                <w:lang w:val="en-IE" w:eastAsia="en-US"/>
              </w:rPr>
            </w:pPr>
            <w:r>
              <w:rPr>
                <w:rFonts w:ascii="Arial" w:hAnsi="Arial" w:cs="Arial"/>
                <w:sz w:val="18"/>
                <w:szCs w:val="18"/>
                <w:lang w:val="en-IE"/>
              </w:rPr>
              <w:t>(Loss)/</w:t>
            </w:r>
            <w:r w:rsidRPr="006010C1">
              <w:rPr>
                <w:rFonts w:ascii="Arial" w:hAnsi="Arial" w:cs="Arial"/>
                <w:sz w:val="18"/>
                <w:szCs w:val="18"/>
                <w:lang w:val="en-IE"/>
              </w:rPr>
              <w:t>Profit attributable to owners of the Parent Company</w:t>
            </w:r>
          </w:p>
        </w:tc>
        <w:tc>
          <w:tcPr>
            <w:tcW w:w="1134" w:type="dxa"/>
            <w:tcBorders>
              <w:top w:val="nil"/>
              <w:bottom w:val="nil"/>
              <w:righ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(0.32)</w:t>
            </w:r>
          </w:p>
        </w:tc>
        <w:tc>
          <w:tcPr>
            <w:tcW w:w="1134" w:type="dxa"/>
            <w:tcBorders>
              <w:top w:val="nil"/>
              <w:left w:val="nil"/>
              <w:bottom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(338)</w:t>
            </w:r>
          </w:p>
        </w:tc>
        <w:tc>
          <w:tcPr>
            <w:tcW w:w="1134"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4.98</w:t>
            </w:r>
          </w:p>
        </w:tc>
        <w:tc>
          <w:tcPr>
            <w:tcW w:w="1276"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5,250</w:t>
            </w:r>
          </w:p>
        </w:tc>
      </w:tr>
      <w:tr w:rsidR="00791B40" w:rsidRPr="00040E7D" w:rsidTr="00027DF8">
        <w:trPr>
          <w:trHeight w:hRule="exact" w:val="284"/>
        </w:trPr>
        <w:tc>
          <w:tcPr>
            <w:tcW w:w="5812" w:type="dxa"/>
            <w:tcBorders>
              <w:top w:val="nil"/>
              <w:left w:val="nil"/>
              <w:bottom w:val="nil"/>
            </w:tcBorders>
            <w:tcMar>
              <w:top w:w="0" w:type="dxa"/>
              <w:left w:w="108" w:type="dxa"/>
              <w:bottom w:w="0" w:type="dxa"/>
              <w:right w:w="108" w:type="dxa"/>
            </w:tcMar>
            <w:hideMark/>
          </w:tcPr>
          <w:p w:rsidR="00791B40" w:rsidRPr="006010C1" w:rsidRDefault="00791B40" w:rsidP="00791B40">
            <w:pPr>
              <w:spacing w:after="196" w:line="240" w:lineRule="auto"/>
              <w:jc w:val="both"/>
              <w:rPr>
                <w:rFonts w:ascii="Arial" w:eastAsiaTheme="minorHAnsi" w:hAnsi="Arial" w:cs="Arial"/>
                <w:sz w:val="18"/>
                <w:szCs w:val="18"/>
                <w:lang w:val="en-IE" w:eastAsia="en-US"/>
              </w:rPr>
            </w:pPr>
            <w:r w:rsidRPr="006010C1">
              <w:rPr>
                <w:rFonts w:ascii="Arial" w:hAnsi="Arial" w:cs="Arial"/>
                <w:sz w:val="18"/>
                <w:szCs w:val="18"/>
                <w:lang w:val="en-IE"/>
              </w:rPr>
              <w:t>Amortisation of acquisition related intangible assets</w:t>
            </w:r>
          </w:p>
        </w:tc>
        <w:tc>
          <w:tcPr>
            <w:tcW w:w="1134" w:type="dxa"/>
            <w:tcBorders>
              <w:top w:val="nil"/>
              <w:bottom w:val="nil"/>
              <w:righ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1.83</w:t>
            </w:r>
          </w:p>
        </w:tc>
        <w:tc>
          <w:tcPr>
            <w:tcW w:w="1134" w:type="dxa"/>
            <w:tcBorders>
              <w:top w:val="nil"/>
              <w:left w:val="nil"/>
              <w:bottom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1,933</w:t>
            </w:r>
          </w:p>
        </w:tc>
        <w:tc>
          <w:tcPr>
            <w:tcW w:w="1134"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1.47</w:t>
            </w:r>
          </w:p>
        </w:tc>
        <w:tc>
          <w:tcPr>
            <w:tcW w:w="1276"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1,552</w:t>
            </w:r>
          </w:p>
        </w:tc>
      </w:tr>
      <w:tr w:rsidR="00791B40" w:rsidRPr="00040E7D" w:rsidTr="00027DF8">
        <w:trPr>
          <w:trHeight w:hRule="exact" w:val="284"/>
        </w:trPr>
        <w:tc>
          <w:tcPr>
            <w:tcW w:w="5812" w:type="dxa"/>
            <w:tcBorders>
              <w:top w:val="nil"/>
              <w:left w:val="nil"/>
              <w:bottom w:val="nil"/>
            </w:tcBorders>
            <w:tcMar>
              <w:top w:w="0" w:type="dxa"/>
              <w:left w:w="108" w:type="dxa"/>
              <w:bottom w:w="0" w:type="dxa"/>
              <w:right w:w="108" w:type="dxa"/>
            </w:tcMar>
            <w:hideMark/>
          </w:tcPr>
          <w:p w:rsidR="00791B40" w:rsidRPr="006010C1" w:rsidRDefault="00791B40" w:rsidP="00791B40">
            <w:pPr>
              <w:spacing w:after="196" w:line="240" w:lineRule="auto"/>
              <w:jc w:val="both"/>
              <w:rPr>
                <w:rFonts w:ascii="Arial" w:eastAsiaTheme="minorHAnsi" w:hAnsi="Arial" w:cs="Arial"/>
                <w:sz w:val="18"/>
                <w:szCs w:val="18"/>
                <w:lang w:val="en-IE" w:eastAsia="en-US"/>
              </w:rPr>
            </w:pPr>
            <w:r w:rsidRPr="006010C1">
              <w:rPr>
                <w:rFonts w:ascii="Arial" w:hAnsi="Arial" w:cs="Arial"/>
                <w:sz w:val="18"/>
                <w:szCs w:val="18"/>
                <w:lang w:val="en-IE"/>
              </w:rPr>
              <w:t>Exceptional items</w:t>
            </w:r>
          </w:p>
        </w:tc>
        <w:tc>
          <w:tcPr>
            <w:tcW w:w="1134" w:type="dxa"/>
            <w:tcBorders>
              <w:top w:val="nil"/>
              <w:bottom w:val="nil"/>
              <w:righ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6.39</w:t>
            </w:r>
          </w:p>
        </w:tc>
        <w:tc>
          <w:tcPr>
            <w:tcW w:w="1134" w:type="dxa"/>
            <w:tcBorders>
              <w:top w:val="nil"/>
              <w:left w:val="nil"/>
              <w:bottom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6,732</w:t>
            </w:r>
          </w:p>
        </w:tc>
        <w:tc>
          <w:tcPr>
            <w:tcW w:w="1134"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1.79</w:t>
            </w:r>
          </w:p>
        </w:tc>
        <w:tc>
          <w:tcPr>
            <w:tcW w:w="1276"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1,886</w:t>
            </w:r>
          </w:p>
        </w:tc>
      </w:tr>
      <w:tr w:rsidR="00791B40" w:rsidRPr="00040E7D" w:rsidTr="00027DF8">
        <w:trPr>
          <w:trHeight w:hRule="exact" w:val="284"/>
        </w:trPr>
        <w:tc>
          <w:tcPr>
            <w:tcW w:w="5812" w:type="dxa"/>
            <w:tcBorders>
              <w:top w:val="nil"/>
              <w:left w:val="nil"/>
              <w:bottom w:val="nil"/>
            </w:tcBorders>
            <w:tcMar>
              <w:top w:w="0" w:type="dxa"/>
              <w:left w:w="108" w:type="dxa"/>
              <w:bottom w:w="0" w:type="dxa"/>
              <w:right w:w="108" w:type="dxa"/>
            </w:tcMar>
            <w:hideMark/>
          </w:tcPr>
          <w:p w:rsidR="00791B40" w:rsidRPr="006010C1" w:rsidRDefault="00791B40" w:rsidP="00791B40">
            <w:pPr>
              <w:spacing w:after="196" w:line="240" w:lineRule="auto"/>
              <w:jc w:val="both"/>
              <w:rPr>
                <w:rFonts w:ascii="Arial" w:eastAsiaTheme="minorHAnsi" w:hAnsi="Arial" w:cs="Arial"/>
                <w:sz w:val="18"/>
                <w:szCs w:val="18"/>
                <w:lang w:val="en-IE" w:eastAsia="en-US"/>
              </w:rPr>
            </w:pPr>
            <w:r w:rsidRPr="006010C1">
              <w:rPr>
                <w:rFonts w:ascii="Arial" w:hAnsi="Arial" w:cs="Arial"/>
                <w:sz w:val="18"/>
                <w:szCs w:val="18"/>
                <w:lang w:val="en-IE"/>
              </w:rPr>
              <w:t>Release of provision against receivable from associate</w:t>
            </w:r>
          </w:p>
        </w:tc>
        <w:tc>
          <w:tcPr>
            <w:tcW w:w="1134" w:type="dxa"/>
            <w:tcBorders>
              <w:top w:val="nil"/>
              <w:bottom w:val="nil"/>
              <w:righ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tcBorders>
              <w:top w:val="nil"/>
              <w:left w:val="nil"/>
              <w:bottom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(0.49)</w:t>
            </w:r>
          </w:p>
        </w:tc>
        <w:tc>
          <w:tcPr>
            <w:tcW w:w="1276" w:type="dxa"/>
            <w:tcBorders>
              <w:top w:val="nil"/>
              <w:bottom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(516)</w:t>
            </w:r>
          </w:p>
        </w:tc>
      </w:tr>
      <w:tr w:rsidR="00791B40" w:rsidRPr="00040E7D" w:rsidTr="00027DF8">
        <w:trPr>
          <w:trHeight w:hRule="exact" w:val="284"/>
        </w:trPr>
        <w:tc>
          <w:tcPr>
            <w:tcW w:w="5812" w:type="dxa"/>
            <w:tcBorders>
              <w:top w:val="nil"/>
              <w:left w:val="nil"/>
            </w:tcBorders>
            <w:tcMar>
              <w:top w:w="0" w:type="dxa"/>
              <w:left w:w="108" w:type="dxa"/>
              <w:bottom w:w="0" w:type="dxa"/>
              <w:right w:w="108" w:type="dxa"/>
            </w:tcMar>
            <w:hideMark/>
          </w:tcPr>
          <w:p w:rsidR="00791B40" w:rsidRPr="006010C1" w:rsidRDefault="00791B40" w:rsidP="00791B40">
            <w:pPr>
              <w:spacing w:after="196" w:line="240" w:lineRule="auto"/>
              <w:jc w:val="both"/>
              <w:rPr>
                <w:rFonts w:ascii="Arial" w:eastAsiaTheme="minorHAnsi" w:hAnsi="Arial" w:cs="Arial"/>
                <w:sz w:val="18"/>
                <w:szCs w:val="18"/>
                <w:lang w:val="en-IE" w:eastAsia="en-US"/>
              </w:rPr>
            </w:pPr>
            <w:r w:rsidRPr="006010C1">
              <w:rPr>
                <w:rFonts w:ascii="Arial" w:hAnsi="Arial" w:cs="Arial"/>
                <w:sz w:val="18"/>
                <w:szCs w:val="18"/>
                <w:lang w:val="en-IE"/>
              </w:rPr>
              <w:t>Discontinued operations</w:t>
            </w:r>
          </w:p>
        </w:tc>
        <w:tc>
          <w:tcPr>
            <w:tcW w:w="1134" w:type="dxa"/>
            <w:tcBorders>
              <w:top w:val="nil"/>
              <w:righ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0.44</w:t>
            </w:r>
          </w:p>
        </w:tc>
        <w:tc>
          <w:tcPr>
            <w:tcW w:w="1134" w:type="dxa"/>
            <w:tcBorders>
              <w:top w:val="nil"/>
              <w:lef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469</w:t>
            </w:r>
          </w:p>
        </w:tc>
        <w:tc>
          <w:tcPr>
            <w:tcW w:w="1134" w:type="dxa"/>
            <w:tcBorders>
              <w:top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w:t>
            </w:r>
          </w:p>
        </w:tc>
        <w:tc>
          <w:tcPr>
            <w:tcW w:w="1276" w:type="dxa"/>
            <w:tcBorders>
              <w:top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w:t>
            </w:r>
          </w:p>
        </w:tc>
      </w:tr>
      <w:tr w:rsidR="00791B40" w:rsidRPr="00040E7D" w:rsidTr="00027DF8">
        <w:trPr>
          <w:trHeight w:hRule="exact" w:val="284"/>
        </w:trPr>
        <w:tc>
          <w:tcPr>
            <w:tcW w:w="5812" w:type="dxa"/>
            <w:tcBorders>
              <w:top w:val="nil"/>
              <w:left w:val="nil"/>
              <w:bottom w:val="single" w:sz="4" w:space="0" w:color="auto"/>
            </w:tcBorders>
            <w:tcMar>
              <w:top w:w="0" w:type="dxa"/>
              <w:left w:w="108" w:type="dxa"/>
              <w:bottom w:w="0" w:type="dxa"/>
              <w:right w:w="108" w:type="dxa"/>
            </w:tcMar>
          </w:tcPr>
          <w:p w:rsidR="00791B40" w:rsidRPr="006010C1" w:rsidRDefault="00791B40" w:rsidP="00791B40">
            <w:pPr>
              <w:spacing w:after="196" w:line="240" w:lineRule="auto"/>
              <w:jc w:val="both"/>
              <w:rPr>
                <w:rFonts w:ascii="Arial" w:hAnsi="Arial" w:cs="Arial"/>
                <w:sz w:val="18"/>
                <w:szCs w:val="18"/>
                <w:lang w:val="en-IE"/>
              </w:rPr>
            </w:pPr>
            <w:r w:rsidRPr="006010C1">
              <w:rPr>
                <w:rFonts w:ascii="Arial" w:hAnsi="Arial" w:cs="Arial"/>
                <w:sz w:val="18"/>
                <w:szCs w:val="18"/>
                <w:lang w:val="en-IE"/>
              </w:rPr>
              <w:t>Unwinding of discount applicable to contingent consideration</w:t>
            </w:r>
          </w:p>
        </w:tc>
        <w:tc>
          <w:tcPr>
            <w:tcW w:w="1134" w:type="dxa"/>
            <w:tcBorders>
              <w:top w:val="nil"/>
              <w:bottom w:val="single" w:sz="4" w:space="0" w:color="auto"/>
              <w:righ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tcBorders>
              <w:top w:val="nil"/>
              <w:left w:val="nil"/>
              <w:bottom w:val="single" w:sz="4" w:space="0" w:color="auto"/>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tcBorders>
              <w:top w:val="nil"/>
              <w:bottom w:val="single" w:sz="4" w:space="0" w:color="auto"/>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(0.18)</w:t>
            </w:r>
          </w:p>
        </w:tc>
        <w:tc>
          <w:tcPr>
            <w:tcW w:w="1276" w:type="dxa"/>
            <w:tcBorders>
              <w:top w:val="nil"/>
              <w:bottom w:val="single" w:sz="4" w:space="0" w:color="auto"/>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eastAsiaTheme="minorHAnsi" w:hAnsi="Arial" w:cs="Arial"/>
                <w:bCs/>
                <w:sz w:val="18"/>
                <w:szCs w:val="18"/>
                <w:lang w:val="en-IE" w:eastAsia="en-US"/>
              </w:rPr>
            </w:pPr>
            <w:r w:rsidRPr="005B1DE1">
              <w:rPr>
                <w:rFonts w:ascii="Arial" w:hAnsi="Arial" w:cs="Arial"/>
                <w:color w:val="000000"/>
                <w:spacing w:val="-5"/>
                <w:sz w:val="18"/>
                <w:szCs w:val="18"/>
              </w:rPr>
              <w:t>(192)</w:t>
            </w:r>
          </w:p>
        </w:tc>
      </w:tr>
      <w:tr w:rsidR="00791B40" w:rsidRPr="00040E7D" w:rsidTr="00027DF8">
        <w:trPr>
          <w:trHeight w:hRule="exact" w:val="284"/>
        </w:trPr>
        <w:tc>
          <w:tcPr>
            <w:tcW w:w="5812" w:type="dxa"/>
            <w:tcBorders>
              <w:top w:val="single" w:sz="4" w:space="0" w:color="auto"/>
              <w:left w:val="nil"/>
              <w:bottom w:val="single" w:sz="4" w:space="0" w:color="auto"/>
            </w:tcBorders>
            <w:tcMar>
              <w:top w:w="0" w:type="dxa"/>
              <w:left w:w="108" w:type="dxa"/>
              <w:bottom w:w="0" w:type="dxa"/>
              <w:right w:w="108" w:type="dxa"/>
            </w:tcMar>
            <w:hideMark/>
          </w:tcPr>
          <w:p w:rsidR="00791B40" w:rsidRPr="006010C1" w:rsidRDefault="00791B40" w:rsidP="00791B40">
            <w:pPr>
              <w:spacing w:after="196" w:line="240" w:lineRule="auto"/>
              <w:jc w:val="both"/>
              <w:rPr>
                <w:rFonts w:ascii="Arial" w:hAnsi="Arial" w:cs="Arial"/>
                <w:sz w:val="18"/>
                <w:szCs w:val="18"/>
                <w:lang w:val="en-IE"/>
              </w:rPr>
            </w:pPr>
            <w:r w:rsidRPr="006010C1">
              <w:rPr>
                <w:rFonts w:ascii="Arial" w:hAnsi="Arial" w:cs="Arial"/>
                <w:sz w:val="18"/>
                <w:szCs w:val="18"/>
                <w:lang w:val="en-IE"/>
              </w:rPr>
              <w:t>Adjusted earnings</w:t>
            </w:r>
          </w:p>
        </w:tc>
        <w:tc>
          <w:tcPr>
            <w:tcW w:w="1134" w:type="dxa"/>
            <w:tcBorders>
              <w:top w:val="single" w:sz="4" w:space="0" w:color="auto"/>
              <w:bottom w:val="single" w:sz="4" w:space="0" w:color="auto"/>
              <w:right w:val="nil"/>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8.34</w:t>
            </w:r>
          </w:p>
        </w:tc>
        <w:tc>
          <w:tcPr>
            <w:tcW w:w="1134" w:type="dxa"/>
            <w:tcBorders>
              <w:top w:val="single" w:sz="4" w:space="0" w:color="auto"/>
              <w:left w:val="nil"/>
              <w:bottom w:val="single" w:sz="4" w:space="0" w:color="auto"/>
            </w:tcBorders>
            <w:shd w:val="clear" w:color="auto" w:fill="auto"/>
            <w:tcMar>
              <w:top w:w="0" w:type="dxa"/>
              <w:left w:w="108" w:type="dxa"/>
              <w:bottom w:w="0" w:type="dxa"/>
              <w:right w:w="108" w:type="dxa"/>
            </w:tcMar>
            <w:vAlign w:val="bottom"/>
          </w:tcPr>
          <w:p w:rsidR="00791B40" w:rsidRPr="00791B40" w:rsidRDefault="00791B40" w:rsidP="00963B50">
            <w:pPr>
              <w:widowControl w:val="0"/>
              <w:tabs>
                <w:tab w:val="left" w:pos="737"/>
              </w:tabs>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8,796</w:t>
            </w:r>
          </w:p>
        </w:tc>
        <w:tc>
          <w:tcPr>
            <w:tcW w:w="1134" w:type="dxa"/>
            <w:tcBorders>
              <w:top w:val="single" w:sz="4" w:space="0" w:color="auto"/>
              <w:bottom w:val="single" w:sz="4" w:space="0" w:color="auto"/>
              <w:right w:val="nil"/>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hAnsi="Arial" w:cs="Arial"/>
                <w:sz w:val="18"/>
                <w:szCs w:val="18"/>
                <w:lang w:val="en-IE"/>
              </w:rPr>
            </w:pPr>
            <w:r w:rsidRPr="005B1DE1">
              <w:rPr>
                <w:rFonts w:ascii="Arial" w:hAnsi="Arial" w:cs="Arial"/>
                <w:color w:val="000000"/>
                <w:spacing w:val="-5"/>
                <w:sz w:val="18"/>
                <w:szCs w:val="18"/>
              </w:rPr>
              <w:t>7.57</w:t>
            </w:r>
          </w:p>
        </w:tc>
        <w:tc>
          <w:tcPr>
            <w:tcW w:w="1276" w:type="dxa"/>
            <w:tcBorders>
              <w:top w:val="single" w:sz="4" w:space="0" w:color="auto"/>
              <w:left w:val="nil"/>
              <w:bottom w:val="single" w:sz="4" w:space="0" w:color="auto"/>
            </w:tcBorders>
            <w:tcMar>
              <w:top w:w="0" w:type="dxa"/>
              <w:left w:w="108" w:type="dxa"/>
              <w:bottom w:w="0" w:type="dxa"/>
              <w:right w:w="108" w:type="dxa"/>
            </w:tcMar>
          </w:tcPr>
          <w:p w:rsidR="00791B40" w:rsidRPr="00791B40" w:rsidRDefault="00791B40" w:rsidP="00791B40">
            <w:pPr>
              <w:autoSpaceDE w:val="0"/>
              <w:autoSpaceDN w:val="0"/>
              <w:adjustRightInd w:val="0"/>
              <w:spacing w:after="0" w:line="240" w:lineRule="auto"/>
              <w:jc w:val="right"/>
              <w:rPr>
                <w:rFonts w:ascii="Arial" w:hAnsi="Arial" w:cs="Arial"/>
                <w:sz w:val="18"/>
                <w:szCs w:val="18"/>
                <w:lang w:val="en-IE"/>
              </w:rPr>
            </w:pPr>
            <w:r w:rsidRPr="005B1DE1">
              <w:rPr>
                <w:rFonts w:ascii="Arial" w:hAnsi="Arial" w:cs="Arial"/>
                <w:color w:val="000000"/>
                <w:spacing w:val="-5"/>
                <w:sz w:val="18"/>
                <w:szCs w:val="18"/>
              </w:rPr>
              <w:t>7,980</w:t>
            </w:r>
          </w:p>
        </w:tc>
      </w:tr>
    </w:tbl>
    <w:p w:rsidR="002B6E0F" w:rsidRPr="006010C1" w:rsidRDefault="002B6E0F"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sz w:val="18"/>
          <w:szCs w:val="18"/>
          <w:lang w:val="en-IE"/>
        </w:rPr>
      </w:pPr>
      <w:r w:rsidRPr="006010C1">
        <w:rPr>
          <w:rFonts w:ascii="Arial" w:hAnsi="Arial" w:cs="Arial"/>
          <w:sz w:val="18"/>
          <w:szCs w:val="18"/>
          <w:lang w:val="en-IE"/>
        </w:rPr>
        <w:t>The table above shows how we calculate adjusted EPS and adjusted earnings. The above amounts are net of tax, if applicable.</w:t>
      </w:r>
    </w:p>
    <w:p w:rsidR="00AE1C0F" w:rsidRPr="006010C1" w:rsidRDefault="007D2E59"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sz w:val="20"/>
          <w:szCs w:val="20"/>
          <w:lang w:val="en-IE"/>
        </w:rPr>
      </w:pPr>
      <w:r>
        <w:rPr>
          <w:rFonts w:ascii="Arial" w:hAnsi="Arial" w:cs="Arial"/>
          <w:b/>
          <w:color w:val="1F497D" w:themeColor="text2"/>
          <w:sz w:val="20"/>
          <w:szCs w:val="20"/>
          <w:lang w:val="en-IE"/>
        </w:rPr>
        <w:t>Group/other</w:t>
      </w:r>
    </w:p>
    <w:p w:rsidR="00791B40" w:rsidRPr="005B1DE1"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Group costs include costs associated with our London based Group teams, the Board of Directors, governance and oversight committees and other costs associated with being a publicly listed company.  </w:t>
      </w:r>
    </w:p>
    <w:p w:rsidR="00AE1C0F" w:rsidRPr="006010C1" w:rsidRDefault="007D2E59"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sz w:val="20"/>
          <w:szCs w:val="20"/>
          <w:lang w:val="en-IE"/>
        </w:rPr>
      </w:pPr>
      <w:r>
        <w:rPr>
          <w:rFonts w:ascii="Arial" w:hAnsi="Arial" w:cs="Arial"/>
          <w:b/>
          <w:color w:val="1F497D" w:themeColor="text2"/>
          <w:sz w:val="20"/>
          <w:szCs w:val="20"/>
          <w:lang w:val="en-IE"/>
        </w:rPr>
        <w:t>Exceptional costs</w:t>
      </w:r>
    </w:p>
    <w:p w:rsidR="00791B40" w:rsidRPr="005B1DE1" w:rsidRDefault="00791B40" w:rsidP="00791B40">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003B70"/>
          <w:spacing w:val="-2"/>
          <w:sz w:val="18"/>
          <w:szCs w:val="18"/>
        </w:rPr>
      </w:pPr>
      <w:r w:rsidRPr="005B1DE1">
        <w:rPr>
          <w:rFonts w:ascii="Arial" w:hAnsi="Arial" w:cs="Arial"/>
          <w:color w:val="000000"/>
          <w:spacing w:val="-2"/>
          <w:sz w:val="18"/>
          <w:szCs w:val="18"/>
        </w:rPr>
        <w:t>Exceptional costs were £8.8 million (2016</w:t>
      </w:r>
      <w:r w:rsidR="00C43661">
        <w:rPr>
          <w:rFonts w:ascii="Arial" w:hAnsi="Arial" w:cs="Arial"/>
          <w:color w:val="000000"/>
          <w:spacing w:val="-2"/>
          <w:sz w:val="18"/>
          <w:szCs w:val="18"/>
        </w:rPr>
        <w:t>:</w:t>
      </w:r>
      <w:r w:rsidRPr="005B1DE1">
        <w:rPr>
          <w:rFonts w:ascii="Arial" w:hAnsi="Arial" w:cs="Arial"/>
          <w:color w:val="000000"/>
          <w:spacing w:val="-2"/>
          <w:sz w:val="18"/>
          <w:szCs w:val="18"/>
        </w:rPr>
        <w:t xml:space="preserve"> £1.7 million), principally driven by remediation costs and legal fees in relation to the ongoing investigation and resolution of legacy issues in relation to Elysian Fuels, pension administration and </w:t>
      </w:r>
      <w:r w:rsidR="0022612E" w:rsidRPr="00567B94">
        <w:rPr>
          <w:rFonts w:ascii="Arial" w:hAnsi="Arial" w:cs="Arial"/>
          <w:color w:val="000000"/>
          <w:spacing w:val="-2"/>
          <w:sz w:val="18"/>
          <w:szCs w:val="18"/>
        </w:rPr>
        <w:t>advice on historical pension transfers where there are safeguarded benefits</w:t>
      </w:r>
      <w:r w:rsidR="0022612E" w:rsidDel="00DA0B34">
        <w:rPr>
          <w:rFonts w:ascii="Gotham-Light" w:hAnsi="Gotham-Light" w:cs="Gotham-Light"/>
          <w:color w:val="000000"/>
          <w:spacing w:val="-2"/>
          <w:sz w:val="16"/>
          <w:szCs w:val="16"/>
        </w:rPr>
        <w:t xml:space="preserve"> </w:t>
      </w:r>
      <w:r w:rsidRPr="005B1DE1">
        <w:rPr>
          <w:rFonts w:ascii="Arial" w:hAnsi="Arial" w:cs="Arial"/>
          <w:color w:val="000000"/>
          <w:spacing w:val="-2"/>
          <w:sz w:val="18"/>
          <w:szCs w:val="18"/>
        </w:rPr>
        <w:t xml:space="preserve"> (£5.4 million), previously announced James Hay redundancy costs (£1.3 million), consultancy fees paid in relation to the detailed review of legacy matters (£1.5 million), legal costs in relation to the First Names claim (£0.5 million, including £0.3m of costs awarded to First Names) and closure costs associated with the Dublin and Swavesey offices (£0.1 million).  </w:t>
      </w:r>
    </w:p>
    <w:p w:rsidR="00AE1C0F" w:rsidRPr="006010C1" w:rsidRDefault="007D2E59"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sz w:val="20"/>
          <w:szCs w:val="20"/>
          <w:lang w:val="en-IE"/>
        </w:rPr>
      </w:pPr>
      <w:r>
        <w:rPr>
          <w:rFonts w:ascii="Arial" w:hAnsi="Arial" w:cs="Arial"/>
          <w:b/>
          <w:color w:val="1F497D" w:themeColor="text2"/>
          <w:sz w:val="20"/>
          <w:szCs w:val="20"/>
          <w:lang w:val="en-IE"/>
        </w:rPr>
        <w:t>Tax</w:t>
      </w:r>
    </w:p>
    <w:p w:rsidR="00791B40" w:rsidRPr="005B1DE1" w:rsidRDefault="00791B40" w:rsidP="00791B40">
      <w:pPr>
        <w:autoSpaceDE w:val="0"/>
        <w:autoSpaceDN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effective tax rate for the Group reduced to 11.3% from 18.5% in the prior year. The effective reduction in rate is primarily due to a reduction in non-allowable expenses related to exceptional costs which were expensed in UK subsidiaries. While mindful of our obligations to Shareholders to ensure tax efficiency, we use only legitimate tax reliefs for the purposes for which they were intended and do not take part in aggressive tax planning or condone tax avoidance as both would contravene our cultural values. See note </w:t>
      </w:r>
      <w:r w:rsidR="00481FE8">
        <w:rPr>
          <w:rFonts w:ascii="Arial" w:hAnsi="Arial" w:cs="Arial"/>
          <w:color w:val="000000"/>
          <w:spacing w:val="-2"/>
          <w:sz w:val="18"/>
          <w:szCs w:val="18"/>
        </w:rPr>
        <w:t>5</w:t>
      </w:r>
      <w:r w:rsidRPr="005B1DE1">
        <w:rPr>
          <w:rFonts w:ascii="Arial" w:hAnsi="Arial" w:cs="Arial"/>
          <w:color w:val="000000"/>
          <w:spacing w:val="-2"/>
          <w:sz w:val="18"/>
          <w:szCs w:val="18"/>
        </w:rPr>
        <w:t xml:space="preserve"> for a full reconciliation of income tax.</w:t>
      </w:r>
    </w:p>
    <w:p w:rsidR="00D2103E" w:rsidRPr="006C3343" w:rsidRDefault="00D2103E" w:rsidP="004271C7">
      <w:pPr>
        <w:spacing w:after="0" w:line="240" w:lineRule="auto"/>
        <w:jc w:val="both"/>
        <w:rPr>
          <w:rFonts w:ascii="Arial" w:hAnsi="Arial" w:cs="Arial"/>
          <w:sz w:val="20"/>
          <w:szCs w:val="20"/>
          <w:lang w:val="en-IE"/>
        </w:rPr>
      </w:pPr>
    </w:p>
    <w:p w:rsidR="00DB3027" w:rsidRDefault="00DB3027" w:rsidP="004271C7">
      <w:pPr>
        <w:spacing w:after="0" w:line="240" w:lineRule="auto"/>
        <w:jc w:val="both"/>
        <w:rPr>
          <w:rFonts w:ascii="Arial" w:hAnsi="Arial" w:cs="Arial"/>
          <w:b/>
          <w:color w:val="1F497D" w:themeColor="text2"/>
          <w:sz w:val="20"/>
          <w:szCs w:val="20"/>
          <w:lang w:val="en-IE"/>
        </w:rPr>
      </w:pPr>
    </w:p>
    <w:p w:rsidR="004A108E" w:rsidRPr="00A95934" w:rsidRDefault="007D2E59" w:rsidP="004271C7">
      <w:pPr>
        <w:spacing w:after="0" w:line="240" w:lineRule="auto"/>
        <w:jc w:val="both"/>
        <w:rPr>
          <w:rFonts w:ascii="Arial" w:hAnsi="Arial" w:cs="Arial"/>
          <w:i/>
          <w:sz w:val="20"/>
          <w:szCs w:val="20"/>
          <w:lang w:val="en-IE"/>
        </w:rPr>
      </w:pPr>
      <w:r>
        <w:rPr>
          <w:rFonts w:ascii="Arial" w:hAnsi="Arial" w:cs="Arial"/>
          <w:b/>
          <w:color w:val="1F497D" w:themeColor="text2"/>
          <w:sz w:val="20"/>
          <w:szCs w:val="20"/>
          <w:lang w:val="en-IE"/>
        </w:rPr>
        <w:t>Cash flows</w:t>
      </w:r>
    </w:p>
    <w:tbl>
      <w:tblPr>
        <w:tblStyle w:val="TableGrid"/>
        <w:tblW w:w="49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4"/>
        <w:gridCol w:w="1298"/>
        <w:gridCol w:w="1296"/>
      </w:tblGrid>
      <w:tr w:rsidR="00DB5E88" w:rsidRPr="002F4B11" w:rsidTr="00027DF8">
        <w:trPr>
          <w:trHeight w:hRule="exact" w:val="328"/>
        </w:trPr>
        <w:tc>
          <w:tcPr>
            <w:tcW w:w="3785" w:type="pct"/>
            <w:vAlign w:val="center"/>
          </w:tcPr>
          <w:p w:rsidR="00DB5E88" w:rsidRPr="006010C1" w:rsidRDefault="00DB5E88" w:rsidP="00CF3091">
            <w:pPr>
              <w:spacing w:after="184"/>
              <w:jc w:val="both"/>
              <w:rPr>
                <w:rFonts w:ascii="Arial" w:hAnsi="Arial" w:cs="Arial"/>
                <w:b/>
                <w:sz w:val="18"/>
                <w:szCs w:val="18"/>
                <w:lang w:val="en-IE"/>
              </w:rPr>
            </w:pPr>
          </w:p>
        </w:tc>
        <w:tc>
          <w:tcPr>
            <w:tcW w:w="608" w:type="pct"/>
            <w:shd w:val="clear" w:color="auto" w:fill="auto"/>
            <w:vAlign w:val="center"/>
          </w:tcPr>
          <w:p w:rsidR="00DB5E88" w:rsidRPr="006010C1" w:rsidRDefault="00DB5E88" w:rsidP="0035190F">
            <w:pPr>
              <w:spacing w:after="184"/>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791B40">
              <w:rPr>
                <w:rFonts w:ascii="Arial" w:hAnsi="Arial" w:cs="Arial"/>
                <w:b/>
                <w:color w:val="1F497D" w:themeColor="text2"/>
                <w:sz w:val="18"/>
                <w:szCs w:val="18"/>
                <w:lang w:val="en-IE"/>
              </w:rPr>
              <w:t>7</w:t>
            </w:r>
          </w:p>
        </w:tc>
        <w:tc>
          <w:tcPr>
            <w:tcW w:w="607" w:type="pct"/>
            <w:vAlign w:val="center"/>
          </w:tcPr>
          <w:p w:rsidR="00DB5E88" w:rsidRPr="006010C1" w:rsidRDefault="00DB5E88" w:rsidP="0035190F">
            <w:pPr>
              <w:spacing w:after="184"/>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791B40">
              <w:rPr>
                <w:rFonts w:ascii="Arial" w:hAnsi="Arial" w:cs="Arial"/>
                <w:color w:val="1F497D" w:themeColor="text2"/>
                <w:sz w:val="18"/>
                <w:szCs w:val="18"/>
                <w:lang w:val="en-IE"/>
              </w:rPr>
              <w:t>6</w:t>
            </w:r>
          </w:p>
        </w:tc>
      </w:tr>
      <w:tr w:rsidR="00DB5E88" w:rsidRPr="002F4B11" w:rsidTr="00027DF8">
        <w:trPr>
          <w:trHeight w:hRule="exact" w:val="328"/>
        </w:trPr>
        <w:tc>
          <w:tcPr>
            <w:tcW w:w="3785" w:type="pct"/>
            <w:vAlign w:val="center"/>
          </w:tcPr>
          <w:p w:rsidR="00DB5E88" w:rsidRPr="006010C1" w:rsidRDefault="00DB5E88">
            <w:pPr>
              <w:spacing w:after="184"/>
              <w:jc w:val="both"/>
              <w:rPr>
                <w:rFonts w:ascii="Arial" w:hAnsi="Arial" w:cs="Arial"/>
                <w:b/>
                <w:sz w:val="18"/>
                <w:szCs w:val="18"/>
                <w:lang w:val="en-IE"/>
              </w:rPr>
            </w:pPr>
          </w:p>
        </w:tc>
        <w:tc>
          <w:tcPr>
            <w:tcW w:w="608" w:type="pct"/>
            <w:shd w:val="clear" w:color="auto" w:fill="auto"/>
            <w:vAlign w:val="center"/>
          </w:tcPr>
          <w:p w:rsidR="00DB5E88" w:rsidRPr="006010C1" w:rsidRDefault="00DB5E88">
            <w:pPr>
              <w:autoSpaceDE w:val="0"/>
              <w:autoSpaceDN w:val="0"/>
              <w:adjustRightInd w:val="0"/>
              <w:spacing w:after="184"/>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607" w:type="pct"/>
            <w:vAlign w:val="center"/>
          </w:tcPr>
          <w:p w:rsidR="00DB5E88" w:rsidRPr="006010C1" w:rsidRDefault="00DB5E88">
            <w:pPr>
              <w:autoSpaceDE w:val="0"/>
              <w:autoSpaceDN w:val="0"/>
              <w:adjustRightInd w:val="0"/>
              <w:spacing w:after="184"/>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BC4349" w:rsidRPr="002F4B11" w:rsidTr="00027DF8">
        <w:trPr>
          <w:trHeight w:hRule="exact" w:val="328"/>
        </w:trPr>
        <w:tc>
          <w:tcPr>
            <w:tcW w:w="3785" w:type="pct"/>
          </w:tcPr>
          <w:p w:rsidR="00BC4349" w:rsidRPr="006010C1" w:rsidRDefault="00BC4349" w:rsidP="00643908">
            <w:pPr>
              <w:autoSpaceDE w:val="0"/>
              <w:autoSpaceDN w:val="0"/>
              <w:adjustRightInd w:val="0"/>
              <w:rPr>
                <w:rFonts w:ascii="Arial" w:hAnsi="Arial" w:cs="Arial"/>
                <w:sz w:val="18"/>
                <w:szCs w:val="18"/>
                <w:lang w:val="en-IE"/>
              </w:rPr>
            </w:pPr>
            <w:r w:rsidRPr="006010C1">
              <w:rPr>
                <w:rFonts w:ascii="Arial" w:hAnsi="Arial" w:cs="Arial"/>
                <w:sz w:val="18"/>
                <w:szCs w:val="18"/>
                <w:lang w:val="en-IE"/>
              </w:rPr>
              <w:t>Cash flows from operating activities</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10,132</w:t>
            </w:r>
          </w:p>
        </w:tc>
        <w:tc>
          <w:tcPr>
            <w:tcW w:w="607" w:type="pct"/>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11,769</w:t>
            </w:r>
          </w:p>
        </w:tc>
      </w:tr>
      <w:tr w:rsidR="00BC4349" w:rsidRPr="002F4B11" w:rsidTr="00027DF8">
        <w:trPr>
          <w:trHeight w:hRule="exact" w:val="328"/>
        </w:trPr>
        <w:tc>
          <w:tcPr>
            <w:tcW w:w="3785" w:type="pct"/>
            <w:tcBorders>
              <w:bottom w:val="single" w:sz="4" w:space="0" w:color="auto"/>
            </w:tcBorders>
          </w:tcPr>
          <w:p w:rsidR="00BC4349" w:rsidRPr="006010C1" w:rsidRDefault="0005325D" w:rsidP="00643908">
            <w:pPr>
              <w:autoSpaceDE w:val="0"/>
              <w:autoSpaceDN w:val="0"/>
              <w:adjustRightInd w:val="0"/>
              <w:rPr>
                <w:rFonts w:ascii="Arial" w:hAnsi="Arial" w:cs="Arial"/>
                <w:sz w:val="18"/>
                <w:szCs w:val="18"/>
                <w:lang w:val="en-IE"/>
              </w:rPr>
            </w:pPr>
            <w:r>
              <w:rPr>
                <w:rFonts w:ascii="Arial" w:hAnsi="Arial" w:cs="Arial"/>
                <w:sz w:val="18"/>
                <w:szCs w:val="18"/>
                <w:lang w:val="en-IE"/>
              </w:rPr>
              <w:t>C</w:t>
            </w:r>
            <w:r w:rsidR="00BC4349" w:rsidRPr="006010C1">
              <w:rPr>
                <w:rFonts w:ascii="Arial" w:hAnsi="Arial" w:cs="Arial"/>
                <w:sz w:val="18"/>
                <w:szCs w:val="18"/>
                <w:lang w:val="en-IE"/>
              </w:rPr>
              <w:t>apital expenditure</w:t>
            </w:r>
          </w:p>
        </w:tc>
        <w:tc>
          <w:tcPr>
            <w:tcW w:w="608" w:type="pct"/>
            <w:tcBorders>
              <w:bottom w:val="single" w:sz="4" w:space="0" w:color="auto"/>
            </w:tcBorders>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(4,388)</w:t>
            </w:r>
          </w:p>
        </w:tc>
        <w:tc>
          <w:tcPr>
            <w:tcW w:w="607" w:type="pct"/>
            <w:tcBorders>
              <w:bottom w:val="single" w:sz="4" w:space="0" w:color="auto"/>
            </w:tcBorders>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(6,236)</w:t>
            </w:r>
          </w:p>
        </w:tc>
      </w:tr>
      <w:tr w:rsidR="00BC4349" w:rsidRPr="002F4B11" w:rsidTr="00027DF8">
        <w:trPr>
          <w:trHeight w:hRule="exact" w:val="328"/>
        </w:trPr>
        <w:tc>
          <w:tcPr>
            <w:tcW w:w="3785" w:type="pct"/>
            <w:tcBorders>
              <w:top w:val="single" w:sz="4" w:space="0" w:color="auto"/>
            </w:tcBorders>
          </w:tcPr>
          <w:p w:rsidR="00BC4349" w:rsidRPr="006010C1" w:rsidRDefault="00BC4349" w:rsidP="00643908">
            <w:pPr>
              <w:autoSpaceDE w:val="0"/>
              <w:autoSpaceDN w:val="0"/>
              <w:adjustRightInd w:val="0"/>
              <w:rPr>
                <w:rFonts w:ascii="Arial" w:hAnsi="Arial" w:cs="Arial"/>
                <w:sz w:val="18"/>
                <w:szCs w:val="18"/>
                <w:lang w:val="en-IE"/>
              </w:rPr>
            </w:pPr>
            <w:r w:rsidRPr="006010C1">
              <w:rPr>
                <w:rFonts w:ascii="Arial" w:hAnsi="Arial" w:cs="Arial"/>
                <w:b/>
                <w:sz w:val="18"/>
                <w:szCs w:val="18"/>
                <w:lang w:val="en-IE"/>
              </w:rPr>
              <w:t>Free cash flow</w:t>
            </w:r>
          </w:p>
        </w:tc>
        <w:tc>
          <w:tcPr>
            <w:tcW w:w="608" w:type="pct"/>
            <w:tcBorders>
              <w:top w:val="single" w:sz="4" w:space="0" w:color="auto"/>
            </w:tcBorders>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5,744</w:t>
            </w:r>
          </w:p>
        </w:tc>
        <w:tc>
          <w:tcPr>
            <w:tcW w:w="607" w:type="pct"/>
            <w:tcBorders>
              <w:top w:val="single" w:sz="4" w:space="0" w:color="auto"/>
            </w:tcBorders>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5,533</w:t>
            </w:r>
          </w:p>
        </w:tc>
      </w:tr>
      <w:tr w:rsidR="00BC4349" w:rsidRPr="002F4B11" w:rsidTr="00027DF8">
        <w:trPr>
          <w:trHeight w:hRule="exact" w:val="328"/>
        </w:trPr>
        <w:tc>
          <w:tcPr>
            <w:tcW w:w="3785" w:type="pct"/>
          </w:tcPr>
          <w:p w:rsidR="00BC4349" w:rsidRPr="006010C1" w:rsidRDefault="00BC4349" w:rsidP="00643908">
            <w:pPr>
              <w:tabs>
                <w:tab w:val="left" w:pos="5880"/>
              </w:tabs>
              <w:autoSpaceDE w:val="0"/>
              <w:autoSpaceDN w:val="0"/>
              <w:adjustRightInd w:val="0"/>
              <w:rPr>
                <w:rFonts w:ascii="Arial" w:hAnsi="Arial" w:cs="Arial"/>
                <w:sz w:val="18"/>
                <w:szCs w:val="18"/>
                <w:lang w:val="en-IE"/>
              </w:rPr>
            </w:pPr>
            <w:r w:rsidRPr="006010C1">
              <w:rPr>
                <w:rFonts w:ascii="Arial" w:hAnsi="Arial" w:cs="Arial"/>
                <w:sz w:val="18"/>
                <w:szCs w:val="18"/>
                <w:lang w:val="en-IE"/>
              </w:rPr>
              <w:t>Interest and tax</w:t>
            </w:r>
            <w:r w:rsidRPr="006010C1">
              <w:rPr>
                <w:rFonts w:ascii="Arial" w:hAnsi="Arial" w:cs="Arial"/>
                <w:sz w:val="18"/>
                <w:szCs w:val="18"/>
                <w:lang w:val="en-IE"/>
              </w:rPr>
              <w:tab/>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(2,213)</w:t>
            </w:r>
          </w:p>
        </w:tc>
        <w:tc>
          <w:tcPr>
            <w:tcW w:w="607" w:type="pct"/>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229</w:t>
            </w:r>
          </w:p>
        </w:tc>
      </w:tr>
      <w:tr w:rsidR="00BC4349" w:rsidRPr="002F4B11" w:rsidTr="00027DF8">
        <w:trPr>
          <w:trHeight w:hRule="exact" w:val="328"/>
        </w:trPr>
        <w:tc>
          <w:tcPr>
            <w:tcW w:w="3785" w:type="pct"/>
          </w:tcPr>
          <w:p w:rsidR="00BC4349" w:rsidRPr="006010C1" w:rsidRDefault="00BC4349" w:rsidP="00643908">
            <w:pPr>
              <w:tabs>
                <w:tab w:val="left" w:pos="5880"/>
              </w:tabs>
              <w:autoSpaceDE w:val="0"/>
              <w:autoSpaceDN w:val="0"/>
              <w:adjustRightInd w:val="0"/>
              <w:rPr>
                <w:rFonts w:ascii="Arial" w:hAnsi="Arial" w:cs="Arial"/>
                <w:sz w:val="18"/>
                <w:szCs w:val="18"/>
                <w:lang w:val="en-IE"/>
              </w:rPr>
            </w:pPr>
            <w:r w:rsidRPr="006010C1">
              <w:rPr>
                <w:rFonts w:ascii="Arial" w:hAnsi="Arial" w:cs="Arial"/>
                <w:sz w:val="18"/>
                <w:szCs w:val="18"/>
                <w:lang w:val="en-IE"/>
              </w:rPr>
              <w:t>Dividend from associate</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w:t>
            </w:r>
          </w:p>
        </w:tc>
        <w:tc>
          <w:tcPr>
            <w:tcW w:w="607" w:type="pct"/>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242</w:t>
            </w:r>
          </w:p>
        </w:tc>
      </w:tr>
      <w:tr w:rsidR="00BC4349" w:rsidRPr="002F4B11" w:rsidTr="00027DF8">
        <w:trPr>
          <w:trHeight w:hRule="exact" w:val="339"/>
        </w:trPr>
        <w:tc>
          <w:tcPr>
            <w:tcW w:w="3785" w:type="pct"/>
          </w:tcPr>
          <w:p w:rsidR="00BC4349" w:rsidRPr="006010C1" w:rsidRDefault="00BC4349" w:rsidP="00643908">
            <w:pPr>
              <w:autoSpaceDE w:val="0"/>
              <w:autoSpaceDN w:val="0"/>
              <w:adjustRightInd w:val="0"/>
              <w:rPr>
                <w:rFonts w:ascii="Arial" w:hAnsi="Arial" w:cs="Arial"/>
                <w:sz w:val="18"/>
                <w:szCs w:val="18"/>
                <w:lang w:val="en-IE"/>
              </w:rPr>
            </w:pPr>
            <w:r w:rsidRPr="006010C1">
              <w:rPr>
                <w:rFonts w:ascii="Arial" w:hAnsi="Arial" w:cs="Arial"/>
                <w:sz w:val="18"/>
                <w:szCs w:val="18"/>
                <w:lang w:val="en-IE"/>
              </w:rPr>
              <w:t>Disposals of subsidiaries</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550</w:t>
            </w:r>
          </w:p>
        </w:tc>
        <w:tc>
          <w:tcPr>
            <w:tcW w:w="607" w:type="pct"/>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(66)</w:t>
            </w:r>
          </w:p>
        </w:tc>
      </w:tr>
      <w:tr w:rsidR="00BC4349" w:rsidRPr="002F4B11" w:rsidTr="00027DF8">
        <w:trPr>
          <w:trHeight w:hRule="exact" w:val="339"/>
        </w:trPr>
        <w:tc>
          <w:tcPr>
            <w:tcW w:w="3785" w:type="pct"/>
          </w:tcPr>
          <w:p w:rsidR="00BC4349" w:rsidRPr="006010C1" w:rsidRDefault="00BC4349" w:rsidP="00643908">
            <w:pPr>
              <w:autoSpaceDE w:val="0"/>
              <w:autoSpaceDN w:val="0"/>
              <w:adjustRightInd w:val="0"/>
              <w:rPr>
                <w:rFonts w:ascii="Arial" w:hAnsi="Arial" w:cs="Arial"/>
                <w:sz w:val="18"/>
                <w:szCs w:val="18"/>
                <w:lang w:val="en-IE"/>
              </w:rPr>
            </w:pPr>
            <w:r>
              <w:rPr>
                <w:rFonts w:ascii="Arial" w:hAnsi="Arial" w:cs="Arial"/>
                <w:sz w:val="18"/>
                <w:szCs w:val="18"/>
                <w:lang w:val="en-IE"/>
              </w:rPr>
              <w:t>Deferred consideration</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4,037</w:t>
            </w:r>
          </w:p>
        </w:tc>
        <w:tc>
          <w:tcPr>
            <w:tcW w:w="607" w:type="pct"/>
          </w:tcPr>
          <w:p w:rsidR="00BC4349" w:rsidRPr="00BC4349" w:rsidRDefault="00BC4349" w:rsidP="00643908">
            <w:pPr>
              <w:autoSpaceDE w:val="0"/>
              <w:autoSpaceDN w:val="0"/>
              <w:adjustRightInd w:val="0"/>
              <w:jc w:val="right"/>
              <w:rPr>
                <w:rFonts w:ascii="Arial" w:hAnsi="Arial" w:cs="Arial"/>
                <w:sz w:val="18"/>
                <w:szCs w:val="18"/>
                <w:lang w:val="en-IE"/>
              </w:rPr>
            </w:pPr>
            <w:r>
              <w:rPr>
                <w:rFonts w:ascii="Arial" w:hAnsi="Arial" w:cs="Arial"/>
                <w:sz w:val="18"/>
                <w:szCs w:val="18"/>
                <w:lang w:val="en-IE"/>
              </w:rPr>
              <w:t>-</w:t>
            </w:r>
          </w:p>
        </w:tc>
      </w:tr>
      <w:tr w:rsidR="00BC4349" w:rsidRPr="002F4B11" w:rsidTr="00027DF8">
        <w:trPr>
          <w:trHeight w:hRule="exact" w:val="339"/>
        </w:trPr>
        <w:tc>
          <w:tcPr>
            <w:tcW w:w="3785" w:type="pct"/>
          </w:tcPr>
          <w:p w:rsidR="00BC4349" w:rsidRDefault="00BC4349" w:rsidP="00643908">
            <w:pPr>
              <w:autoSpaceDE w:val="0"/>
              <w:autoSpaceDN w:val="0"/>
              <w:adjustRightInd w:val="0"/>
              <w:rPr>
                <w:rFonts w:ascii="Arial" w:hAnsi="Arial" w:cs="Arial"/>
                <w:sz w:val="18"/>
                <w:szCs w:val="18"/>
                <w:lang w:val="en-IE"/>
              </w:rPr>
            </w:pPr>
            <w:r>
              <w:rPr>
                <w:rFonts w:ascii="Arial" w:hAnsi="Arial" w:cs="Arial"/>
                <w:sz w:val="18"/>
                <w:szCs w:val="18"/>
                <w:lang w:val="en-IE"/>
              </w:rPr>
              <w:t>Head office restructuring and exceptional costs</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(6,650)</w:t>
            </w:r>
          </w:p>
        </w:tc>
        <w:tc>
          <w:tcPr>
            <w:tcW w:w="607" w:type="pct"/>
          </w:tcPr>
          <w:p w:rsidR="00BC4349" w:rsidRPr="00BC4349" w:rsidRDefault="00BC4349" w:rsidP="00643908">
            <w:pPr>
              <w:autoSpaceDE w:val="0"/>
              <w:autoSpaceDN w:val="0"/>
              <w:adjustRightInd w:val="0"/>
              <w:jc w:val="right"/>
              <w:rPr>
                <w:rFonts w:ascii="Arial" w:hAnsi="Arial" w:cs="Arial"/>
                <w:sz w:val="18"/>
                <w:szCs w:val="18"/>
                <w:lang w:val="en-IE"/>
              </w:rPr>
            </w:pPr>
            <w:r>
              <w:rPr>
                <w:rFonts w:ascii="Arial" w:hAnsi="Arial" w:cs="Arial"/>
                <w:sz w:val="18"/>
                <w:szCs w:val="18"/>
                <w:lang w:val="en-IE"/>
              </w:rPr>
              <w:t>-</w:t>
            </w:r>
          </w:p>
        </w:tc>
      </w:tr>
      <w:tr w:rsidR="00BC4349" w:rsidRPr="002F4B11" w:rsidTr="00027DF8">
        <w:trPr>
          <w:trHeight w:hRule="exact" w:val="339"/>
        </w:trPr>
        <w:tc>
          <w:tcPr>
            <w:tcW w:w="3785" w:type="pct"/>
          </w:tcPr>
          <w:p w:rsidR="00BC4349" w:rsidRPr="006010C1" w:rsidRDefault="00BC4349" w:rsidP="00643908">
            <w:pPr>
              <w:autoSpaceDE w:val="0"/>
              <w:autoSpaceDN w:val="0"/>
              <w:adjustRightInd w:val="0"/>
              <w:rPr>
                <w:rFonts w:ascii="Arial" w:hAnsi="Arial" w:cs="Arial"/>
                <w:sz w:val="18"/>
                <w:szCs w:val="18"/>
                <w:lang w:val="en-IE"/>
              </w:rPr>
            </w:pPr>
            <w:r w:rsidRPr="006010C1">
              <w:rPr>
                <w:rFonts w:ascii="Arial" w:hAnsi="Arial" w:cs="Arial"/>
                <w:sz w:val="18"/>
                <w:szCs w:val="18"/>
                <w:lang w:val="en-IE"/>
              </w:rPr>
              <w:t>Dividends paid</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(5,217)</w:t>
            </w:r>
          </w:p>
        </w:tc>
        <w:tc>
          <w:tcPr>
            <w:tcW w:w="607" w:type="pct"/>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(5,106)</w:t>
            </w:r>
          </w:p>
        </w:tc>
      </w:tr>
      <w:tr w:rsidR="00BC4349" w:rsidRPr="002F4B11" w:rsidTr="00027DF8">
        <w:trPr>
          <w:trHeight w:hRule="exact" w:val="339"/>
        </w:trPr>
        <w:tc>
          <w:tcPr>
            <w:tcW w:w="3785" w:type="pct"/>
          </w:tcPr>
          <w:p w:rsidR="00BC4349" w:rsidRPr="006010C1" w:rsidRDefault="00BC4349" w:rsidP="00643908">
            <w:pPr>
              <w:autoSpaceDE w:val="0"/>
              <w:autoSpaceDN w:val="0"/>
              <w:adjustRightInd w:val="0"/>
              <w:rPr>
                <w:rFonts w:ascii="Arial" w:hAnsi="Arial" w:cs="Arial"/>
                <w:sz w:val="18"/>
                <w:szCs w:val="18"/>
                <w:lang w:val="en-IE"/>
              </w:rPr>
            </w:pPr>
            <w:r w:rsidRPr="006010C1">
              <w:rPr>
                <w:rFonts w:ascii="Arial" w:hAnsi="Arial" w:cs="Arial"/>
                <w:sz w:val="18"/>
                <w:szCs w:val="18"/>
                <w:lang w:val="en-IE"/>
              </w:rPr>
              <w:t>Repayment of borrowings</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w:t>
            </w:r>
          </w:p>
        </w:tc>
        <w:tc>
          <w:tcPr>
            <w:tcW w:w="607" w:type="pct"/>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(7,000)</w:t>
            </w:r>
          </w:p>
        </w:tc>
      </w:tr>
      <w:tr w:rsidR="00BC4349" w:rsidRPr="002F4B11" w:rsidTr="00027DF8">
        <w:trPr>
          <w:trHeight w:hRule="exact" w:val="339"/>
        </w:trPr>
        <w:tc>
          <w:tcPr>
            <w:tcW w:w="3785" w:type="pct"/>
          </w:tcPr>
          <w:p w:rsidR="00BC4349" w:rsidRPr="006010C1" w:rsidRDefault="00BC4349" w:rsidP="00643908">
            <w:pPr>
              <w:autoSpaceDE w:val="0"/>
              <w:autoSpaceDN w:val="0"/>
              <w:adjustRightInd w:val="0"/>
              <w:rPr>
                <w:rFonts w:ascii="Arial" w:hAnsi="Arial" w:cs="Arial"/>
                <w:sz w:val="18"/>
                <w:szCs w:val="18"/>
                <w:lang w:val="en-IE"/>
              </w:rPr>
            </w:pPr>
            <w:r>
              <w:rPr>
                <w:rFonts w:ascii="Arial" w:hAnsi="Arial" w:cs="Arial"/>
                <w:sz w:val="18"/>
                <w:szCs w:val="18"/>
                <w:lang w:val="en-IE"/>
              </w:rPr>
              <w:t xml:space="preserve">Cash settlement </w:t>
            </w:r>
            <w:r w:rsidR="00BD34FF">
              <w:rPr>
                <w:rFonts w:ascii="Arial" w:hAnsi="Arial" w:cs="Arial"/>
                <w:sz w:val="18"/>
                <w:szCs w:val="18"/>
                <w:lang w:val="en-IE"/>
              </w:rPr>
              <w:t>o</w:t>
            </w:r>
            <w:r>
              <w:rPr>
                <w:rFonts w:ascii="Arial" w:hAnsi="Arial" w:cs="Arial"/>
                <w:sz w:val="18"/>
                <w:szCs w:val="18"/>
                <w:lang w:val="en-IE"/>
              </w:rPr>
              <w:t>f share awards</w:t>
            </w:r>
          </w:p>
        </w:tc>
        <w:tc>
          <w:tcPr>
            <w:tcW w:w="608" w:type="pct"/>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(35)</w:t>
            </w:r>
          </w:p>
        </w:tc>
        <w:tc>
          <w:tcPr>
            <w:tcW w:w="607" w:type="pct"/>
          </w:tcPr>
          <w:p w:rsidR="00BC4349" w:rsidRPr="00BC4349" w:rsidRDefault="00BC4349" w:rsidP="00643908">
            <w:pPr>
              <w:autoSpaceDE w:val="0"/>
              <w:autoSpaceDN w:val="0"/>
              <w:adjustRightInd w:val="0"/>
              <w:jc w:val="right"/>
              <w:rPr>
                <w:rFonts w:ascii="Arial" w:hAnsi="Arial" w:cs="Arial"/>
                <w:sz w:val="18"/>
                <w:szCs w:val="18"/>
                <w:lang w:val="en-IE"/>
              </w:rPr>
            </w:pPr>
            <w:r>
              <w:rPr>
                <w:rFonts w:ascii="Arial" w:hAnsi="Arial" w:cs="Arial"/>
                <w:sz w:val="18"/>
                <w:szCs w:val="18"/>
                <w:lang w:val="en-IE"/>
              </w:rPr>
              <w:t>-</w:t>
            </w:r>
          </w:p>
        </w:tc>
      </w:tr>
      <w:tr w:rsidR="00BC4349" w:rsidRPr="002F4B11" w:rsidTr="00027DF8">
        <w:trPr>
          <w:trHeight w:hRule="exact" w:val="339"/>
        </w:trPr>
        <w:tc>
          <w:tcPr>
            <w:tcW w:w="3785" w:type="pct"/>
            <w:tcBorders>
              <w:bottom w:val="single" w:sz="4" w:space="0" w:color="auto"/>
            </w:tcBorders>
          </w:tcPr>
          <w:p w:rsidR="00BC4349" w:rsidRPr="006010C1" w:rsidRDefault="00BC4349" w:rsidP="00643908">
            <w:pPr>
              <w:autoSpaceDE w:val="0"/>
              <w:autoSpaceDN w:val="0"/>
              <w:adjustRightInd w:val="0"/>
              <w:rPr>
                <w:rFonts w:ascii="Arial" w:hAnsi="Arial" w:cs="Arial"/>
                <w:sz w:val="18"/>
                <w:szCs w:val="18"/>
                <w:lang w:val="en-IE"/>
              </w:rPr>
            </w:pPr>
            <w:r w:rsidRPr="006010C1">
              <w:rPr>
                <w:rFonts w:ascii="Arial" w:hAnsi="Arial" w:cs="Arial"/>
                <w:sz w:val="18"/>
                <w:szCs w:val="18"/>
                <w:lang w:val="en-IE"/>
              </w:rPr>
              <w:t>Share issues</w:t>
            </w:r>
          </w:p>
        </w:tc>
        <w:tc>
          <w:tcPr>
            <w:tcW w:w="608" w:type="pct"/>
            <w:tcBorders>
              <w:bottom w:val="single" w:sz="4" w:space="0" w:color="auto"/>
            </w:tcBorders>
            <w:shd w:val="clear" w:color="auto" w:fill="auto"/>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w:t>
            </w:r>
          </w:p>
        </w:tc>
        <w:tc>
          <w:tcPr>
            <w:tcW w:w="607" w:type="pct"/>
            <w:tcBorders>
              <w:bottom w:val="single" w:sz="4" w:space="0" w:color="auto"/>
            </w:tcBorders>
          </w:tcPr>
          <w:p w:rsidR="00BC4349" w:rsidRPr="00791B40" w:rsidRDefault="00BC4349" w:rsidP="00643908">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162</w:t>
            </w:r>
          </w:p>
        </w:tc>
      </w:tr>
      <w:tr w:rsidR="00BC4349" w:rsidRPr="002F4B11" w:rsidTr="00027DF8">
        <w:trPr>
          <w:trHeight w:hRule="exact" w:val="339"/>
        </w:trPr>
        <w:tc>
          <w:tcPr>
            <w:tcW w:w="3785" w:type="pct"/>
            <w:tcBorders>
              <w:top w:val="single" w:sz="4" w:space="0" w:color="auto"/>
              <w:bottom w:val="single" w:sz="4" w:space="0" w:color="auto"/>
            </w:tcBorders>
            <w:vAlign w:val="center"/>
          </w:tcPr>
          <w:p w:rsidR="00BC4349" w:rsidRPr="006010C1" w:rsidRDefault="00BC4349" w:rsidP="00BC4349">
            <w:pPr>
              <w:autoSpaceDE w:val="0"/>
              <w:autoSpaceDN w:val="0"/>
              <w:adjustRightInd w:val="0"/>
              <w:jc w:val="both"/>
              <w:rPr>
                <w:rFonts w:ascii="Arial" w:hAnsi="Arial" w:cs="Arial"/>
                <w:b/>
                <w:sz w:val="18"/>
                <w:szCs w:val="18"/>
                <w:lang w:val="en-IE"/>
              </w:rPr>
            </w:pPr>
            <w:r w:rsidRPr="006010C1">
              <w:rPr>
                <w:rFonts w:ascii="Arial" w:hAnsi="Arial" w:cs="Arial"/>
                <w:b/>
                <w:sz w:val="18"/>
                <w:szCs w:val="18"/>
                <w:lang w:val="en-IE"/>
              </w:rPr>
              <w:t>Net cash outflow</w:t>
            </w:r>
          </w:p>
        </w:tc>
        <w:tc>
          <w:tcPr>
            <w:tcW w:w="608" w:type="pct"/>
            <w:tcBorders>
              <w:top w:val="single" w:sz="4" w:space="0" w:color="auto"/>
              <w:bottom w:val="single" w:sz="4" w:space="0" w:color="auto"/>
            </w:tcBorders>
            <w:shd w:val="clear" w:color="auto" w:fill="auto"/>
            <w:vAlign w:val="center"/>
          </w:tcPr>
          <w:p w:rsidR="00BC4349" w:rsidRPr="00BC4349" w:rsidRDefault="00BC4349" w:rsidP="00643908">
            <w:pPr>
              <w:autoSpaceDE w:val="0"/>
              <w:autoSpaceDN w:val="0"/>
              <w:adjustRightInd w:val="0"/>
              <w:jc w:val="right"/>
              <w:rPr>
                <w:rFonts w:ascii="Arial" w:hAnsi="Arial" w:cs="Arial"/>
                <w:b/>
                <w:sz w:val="18"/>
                <w:szCs w:val="18"/>
                <w:lang w:val="en-IE"/>
              </w:rPr>
            </w:pPr>
            <w:r w:rsidRPr="005B1DE1">
              <w:rPr>
                <w:rFonts w:ascii="Arial" w:hAnsi="Arial" w:cs="Arial"/>
                <w:b/>
                <w:color w:val="000000"/>
                <w:spacing w:val="-5"/>
                <w:sz w:val="18"/>
                <w:szCs w:val="18"/>
              </w:rPr>
              <w:t>(3,784)</w:t>
            </w:r>
          </w:p>
        </w:tc>
        <w:tc>
          <w:tcPr>
            <w:tcW w:w="607" w:type="pct"/>
            <w:tcBorders>
              <w:top w:val="single" w:sz="4" w:space="0" w:color="auto"/>
              <w:bottom w:val="single" w:sz="4" w:space="0" w:color="auto"/>
            </w:tcBorders>
            <w:vAlign w:val="center"/>
          </w:tcPr>
          <w:p w:rsidR="00BC4349" w:rsidRPr="00791B40" w:rsidRDefault="00BC4349" w:rsidP="00BC4349">
            <w:pPr>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(6,006)</w:t>
            </w:r>
          </w:p>
        </w:tc>
      </w:tr>
    </w:tbl>
    <w:p w:rsidR="002D4343" w:rsidRPr="006C3343" w:rsidRDefault="002D4343" w:rsidP="00CF7773">
      <w:pPr>
        <w:widowControl w:val="0"/>
        <w:suppressAutoHyphens/>
        <w:autoSpaceDE w:val="0"/>
        <w:autoSpaceDN w:val="0"/>
        <w:adjustRightInd w:val="0"/>
        <w:spacing w:after="0" w:line="100" w:lineRule="atLeast"/>
        <w:textAlignment w:val="center"/>
        <w:rPr>
          <w:rFonts w:ascii="Arial" w:hAnsi="Arial" w:cs="Arial"/>
          <w:sz w:val="20"/>
          <w:szCs w:val="20"/>
          <w:lang w:val="en-IE"/>
        </w:rPr>
      </w:pPr>
    </w:p>
    <w:p w:rsidR="00791B40" w:rsidRPr="005B1DE1"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Group generated £10.1 million (2016 - £11.8 million) from operations, reflecting adjusted profits generated, offset by small movements in working capital. The Group paid a net corporate tax payment of £2.2 million in 2017 (2016: £0.2 million refund), and invested a total of £4.4 million in capital expenditure (2016: £6.2 million), compared to depreciation and amortisation of £5.3 million (2016: £4.8 million). Total dividends paid during 2017 were £5.2 million (2016: £5.1 million), resulting in a decrease in net cash of £3.6 million to £24.6</w:t>
      </w:r>
      <w:r w:rsidR="00D601BE">
        <w:rPr>
          <w:rFonts w:ascii="Arial" w:hAnsi="Arial" w:cs="Arial"/>
          <w:color w:val="000000"/>
          <w:spacing w:val="-2"/>
          <w:sz w:val="18"/>
          <w:szCs w:val="18"/>
        </w:rPr>
        <w:t xml:space="preserve"> </w:t>
      </w:r>
      <w:r w:rsidRPr="005B1DE1">
        <w:rPr>
          <w:rFonts w:ascii="Arial" w:hAnsi="Arial" w:cs="Arial"/>
          <w:color w:val="000000"/>
          <w:spacing w:val="-2"/>
          <w:sz w:val="18"/>
          <w:szCs w:val="18"/>
        </w:rPr>
        <w:t>million.</w:t>
      </w:r>
    </w:p>
    <w:p w:rsidR="00791B40" w:rsidRPr="005B1DE1" w:rsidRDefault="00791B40" w:rsidP="00791B4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businesses will continue to generate cash to fund ongoing investment</w:t>
      </w:r>
      <w:r w:rsidR="00E42FF4">
        <w:rPr>
          <w:rFonts w:ascii="Arial" w:hAnsi="Arial" w:cs="Arial"/>
          <w:color w:val="000000"/>
          <w:spacing w:val="-2"/>
          <w:sz w:val="18"/>
          <w:szCs w:val="18"/>
        </w:rPr>
        <w:t>, subject to the resolution of a number of legacy matters.</w:t>
      </w:r>
      <w:r w:rsidRPr="005B1DE1">
        <w:rPr>
          <w:rFonts w:ascii="Arial" w:hAnsi="Arial" w:cs="Arial"/>
          <w:color w:val="000000"/>
          <w:spacing w:val="-2"/>
          <w:sz w:val="18"/>
          <w:szCs w:val="18"/>
        </w:rPr>
        <w:t xml:space="preserve"> The </w:t>
      </w:r>
      <w:r w:rsidRPr="005B1DE1">
        <w:rPr>
          <w:rFonts w:ascii="Arial" w:hAnsi="Arial" w:cs="Arial"/>
          <w:color w:val="000000"/>
          <w:spacing w:val="-2"/>
          <w:sz w:val="18"/>
          <w:szCs w:val="18"/>
        </w:rPr>
        <w:lastRenderedPageBreak/>
        <w:t>dividend policy will be kept under review and, pending resolution of the legacy issues, the Board will seek to resume the payment of dividends at the earliest possible date.</w:t>
      </w:r>
    </w:p>
    <w:p w:rsidR="00EA6EF2" w:rsidRPr="005D3109" w:rsidRDefault="007D2E59"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b/>
          <w:color w:val="1F497D" w:themeColor="text2"/>
          <w:sz w:val="20"/>
          <w:szCs w:val="20"/>
          <w:lang w:val="en-IE"/>
        </w:rPr>
      </w:pPr>
      <w:r w:rsidRPr="00471C5D">
        <w:rPr>
          <w:rFonts w:ascii="Arial" w:hAnsi="Arial" w:cs="Arial"/>
          <w:b/>
          <w:color w:val="1F497D" w:themeColor="text2"/>
          <w:sz w:val="20"/>
          <w:szCs w:val="20"/>
          <w:lang w:val="en-IE"/>
        </w:rPr>
        <w:t>Return on capital employed</w:t>
      </w:r>
    </w:p>
    <w:p w:rsidR="00BC4349" w:rsidRPr="005B1DE1" w:rsidRDefault="00BC4349" w:rsidP="00BC4349">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Return On Capital Employed is calculated as earnings before finance income and/or costs and tax, divided by capital employed. It measures how efficiently the Group generates profits from its capital employed by comparing it to net operating profit.</w:t>
      </w:r>
    </w:p>
    <w:p w:rsidR="00BC4349" w:rsidRPr="005B1DE1" w:rsidRDefault="00BC4349" w:rsidP="00BC4349">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bookmarkStart w:id="4" w:name="_Hlk506826640"/>
      <w:r w:rsidRPr="005B1DE1">
        <w:rPr>
          <w:rFonts w:ascii="Arial" w:hAnsi="Arial" w:cs="Arial"/>
          <w:color w:val="000000"/>
          <w:spacing w:val="-2"/>
          <w:sz w:val="18"/>
          <w:szCs w:val="18"/>
        </w:rPr>
        <w:t>The return on capital employed in 2017 has fallen to -0.6% (2016: 7.8%), which was significantly impacted by the material exceptional costs associated with legacy issues and restructuring, as well as the full year effect of the lower interest rate environment which contributed to decreased revenue.</w:t>
      </w:r>
    </w:p>
    <w:bookmarkEnd w:id="4"/>
    <w:p w:rsidR="00EA6EF2" w:rsidRPr="00A95934" w:rsidRDefault="007D2E59"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b/>
          <w:color w:val="1F497D" w:themeColor="text2"/>
          <w:sz w:val="20"/>
          <w:szCs w:val="20"/>
          <w:lang w:val="en-IE"/>
        </w:rPr>
      </w:pPr>
      <w:r>
        <w:rPr>
          <w:rFonts w:ascii="Arial" w:hAnsi="Arial" w:cs="Arial"/>
          <w:b/>
          <w:color w:val="1F497D" w:themeColor="text2"/>
          <w:sz w:val="20"/>
          <w:szCs w:val="20"/>
          <w:lang w:val="en-IE"/>
        </w:rPr>
        <w:t>Financial and capital position</w:t>
      </w:r>
    </w:p>
    <w:p w:rsidR="00BC4349" w:rsidRPr="005B1DE1" w:rsidRDefault="00BC4349" w:rsidP="00BC4349">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Consolidated Statement of Financial Position remains strong and highly liquid. Net cash decreased from £28.2 million to £24.6 million in the year (see note </w:t>
      </w:r>
      <w:r w:rsidR="00481FE8">
        <w:rPr>
          <w:rFonts w:ascii="Arial" w:hAnsi="Arial" w:cs="Arial"/>
          <w:color w:val="000000"/>
          <w:spacing w:val="-2"/>
          <w:sz w:val="18"/>
          <w:szCs w:val="18"/>
        </w:rPr>
        <w:t>9</w:t>
      </w:r>
      <w:r w:rsidRPr="005B1DE1">
        <w:rPr>
          <w:rFonts w:ascii="Arial" w:hAnsi="Arial" w:cs="Arial"/>
          <w:color w:val="000000"/>
          <w:spacing w:val="-2"/>
          <w:sz w:val="18"/>
          <w:szCs w:val="18"/>
        </w:rPr>
        <w:t xml:space="preserve">). </w:t>
      </w:r>
    </w:p>
    <w:p w:rsidR="00BC4349" w:rsidRPr="005B1DE1" w:rsidRDefault="00BC4349" w:rsidP="00BC4349">
      <w:pPr>
        <w:widowControl w:val="0"/>
        <w:suppressAutoHyphens/>
        <w:autoSpaceDE w:val="0"/>
        <w:autoSpaceDN w:val="0"/>
        <w:adjustRightInd w:val="0"/>
        <w:spacing w:line="200" w:lineRule="atLeast"/>
        <w:textAlignment w:val="center"/>
        <w:rPr>
          <w:rFonts w:ascii="Arial" w:hAnsi="Arial" w:cs="Arial"/>
          <w:spacing w:val="-2"/>
          <w:sz w:val="18"/>
          <w:szCs w:val="18"/>
        </w:rPr>
      </w:pPr>
      <w:r w:rsidRPr="005B1DE1">
        <w:rPr>
          <w:rFonts w:ascii="Arial" w:hAnsi="Arial" w:cs="Arial"/>
          <w:spacing w:val="-2"/>
          <w:sz w:val="18"/>
          <w:szCs w:val="18"/>
        </w:rPr>
        <w:t>The Pillar 1 capital resource requirement for the Group have been calculated in accordance with the Financial Conduct Authority regulations. The Group has regulatory capital resources of £49.5 million (2016: £47.6 million) compared to its Pillar 1 requirement of £6.6 million (2016: £6.8 million), a coverage of over 7.5 (2016: 7.0). The Group has also assessed its Pillar 2 capital resource requirements and confirms that it has sufficient capital resources to meet these requirements for the foreseeable future. Resolution of legacy matters will impact the actual capital position of the Group, but will also reduce Pillar 2 requirements going forward, as the assessment of potential capital requirements will reduce when these legacy matters are resolved.</w:t>
      </w:r>
    </w:p>
    <w:p w:rsidR="00EA6EF2" w:rsidRPr="00A95934" w:rsidRDefault="007D2E59" w:rsidP="006010C1">
      <w:pPr>
        <w:widowControl w:val="0"/>
        <w:tabs>
          <w:tab w:val="left" w:pos="227"/>
          <w:tab w:val="left" w:pos="340"/>
        </w:tabs>
        <w:suppressAutoHyphens/>
        <w:autoSpaceDE w:val="0"/>
        <w:autoSpaceDN w:val="0"/>
        <w:adjustRightInd w:val="0"/>
        <w:spacing w:line="240" w:lineRule="auto"/>
        <w:textAlignment w:val="center"/>
        <w:rPr>
          <w:rFonts w:ascii="Arial" w:hAnsi="Arial" w:cs="Arial"/>
          <w:b/>
          <w:color w:val="1F497D" w:themeColor="text2"/>
          <w:sz w:val="20"/>
          <w:szCs w:val="20"/>
          <w:lang w:val="en-IE"/>
        </w:rPr>
      </w:pPr>
      <w:r>
        <w:rPr>
          <w:rFonts w:ascii="Arial" w:hAnsi="Arial" w:cs="Arial"/>
          <w:b/>
          <w:color w:val="1F497D" w:themeColor="text2"/>
          <w:sz w:val="20"/>
          <w:szCs w:val="20"/>
          <w:lang w:val="en-IE"/>
        </w:rPr>
        <w:t>Financial risk management</w:t>
      </w:r>
    </w:p>
    <w:p w:rsidR="00BC4349" w:rsidRPr="005B1DE1" w:rsidRDefault="00BC4349" w:rsidP="00BC4349">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Group’s Finance function oversees the management of the Group’s exposure to exchange risk, credit risk, liquidity and interest rate risk, in line with defined policies and procedures. The Group does not trade in financial instruments, except as necessary to hedge foreign currency exposures. The Group does not enter into leveraged derivative transactions. The Group treasury function, under the management of the Group Financial Controller, manages the overall Group funding and liquidity requirements, working closely with the divisional finance teams.</w:t>
      </w:r>
    </w:p>
    <w:p w:rsidR="00BC4349" w:rsidRPr="005B1DE1" w:rsidRDefault="00BC4349" w:rsidP="00BC4349">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Group’s financial reporting currency is Sterling, reflecting the primary economic environment in which the businesses operate. The Group’s revenue is principally earned in Sterling, and the majority of its expenditure is incurred in Sterling. The Group incurs certain Euro-denominated costs, principally related to its Irish subsidiary. </w:t>
      </w:r>
    </w:p>
    <w:p w:rsidR="00EA6EF2" w:rsidRPr="006C3343" w:rsidRDefault="007D2E59" w:rsidP="005B1DE1">
      <w:pPr>
        <w:widowControl w:val="0"/>
        <w:suppressAutoHyphens/>
        <w:autoSpaceDE w:val="0"/>
        <w:autoSpaceDN w:val="0"/>
        <w:adjustRightInd w:val="0"/>
        <w:spacing w:line="240" w:lineRule="auto"/>
        <w:textAlignment w:val="center"/>
        <w:rPr>
          <w:rFonts w:ascii="Arial" w:hAnsi="Arial" w:cs="Arial"/>
          <w:b/>
          <w:color w:val="1F497D" w:themeColor="text2"/>
          <w:sz w:val="20"/>
          <w:szCs w:val="20"/>
          <w:lang w:val="en-IE"/>
        </w:rPr>
      </w:pPr>
      <w:r>
        <w:rPr>
          <w:rFonts w:ascii="Arial" w:hAnsi="Arial" w:cs="Arial"/>
          <w:b/>
          <w:color w:val="1F497D" w:themeColor="text2"/>
          <w:sz w:val="20"/>
          <w:szCs w:val="20"/>
          <w:lang w:val="en-IE"/>
        </w:rPr>
        <w:t>Share price and market capitalisation</w:t>
      </w:r>
    </w:p>
    <w:p w:rsidR="00BC4349" w:rsidRPr="005B1DE1" w:rsidRDefault="00BC4349" w:rsidP="00BC4349">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Company’s shares traded in a range of between 130 pence and 184 pence during the year. The share price at 31 December 2017 was 184 pence (31 December 2016: 155 pence), reflecting an increase of 19% in the year. The market capitalisation at 31 December 2017 was £194.0 million (2016: £163.4 million). There were 105,405,665 shares in issue at 31 December 2017.</w:t>
      </w:r>
    </w:p>
    <w:p w:rsidR="00A95934" w:rsidRDefault="00A95934" w:rsidP="006010C1">
      <w:pPr>
        <w:spacing w:line="240" w:lineRule="auto"/>
        <w:rPr>
          <w:rFonts w:ascii="Arial" w:hAnsi="Arial" w:cs="Arial"/>
          <w:color w:val="808080" w:themeColor="background1" w:themeShade="80"/>
          <w:sz w:val="20"/>
          <w:szCs w:val="20"/>
          <w:lang w:val="en-IE"/>
        </w:rPr>
      </w:pPr>
    </w:p>
    <w:p w:rsidR="00056C9A" w:rsidRPr="00E65E93" w:rsidRDefault="00CB76DC" w:rsidP="00471C5D">
      <w:pPr>
        <w:spacing w:line="240" w:lineRule="auto"/>
        <w:rPr>
          <w:rFonts w:ascii="Arial" w:hAnsi="Arial" w:cs="Arial"/>
          <w:color w:val="808080" w:themeColor="background1" w:themeShade="80"/>
          <w:sz w:val="28"/>
          <w:szCs w:val="28"/>
          <w:lang w:val="en-IE"/>
        </w:rPr>
      </w:pPr>
      <w:r w:rsidRPr="00E65E93">
        <w:rPr>
          <w:rFonts w:ascii="Arial" w:hAnsi="Arial" w:cs="Arial"/>
          <w:color w:val="808080" w:themeColor="background1" w:themeShade="80"/>
          <w:sz w:val="28"/>
          <w:szCs w:val="28"/>
          <w:lang w:val="en-IE"/>
        </w:rPr>
        <w:t>Extract from o</w:t>
      </w:r>
      <w:r w:rsidR="00056C9A" w:rsidRPr="00E65E93">
        <w:rPr>
          <w:rFonts w:ascii="Arial" w:hAnsi="Arial" w:cs="Arial"/>
          <w:color w:val="808080" w:themeColor="background1" w:themeShade="80"/>
          <w:sz w:val="28"/>
          <w:szCs w:val="28"/>
          <w:lang w:val="en-IE"/>
        </w:rPr>
        <w:t>perational review – James Hay</w:t>
      </w:r>
    </w:p>
    <w:p w:rsidR="00056C9A" w:rsidRPr="002F4D4A" w:rsidRDefault="00056C9A" w:rsidP="005D3109">
      <w:pPr>
        <w:spacing w:line="240" w:lineRule="auto"/>
        <w:rPr>
          <w:rFonts w:ascii="Arial" w:hAnsi="Arial" w:cs="Arial"/>
          <w:b/>
          <w:bCs/>
          <w:caps/>
          <w:color w:val="64C4DA"/>
          <w:spacing w:val="-2"/>
          <w:sz w:val="18"/>
          <w:szCs w:val="18"/>
        </w:rPr>
      </w:pPr>
      <w:r w:rsidRPr="002F4D4A">
        <w:rPr>
          <w:rFonts w:ascii="Arial" w:hAnsi="Arial" w:cs="Arial"/>
          <w:b/>
          <w:bCs/>
          <w:caps/>
          <w:color w:val="64C4DA"/>
          <w:spacing w:val="-2"/>
          <w:sz w:val="18"/>
          <w:szCs w:val="18"/>
        </w:rPr>
        <w:t>H</w:t>
      </w:r>
      <w:r w:rsidR="004444BE" w:rsidRPr="002F4D4A">
        <w:rPr>
          <w:rFonts w:ascii="Arial" w:hAnsi="Arial" w:cs="Arial"/>
          <w:b/>
          <w:bCs/>
          <w:caps/>
          <w:color w:val="64C4DA"/>
          <w:spacing w:val="-2"/>
          <w:sz w:val="18"/>
          <w:szCs w:val="18"/>
        </w:rPr>
        <w:t>IGHLIGHTS</w:t>
      </w:r>
    </w:p>
    <w:p w:rsidR="004444BE" w:rsidRPr="005B1DE1" w:rsidRDefault="004444BE" w:rsidP="004444BE">
      <w:pPr>
        <w:pStyle w:val="SectionRunningHead"/>
        <w:rPr>
          <w:rFonts w:ascii="Arial" w:hAnsi="Arial" w:cs="Arial"/>
          <w:color w:val="000000"/>
          <w:spacing w:val="-2"/>
          <w:sz w:val="18"/>
          <w:szCs w:val="18"/>
        </w:rPr>
      </w:pPr>
      <w:r w:rsidRPr="005B1DE1">
        <w:rPr>
          <w:rFonts w:ascii="Arial" w:hAnsi="Arial" w:cs="Arial"/>
          <w:color w:val="000000"/>
          <w:spacing w:val="-2"/>
          <w:sz w:val="18"/>
          <w:szCs w:val="18"/>
        </w:rPr>
        <w:t>- Revenue £46.2 million</w:t>
      </w:r>
    </w:p>
    <w:p w:rsidR="004444BE" w:rsidRPr="005B1DE1" w:rsidRDefault="004444BE" w:rsidP="004444BE">
      <w:pPr>
        <w:pStyle w:val="SectionRunningHead"/>
        <w:rPr>
          <w:rFonts w:ascii="Arial" w:hAnsi="Arial" w:cs="Arial"/>
          <w:color w:val="000000"/>
          <w:spacing w:val="-2"/>
          <w:sz w:val="18"/>
          <w:szCs w:val="18"/>
        </w:rPr>
      </w:pPr>
      <w:r w:rsidRPr="005B1DE1">
        <w:rPr>
          <w:rFonts w:ascii="Arial" w:hAnsi="Arial" w:cs="Arial"/>
          <w:color w:val="000000"/>
          <w:spacing w:val="-2"/>
          <w:sz w:val="18"/>
          <w:szCs w:val="18"/>
        </w:rPr>
        <w:t>- Adjusted operating profit £6.1 million</w:t>
      </w:r>
    </w:p>
    <w:p w:rsidR="004444BE" w:rsidRPr="005B1DE1" w:rsidRDefault="004444BE" w:rsidP="004444BE">
      <w:pPr>
        <w:pStyle w:val="SectionRunningHead"/>
        <w:rPr>
          <w:rFonts w:ascii="Arial" w:hAnsi="Arial" w:cs="Arial"/>
          <w:color w:val="000000"/>
          <w:spacing w:val="-2"/>
          <w:sz w:val="18"/>
          <w:szCs w:val="18"/>
        </w:rPr>
      </w:pPr>
      <w:r w:rsidRPr="005B1DE1">
        <w:rPr>
          <w:rFonts w:ascii="Arial" w:hAnsi="Arial" w:cs="Arial"/>
          <w:color w:val="000000"/>
          <w:spacing w:val="-2"/>
          <w:sz w:val="18"/>
          <w:szCs w:val="18"/>
        </w:rPr>
        <w:t>- Assets under administration £25.5 billion</w:t>
      </w:r>
    </w:p>
    <w:p w:rsidR="004444BE" w:rsidRPr="005B1DE1" w:rsidRDefault="004444BE" w:rsidP="004444BE">
      <w:pPr>
        <w:pStyle w:val="SectionRunningHead"/>
        <w:rPr>
          <w:rFonts w:ascii="Arial" w:hAnsi="Arial" w:cs="Arial"/>
          <w:color w:val="000000"/>
          <w:spacing w:val="-2"/>
          <w:sz w:val="18"/>
          <w:szCs w:val="18"/>
        </w:rPr>
      </w:pPr>
      <w:r w:rsidRPr="005B1DE1">
        <w:rPr>
          <w:rFonts w:ascii="Arial" w:hAnsi="Arial" w:cs="Arial"/>
          <w:color w:val="000000"/>
          <w:spacing w:val="-2"/>
          <w:sz w:val="18"/>
          <w:szCs w:val="18"/>
        </w:rPr>
        <w:t>- Total SIPPs 54,924</w:t>
      </w:r>
    </w:p>
    <w:p w:rsidR="00056C9A" w:rsidRPr="006C3343" w:rsidRDefault="00056C9A" w:rsidP="00471C5D">
      <w:pPr>
        <w:pStyle w:val="NormalWeb"/>
        <w:spacing w:before="0" w:beforeAutospacing="0" w:after="0" w:afterAutospacing="0"/>
        <w:jc w:val="both"/>
        <w:textAlignment w:val="baseline"/>
        <w:rPr>
          <w:rFonts w:ascii="Arial" w:eastAsiaTheme="minorEastAsia" w:hAnsi="Arial" w:cs="Arial"/>
          <w:b/>
          <w:color w:val="31849B" w:themeColor="accent5" w:themeShade="BF"/>
          <w:sz w:val="20"/>
          <w:szCs w:val="20"/>
          <w:lang w:val="en-IE"/>
        </w:rPr>
      </w:pP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B1DE1">
        <w:rPr>
          <w:rFonts w:ascii="Arial" w:hAnsi="Arial" w:cs="Arial"/>
          <w:b/>
          <w:bCs/>
          <w:caps/>
          <w:color w:val="64C4DA"/>
          <w:spacing w:val="-2"/>
          <w:sz w:val="18"/>
          <w:szCs w:val="18"/>
        </w:rPr>
        <w:t>Industry overview – platform</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rPr>
      </w:pPr>
      <w:bookmarkStart w:id="5" w:name="_Hlk506543400"/>
      <w:r w:rsidRPr="005B1DE1">
        <w:rPr>
          <w:rFonts w:ascii="Arial" w:hAnsi="Arial" w:cs="Arial"/>
          <w:sz w:val="18"/>
          <w:szCs w:val="18"/>
        </w:rPr>
        <w:t>The platform market has seen increased asset growth over the year of 22% rising to just under £490bn</w:t>
      </w:r>
      <w:r w:rsidR="003E5A10" w:rsidRPr="003E5A10">
        <w:rPr>
          <w:rFonts w:ascii="Arial" w:hAnsi="Arial" w:cs="Arial"/>
          <w:sz w:val="16"/>
          <w:szCs w:val="16"/>
          <w:vertAlign w:val="superscript"/>
        </w:rPr>
        <w:t>1</w:t>
      </w:r>
      <w:r w:rsidRPr="005B1DE1">
        <w:rPr>
          <w:rFonts w:ascii="Arial" w:hAnsi="Arial" w:cs="Arial"/>
          <w:sz w:val="18"/>
          <w:szCs w:val="18"/>
        </w:rPr>
        <w:t xml:space="preserve">. </w:t>
      </w:r>
      <w:bookmarkEnd w:id="5"/>
      <w:r w:rsidRPr="005B1DE1">
        <w:rPr>
          <w:rFonts w:ascii="Arial" w:hAnsi="Arial" w:cs="Arial"/>
          <w:sz w:val="18"/>
          <w:szCs w:val="18"/>
        </w:rPr>
        <w:t>The market has benefit</w:t>
      </w:r>
      <w:r w:rsidR="00064382">
        <w:rPr>
          <w:rFonts w:ascii="Arial" w:hAnsi="Arial" w:cs="Arial"/>
          <w:sz w:val="18"/>
          <w:szCs w:val="18"/>
        </w:rPr>
        <w:t>t</w:t>
      </w:r>
      <w:r w:rsidRPr="005B1DE1">
        <w:rPr>
          <w:rFonts w:ascii="Arial" w:hAnsi="Arial" w:cs="Arial"/>
          <w:sz w:val="18"/>
          <w:szCs w:val="18"/>
        </w:rPr>
        <w:t xml:space="preserve">ed from the migration of pension assets away from Defined Benefit Pension schemes. This trend is expected to continue. The sector continues to experience disruption due to consolidation, re-platforming and migration to third party providers. </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rPr>
      </w:pPr>
      <w:r w:rsidRPr="005B1DE1">
        <w:rPr>
          <w:rFonts w:ascii="Arial" w:hAnsi="Arial" w:cs="Arial"/>
          <w:sz w:val="18"/>
          <w:szCs w:val="18"/>
        </w:rPr>
        <w:t>The regulatory agenda continues to impact the market with MiFID II and GDPR absorbing much resource. In addition, the FCA are currently conducting a platform review, with the sector required to furnish information to support the review, and the Senior Managers and Certification Regime ('SMCR'). The government continues to evolve its pension strategy. The industry has experienced significant change over recent years and will continue to evolve as the focus for savings for retirement, broadens from a "pension" focus to a wider "retirement wealth" focus.</w:t>
      </w:r>
    </w:p>
    <w:p w:rsidR="004444BE"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rPr>
      </w:pPr>
      <w:r w:rsidRPr="005B1DE1">
        <w:rPr>
          <w:rFonts w:ascii="Arial" w:hAnsi="Arial" w:cs="Arial"/>
          <w:sz w:val="18"/>
          <w:szCs w:val="18"/>
        </w:rPr>
        <w:t xml:space="preserve">Brexit continues to dominate the macro-political landscape, and may contribute to market volatility in 2018, as the terms of the UK's departure from the EU are finalised. We will ensure we are well placed to react to our clients’ and advisors needs, both in terms of the quality of our administration and the flow of information and analysis which our clients and advisors require to properly manage their retirement assets.  </w:t>
      </w:r>
    </w:p>
    <w:p w:rsidR="003E5A10" w:rsidRPr="003E5A10" w:rsidRDefault="003E5A10"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6"/>
          <w:szCs w:val="16"/>
        </w:rPr>
      </w:pPr>
      <w:r w:rsidRPr="003E5A10">
        <w:rPr>
          <w:sz w:val="16"/>
          <w:szCs w:val="16"/>
          <w:vertAlign w:val="superscript"/>
        </w:rPr>
        <w:t>1</w:t>
      </w:r>
      <w:r w:rsidRPr="003E5A10">
        <w:rPr>
          <w:sz w:val="16"/>
          <w:szCs w:val="16"/>
        </w:rPr>
        <w:t>Platforum Q3 2017</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B1DE1">
        <w:rPr>
          <w:rFonts w:ascii="Arial" w:hAnsi="Arial" w:cs="Arial"/>
          <w:b/>
          <w:bCs/>
          <w:caps/>
          <w:color w:val="64C4DA"/>
          <w:spacing w:val="-2"/>
          <w:sz w:val="18"/>
          <w:szCs w:val="18"/>
        </w:rPr>
        <w:t>Goal</w:t>
      </w:r>
    </w:p>
    <w:p w:rsidR="004444BE" w:rsidRPr="005B1DE1" w:rsidRDefault="004444BE" w:rsidP="004444BE">
      <w:pPr>
        <w:autoSpaceDE w:val="0"/>
        <w:autoSpaceDN w:val="0"/>
        <w:adjustRightInd w:val="0"/>
        <w:rPr>
          <w:rFonts w:ascii="Arial" w:hAnsi="Arial" w:cs="Arial"/>
          <w:sz w:val="18"/>
          <w:szCs w:val="18"/>
        </w:rPr>
      </w:pPr>
      <w:r w:rsidRPr="005B1DE1">
        <w:rPr>
          <w:rFonts w:ascii="Arial" w:hAnsi="Arial" w:cs="Arial"/>
          <w:sz w:val="18"/>
          <w:szCs w:val="18"/>
        </w:rPr>
        <w:t>Our goal is to be a successful, sustainable and increasingly profitable business by supporting advisers and delivering good outcomes to clients as they navigate their way through pre-retirement and during retirement.</w:t>
      </w:r>
    </w:p>
    <w:p w:rsidR="004444BE" w:rsidRPr="005B1DE1" w:rsidRDefault="004444BE" w:rsidP="004444BE">
      <w:pPr>
        <w:autoSpaceDE w:val="0"/>
        <w:autoSpaceDN w:val="0"/>
        <w:adjustRightInd w:val="0"/>
        <w:rPr>
          <w:rFonts w:ascii="Arial" w:hAnsi="Arial" w:cs="Arial"/>
          <w:sz w:val="18"/>
          <w:szCs w:val="18"/>
        </w:rPr>
      </w:pPr>
      <w:r w:rsidRPr="005B1DE1">
        <w:rPr>
          <w:rFonts w:ascii="Arial" w:hAnsi="Arial" w:cs="Arial"/>
          <w:sz w:val="18"/>
          <w:szCs w:val="18"/>
        </w:rPr>
        <w:lastRenderedPageBreak/>
        <w:t>Our platform facilitates this by enabling clients and advisers to manage their retirement wealth safely and securely via an easy-to-use digital interface.</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B1DE1">
        <w:rPr>
          <w:rFonts w:ascii="Arial" w:hAnsi="Arial" w:cs="Arial"/>
          <w:b/>
          <w:bCs/>
          <w:caps/>
          <w:color w:val="64C4DA"/>
          <w:spacing w:val="-2"/>
          <w:sz w:val="18"/>
          <w:szCs w:val="18"/>
        </w:rPr>
        <w:t>Business strategy</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sz w:val="18"/>
          <w:szCs w:val="18"/>
        </w:rPr>
      </w:pPr>
      <w:r w:rsidRPr="005B1DE1">
        <w:rPr>
          <w:rFonts w:ascii="Arial" w:hAnsi="Arial" w:cs="Arial"/>
          <w:b/>
          <w:sz w:val="18"/>
          <w:szCs w:val="18"/>
        </w:rPr>
        <w:t>Distribution</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rPr>
      </w:pPr>
      <w:r w:rsidRPr="005B1DE1">
        <w:rPr>
          <w:rFonts w:ascii="Arial" w:hAnsi="Arial" w:cs="Arial"/>
          <w:sz w:val="18"/>
          <w:szCs w:val="18"/>
        </w:rPr>
        <w:t>The distribution strategy focuses on high quality Independent Financial Advisor ('IFA') relationships, and we continue to invest in enhancements to our client services. We will increase efficiency by making better use of digital and self-serve capabilities.</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sz w:val="18"/>
          <w:szCs w:val="18"/>
        </w:rPr>
      </w:pPr>
      <w:r w:rsidRPr="005B1DE1">
        <w:rPr>
          <w:rFonts w:ascii="Arial" w:hAnsi="Arial" w:cs="Arial"/>
          <w:b/>
          <w:sz w:val="18"/>
          <w:szCs w:val="18"/>
        </w:rPr>
        <w:t>Capabilities</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rPr>
      </w:pPr>
      <w:r w:rsidRPr="005B1DE1">
        <w:rPr>
          <w:rFonts w:ascii="Arial" w:hAnsi="Arial" w:cs="Arial"/>
          <w:sz w:val="18"/>
          <w:szCs w:val="18"/>
        </w:rPr>
        <w:t xml:space="preserve">The focus remains on creating a ‘digital platform’ for the future responding to adviser and investor demand. This continues the development programme, which delivered a range of new online services. This contributes to increasing scalability and supports our journey to becoming a fully functional platform for retirement wealth management. Output from our Insight programme has provided valuable information on what advisers and clients expect from a platform. One of our responses to this was to introduce more simplified language in our communication with clients. </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sz w:val="18"/>
          <w:szCs w:val="18"/>
        </w:rPr>
      </w:pPr>
      <w:r w:rsidRPr="005B1DE1">
        <w:rPr>
          <w:rFonts w:ascii="Arial" w:hAnsi="Arial" w:cs="Arial"/>
          <w:b/>
          <w:sz w:val="18"/>
          <w:szCs w:val="18"/>
        </w:rPr>
        <w:t>Product</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rPr>
      </w:pPr>
      <w:r w:rsidRPr="005B1DE1">
        <w:rPr>
          <w:rFonts w:ascii="Arial" w:hAnsi="Arial" w:cs="Arial"/>
          <w:sz w:val="18"/>
          <w:szCs w:val="18"/>
        </w:rPr>
        <w:t>James Hay has a strong position in its core SIPP markets, recognised for its capability at the complex end of the market. However, this is yet to be reflected in adjacent ISA and GIA markets, where we will continue to invest in enhancing our capability. The platform space continues to see consolidation of pension and savings assets from those with multiple products/pensions, which we see as an opportunity to attract incremental pension and non-pension assets from the existing investor base.</w:t>
      </w:r>
    </w:p>
    <w:p w:rsidR="004444BE" w:rsidRDefault="004444BE" w:rsidP="004444BE">
      <w:pPr>
        <w:pStyle w:val="NumberHeading"/>
        <w:rPr>
          <w:rFonts w:ascii="Arial" w:hAnsi="Arial" w:cs="Arial"/>
          <w:caps/>
          <w:color w:val="64C4DA"/>
          <w:sz w:val="18"/>
          <w:szCs w:val="18"/>
        </w:rPr>
      </w:pPr>
      <w:r w:rsidRPr="005B1DE1">
        <w:rPr>
          <w:rFonts w:ascii="Arial" w:hAnsi="Arial" w:cs="Arial"/>
          <w:caps/>
          <w:color w:val="64C4DA"/>
          <w:sz w:val="18"/>
          <w:szCs w:val="18"/>
        </w:rPr>
        <w:t>GOVERNANCE</w:t>
      </w:r>
    </w:p>
    <w:p w:rsidR="008A6569" w:rsidRPr="005B1DE1" w:rsidRDefault="008A6569" w:rsidP="004444BE">
      <w:pPr>
        <w:pStyle w:val="NumberHeading"/>
        <w:rPr>
          <w:rFonts w:ascii="Arial" w:hAnsi="Arial" w:cs="Arial"/>
          <w:caps/>
          <w:color w:val="64C4DA"/>
          <w:sz w:val="18"/>
          <w:szCs w:val="18"/>
        </w:rPr>
      </w:pP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rPr>
      </w:pPr>
      <w:r w:rsidRPr="005B1DE1">
        <w:rPr>
          <w:rFonts w:ascii="Arial" w:hAnsi="Arial" w:cs="Arial"/>
          <w:sz w:val="18"/>
          <w:szCs w:val="18"/>
        </w:rPr>
        <w:t xml:space="preserve">The addition of Geoffrey Clarkson as an independent Non-Executive Director to the Board in February 2017, has increased the experience of the Board, bringing extensive expertise in the financial services industry, specialising in corporate governance, risk management and regulatory standards and practice. </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B1DE1">
        <w:rPr>
          <w:rFonts w:ascii="Arial" w:hAnsi="Arial" w:cs="Arial"/>
          <w:b/>
          <w:bCs/>
          <w:caps/>
          <w:color w:val="64C4DA"/>
          <w:spacing w:val="-2"/>
          <w:sz w:val="18"/>
          <w:szCs w:val="18"/>
        </w:rPr>
        <w:t>Business Review</w:t>
      </w:r>
    </w:p>
    <w:p w:rsidR="004444BE" w:rsidRPr="005B1DE1" w:rsidRDefault="004444BE" w:rsidP="004444BE">
      <w:pPr>
        <w:autoSpaceDE w:val="0"/>
        <w:autoSpaceDN w:val="0"/>
        <w:adjustRightInd w:val="0"/>
        <w:rPr>
          <w:rFonts w:ascii="Arial" w:hAnsi="Arial" w:cs="Arial"/>
          <w:sz w:val="18"/>
          <w:szCs w:val="18"/>
        </w:rPr>
      </w:pPr>
      <w:r w:rsidRPr="005B1DE1">
        <w:rPr>
          <w:rFonts w:ascii="Arial" w:hAnsi="Arial" w:cs="Arial"/>
          <w:sz w:val="18"/>
          <w:szCs w:val="18"/>
        </w:rPr>
        <w:t>The retirement market continues to remain buoyant, underpinned by strong pension transfer business. Independent data from Origo, published in Money Marketing in early 2018, confirms that pension transfer volumes increased by 30% in 2017.</w:t>
      </w:r>
    </w:p>
    <w:p w:rsidR="004444BE" w:rsidRPr="005B1DE1" w:rsidRDefault="004444BE" w:rsidP="004444BE">
      <w:pPr>
        <w:autoSpaceDE w:val="0"/>
        <w:autoSpaceDN w:val="0"/>
        <w:adjustRightInd w:val="0"/>
        <w:rPr>
          <w:rFonts w:ascii="Arial" w:hAnsi="Arial" w:cs="Arial"/>
          <w:sz w:val="18"/>
          <w:szCs w:val="18"/>
        </w:rPr>
      </w:pPr>
      <w:r w:rsidRPr="005B1DE1">
        <w:rPr>
          <w:rFonts w:ascii="Arial" w:hAnsi="Arial" w:cs="Arial"/>
          <w:sz w:val="18"/>
          <w:szCs w:val="18"/>
        </w:rPr>
        <w:t xml:space="preserve">The quality of new client flows has continued to improve as we continue to focus our distribution strategy on higher quality adviser relationships. </w:t>
      </w:r>
    </w:p>
    <w:p w:rsidR="004444BE" w:rsidRPr="005B1DE1" w:rsidRDefault="004444BE" w:rsidP="004444BE">
      <w:pPr>
        <w:autoSpaceDE w:val="0"/>
        <w:autoSpaceDN w:val="0"/>
        <w:adjustRightInd w:val="0"/>
        <w:rPr>
          <w:rFonts w:ascii="Arial" w:hAnsi="Arial" w:cs="Arial"/>
          <w:sz w:val="18"/>
          <w:szCs w:val="18"/>
          <w:lang w:val="en-IE"/>
        </w:rPr>
      </w:pPr>
      <w:r w:rsidRPr="005B1DE1">
        <w:rPr>
          <w:rFonts w:ascii="Arial" w:hAnsi="Arial" w:cs="Arial"/>
          <w:sz w:val="18"/>
          <w:szCs w:val="18"/>
        </w:rPr>
        <w:t>The reduction in interest rates during the second half of 2016 materially impacted 2017 results. However, t</w:t>
      </w:r>
      <w:r w:rsidRPr="005B1DE1">
        <w:rPr>
          <w:rFonts w:ascii="Arial" w:hAnsi="Arial" w:cs="Arial"/>
          <w:sz w:val="18"/>
          <w:szCs w:val="18"/>
          <w:lang w:val="en-IE"/>
        </w:rPr>
        <w:t>he pricing initiatives rolled out throughout the year helped to materially mitigate this. We ensured that the re-pricing exercise was appropriately considered from a client and adviser perspective, and that our offering remained both transparent and competitive in our chosen markets. The business will benefit from the increase in interest rates in late 2017.</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sz w:val="18"/>
          <w:szCs w:val="18"/>
          <w:lang w:val="en-IE"/>
        </w:rPr>
        <w:t xml:space="preserve">Attrition remained stable year on year at 6.2% for the SIPP business (2016 - 6.3%). We continue to rationalise our legacy products and have been successful in transferring circa 1,100 clients from our legacy products to our flagship MiPlan. The business ended 2017 having made substantial progress in its conduct agenda, as well as establishing greater clarity on the required remediation work to address legacy issues. We have enhanced the senior management team and delivered our best ever year for organic sales. </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sz w:val="18"/>
          <w:szCs w:val="18"/>
          <w:lang w:val="en-IE"/>
        </w:rPr>
        <w:t>Meeting the needs of our clients is a guiding principle that will ultimately drive the success of the business. Our investment in the digital capabilities of our offering will further enhance the quality of our service both to direct and advised clients. Our growth focus will remain on the primary distribution channel of financial advisers.</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B1DE1">
        <w:rPr>
          <w:rFonts w:ascii="Arial" w:hAnsi="Arial" w:cs="Arial"/>
          <w:b/>
          <w:bCs/>
          <w:caps/>
          <w:color w:val="64C4DA"/>
          <w:spacing w:val="-2"/>
          <w:sz w:val="18"/>
          <w:szCs w:val="18"/>
        </w:rPr>
        <w:t>LEGACY MATTERS</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sz w:val="18"/>
          <w:szCs w:val="18"/>
          <w:lang w:val="en-IE"/>
        </w:rPr>
        <w:t>It is disappointing that a number of legacy matters have impacted the performance of the business, which are discussed in more detail in the CEO report.</w:t>
      </w:r>
    </w:p>
    <w:p w:rsidR="004444BE" w:rsidRPr="005B1DE1" w:rsidRDefault="004444BE" w:rsidP="004444BE">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B1DE1">
        <w:rPr>
          <w:rFonts w:ascii="Arial" w:hAnsi="Arial" w:cs="Arial"/>
          <w:b/>
          <w:bCs/>
          <w:caps/>
          <w:color w:val="64C4DA"/>
          <w:spacing w:val="-2"/>
          <w:sz w:val="18"/>
          <w:szCs w:val="18"/>
        </w:rPr>
        <w:t>PERFORMANCE</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 xml:space="preserve">Assets under administration increased 15% to £25.5bn </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Revenue fell marginally from £47.5 million to £46.2 million, a decrease of 3%</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Operating profit decreased from £5.2 million to a loss of £2.3 million</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 xml:space="preserve">Adjusted profits decreased from £7.1 million to £6.1 million, a decrease of 14% </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Total net flows were £3.4 billion, including market movement</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Total new clients of 6,116</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Total new SIPP cases of 5,836 during the year</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Overall attrition levels decreased to 6.4% (6.9% 2016)</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Average new client case size for the Modular iPlan increased by 5% to £445,000</w:t>
      </w:r>
    </w:p>
    <w:p w:rsidR="004444BE" w:rsidRPr="005B1DE1" w:rsidRDefault="004444BE" w:rsidP="004444BE">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Exceptional costs were £6.3 million due to the remediation and resolution of a number of legacy matters</w:t>
      </w:r>
    </w:p>
    <w:p w:rsidR="004444BE" w:rsidRPr="005B1DE1" w:rsidRDefault="004444BE" w:rsidP="004444BE">
      <w:pPr>
        <w:rPr>
          <w:rFonts w:ascii="Arial" w:hAnsi="Arial" w:cs="Arial"/>
          <w:b/>
          <w:bCs/>
          <w:color w:val="1F497D"/>
          <w:sz w:val="18"/>
          <w:szCs w:val="18"/>
        </w:rPr>
      </w:pPr>
    </w:p>
    <w:p w:rsidR="004444BE" w:rsidRPr="005B1DE1" w:rsidRDefault="004444BE" w:rsidP="004444BE">
      <w:pPr>
        <w:autoSpaceDE w:val="0"/>
        <w:autoSpaceDN w:val="0"/>
        <w:adjustRightInd w:val="0"/>
        <w:rPr>
          <w:rFonts w:ascii="Arial" w:hAnsi="Arial" w:cs="Arial"/>
          <w:color w:val="000000"/>
          <w:spacing w:val="-2"/>
          <w:sz w:val="18"/>
          <w:szCs w:val="18"/>
        </w:rPr>
      </w:pPr>
      <w:r w:rsidRPr="005B1DE1">
        <w:rPr>
          <w:rFonts w:ascii="Arial" w:hAnsi="Arial" w:cs="Arial"/>
          <w:color w:val="000000"/>
          <w:spacing w:val="-2"/>
          <w:sz w:val="18"/>
          <w:szCs w:val="18"/>
        </w:rPr>
        <w:t>At the end of December 2017, James Hay administered assets on behalf of more than 58,000 individual clients. The rate of new business acquisitions and attrition is shown below:</w:t>
      </w:r>
    </w:p>
    <w:p w:rsidR="00D46007" w:rsidRPr="006C3343" w:rsidRDefault="00D46007" w:rsidP="00471C5D">
      <w:pPr>
        <w:spacing w:line="240" w:lineRule="auto"/>
        <w:contextualSpacing/>
        <w:rPr>
          <w:rFonts w:ascii="Arial" w:hAnsi="Arial" w:cs="Arial"/>
          <w:sz w:val="20"/>
          <w:szCs w:val="20"/>
        </w:rPr>
      </w:pPr>
    </w:p>
    <w:tbl>
      <w:tblPr>
        <w:tblStyle w:val="TableGrid"/>
        <w:tblW w:w="9770"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2552"/>
        <w:gridCol w:w="1700"/>
        <w:gridCol w:w="1701"/>
      </w:tblGrid>
      <w:tr w:rsidR="00BB14AE" w:rsidRPr="006C3343" w:rsidTr="005F086E">
        <w:tc>
          <w:tcPr>
            <w:tcW w:w="3817" w:type="dxa"/>
          </w:tcPr>
          <w:p w:rsidR="00D46007" w:rsidRPr="006010C1" w:rsidRDefault="00E66DEC" w:rsidP="005707A8">
            <w:pPr>
              <w:widowControl w:val="0"/>
              <w:tabs>
                <w:tab w:val="left" w:pos="227"/>
                <w:tab w:val="left" w:pos="340"/>
              </w:tabs>
              <w:suppressAutoHyphens/>
              <w:autoSpaceDE w:val="0"/>
              <w:autoSpaceDN w:val="0"/>
              <w:adjustRightInd w:val="0"/>
              <w:spacing w:after="200" w:line="200" w:lineRule="atLeast"/>
              <w:textAlignment w:val="center"/>
              <w:rPr>
                <w:rFonts w:ascii="Arial" w:hAnsi="Arial" w:cs="Arial"/>
                <w:sz w:val="18"/>
                <w:szCs w:val="18"/>
              </w:rPr>
            </w:pPr>
            <w:r w:rsidRPr="005707A8">
              <w:rPr>
                <w:rFonts w:ascii="Arial" w:hAnsi="Arial" w:cs="Arial"/>
                <w:b/>
                <w:bCs/>
                <w:caps/>
                <w:color w:val="64C4DA"/>
                <w:spacing w:val="-2"/>
                <w:sz w:val="18"/>
                <w:szCs w:val="18"/>
              </w:rPr>
              <w:lastRenderedPageBreak/>
              <w:t>SIPPs</w:t>
            </w:r>
          </w:p>
        </w:tc>
        <w:tc>
          <w:tcPr>
            <w:tcW w:w="2552" w:type="dxa"/>
            <w:shd w:val="clear" w:color="auto" w:fill="auto"/>
          </w:tcPr>
          <w:p w:rsidR="00D46007" w:rsidRPr="005707A8" w:rsidRDefault="00D46007" w:rsidP="005707A8">
            <w:pPr>
              <w:widowControl w:val="0"/>
              <w:tabs>
                <w:tab w:val="left" w:pos="227"/>
                <w:tab w:val="left" w:pos="340"/>
              </w:tabs>
              <w:suppressAutoHyphens/>
              <w:autoSpaceDE w:val="0"/>
              <w:autoSpaceDN w:val="0"/>
              <w:adjustRightInd w:val="0"/>
              <w:spacing w:after="200" w:line="200" w:lineRule="atLeast"/>
              <w:jc w:val="right"/>
              <w:textAlignment w:val="center"/>
              <w:rPr>
                <w:rFonts w:ascii="Arial" w:hAnsi="Arial" w:cs="Arial"/>
                <w:b/>
                <w:bCs/>
                <w:caps/>
                <w:color w:val="64C4DA"/>
                <w:spacing w:val="-2"/>
                <w:sz w:val="18"/>
                <w:szCs w:val="18"/>
              </w:rPr>
            </w:pPr>
            <w:r w:rsidRPr="005707A8">
              <w:rPr>
                <w:rFonts w:ascii="Arial" w:hAnsi="Arial" w:cs="Arial"/>
                <w:b/>
                <w:bCs/>
                <w:caps/>
                <w:color w:val="64C4DA"/>
                <w:spacing w:val="-2"/>
                <w:sz w:val="18"/>
                <w:szCs w:val="18"/>
              </w:rPr>
              <w:t>201</w:t>
            </w:r>
            <w:r w:rsidR="00C43661" w:rsidRPr="005707A8">
              <w:rPr>
                <w:rFonts w:ascii="Arial" w:hAnsi="Arial" w:cs="Arial"/>
                <w:b/>
                <w:bCs/>
                <w:caps/>
                <w:color w:val="64C4DA"/>
                <w:spacing w:val="-2"/>
                <w:sz w:val="18"/>
                <w:szCs w:val="18"/>
              </w:rPr>
              <w:t>7</w:t>
            </w:r>
          </w:p>
        </w:tc>
        <w:tc>
          <w:tcPr>
            <w:tcW w:w="1700" w:type="dxa"/>
            <w:shd w:val="clear" w:color="auto" w:fill="auto"/>
          </w:tcPr>
          <w:p w:rsidR="00D46007" w:rsidRPr="005707A8" w:rsidRDefault="00D46007" w:rsidP="005707A8">
            <w:pPr>
              <w:widowControl w:val="0"/>
              <w:tabs>
                <w:tab w:val="left" w:pos="227"/>
                <w:tab w:val="left" w:pos="340"/>
              </w:tabs>
              <w:suppressAutoHyphens/>
              <w:autoSpaceDE w:val="0"/>
              <w:autoSpaceDN w:val="0"/>
              <w:adjustRightInd w:val="0"/>
              <w:spacing w:after="200" w:line="200" w:lineRule="atLeast"/>
              <w:jc w:val="right"/>
              <w:textAlignment w:val="center"/>
              <w:rPr>
                <w:rFonts w:ascii="Arial" w:hAnsi="Arial" w:cs="Arial"/>
                <w:b/>
                <w:bCs/>
                <w:caps/>
                <w:color w:val="64C4DA"/>
                <w:spacing w:val="-2"/>
                <w:sz w:val="18"/>
                <w:szCs w:val="18"/>
              </w:rPr>
            </w:pPr>
            <w:r w:rsidRPr="005707A8">
              <w:rPr>
                <w:rFonts w:ascii="Arial" w:hAnsi="Arial" w:cs="Arial"/>
                <w:b/>
                <w:bCs/>
                <w:caps/>
                <w:color w:val="64C4DA"/>
                <w:spacing w:val="-2"/>
                <w:sz w:val="18"/>
                <w:szCs w:val="18"/>
              </w:rPr>
              <w:t>201</w:t>
            </w:r>
            <w:r w:rsidR="004444BE" w:rsidRPr="005707A8">
              <w:rPr>
                <w:rFonts w:ascii="Arial" w:hAnsi="Arial" w:cs="Arial"/>
                <w:b/>
                <w:bCs/>
                <w:caps/>
                <w:color w:val="64C4DA"/>
                <w:spacing w:val="-2"/>
                <w:sz w:val="18"/>
                <w:szCs w:val="18"/>
              </w:rPr>
              <w:t>6</w:t>
            </w:r>
          </w:p>
        </w:tc>
        <w:tc>
          <w:tcPr>
            <w:tcW w:w="1701" w:type="dxa"/>
            <w:shd w:val="clear" w:color="auto" w:fill="auto"/>
          </w:tcPr>
          <w:p w:rsidR="00D46007" w:rsidRPr="005707A8" w:rsidRDefault="00D46007" w:rsidP="005707A8">
            <w:pPr>
              <w:widowControl w:val="0"/>
              <w:tabs>
                <w:tab w:val="left" w:pos="227"/>
                <w:tab w:val="left" w:pos="340"/>
              </w:tabs>
              <w:suppressAutoHyphens/>
              <w:autoSpaceDE w:val="0"/>
              <w:autoSpaceDN w:val="0"/>
              <w:adjustRightInd w:val="0"/>
              <w:spacing w:after="200" w:line="200" w:lineRule="atLeast"/>
              <w:jc w:val="right"/>
              <w:textAlignment w:val="center"/>
              <w:rPr>
                <w:rFonts w:ascii="Arial" w:hAnsi="Arial" w:cs="Arial"/>
                <w:b/>
                <w:bCs/>
                <w:caps/>
                <w:color w:val="64C4DA"/>
                <w:spacing w:val="-2"/>
                <w:sz w:val="18"/>
                <w:szCs w:val="18"/>
              </w:rPr>
            </w:pPr>
            <w:r w:rsidRPr="005707A8">
              <w:rPr>
                <w:rFonts w:ascii="Arial" w:hAnsi="Arial" w:cs="Arial"/>
                <w:b/>
                <w:bCs/>
                <w:caps/>
                <w:color w:val="64C4DA"/>
                <w:spacing w:val="-2"/>
                <w:sz w:val="18"/>
                <w:szCs w:val="18"/>
              </w:rPr>
              <w:t>Change</w:t>
            </w:r>
          </w:p>
        </w:tc>
      </w:tr>
      <w:tr w:rsidR="004444BE" w:rsidRPr="006C3343" w:rsidTr="005F086E">
        <w:tc>
          <w:tcPr>
            <w:tcW w:w="3817" w:type="dxa"/>
          </w:tcPr>
          <w:p w:rsidR="004444BE" w:rsidRPr="006010C1" w:rsidRDefault="004444BE" w:rsidP="004444BE">
            <w:pPr>
              <w:spacing w:line="276" w:lineRule="auto"/>
              <w:ind w:hanging="20"/>
              <w:contextualSpacing/>
              <w:rPr>
                <w:rFonts w:ascii="Arial" w:hAnsi="Arial" w:cs="Arial"/>
                <w:sz w:val="18"/>
                <w:szCs w:val="18"/>
              </w:rPr>
            </w:pPr>
            <w:r w:rsidRPr="006010C1">
              <w:rPr>
                <w:rFonts w:ascii="Arial" w:hAnsi="Arial" w:cs="Arial"/>
                <w:sz w:val="18"/>
                <w:szCs w:val="18"/>
              </w:rPr>
              <w:t>Opening</w:t>
            </w:r>
          </w:p>
        </w:tc>
        <w:tc>
          <w:tcPr>
            <w:tcW w:w="2552" w:type="dxa"/>
          </w:tcPr>
          <w:p w:rsidR="004444BE" w:rsidRPr="005F086E" w:rsidRDefault="004444BE" w:rsidP="004444BE">
            <w:pPr>
              <w:widowControl w:val="0"/>
              <w:suppressAutoHyphens/>
              <w:autoSpaceDE w:val="0"/>
              <w:autoSpaceDN w:val="0"/>
              <w:adjustRightInd w:val="0"/>
              <w:spacing w:line="276" w:lineRule="auto"/>
              <w:jc w:val="right"/>
              <w:textAlignment w:val="center"/>
              <w:rPr>
                <w:rFonts w:ascii="Arial" w:hAnsi="Arial" w:cs="Arial"/>
                <w:b/>
                <w:color w:val="000000"/>
                <w:spacing w:val="-5"/>
                <w:sz w:val="18"/>
                <w:szCs w:val="18"/>
              </w:rPr>
            </w:pPr>
            <w:r w:rsidRPr="00A400C1">
              <w:rPr>
                <w:rFonts w:ascii="Arial" w:hAnsi="Arial" w:cs="Arial"/>
                <w:b/>
                <w:bCs/>
                <w:color w:val="000000"/>
                <w:spacing w:val="-5"/>
                <w:sz w:val="18"/>
                <w:szCs w:val="18"/>
              </w:rPr>
              <w:t>52,</w:t>
            </w:r>
            <w:r>
              <w:rPr>
                <w:rFonts w:ascii="Arial" w:hAnsi="Arial" w:cs="Arial"/>
                <w:b/>
                <w:bCs/>
                <w:color w:val="000000"/>
                <w:spacing w:val="-5"/>
                <w:sz w:val="18"/>
                <w:szCs w:val="18"/>
              </w:rPr>
              <w:t>391</w:t>
            </w:r>
          </w:p>
        </w:tc>
        <w:tc>
          <w:tcPr>
            <w:tcW w:w="1700" w:type="dxa"/>
          </w:tcPr>
          <w:p w:rsidR="004444BE" w:rsidRPr="004444BE"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sidRPr="005B1DE1">
              <w:rPr>
                <w:rFonts w:ascii="Arial" w:hAnsi="Arial" w:cs="Arial"/>
                <w:bCs/>
                <w:color w:val="000000"/>
                <w:spacing w:val="-5"/>
                <w:sz w:val="18"/>
                <w:szCs w:val="18"/>
              </w:rPr>
              <w:t>52,101</w:t>
            </w:r>
          </w:p>
        </w:tc>
        <w:tc>
          <w:tcPr>
            <w:tcW w:w="1701" w:type="dxa"/>
          </w:tcPr>
          <w:p w:rsidR="004444BE" w:rsidRPr="006010C1"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sidRPr="006010C1">
              <w:rPr>
                <w:rFonts w:ascii="Arial" w:hAnsi="Arial" w:cs="Arial"/>
                <w:color w:val="000000"/>
                <w:spacing w:val="-5"/>
                <w:sz w:val="18"/>
                <w:szCs w:val="18"/>
              </w:rPr>
              <w:t>+</w:t>
            </w:r>
            <w:r>
              <w:rPr>
                <w:rFonts w:ascii="Arial" w:hAnsi="Arial" w:cs="Arial"/>
                <w:color w:val="000000"/>
                <w:spacing w:val="-5"/>
                <w:sz w:val="18"/>
                <w:szCs w:val="18"/>
              </w:rPr>
              <w:t>1</w:t>
            </w:r>
            <w:r w:rsidRPr="006010C1">
              <w:rPr>
                <w:rFonts w:ascii="Arial" w:hAnsi="Arial" w:cs="Arial"/>
                <w:color w:val="000000"/>
                <w:spacing w:val="-5"/>
                <w:sz w:val="18"/>
                <w:szCs w:val="18"/>
              </w:rPr>
              <w:t>%</w:t>
            </w:r>
          </w:p>
        </w:tc>
      </w:tr>
      <w:tr w:rsidR="004444BE" w:rsidRPr="006C3343" w:rsidTr="005F086E">
        <w:tc>
          <w:tcPr>
            <w:tcW w:w="3817" w:type="dxa"/>
          </w:tcPr>
          <w:p w:rsidR="004444BE" w:rsidRPr="006010C1" w:rsidRDefault="004444BE" w:rsidP="004444BE">
            <w:pPr>
              <w:spacing w:line="276" w:lineRule="auto"/>
              <w:ind w:hanging="20"/>
              <w:contextualSpacing/>
              <w:rPr>
                <w:rFonts w:ascii="Arial" w:hAnsi="Arial" w:cs="Arial"/>
                <w:sz w:val="18"/>
                <w:szCs w:val="18"/>
              </w:rPr>
            </w:pPr>
            <w:r w:rsidRPr="006010C1">
              <w:rPr>
                <w:rFonts w:ascii="Arial" w:hAnsi="Arial" w:cs="Arial"/>
                <w:sz w:val="18"/>
                <w:szCs w:val="18"/>
              </w:rPr>
              <w:t xml:space="preserve">Additions </w:t>
            </w:r>
          </w:p>
        </w:tc>
        <w:tc>
          <w:tcPr>
            <w:tcW w:w="2552" w:type="dxa"/>
          </w:tcPr>
          <w:p w:rsidR="004444BE" w:rsidRPr="00A400C1" w:rsidRDefault="004444BE" w:rsidP="004444BE">
            <w:pPr>
              <w:widowControl w:val="0"/>
              <w:suppressAutoHyphens/>
              <w:autoSpaceDE w:val="0"/>
              <w:autoSpaceDN w:val="0"/>
              <w:adjustRightInd w:val="0"/>
              <w:spacing w:line="276" w:lineRule="auto"/>
              <w:jc w:val="right"/>
              <w:textAlignment w:val="center"/>
              <w:rPr>
                <w:rFonts w:ascii="Arial" w:hAnsi="Arial" w:cs="Arial"/>
                <w:b/>
                <w:bCs/>
                <w:color w:val="000000"/>
                <w:spacing w:val="-5"/>
                <w:sz w:val="18"/>
                <w:szCs w:val="18"/>
              </w:rPr>
            </w:pPr>
            <w:r>
              <w:rPr>
                <w:rFonts w:ascii="Arial" w:hAnsi="Arial" w:cs="Arial"/>
                <w:b/>
                <w:color w:val="000000"/>
                <w:spacing w:val="-5"/>
                <w:sz w:val="18"/>
                <w:szCs w:val="18"/>
              </w:rPr>
              <w:t>5,836</w:t>
            </w:r>
          </w:p>
        </w:tc>
        <w:tc>
          <w:tcPr>
            <w:tcW w:w="1700" w:type="dxa"/>
          </w:tcPr>
          <w:p w:rsidR="004444BE" w:rsidRPr="004444BE" w:rsidRDefault="004444BE" w:rsidP="004444BE">
            <w:pPr>
              <w:widowControl w:val="0"/>
              <w:suppressAutoHyphens/>
              <w:autoSpaceDE w:val="0"/>
              <w:autoSpaceDN w:val="0"/>
              <w:adjustRightInd w:val="0"/>
              <w:spacing w:line="276" w:lineRule="auto"/>
              <w:jc w:val="right"/>
              <w:textAlignment w:val="center"/>
              <w:rPr>
                <w:rFonts w:ascii="Arial" w:hAnsi="Arial" w:cs="Arial"/>
                <w:bCs/>
                <w:color w:val="000000"/>
                <w:spacing w:val="-5"/>
                <w:sz w:val="18"/>
                <w:szCs w:val="18"/>
              </w:rPr>
            </w:pPr>
            <w:r w:rsidRPr="005B1DE1">
              <w:rPr>
                <w:rFonts w:ascii="Arial" w:hAnsi="Arial" w:cs="Arial"/>
                <w:color w:val="000000"/>
                <w:spacing w:val="-5"/>
                <w:sz w:val="18"/>
                <w:szCs w:val="18"/>
              </w:rPr>
              <w:t>4,396</w:t>
            </w:r>
          </w:p>
        </w:tc>
        <w:tc>
          <w:tcPr>
            <w:tcW w:w="1701" w:type="dxa"/>
          </w:tcPr>
          <w:p w:rsidR="004444BE" w:rsidRPr="006010C1"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Pr>
                <w:rFonts w:ascii="Arial" w:hAnsi="Arial" w:cs="Arial"/>
                <w:color w:val="000000"/>
                <w:spacing w:val="-5"/>
                <w:sz w:val="18"/>
                <w:szCs w:val="18"/>
              </w:rPr>
              <w:t>+33</w:t>
            </w:r>
            <w:r w:rsidRPr="006010C1">
              <w:rPr>
                <w:rFonts w:ascii="Arial" w:hAnsi="Arial" w:cs="Arial"/>
                <w:color w:val="000000"/>
                <w:spacing w:val="-5"/>
                <w:sz w:val="18"/>
                <w:szCs w:val="18"/>
              </w:rPr>
              <w:t>%</w:t>
            </w:r>
          </w:p>
        </w:tc>
      </w:tr>
      <w:tr w:rsidR="004444BE" w:rsidRPr="006C3343" w:rsidTr="005F086E">
        <w:tc>
          <w:tcPr>
            <w:tcW w:w="3817" w:type="dxa"/>
          </w:tcPr>
          <w:p w:rsidR="004444BE" w:rsidRPr="006010C1" w:rsidRDefault="004444BE" w:rsidP="004444BE">
            <w:pPr>
              <w:spacing w:line="276" w:lineRule="auto"/>
              <w:ind w:hanging="20"/>
              <w:contextualSpacing/>
              <w:rPr>
                <w:rFonts w:ascii="Arial" w:hAnsi="Arial" w:cs="Arial"/>
                <w:sz w:val="18"/>
                <w:szCs w:val="18"/>
              </w:rPr>
            </w:pPr>
            <w:r w:rsidRPr="006010C1">
              <w:rPr>
                <w:rFonts w:ascii="Arial" w:hAnsi="Arial" w:cs="Arial"/>
                <w:sz w:val="18"/>
                <w:szCs w:val="18"/>
              </w:rPr>
              <w:t>Accounts consolidation</w:t>
            </w:r>
          </w:p>
        </w:tc>
        <w:tc>
          <w:tcPr>
            <w:tcW w:w="2552" w:type="dxa"/>
          </w:tcPr>
          <w:p w:rsidR="004444BE" w:rsidRPr="00A400C1" w:rsidRDefault="004444BE" w:rsidP="004444BE">
            <w:pPr>
              <w:widowControl w:val="0"/>
              <w:suppressAutoHyphens/>
              <w:autoSpaceDE w:val="0"/>
              <w:autoSpaceDN w:val="0"/>
              <w:adjustRightInd w:val="0"/>
              <w:spacing w:line="276" w:lineRule="auto"/>
              <w:jc w:val="right"/>
              <w:textAlignment w:val="center"/>
              <w:rPr>
                <w:rFonts w:ascii="Arial" w:hAnsi="Arial" w:cs="Arial"/>
                <w:b/>
                <w:color w:val="000000"/>
                <w:spacing w:val="-5"/>
                <w:sz w:val="18"/>
                <w:szCs w:val="18"/>
              </w:rPr>
            </w:pPr>
            <w:r w:rsidRPr="00A400C1">
              <w:rPr>
                <w:rFonts w:ascii="Arial" w:hAnsi="Arial" w:cs="Arial"/>
                <w:b/>
                <w:color w:val="000000"/>
                <w:spacing w:val="-5"/>
                <w:sz w:val="18"/>
                <w:szCs w:val="18"/>
              </w:rPr>
              <w:t>(</w:t>
            </w:r>
            <w:r>
              <w:rPr>
                <w:rFonts w:ascii="Arial" w:hAnsi="Arial" w:cs="Arial"/>
                <w:b/>
                <w:color w:val="000000"/>
                <w:spacing w:val="-5"/>
                <w:sz w:val="18"/>
                <w:szCs w:val="18"/>
              </w:rPr>
              <w:t>169</w:t>
            </w:r>
            <w:r w:rsidRPr="00A400C1">
              <w:rPr>
                <w:rFonts w:ascii="Arial" w:hAnsi="Arial" w:cs="Arial"/>
                <w:b/>
                <w:color w:val="000000"/>
                <w:spacing w:val="-5"/>
                <w:sz w:val="18"/>
                <w:szCs w:val="18"/>
              </w:rPr>
              <w:t>)</w:t>
            </w:r>
          </w:p>
        </w:tc>
        <w:tc>
          <w:tcPr>
            <w:tcW w:w="1700" w:type="dxa"/>
          </w:tcPr>
          <w:p w:rsidR="004444BE" w:rsidRPr="004444BE" w:rsidRDefault="004444BE" w:rsidP="004444BE">
            <w:pPr>
              <w:widowControl w:val="0"/>
              <w:suppressAutoHyphens/>
              <w:autoSpaceDE w:val="0"/>
              <w:autoSpaceDN w:val="0"/>
              <w:adjustRightInd w:val="0"/>
              <w:spacing w:line="276" w:lineRule="auto"/>
              <w:jc w:val="right"/>
              <w:textAlignment w:val="center"/>
              <w:rPr>
                <w:rFonts w:ascii="Arial" w:hAnsi="Arial" w:cs="Arial"/>
                <w:bCs/>
                <w:color w:val="000000"/>
                <w:spacing w:val="-5"/>
                <w:sz w:val="18"/>
                <w:szCs w:val="18"/>
              </w:rPr>
            </w:pPr>
            <w:r w:rsidRPr="005B1DE1">
              <w:rPr>
                <w:rFonts w:ascii="Arial" w:hAnsi="Arial" w:cs="Arial"/>
                <w:color w:val="000000"/>
                <w:spacing w:val="-5"/>
                <w:sz w:val="18"/>
                <w:szCs w:val="18"/>
              </w:rPr>
              <w:t>(531)</w:t>
            </w:r>
          </w:p>
        </w:tc>
        <w:tc>
          <w:tcPr>
            <w:tcW w:w="1701" w:type="dxa"/>
          </w:tcPr>
          <w:p w:rsidR="004444BE" w:rsidRPr="006010C1"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Pr>
                <w:rFonts w:ascii="Arial" w:hAnsi="Arial" w:cs="Arial"/>
                <w:color w:val="000000"/>
                <w:spacing w:val="-5"/>
                <w:sz w:val="18"/>
                <w:szCs w:val="18"/>
              </w:rPr>
              <w:t>-68</w:t>
            </w:r>
            <w:r w:rsidRPr="006010C1">
              <w:rPr>
                <w:rFonts w:ascii="Arial" w:hAnsi="Arial" w:cs="Arial"/>
                <w:color w:val="000000"/>
                <w:spacing w:val="-5"/>
                <w:sz w:val="18"/>
                <w:szCs w:val="18"/>
              </w:rPr>
              <w:t>%</w:t>
            </w:r>
          </w:p>
        </w:tc>
      </w:tr>
      <w:tr w:rsidR="004444BE" w:rsidRPr="006C3343" w:rsidTr="005F086E">
        <w:tc>
          <w:tcPr>
            <w:tcW w:w="3817" w:type="dxa"/>
            <w:tcBorders>
              <w:bottom w:val="single" w:sz="4" w:space="0" w:color="auto"/>
            </w:tcBorders>
          </w:tcPr>
          <w:p w:rsidR="004444BE" w:rsidRPr="006010C1" w:rsidRDefault="004444BE" w:rsidP="004444BE">
            <w:pPr>
              <w:spacing w:line="276" w:lineRule="auto"/>
              <w:ind w:hanging="20"/>
              <w:contextualSpacing/>
              <w:rPr>
                <w:rFonts w:ascii="Arial" w:hAnsi="Arial" w:cs="Arial"/>
                <w:sz w:val="18"/>
                <w:szCs w:val="18"/>
              </w:rPr>
            </w:pPr>
            <w:r w:rsidRPr="006010C1">
              <w:rPr>
                <w:rFonts w:ascii="Arial" w:hAnsi="Arial" w:cs="Arial"/>
                <w:sz w:val="18"/>
                <w:szCs w:val="18"/>
              </w:rPr>
              <w:t>Attrition</w:t>
            </w:r>
          </w:p>
        </w:tc>
        <w:tc>
          <w:tcPr>
            <w:tcW w:w="2552" w:type="dxa"/>
            <w:tcBorders>
              <w:bottom w:val="single" w:sz="4" w:space="0" w:color="auto"/>
            </w:tcBorders>
          </w:tcPr>
          <w:p w:rsidR="004444BE" w:rsidRPr="00A400C1" w:rsidRDefault="004444BE" w:rsidP="004444BE">
            <w:pPr>
              <w:widowControl w:val="0"/>
              <w:suppressAutoHyphens/>
              <w:autoSpaceDE w:val="0"/>
              <w:autoSpaceDN w:val="0"/>
              <w:adjustRightInd w:val="0"/>
              <w:spacing w:line="276" w:lineRule="auto"/>
              <w:jc w:val="right"/>
              <w:textAlignment w:val="center"/>
              <w:rPr>
                <w:rFonts w:ascii="Arial" w:hAnsi="Arial" w:cs="Arial"/>
                <w:b/>
                <w:color w:val="000000"/>
                <w:spacing w:val="-5"/>
                <w:sz w:val="18"/>
                <w:szCs w:val="18"/>
              </w:rPr>
            </w:pPr>
            <w:r w:rsidRPr="00A400C1">
              <w:rPr>
                <w:rFonts w:ascii="Arial" w:hAnsi="Arial" w:cs="Arial"/>
                <w:b/>
                <w:color w:val="000000"/>
                <w:spacing w:val="-5"/>
                <w:sz w:val="18"/>
                <w:szCs w:val="18"/>
              </w:rPr>
              <w:t>(3,</w:t>
            </w:r>
            <w:r>
              <w:rPr>
                <w:rFonts w:ascii="Arial" w:hAnsi="Arial" w:cs="Arial"/>
                <w:b/>
                <w:color w:val="000000"/>
                <w:spacing w:val="-5"/>
                <w:sz w:val="18"/>
                <w:szCs w:val="18"/>
              </w:rPr>
              <w:t>134</w:t>
            </w:r>
            <w:r w:rsidRPr="00A400C1">
              <w:rPr>
                <w:rFonts w:ascii="Arial" w:hAnsi="Arial" w:cs="Arial"/>
                <w:b/>
                <w:color w:val="000000"/>
                <w:spacing w:val="-5"/>
                <w:sz w:val="18"/>
                <w:szCs w:val="18"/>
              </w:rPr>
              <w:t>)</w:t>
            </w:r>
          </w:p>
        </w:tc>
        <w:tc>
          <w:tcPr>
            <w:tcW w:w="1700" w:type="dxa"/>
            <w:tcBorders>
              <w:bottom w:val="single" w:sz="4" w:space="0" w:color="auto"/>
            </w:tcBorders>
          </w:tcPr>
          <w:p w:rsidR="004444BE" w:rsidRPr="004444BE"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(3,575)</w:t>
            </w:r>
          </w:p>
        </w:tc>
        <w:tc>
          <w:tcPr>
            <w:tcW w:w="1701" w:type="dxa"/>
            <w:tcBorders>
              <w:bottom w:val="single" w:sz="4" w:space="0" w:color="auto"/>
            </w:tcBorders>
          </w:tcPr>
          <w:p w:rsidR="004444BE" w:rsidRPr="006010C1"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Pr>
                <w:rFonts w:ascii="Arial" w:hAnsi="Arial" w:cs="Arial"/>
                <w:color w:val="000000"/>
                <w:spacing w:val="-5"/>
                <w:sz w:val="18"/>
                <w:szCs w:val="18"/>
              </w:rPr>
              <w:t>-12</w:t>
            </w:r>
            <w:r w:rsidRPr="006010C1">
              <w:rPr>
                <w:rFonts w:ascii="Arial" w:hAnsi="Arial" w:cs="Arial"/>
                <w:color w:val="000000"/>
                <w:spacing w:val="-5"/>
                <w:sz w:val="18"/>
                <w:szCs w:val="18"/>
              </w:rPr>
              <w:t>%</w:t>
            </w:r>
          </w:p>
        </w:tc>
      </w:tr>
      <w:tr w:rsidR="004444BE" w:rsidRPr="006C3343" w:rsidTr="005F086E">
        <w:tc>
          <w:tcPr>
            <w:tcW w:w="3817" w:type="dxa"/>
            <w:tcBorders>
              <w:top w:val="single" w:sz="4" w:space="0" w:color="auto"/>
              <w:bottom w:val="single" w:sz="4" w:space="0" w:color="auto"/>
            </w:tcBorders>
          </w:tcPr>
          <w:p w:rsidR="004444BE" w:rsidRPr="006010C1" w:rsidRDefault="004444BE" w:rsidP="004444BE">
            <w:pPr>
              <w:spacing w:line="276" w:lineRule="auto"/>
              <w:ind w:hanging="20"/>
              <w:contextualSpacing/>
              <w:rPr>
                <w:rFonts w:ascii="Arial" w:hAnsi="Arial" w:cs="Arial"/>
                <w:sz w:val="18"/>
                <w:szCs w:val="18"/>
              </w:rPr>
            </w:pPr>
            <w:r w:rsidRPr="006010C1">
              <w:rPr>
                <w:rFonts w:ascii="Arial" w:hAnsi="Arial" w:cs="Arial"/>
                <w:sz w:val="18"/>
                <w:szCs w:val="18"/>
              </w:rPr>
              <w:t>Closing</w:t>
            </w:r>
          </w:p>
        </w:tc>
        <w:tc>
          <w:tcPr>
            <w:tcW w:w="2552" w:type="dxa"/>
            <w:tcBorders>
              <w:top w:val="single" w:sz="4" w:space="0" w:color="auto"/>
              <w:bottom w:val="single" w:sz="4" w:space="0" w:color="auto"/>
            </w:tcBorders>
          </w:tcPr>
          <w:p w:rsidR="004444BE" w:rsidRPr="00A400C1" w:rsidRDefault="004444BE" w:rsidP="004444BE">
            <w:pPr>
              <w:widowControl w:val="0"/>
              <w:suppressAutoHyphens/>
              <w:autoSpaceDE w:val="0"/>
              <w:autoSpaceDN w:val="0"/>
              <w:adjustRightInd w:val="0"/>
              <w:spacing w:line="276" w:lineRule="auto"/>
              <w:jc w:val="right"/>
              <w:textAlignment w:val="center"/>
              <w:rPr>
                <w:rFonts w:ascii="Arial" w:hAnsi="Arial" w:cs="Arial"/>
                <w:b/>
                <w:color w:val="000000"/>
                <w:spacing w:val="-5"/>
                <w:sz w:val="18"/>
                <w:szCs w:val="18"/>
              </w:rPr>
            </w:pPr>
            <w:r w:rsidRPr="00A400C1">
              <w:rPr>
                <w:rFonts w:ascii="Arial" w:hAnsi="Arial" w:cs="Arial"/>
                <w:b/>
                <w:color w:val="000000"/>
                <w:spacing w:val="-5"/>
                <w:sz w:val="18"/>
                <w:szCs w:val="18"/>
              </w:rPr>
              <w:t>5</w:t>
            </w:r>
            <w:r>
              <w:rPr>
                <w:rFonts w:ascii="Arial" w:hAnsi="Arial" w:cs="Arial"/>
                <w:b/>
                <w:color w:val="000000"/>
                <w:spacing w:val="-5"/>
                <w:sz w:val="18"/>
                <w:szCs w:val="18"/>
              </w:rPr>
              <w:t>4</w:t>
            </w:r>
            <w:r w:rsidRPr="00A400C1">
              <w:rPr>
                <w:rFonts w:ascii="Arial" w:hAnsi="Arial" w:cs="Arial"/>
                <w:b/>
                <w:color w:val="000000"/>
                <w:spacing w:val="-5"/>
                <w:sz w:val="18"/>
                <w:szCs w:val="18"/>
              </w:rPr>
              <w:t>,</w:t>
            </w:r>
            <w:r>
              <w:rPr>
                <w:rFonts w:ascii="Arial" w:hAnsi="Arial" w:cs="Arial"/>
                <w:b/>
                <w:color w:val="000000"/>
                <w:spacing w:val="-5"/>
                <w:sz w:val="18"/>
                <w:szCs w:val="18"/>
              </w:rPr>
              <w:t>924</w:t>
            </w:r>
          </w:p>
        </w:tc>
        <w:tc>
          <w:tcPr>
            <w:tcW w:w="1700" w:type="dxa"/>
            <w:tcBorders>
              <w:top w:val="single" w:sz="4" w:space="0" w:color="auto"/>
              <w:bottom w:val="single" w:sz="4" w:space="0" w:color="auto"/>
            </w:tcBorders>
          </w:tcPr>
          <w:p w:rsidR="004444BE" w:rsidRPr="004444BE"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52,391</w:t>
            </w:r>
          </w:p>
        </w:tc>
        <w:tc>
          <w:tcPr>
            <w:tcW w:w="1701" w:type="dxa"/>
            <w:tcBorders>
              <w:top w:val="single" w:sz="4" w:space="0" w:color="auto"/>
              <w:bottom w:val="single" w:sz="4" w:space="0" w:color="auto"/>
            </w:tcBorders>
          </w:tcPr>
          <w:p w:rsidR="004444BE" w:rsidRPr="006010C1" w:rsidRDefault="004444BE" w:rsidP="004444BE">
            <w:pPr>
              <w:widowControl w:val="0"/>
              <w:suppressAutoHyphens/>
              <w:autoSpaceDE w:val="0"/>
              <w:autoSpaceDN w:val="0"/>
              <w:adjustRightInd w:val="0"/>
              <w:spacing w:line="276" w:lineRule="auto"/>
              <w:jc w:val="right"/>
              <w:textAlignment w:val="center"/>
              <w:rPr>
                <w:rFonts w:ascii="Arial" w:hAnsi="Arial" w:cs="Arial"/>
                <w:color w:val="000000"/>
                <w:spacing w:val="-5"/>
                <w:sz w:val="18"/>
                <w:szCs w:val="18"/>
              </w:rPr>
            </w:pPr>
            <w:r w:rsidRPr="006010C1">
              <w:rPr>
                <w:rFonts w:ascii="Arial" w:hAnsi="Arial" w:cs="Arial"/>
                <w:color w:val="000000"/>
                <w:spacing w:val="-5"/>
                <w:sz w:val="18"/>
                <w:szCs w:val="18"/>
              </w:rPr>
              <w:t>+</w:t>
            </w:r>
            <w:r>
              <w:rPr>
                <w:rFonts w:ascii="Arial" w:hAnsi="Arial" w:cs="Arial"/>
                <w:color w:val="000000"/>
                <w:spacing w:val="-5"/>
                <w:sz w:val="18"/>
                <w:szCs w:val="18"/>
              </w:rPr>
              <w:t>5</w:t>
            </w:r>
            <w:r w:rsidRPr="006010C1">
              <w:rPr>
                <w:rFonts w:ascii="Arial" w:hAnsi="Arial" w:cs="Arial"/>
                <w:color w:val="000000"/>
                <w:spacing w:val="-5"/>
                <w:sz w:val="18"/>
                <w:szCs w:val="18"/>
              </w:rPr>
              <w:t>%</w:t>
            </w:r>
          </w:p>
        </w:tc>
      </w:tr>
    </w:tbl>
    <w:p w:rsidR="00DB77AA" w:rsidRPr="006C3343" w:rsidRDefault="00DB77AA" w:rsidP="0006789E">
      <w:pPr>
        <w:spacing w:line="240" w:lineRule="auto"/>
        <w:contextualSpacing/>
        <w:rPr>
          <w:rFonts w:ascii="Arial" w:hAnsi="Arial" w:cs="Arial"/>
          <w:b/>
          <w:color w:val="31849B" w:themeColor="accent5" w:themeShade="BF"/>
          <w:sz w:val="20"/>
          <w:szCs w:val="20"/>
          <w:lang w:val="en-IE"/>
        </w:rPr>
      </w:pPr>
    </w:p>
    <w:p w:rsidR="00D46007" w:rsidRPr="005707A8" w:rsidRDefault="00E554D6" w:rsidP="005707A8">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707A8">
        <w:rPr>
          <w:rFonts w:ascii="Arial" w:hAnsi="Arial" w:cs="Arial"/>
          <w:b/>
          <w:bCs/>
          <w:caps/>
          <w:color w:val="64C4DA"/>
          <w:spacing w:val="-2"/>
          <w:sz w:val="18"/>
          <w:szCs w:val="18"/>
        </w:rPr>
        <w:t>KEY ACHIEVEMENTS</w:t>
      </w:r>
    </w:p>
    <w:p w:rsidR="00E554D6" w:rsidRPr="005B1DE1" w:rsidRDefault="00E554D6" w:rsidP="00E554D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Operational efficiency delivered productivity gains equivalent to 46 employee headcount.</w:t>
      </w:r>
    </w:p>
    <w:p w:rsidR="00E554D6" w:rsidRPr="005B1DE1" w:rsidRDefault="00E554D6" w:rsidP="00E554D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Restructured shared support and commercial functions reduced headcount by 20</w:t>
      </w:r>
    </w:p>
    <w:p w:rsidR="00E554D6" w:rsidRPr="005B1DE1" w:rsidRDefault="00E554D6" w:rsidP="00E554D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Focused distribution strategy, delivered strong growth with higher average case size</w:t>
      </w:r>
    </w:p>
    <w:p w:rsidR="00E554D6" w:rsidRPr="005B1DE1" w:rsidRDefault="00E554D6" w:rsidP="00E554D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Focus on clients has delivered a more responsive business</w:t>
      </w:r>
    </w:p>
    <w:p w:rsidR="00FD662F" w:rsidRPr="005707A8" w:rsidRDefault="00FD662F" w:rsidP="005707A8">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p>
    <w:p w:rsidR="0074754A" w:rsidRPr="005707A8" w:rsidRDefault="00E554D6" w:rsidP="005707A8">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707A8">
        <w:rPr>
          <w:rFonts w:ascii="Arial" w:hAnsi="Arial" w:cs="Arial"/>
          <w:b/>
          <w:bCs/>
          <w:caps/>
          <w:color w:val="64C4DA"/>
          <w:spacing w:val="-2"/>
          <w:sz w:val="18"/>
          <w:szCs w:val="18"/>
        </w:rPr>
        <w:t>OUR CLIENTS</w:t>
      </w:r>
    </w:p>
    <w:p w:rsidR="00E554D6" w:rsidRPr="005B1DE1" w:rsidRDefault="00E554D6" w:rsidP="00E554D6">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bookmarkStart w:id="6" w:name="_Hlk508615144"/>
      <w:r w:rsidRPr="005B1DE1">
        <w:rPr>
          <w:rFonts w:ascii="Arial" w:hAnsi="Arial" w:cs="Arial"/>
          <w:color w:val="000000"/>
          <w:spacing w:val="-2"/>
          <w:sz w:val="18"/>
          <w:szCs w:val="18"/>
        </w:rPr>
        <w:t xml:space="preserve">We believe that meeting client expectations is central to our success as a business. Our investment programme continues to focus on improving the client experience. The conduct framework implemented last year is now embedded in the business. </w:t>
      </w:r>
    </w:p>
    <w:bookmarkEnd w:id="6"/>
    <w:p w:rsidR="00E554D6" w:rsidRPr="005B1DE1" w:rsidRDefault="00E554D6" w:rsidP="00E554D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64C4DA"/>
          <w:spacing w:val="-2"/>
          <w:sz w:val="18"/>
          <w:szCs w:val="18"/>
        </w:rPr>
      </w:pPr>
      <w:r w:rsidRPr="005B1DE1">
        <w:rPr>
          <w:rFonts w:ascii="Arial" w:hAnsi="Arial" w:cs="Arial"/>
          <w:b/>
          <w:bCs/>
          <w:caps/>
          <w:color w:val="64C4DA"/>
          <w:spacing w:val="-2"/>
          <w:sz w:val="18"/>
          <w:szCs w:val="18"/>
        </w:rPr>
        <w:t>Investment in our People</w:t>
      </w:r>
    </w:p>
    <w:p w:rsidR="00E554D6" w:rsidRPr="005B1DE1" w:rsidRDefault="00E554D6" w:rsidP="00E554D6">
      <w:pPr>
        <w:jc w:val="both"/>
        <w:rPr>
          <w:rFonts w:ascii="Arial" w:hAnsi="Arial" w:cs="Arial"/>
          <w:color w:val="000000"/>
          <w:spacing w:val="-2"/>
          <w:sz w:val="18"/>
          <w:szCs w:val="18"/>
        </w:rPr>
      </w:pPr>
      <w:r w:rsidRPr="005B1DE1">
        <w:rPr>
          <w:rFonts w:ascii="Arial" w:hAnsi="Arial" w:cs="Arial"/>
          <w:color w:val="000000"/>
          <w:spacing w:val="-2"/>
          <w:sz w:val="18"/>
          <w:szCs w:val="18"/>
        </w:rPr>
        <w:t xml:space="preserve">Alongside our investment in technology, we have also continued to invest in our people to support their training and development. We have implemented a flexible employee benefit programme and completed market salary reviews. We have enhanced our performance management process and aligned them with our conduct agenda. </w:t>
      </w:r>
    </w:p>
    <w:p w:rsidR="00A95934" w:rsidRDefault="00A95934" w:rsidP="006010C1">
      <w:pPr>
        <w:spacing w:line="240" w:lineRule="auto"/>
        <w:rPr>
          <w:rFonts w:ascii="Arial" w:hAnsi="Arial" w:cs="Arial"/>
          <w:color w:val="808080" w:themeColor="background1" w:themeShade="80"/>
          <w:sz w:val="20"/>
          <w:szCs w:val="20"/>
          <w:lang w:val="en-IE"/>
        </w:rPr>
      </w:pPr>
    </w:p>
    <w:p w:rsidR="00056C9A" w:rsidRPr="00E65E93" w:rsidRDefault="009F1DAA" w:rsidP="006010C1">
      <w:pPr>
        <w:spacing w:line="240" w:lineRule="auto"/>
        <w:rPr>
          <w:rFonts w:ascii="Arial" w:hAnsi="Arial" w:cs="Arial"/>
          <w:color w:val="808080" w:themeColor="background1" w:themeShade="80"/>
          <w:sz w:val="28"/>
          <w:szCs w:val="28"/>
          <w:lang w:val="en-IE"/>
        </w:rPr>
      </w:pPr>
      <w:r w:rsidRPr="00E65E93">
        <w:rPr>
          <w:rFonts w:ascii="Arial" w:hAnsi="Arial" w:cs="Arial"/>
          <w:color w:val="808080" w:themeColor="background1" w:themeShade="80"/>
          <w:sz w:val="28"/>
          <w:szCs w:val="28"/>
          <w:lang w:val="en-IE"/>
        </w:rPr>
        <w:t>Extract from o</w:t>
      </w:r>
      <w:r w:rsidR="00056C9A" w:rsidRPr="00E65E93">
        <w:rPr>
          <w:rFonts w:ascii="Arial" w:hAnsi="Arial" w:cs="Arial"/>
          <w:color w:val="808080" w:themeColor="background1" w:themeShade="80"/>
          <w:sz w:val="28"/>
          <w:szCs w:val="28"/>
          <w:lang w:val="en-IE"/>
        </w:rPr>
        <w:t>perational review – Saunderson House</w:t>
      </w:r>
    </w:p>
    <w:p w:rsidR="00056C9A" w:rsidRPr="008A6569" w:rsidRDefault="00D03F46" w:rsidP="00471C5D">
      <w:pPr>
        <w:pStyle w:val="NormalWeb"/>
        <w:spacing w:before="0" w:beforeAutospacing="0" w:after="0" w:afterAutospacing="0"/>
        <w:textAlignment w:val="baseline"/>
        <w:rPr>
          <w:rFonts w:ascii="Arial" w:eastAsiaTheme="minorEastAsia" w:hAnsi="Arial" w:cs="Arial"/>
          <w:b/>
          <w:color w:val="E36C0A" w:themeColor="accent6" w:themeShade="BF"/>
          <w:sz w:val="18"/>
          <w:szCs w:val="18"/>
          <w:lang w:val="en-IE"/>
        </w:rPr>
      </w:pPr>
      <w:r w:rsidRPr="008A6569">
        <w:rPr>
          <w:rFonts w:ascii="Arial" w:eastAsiaTheme="minorEastAsia" w:hAnsi="Arial" w:cs="Arial"/>
          <w:b/>
          <w:color w:val="E36C0A" w:themeColor="accent6" w:themeShade="BF"/>
          <w:sz w:val="18"/>
          <w:szCs w:val="18"/>
          <w:lang w:val="en-IE"/>
        </w:rPr>
        <w:t>HIGHLIGHTS</w:t>
      </w:r>
    </w:p>
    <w:p w:rsidR="00353CFD" w:rsidRPr="005B1DE1" w:rsidRDefault="00353CFD" w:rsidP="005D3109">
      <w:pPr>
        <w:pStyle w:val="NormalWeb"/>
        <w:spacing w:before="0" w:beforeAutospacing="0" w:after="0" w:afterAutospacing="0"/>
        <w:textAlignment w:val="baseline"/>
        <w:rPr>
          <w:rFonts w:ascii="Arial" w:hAnsi="Arial" w:cs="Arial"/>
          <w:b/>
          <w:color w:val="F79646" w:themeColor="accent6"/>
          <w:sz w:val="18"/>
          <w:szCs w:val="18"/>
          <w:lang w:val="en-IE"/>
        </w:rPr>
      </w:pPr>
    </w:p>
    <w:p w:rsidR="00D03F46" w:rsidRPr="005B1DE1" w:rsidRDefault="00D03F46" w:rsidP="00D03F46">
      <w:pPr>
        <w:pStyle w:val="ListParagraph"/>
        <w:numPr>
          <w:ilvl w:val="0"/>
          <w:numId w:val="83"/>
        </w:numPr>
        <w:jc w:val="both"/>
        <w:rPr>
          <w:rFonts w:ascii="Arial" w:hAnsi="Arial" w:cs="Arial"/>
          <w:color w:val="000000"/>
          <w:spacing w:val="-2"/>
          <w:sz w:val="18"/>
          <w:szCs w:val="18"/>
        </w:rPr>
      </w:pPr>
      <w:r w:rsidRPr="005B1DE1">
        <w:rPr>
          <w:rFonts w:ascii="Arial" w:hAnsi="Arial" w:cs="Arial"/>
          <w:color w:val="000000"/>
          <w:spacing w:val="-2"/>
          <w:sz w:val="18"/>
          <w:szCs w:val="18"/>
        </w:rPr>
        <w:t>Revenue £32.2 million</w:t>
      </w:r>
    </w:p>
    <w:p w:rsidR="00D03F46" w:rsidRPr="005B1DE1" w:rsidRDefault="00D03F46" w:rsidP="00D03F46">
      <w:pPr>
        <w:pStyle w:val="ListParagraph"/>
        <w:numPr>
          <w:ilvl w:val="0"/>
          <w:numId w:val="83"/>
        </w:numPr>
        <w:jc w:val="both"/>
        <w:rPr>
          <w:rFonts w:ascii="Arial" w:hAnsi="Arial" w:cs="Arial"/>
          <w:color w:val="000000"/>
          <w:spacing w:val="-2"/>
          <w:sz w:val="18"/>
          <w:szCs w:val="18"/>
        </w:rPr>
      </w:pPr>
      <w:r w:rsidRPr="005B1DE1">
        <w:rPr>
          <w:rFonts w:ascii="Arial" w:hAnsi="Arial" w:cs="Arial"/>
          <w:color w:val="000000"/>
          <w:spacing w:val="-2"/>
          <w:sz w:val="18"/>
          <w:szCs w:val="18"/>
        </w:rPr>
        <w:t>Adjusted operating profit £8.6 million</w:t>
      </w:r>
    </w:p>
    <w:p w:rsidR="00D03F46" w:rsidRPr="005B1DE1" w:rsidRDefault="00D03F46" w:rsidP="00D03F46">
      <w:pPr>
        <w:pStyle w:val="ListParagraph"/>
        <w:numPr>
          <w:ilvl w:val="0"/>
          <w:numId w:val="83"/>
        </w:numPr>
        <w:jc w:val="both"/>
        <w:rPr>
          <w:rFonts w:ascii="Arial" w:hAnsi="Arial" w:cs="Arial"/>
          <w:color w:val="000000"/>
          <w:spacing w:val="-2"/>
          <w:sz w:val="18"/>
          <w:szCs w:val="18"/>
        </w:rPr>
      </w:pPr>
      <w:r w:rsidRPr="005B1DE1">
        <w:rPr>
          <w:rFonts w:ascii="Arial" w:hAnsi="Arial" w:cs="Arial"/>
          <w:color w:val="000000"/>
          <w:spacing w:val="-2"/>
          <w:sz w:val="18"/>
          <w:szCs w:val="18"/>
        </w:rPr>
        <w:t>Assets under advice £5.1 billion</w:t>
      </w:r>
    </w:p>
    <w:p w:rsidR="00D03F46" w:rsidRPr="005B1DE1" w:rsidRDefault="00D03F46" w:rsidP="00D03F46">
      <w:pPr>
        <w:pStyle w:val="ListParagraph"/>
        <w:numPr>
          <w:ilvl w:val="0"/>
          <w:numId w:val="83"/>
        </w:numPr>
        <w:jc w:val="both"/>
        <w:rPr>
          <w:rFonts w:ascii="Arial" w:hAnsi="Arial" w:cs="Arial"/>
          <w:color w:val="000000"/>
          <w:spacing w:val="-2"/>
          <w:sz w:val="18"/>
          <w:szCs w:val="18"/>
        </w:rPr>
      </w:pPr>
      <w:r w:rsidRPr="005B1DE1">
        <w:rPr>
          <w:rFonts w:ascii="Arial" w:hAnsi="Arial" w:cs="Arial"/>
          <w:color w:val="000000"/>
          <w:spacing w:val="-2"/>
          <w:sz w:val="18"/>
          <w:szCs w:val="18"/>
        </w:rPr>
        <w:t>8% growth in clients bringing total clients to 2,121, 246 of which are DMS clients</w:t>
      </w:r>
    </w:p>
    <w:p w:rsidR="00056C9A" w:rsidRPr="005B1DE1" w:rsidRDefault="00056C9A" w:rsidP="00471C5D">
      <w:pPr>
        <w:pStyle w:val="NormalWeb"/>
        <w:spacing w:before="0" w:beforeAutospacing="0" w:after="0" w:afterAutospacing="0"/>
        <w:textAlignment w:val="baseline"/>
        <w:rPr>
          <w:rFonts w:ascii="Arial" w:hAnsi="Arial" w:cs="Arial"/>
          <w:b/>
          <w:color w:val="F79646" w:themeColor="accent6"/>
          <w:sz w:val="18"/>
          <w:szCs w:val="18"/>
          <w:lang w:val="en-IE"/>
        </w:rPr>
      </w:pP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Industry overview – independent wealth management</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Macro environmental factors remain positive for the wealth management industry. Wealth in the UK is becoming increasingly concentrated among the top 10% of a growing population, whilst an ageing demographic profile underpins growing demand for advice and products focused around retirement, as well as tax-efficient ways to pass on wealth to future generations. Demand for discretionary management services has continued to grow, whilst advisory asset levels have remained relatively stable. The addition of our Discretionary Management Service in 2016, alongside our existing advisory model, ensures we are well-placed to meet a range of investment preferences from prospective clients.</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Changes in consumer behaviour, particularly with regards to digital demand, provide opportunities to engage with our clients through new channels, such as our client portal. Life events are increasingly influencing the demand for financial advice.</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2017 saw the sixth consecutive year of rising equity markets, alongside some of the lowest levels of volatility experienced in recent years. Once again, Saunderson House clients benefitted from strong investment performance, both in real-terms and in relation to our competitor peer group. The independently constituted Asset Risk Consultants (ARC) rankings placed 10 of Saunderson House's 12 model portfolios in the top quartile of their peer group over one, three, five and 10 years.</w:t>
      </w:r>
      <w:r w:rsidR="003E5A10" w:rsidRPr="003E5A10">
        <w:rPr>
          <w:rFonts w:ascii="Arial" w:hAnsi="Arial" w:cs="Arial"/>
          <w:color w:val="000000"/>
          <w:spacing w:val="-2"/>
          <w:sz w:val="16"/>
          <w:szCs w:val="16"/>
          <w:vertAlign w:val="superscript"/>
        </w:rPr>
        <w:t>1</w:t>
      </w:r>
      <w:r w:rsidRPr="005B1DE1">
        <w:rPr>
          <w:rFonts w:ascii="Arial" w:hAnsi="Arial" w:cs="Arial"/>
          <w:color w:val="000000"/>
          <w:spacing w:val="-2"/>
          <w:sz w:val="18"/>
          <w:szCs w:val="18"/>
        </w:rPr>
        <w:t xml:space="preserve"> </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 xml:space="preserve">Although markets have performed well, uncertainty surrounding the likely outcomes of Brexit negotiations and its potential financial and economic impacts continues to instil uncertainty within markets and amongst investors. From a financial planning perspective, there is concern around the medium-term outlook for the UK's political landscape, and the likely tax implications that a shift in government policy could have for individuals at the higher end of the wealth spectrum. These factors reinforce the benefits of high quality financial advice.  </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 xml:space="preserve">Competition is increasing, with firms seeking to position themselves at the front of the value chain, where propositions are less commoditised and margins are more favourable.  This has encouraged continued consolidation, as well as expansion in the breadth of competitor propositions. In contrast with the potential threat this presents to many advisory businesses, our focused business model, operating in niche market segments, enables us to differentiate Saunderson House from our peers and deliver a higher quality service to our clients. </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We are seeing opportunities to attract new clients who are dissatisfied with their current providers. This sentiment has been reflected by industry research, with one survey finding that over 30% of clients stated they were "very likely" to change their wealth provider within the next 12 months.</w:t>
      </w:r>
      <w:r w:rsidR="003E5A10">
        <w:rPr>
          <w:rFonts w:ascii="Arial" w:hAnsi="Arial" w:cs="Arial"/>
          <w:sz w:val="18"/>
          <w:szCs w:val="18"/>
          <w:vertAlign w:val="superscript"/>
        </w:rPr>
        <w:t>2</w:t>
      </w:r>
      <w:r w:rsidRPr="005B1DE1">
        <w:rPr>
          <w:rFonts w:ascii="Arial" w:hAnsi="Arial" w:cs="Arial"/>
          <w:color w:val="000000"/>
          <w:spacing w:val="-2"/>
          <w:sz w:val="18"/>
          <w:szCs w:val="18"/>
        </w:rPr>
        <w:t xml:space="preserve"> Saunderson House's unique service proposition, strong investment track record and consistently high client retention rates, position the business to capitalise on this opportunity.</w:t>
      </w:r>
    </w:p>
    <w:p w:rsidR="00D03F46" w:rsidRDefault="00D03F46" w:rsidP="008A6569">
      <w:pPr>
        <w:rPr>
          <w:rFonts w:ascii="Arial" w:hAnsi="Arial" w:cs="Arial"/>
          <w:color w:val="000000"/>
          <w:spacing w:val="-2"/>
          <w:sz w:val="18"/>
          <w:szCs w:val="18"/>
        </w:rPr>
      </w:pPr>
      <w:r w:rsidRPr="008A6569">
        <w:rPr>
          <w:rFonts w:ascii="Arial" w:hAnsi="Arial" w:cs="Arial"/>
          <w:color w:val="000000"/>
          <w:spacing w:val="-2"/>
          <w:sz w:val="18"/>
          <w:szCs w:val="18"/>
        </w:rPr>
        <w:lastRenderedPageBreak/>
        <w:t xml:space="preserve">Brexit continues to dominate the macro-political landscape, and may contribute to market volatility in 2018, as the terms of the UK's departure from the EU are finalised. We will ensure we are well placed to react to our clients’ needs, both in terms of the quality of our advice and the flow of information and analysis which our clients and advisors require to properly manage their wealth.  </w:t>
      </w:r>
    </w:p>
    <w:p w:rsidR="003E5A10" w:rsidRDefault="003E5A10" w:rsidP="003E5A10">
      <w:pPr>
        <w:spacing w:after="0"/>
        <w:rPr>
          <w:rFonts w:ascii="Arial" w:hAnsi="Arial" w:cs="Arial"/>
          <w:sz w:val="16"/>
          <w:szCs w:val="16"/>
        </w:rPr>
      </w:pPr>
      <w:r>
        <w:rPr>
          <w:rFonts w:ascii="Arial" w:hAnsi="Arial" w:cs="Arial"/>
          <w:sz w:val="16"/>
          <w:szCs w:val="16"/>
          <w:vertAlign w:val="superscript"/>
        </w:rPr>
        <w:t>1</w:t>
      </w:r>
      <w:r w:rsidRPr="005B1DE1">
        <w:rPr>
          <w:rFonts w:ascii="Arial" w:hAnsi="Arial" w:cs="Arial"/>
          <w:sz w:val="16"/>
          <w:szCs w:val="16"/>
        </w:rPr>
        <w:t>Returns to 31 December 2017</w:t>
      </w:r>
    </w:p>
    <w:p w:rsidR="003E5A10" w:rsidRPr="008A6569" w:rsidRDefault="003E5A10" w:rsidP="008A6569">
      <w:pPr>
        <w:rPr>
          <w:rFonts w:ascii="Arial" w:hAnsi="Arial" w:cs="Arial"/>
          <w:color w:val="000000"/>
          <w:spacing w:val="-2"/>
          <w:sz w:val="18"/>
          <w:szCs w:val="18"/>
        </w:rPr>
      </w:pPr>
      <w:r>
        <w:rPr>
          <w:rFonts w:ascii="Arial" w:hAnsi="Arial" w:cs="Arial"/>
          <w:sz w:val="16"/>
          <w:szCs w:val="16"/>
          <w:vertAlign w:val="superscript"/>
        </w:rPr>
        <w:t>2</w:t>
      </w:r>
      <w:r w:rsidRPr="005B1DE1">
        <w:rPr>
          <w:rFonts w:ascii="Arial" w:hAnsi="Arial" w:cs="Arial"/>
          <w:sz w:val="16"/>
          <w:szCs w:val="16"/>
        </w:rPr>
        <w:t>Compeer (2017)</w:t>
      </w:r>
    </w:p>
    <w:p w:rsidR="00D03F46" w:rsidRPr="005B1DE1" w:rsidRDefault="00D03F46" w:rsidP="00D03F46">
      <w:pPr>
        <w:widowControl w:val="0"/>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Goal</w:t>
      </w:r>
    </w:p>
    <w:p w:rsidR="00D03F46" w:rsidRPr="005B1DE1" w:rsidRDefault="00D03F46" w:rsidP="00D03F46">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We strive to be the first-choice wealth manager in our chosen markets. We achieve this through the strength of our client relationships and delivering the standards of service and advice which exceeds our clients' expectations. </w:t>
      </w: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Business strategy</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We continue to see strong growth opportunities in our existing market segments and within adjacent markets. Whilst acknowledging the pace of change within the industry has accelerated, Saunderson House's relationship-led offering and niche expertise remains an attractive proposition for new and potential clients particularly for individuals with between £0.5 million and £3.0 million to invest.</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Our discretionary offering continues to grow since our launch in 2016 and we are beginning to see the benefits of the investments in technology, which will continue to support growth going forward.</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Our clients are our greatest advocates, with circa 60% of new clients originating from current client referrals. During 2017, we created specialist teams to focus on specific growth initiatives and pursue new markets with similar characteristics to our existing segments. Targeting adjacent markets enables us to leverage our strong relationships.</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To achieve good client outcomes, we strive to deliver a comprehensive service which positions us as the first point of contact for all our clients' personal financial matters. We have built relationships with a number of other professional service providers to deepen our client support capabilities. We continue to build appropriate technology solutions in order to keep pace with market, and client demands, to create an efficient service model and improve the control environment.</w:t>
      </w: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GOVERNANCE</w:t>
      </w:r>
    </w:p>
    <w:p w:rsidR="00D03F46" w:rsidRPr="005B1DE1" w:rsidRDefault="00D03F46" w:rsidP="00D03F46">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To provide a greater balance between executive and non-executive directors and bring us in line with industry best practice, we reconstituted the Saunderson House Board structure in early 2017. This included the appointment of Amanda Davidson as a Non-Executive Director and </w:t>
      </w:r>
      <w:r w:rsidR="00E42FF4">
        <w:rPr>
          <w:rFonts w:ascii="Arial" w:hAnsi="Arial" w:cs="Arial"/>
          <w:color w:val="000000"/>
          <w:spacing w:val="-2"/>
          <w:sz w:val="18"/>
          <w:szCs w:val="18"/>
        </w:rPr>
        <w:t>C</w:t>
      </w:r>
      <w:r w:rsidRPr="005B1DE1">
        <w:rPr>
          <w:rFonts w:ascii="Arial" w:hAnsi="Arial" w:cs="Arial"/>
          <w:color w:val="000000"/>
          <w:spacing w:val="-2"/>
          <w:sz w:val="18"/>
          <w:szCs w:val="18"/>
        </w:rPr>
        <w:t xml:space="preserve">hair of the Risk, Audit and Compliance Committee. </w:t>
      </w:r>
      <w:r w:rsidRPr="005B1DE1">
        <w:rPr>
          <w:rFonts w:ascii="Arial" w:hAnsi="Arial" w:cs="Arial"/>
          <w:sz w:val="18"/>
          <w:szCs w:val="18"/>
        </w:rPr>
        <w:t>The addition of Amanda as an independent Non-Executive Director to the Board in July 2017, has increased the experience of the Board, bringing extensive expertise in the financial services industry</w:t>
      </w:r>
      <w:r w:rsidR="00B67BA9">
        <w:rPr>
          <w:rFonts w:ascii="Arial" w:hAnsi="Arial" w:cs="Arial"/>
          <w:sz w:val="18"/>
          <w:szCs w:val="18"/>
        </w:rPr>
        <w:t>, having held</w:t>
      </w:r>
      <w:r w:rsidRPr="005B1DE1">
        <w:rPr>
          <w:rFonts w:ascii="Arial" w:hAnsi="Arial" w:cs="Arial"/>
          <w:color w:val="000000"/>
          <w:spacing w:val="-2"/>
          <w:sz w:val="18"/>
          <w:szCs w:val="18"/>
        </w:rPr>
        <w:t xml:space="preserve"> a number of Board roles within financial services firms, as well as serving on the boards of financial regulators the FCA (Financial Conduct Authority), FSA (Financial Services Authority) and the PIA (Personal Investment Authority).</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We also appointed Rob Nieves as Director of Risk and Compliance. Having spent over 25 years within the financial services industry, his experience spans front office change and programme delivery in fund managers and banks, derivatives sales and risk and compliance.</w:t>
      </w: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Business review</w:t>
      </w:r>
    </w:p>
    <w:p w:rsidR="00D03F46" w:rsidRPr="005B1DE1" w:rsidRDefault="00D03F46" w:rsidP="00D03F46">
      <w:pPr>
        <w:widowControl w:val="0"/>
        <w:suppressAutoHyphens/>
        <w:autoSpaceDE w:val="0"/>
        <w:autoSpaceDN w:val="0"/>
        <w:adjustRightInd w:val="0"/>
        <w:spacing w:after="160" w:line="200" w:lineRule="atLeast"/>
        <w:textAlignment w:val="center"/>
        <w:rPr>
          <w:rFonts w:ascii="Arial" w:eastAsia="Calibri" w:hAnsi="Arial" w:cs="Arial"/>
          <w:color w:val="000000"/>
          <w:spacing w:val="-2"/>
          <w:sz w:val="18"/>
          <w:szCs w:val="18"/>
        </w:rPr>
      </w:pPr>
      <w:r w:rsidRPr="005B1DE1">
        <w:rPr>
          <w:rFonts w:ascii="Arial" w:eastAsia="Calibri" w:hAnsi="Arial" w:cs="Arial"/>
          <w:color w:val="000000"/>
          <w:spacing w:val="-2"/>
          <w:sz w:val="18"/>
          <w:szCs w:val="18"/>
        </w:rPr>
        <w:t>In 2017, our client retention rates remained stable at 96%</w:t>
      </w:r>
      <w:r w:rsidR="00E42FF4">
        <w:rPr>
          <w:rFonts w:ascii="Arial" w:eastAsia="Calibri" w:hAnsi="Arial" w:cs="Arial"/>
          <w:color w:val="000000"/>
          <w:spacing w:val="-2"/>
          <w:sz w:val="18"/>
          <w:szCs w:val="18"/>
        </w:rPr>
        <w:t>.</w:t>
      </w:r>
      <w:r w:rsidRPr="005B1DE1">
        <w:rPr>
          <w:rFonts w:ascii="Arial" w:eastAsia="Calibri" w:hAnsi="Arial" w:cs="Arial"/>
          <w:color w:val="000000"/>
          <w:spacing w:val="-2"/>
          <w:sz w:val="18"/>
          <w:szCs w:val="18"/>
        </w:rPr>
        <w:t xml:space="preserve"> </w:t>
      </w:r>
      <w:r w:rsidR="00E42FF4">
        <w:rPr>
          <w:rFonts w:ascii="Arial" w:eastAsia="Calibri" w:hAnsi="Arial" w:cs="Arial"/>
          <w:color w:val="000000"/>
          <w:spacing w:val="-2"/>
          <w:sz w:val="18"/>
          <w:szCs w:val="18"/>
        </w:rPr>
        <w:t>Around</w:t>
      </w:r>
      <w:r w:rsidRPr="005B1DE1">
        <w:rPr>
          <w:rFonts w:ascii="Arial" w:eastAsia="Calibri" w:hAnsi="Arial" w:cs="Arial"/>
          <w:color w:val="000000"/>
          <w:spacing w:val="-2"/>
          <w:sz w:val="18"/>
          <w:szCs w:val="18"/>
        </w:rPr>
        <w:t xml:space="preserve"> 60% of new client wins were generated from existing client referrals, evidencing our ability to deliver exceptional client service which our clients recognise. </w:t>
      </w:r>
    </w:p>
    <w:p w:rsidR="00D03F46" w:rsidRPr="005B1DE1" w:rsidRDefault="00D03F46" w:rsidP="00D03F46">
      <w:pPr>
        <w:widowControl w:val="0"/>
        <w:suppressAutoHyphens/>
        <w:autoSpaceDE w:val="0"/>
        <w:autoSpaceDN w:val="0"/>
        <w:adjustRightInd w:val="0"/>
        <w:spacing w:after="160" w:line="200" w:lineRule="atLeast"/>
        <w:textAlignment w:val="center"/>
        <w:rPr>
          <w:rFonts w:ascii="Arial" w:eastAsia="Calibri" w:hAnsi="Arial" w:cs="Arial"/>
          <w:color w:val="000000"/>
          <w:spacing w:val="-2"/>
          <w:sz w:val="18"/>
          <w:szCs w:val="18"/>
        </w:rPr>
      </w:pPr>
      <w:r w:rsidRPr="005B1DE1">
        <w:rPr>
          <w:rFonts w:ascii="Arial" w:eastAsia="Calibri" w:hAnsi="Arial" w:cs="Arial"/>
          <w:color w:val="000000"/>
          <w:spacing w:val="-2"/>
          <w:sz w:val="18"/>
          <w:szCs w:val="18"/>
        </w:rPr>
        <w:t xml:space="preserve">We have continued to embed a number of change projects to support the firm's growth. Newly created client service management and client relationship management roles were established to instil greater clarity to our service model and provide clearer career paths for those managing client relationships and those that manage the business. This evolution has been further supported by the creation of a middle office to free up our highly qualified financial planning teams to focus on delivering added-value services to clients. </w:t>
      </w:r>
    </w:p>
    <w:p w:rsidR="00D03F46" w:rsidRPr="005B1DE1" w:rsidRDefault="00D03F46" w:rsidP="00D03F46">
      <w:pPr>
        <w:widowControl w:val="0"/>
        <w:suppressAutoHyphens/>
        <w:autoSpaceDE w:val="0"/>
        <w:autoSpaceDN w:val="0"/>
        <w:adjustRightInd w:val="0"/>
        <w:spacing w:after="160" w:line="200" w:lineRule="atLeast"/>
        <w:textAlignment w:val="center"/>
        <w:rPr>
          <w:rFonts w:ascii="Arial" w:eastAsia="Calibri" w:hAnsi="Arial" w:cs="Arial"/>
          <w:color w:val="000000"/>
          <w:spacing w:val="-2"/>
          <w:sz w:val="18"/>
          <w:szCs w:val="18"/>
        </w:rPr>
      </w:pPr>
      <w:r w:rsidRPr="005B1DE1">
        <w:rPr>
          <w:rFonts w:ascii="Arial" w:eastAsia="Calibri" w:hAnsi="Arial" w:cs="Arial"/>
          <w:color w:val="000000"/>
          <w:spacing w:val="-2"/>
          <w:sz w:val="18"/>
          <w:szCs w:val="18"/>
        </w:rPr>
        <w:t xml:space="preserve">We further developed our infrastructure to create future scalability. In 2017, this involved the overhaul of a number of our back-office systems, including the completion of new portfolio management, human resources and employee engagement and finance systems. We also migrated our networks and data centres to new providers, as part of our longer-term technological infrastructure programme to ensure resilience in our IT services. </w:t>
      </w:r>
    </w:p>
    <w:p w:rsidR="00D03F46" w:rsidRPr="005B1DE1" w:rsidRDefault="00D03F46" w:rsidP="00D03F46">
      <w:pPr>
        <w:widowControl w:val="0"/>
        <w:suppressAutoHyphens/>
        <w:autoSpaceDE w:val="0"/>
        <w:autoSpaceDN w:val="0"/>
        <w:adjustRightInd w:val="0"/>
        <w:spacing w:line="200" w:lineRule="atLeast"/>
        <w:textAlignment w:val="center"/>
        <w:rPr>
          <w:rFonts w:ascii="Arial" w:eastAsia="Calibri" w:hAnsi="Arial" w:cs="Arial"/>
          <w:color w:val="000000"/>
          <w:spacing w:val="-2"/>
          <w:sz w:val="18"/>
          <w:szCs w:val="18"/>
        </w:rPr>
      </w:pPr>
      <w:r w:rsidRPr="005B1DE1">
        <w:rPr>
          <w:rFonts w:ascii="Arial" w:eastAsia="Calibri" w:hAnsi="Arial" w:cs="Arial"/>
          <w:color w:val="000000"/>
          <w:spacing w:val="-2"/>
          <w:sz w:val="18"/>
          <w:szCs w:val="18"/>
        </w:rPr>
        <w:t xml:space="preserve">Towards the end of 2017, we agreed terms for additional office space to cater for our growing workforce and facilitate more modern working practices. A number of staff will be relocating to the new premises in Q1 2018. </w:t>
      </w: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LEGACY MATTERS</w:t>
      </w:r>
    </w:p>
    <w:p w:rsidR="00D03F46" w:rsidRPr="005B1DE1" w:rsidRDefault="00230102"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lang w:val="en-IE"/>
        </w:rPr>
      </w:pPr>
      <w:r>
        <w:rPr>
          <w:rFonts w:ascii="Arial" w:hAnsi="Arial" w:cs="Arial"/>
          <w:sz w:val="18"/>
          <w:szCs w:val="18"/>
          <w:lang w:val="en-IE"/>
        </w:rPr>
        <w:t>It is disappointing that one</w:t>
      </w:r>
      <w:r w:rsidR="00D03F46" w:rsidRPr="005B1DE1">
        <w:rPr>
          <w:rFonts w:ascii="Arial" w:hAnsi="Arial" w:cs="Arial"/>
          <w:sz w:val="18"/>
          <w:szCs w:val="18"/>
          <w:lang w:val="en-IE"/>
        </w:rPr>
        <w:t xml:space="preserve"> legacy matter has impacted the performance of the business. This is discussed i</w:t>
      </w:r>
      <w:r w:rsidR="00C367F8" w:rsidRPr="001972EA">
        <w:rPr>
          <w:rFonts w:ascii="Arial" w:hAnsi="Arial" w:cs="Arial"/>
          <w:sz w:val="18"/>
          <w:szCs w:val="18"/>
          <w:lang w:val="en-IE"/>
        </w:rPr>
        <w:t>n more detail in the CEO report</w:t>
      </w:r>
      <w:r w:rsidR="00D03F46" w:rsidRPr="005B1DE1">
        <w:rPr>
          <w:rFonts w:ascii="Arial" w:hAnsi="Arial" w:cs="Arial"/>
          <w:sz w:val="18"/>
          <w:szCs w:val="18"/>
          <w:lang w:val="en-IE"/>
        </w:rPr>
        <w:t>.</w:t>
      </w: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PERFORMANCE</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Assets under advice up to £5.1 billion at the end of 2017, from £4.6 billion in 2016</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 xml:space="preserve">247 new clients joined Saunderson House (2016: 215) </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 xml:space="preserve">Total clients increased from 1,956 to 2,121 </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Revenue increased from £31.0 million to £32.2 million, an increase of 4%</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Operating profit decreased from £8.2 million to £7.2 million</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 xml:space="preserve">Adjusted profits increased from £7.1 million to £8.6 million, an increase of 22% </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Operating margin improved illustrating disciplined cost control</w:t>
      </w:r>
    </w:p>
    <w:p w:rsidR="00D03F46" w:rsidRPr="005B1DE1" w:rsidRDefault="00D03F46" w:rsidP="00D03F46">
      <w:pPr>
        <w:pStyle w:val="ListParagraph"/>
        <w:numPr>
          <w:ilvl w:val="0"/>
          <w:numId w:val="53"/>
        </w:numPr>
        <w:jc w:val="both"/>
        <w:rPr>
          <w:rFonts w:ascii="Arial" w:hAnsi="Arial" w:cs="Arial"/>
          <w:color w:val="000000"/>
          <w:spacing w:val="-2"/>
          <w:sz w:val="18"/>
          <w:szCs w:val="18"/>
        </w:rPr>
      </w:pPr>
      <w:r w:rsidRPr="005B1DE1">
        <w:rPr>
          <w:rFonts w:ascii="Arial" w:hAnsi="Arial" w:cs="Arial"/>
          <w:color w:val="000000"/>
          <w:spacing w:val="-2"/>
          <w:sz w:val="18"/>
          <w:szCs w:val="18"/>
        </w:rPr>
        <w:t>Exceptional costs of £1.6 million incurred during the year, relating to the resolution and remediation of the legacy matter identified</w:t>
      </w:r>
    </w:p>
    <w:p w:rsidR="00D03F46" w:rsidRPr="005B1DE1" w:rsidRDefault="00D03F46" w:rsidP="00D03F46">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lastRenderedPageBreak/>
        <w:t>KEY ACHIEVEMENTS</w:t>
      </w:r>
    </w:p>
    <w:p w:rsidR="00D03F46" w:rsidRPr="005B1DE1" w:rsidRDefault="00D03F46" w:rsidP="00D03F46">
      <w:pPr>
        <w:pStyle w:val="ListParagraph"/>
        <w:numPr>
          <w:ilvl w:val="0"/>
          <w:numId w:val="53"/>
        </w:numPr>
        <w:contextualSpacing/>
        <w:jc w:val="both"/>
        <w:rPr>
          <w:rFonts w:ascii="Arial" w:hAnsi="Arial" w:cs="Arial"/>
          <w:spacing w:val="-2"/>
          <w:sz w:val="18"/>
          <w:szCs w:val="18"/>
        </w:rPr>
      </w:pPr>
      <w:r w:rsidRPr="005B1DE1">
        <w:rPr>
          <w:rFonts w:ascii="Arial" w:hAnsi="Arial" w:cs="Arial"/>
          <w:spacing w:val="-2"/>
          <w:sz w:val="18"/>
          <w:szCs w:val="18"/>
        </w:rPr>
        <w:t>Delivery of our portfolio management solution to improve investment controls and provide a platform for scalability of our investment proposition</w:t>
      </w:r>
    </w:p>
    <w:p w:rsidR="00D03F46" w:rsidRPr="005B1DE1" w:rsidRDefault="00D03F46" w:rsidP="00D03F46">
      <w:pPr>
        <w:pStyle w:val="ListParagraph"/>
        <w:numPr>
          <w:ilvl w:val="0"/>
          <w:numId w:val="53"/>
        </w:numPr>
        <w:contextualSpacing/>
        <w:jc w:val="both"/>
        <w:rPr>
          <w:rFonts w:ascii="Arial" w:hAnsi="Arial" w:cs="Arial"/>
          <w:spacing w:val="-2"/>
          <w:sz w:val="18"/>
          <w:szCs w:val="18"/>
        </w:rPr>
      </w:pPr>
      <w:r w:rsidRPr="005B1DE1">
        <w:rPr>
          <w:rFonts w:ascii="Arial" w:hAnsi="Arial" w:cs="Arial"/>
          <w:spacing w:val="-2"/>
          <w:sz w:val="18"/>
          <w:szCs w:val="18"/>
        </w:rPr>
        <w:t>Completion of our networks and data centres services project, which is providing the business with improved technological performance and resilience</w:t>
      </w:r>
    </w:p>
    <w:p w:rsidR="00D03F46" w:rsidRPr="005B1DE1" w:rsidRDefault="00D03F46" w:rsidP="00D03F46">
      <w:pPr>
        <w:pStyle w:val="ListParagraph"/>
        <w:numPr>
          <w:ilvl w:val="0"/>
          <w:numId w:val="53"/>
        </w:numPr>
        <w:contextualSpacing/>
        <w:jc w:val="both"/>
        <w:rPr>
          <w:rFonts w:ascii="Arial" w:hAnsi="Arial" w:cs="Arial"/>
          <w:spacing w:val="-2"/>
          <w:sz w:val="18"/>
          <w:szCs w:val="18"/>
        </w:rPr>
      </w:pPr>
      <w:r w:rsidRPr="005B1DE1">
        <w:rPr>
          <w:rFonts w:ascii="Arial" w:hAnsi="Arial" w:cs="Arial"/>
          <w:spacing w:val="-2"/>
          <w:sz w:val="18"/>
          <w:szCs w:val="18"/>
        </w:rPr>
        <w:t>Implementation of a new HR and rewards system to enhance employee engagement</w:t>
      </w:r>
    </w:p>
    <w:p w:rsidR="00D03F46" w:rsidRPr="005B1DE1" w:rsidRDefault="00D03F46" w:rsidP="00D03F46">
      <w:pPr>
        <w:pStyle w:val="ListParagraph"/>
        <w:numPr>
          <w:ilvl w:val="0"/>
          <w:numId w:val="53"/>
        </w:numPr>
        <w:contextualSpacing/>
        <w:jc w:val="both"/>
        <w:rPr>
          <w:rFonts w:ascii="Arial" w:hAnsi="Arial" w:cs="Arial"/>
          <w:spacing w:val="-2"/>
          <w:sz w:val="18"/>
          <w:szCs w:val="18"/>
        </w:rPr>
      </w:pPr>
      <w:r w:rsidRPr="005B1DE1">
        <w:rPr>
          <w:rFonts w:ascii="Arial" w:hAnsi="Arial" w:cs="Arial"/>
          <w:spacing w:val="-2"/>
          <w:sz w:val="18"/>
          <w:szCs w:val="18"/>
        </w:rPr>
        <w:t>Launched our new external website, www.saundersonhouse.co.uk</w:t>
      </w:r>
    </w:p>
    <w:p w:rsidR="00D03F46" w:rsidRPr="005B1DE1" w:rsidRDefault="00D03F46" w:rsidP="00D03F46">
      <w:pPr>
        <w:pStyle w:val="ListParagraph"/>
        <w:jc w:val="both"/>
        <w:rPr>
          <w:rFonts w:ascii="Arial" w:hAnsi="Arial" w:cs="Arial"/>
          <w:color w:val="000000"/>
          <w:spacing w:val="-2"/>
          <w:sz w:val="18"/>
          <w:szCs w:val="18"/>
          <w:highlight w:val="lightGray"/>
        </w:rPr>
      </w:pP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OUR CLIENTS</w:t>
      </w: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Our client advocacy score during the year remained exceptionally high at 9.3</w:t>
      </w:r>
      <w:r w:rsidR="003E5A10" w:rsidRPr="003E5A10">
        <w:rPr>
          <w:rFonts w:ascii="Arial" w:hAnsi="Arial" w:cs="Arial"/>
          <w:color w:val="000000"/>
          <w:spacing w:val="-2"/>
          <w:sz w:val="16"/>
          <w:szCs w:val="16"/>
          <w:vertAlign w:val="superscript"/>
        </w:rPr>
        <w:t>1</w:t>
      </w:r>
      <w:r w:rsidR="00E42FF4">
        <w:rPr>
          <w:rFonts w:ascii="Arial" w:hAnsi="Arial" w:cs="Arial"/>
          <w:color w:val="000000"/>
          <w:spacing w:val="-2"/>
          <w:sz w:val="18"/>
          <w:szCs w:val="18"/>
        </w:rPr>
        <w:t>,</w:t>
      </w:r>
      <w:r w:rsidRPr="005B1DE1">
        <w:rPr>
          <w:rFonts w:ascii="Arial" w:hAnsi="Arial" w:cs="Arial"/>
          <w:color w:val="000000"/>
          <w:spacing w:val="-2"/>
          <w:sz w:val="18"/>
          <w:szCs w:val="18"/>
        </w:rPr>
        <w:t xml:space="preserve"> producing a net promoter score of 85</w:t>
      </w:r>
      <w:r w:rsidR="003E5A10" w:rsidRPr="003E5A10">
        <w:rPr>
          <w:rFonts w:ascii="Arial" w:hAnsi="Arial" w:cs="Arial"/>
          <w:color w:val="000000"/>
          <w:spacing w:val="-2"/>
          <w:sz w:val="16"/>
          <w:szCs w:val="16"/>
          <w:vertAlign w:val="superscript"/>
        </w:rPr>
        <w:t>2</w:t>
      </w:r>
      <w:r w:rsidRPr="005B1DE1">
        <w:rPr>
          <w:rFonts w:ascii="Arial" w:hAnsi="Arial" w:cs="Arial"/>
          <w:color w:val="000000"/>
          <w:spacing w:val="-2"/>
          <w:sz w:val="18"/>
          <w:szCs w:val="18"/>
        </w:rPr>
        <w:t xml:space="preserve">. This, in conjunction with a client retention rate of circa 96%, reflects the emphasis the business places on client service and demonstrates the longevity in the relationships we hold with our clients. Feedback from our clients highlights the personal service, clear communication, straightforward advice and strong investment performance that they receive. </w:t>
      </w:r>
    </w:p>
    <w:p w:rsidR="00E42FF4" w:rsidRPr="003E5A10"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An in-depth analysis of the needs of our clients revealed the broad roles that each of our clients require advisers to fulfil to meet both their economic and emotional needs. Examples included the role of the 'coach', to challenge our clients' financial goals and market views, the role of the 'navigator' to avoid the compliance, political, economic or legislatorial pitfalls that they may otherwise be susceptible to and the role of the 'educator', to help reassure clients about their financial situation. Understanding the true needs of our clients and how we address these is key to both retaining and growing our client base, as well as our ability to differentiate our offering from other firms in the marketplace.</w:t>
      </w:r>
    </w:p>
    <w:p w:rsidR="003E5A10" w:rsidRDefault="003E5A10" w:rsidP="003E5A10">
      <w:pPr>
        <w:widowControl w:val="0"/>
        <w:suppressAutoHyphens/>
        <w:autoSpaceDE w:val="0"/>
        <w:autoSpaceDN w:val="0"/>
        <w:adjustRightInd w:val="0"/>
        <w:spacing w:after="0" w:line="200" w:lineRule="atLeast"/>
        <w:textAlignment w:val="center"/>
        <w:rPr>
          <w:rFonts w:ascii="Gotham-Light" w:hAnsi="Gotham-Light" w:cs="Gotham-Light"/>
          <w:color w:val="000000"/>
          <w:spacing w:val="-2"/>
          <w:sz w:val="16"/>
          <w:szCs w:val="16"/>
        </w:rPr>
      </w:pPr>
      <w:r>
        <w:rPr>
          <w:rFonts w:ascii="Arial" w:hAnsi="Arial" w:cs="Arial"/>
          <w:sz w:val="16"/>
          <w:szCs w:val="16"/>
          <w:vertAlign w:val="superscript"/>
        </w:rPr>
        <w:t>1</w:t>
      </w:r>
      <w:r w:rsidRPr="00567B94">
        <w:rPr>
          <w:rFonts w:ascii="Arial" w:hAnsi="Arial" w:cs="Arial"/>
          <w:sz w:val="16"/>
          <w:szCs w:val="16"/>
        </w:rPr>
        <w:t>Based on a scale of 0 to 10 on the question, “How likely is it that you would recommend us to a friend or colleague?”</w:t>
      </w:r>
    </w:p>
    <w:p w:rsidR="003E5A10" w:rsidRDefault="003E5A10" w:rsidP="003E5A10">
      <w:pPr>
        <w:widowControl w:val="0"/>
        <w:suppressAutoHyphens/>
        <w:autoSpaceDE w:val="0"/>
        <w:autoSpaceDN w:val="0"/>
        <w:adjustRightInd w:val="0"/>
        <w:spacing w:line="200" w:lineRule="atLeast"/>
        <w:textAlignment w:val="center"/>
        <w:rPr>
          <w:rFonts w:ascii="Gotham-Light" w:hAnsi="Gotham-Light" w:cs="Gotham-Light"/>
          <w:color w:val="000000"/>
          <w:spacing w:val="-2"/>
          <w:sz w:val="16"/>
          <w:szCs w:val="16"/>
        </w:rPr>
      </w:pPr>
      <w:r>
        <w:rPr>
          <w:rFonts w:ascii="Arial" w:hAnsi="Arial" w:cs="Arial"/>
          <w:sz w:val="16"/>
          <w:szCs w:val="16"/>
          <w:vertAlign w:val="superscript"/>
        </w:rPr>
        <w:t>2</w:t>
      </w:r>
      <w:r w:rsidRPr="00567B94">
        <w:rPr>
          <w:rFonts w:ascii="Arial" w:hAnsi="Arial" w:cs="Arial"/>
          <w:sz w:val="16"/>
          <w:szCs w:val="16"/>
        </w:rPr>
        <w:t>On a scale of -100 to 100</w:t>
      </w:r>
    </w:p>
    <w:p w:rsidR="00DB3027" w:rsidRDefault="00DB3027"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p>
    <w:p w:rsidR="00D03F46" w:rsidRPr="005B1DE1" w:rsidRDefault="00D03F46" w:rsidP="00D03F46">
      <w:pPr>
        <w:widowControl w:val="0"/>
        <w:tabs>
          <w:tab w:val="left" w:pos="227"/>
          <w:tab w:val="left" w:pos="340"/>
        </w:tabs>
        <w:suppressAutoHyphens/>
        <w:autoSpaceDE w:val="0"/>
        <w:autoSpaceDN w:val="0"/>
        <w:adjustRightInd w:val="0"/>
        <w:spacing w:line="200" w:lineRule="atLeast"/>
        <w:textAlignment w:val="center"/>
        <w:rPr>
          <w:rFonts w:ascii="Arial" w:hAnsi="Arial" w:cs="Arial"/>
          <w:b/>
          <w:bCs/>
          <w:caps/>
          <w:color w:val="ED6F2E"/>
          <w:spacing w:val="-2"/>
          <w:sz w:val="18"/>
          <w:szCs w:val="18"/>
        </w:rPr>
      </w:pPr>
      <w:r w:rsidRPr="005B1DE1">
        <w:rPr>
          <w:rFonts w:ascii="Arial" w:hAnsi="Arial" w:cs="Arial"/>
          <w:b/>
          <w:bCs/>
          <w:caps/>
          <w:color w:val="ED6F2E"/>
          <w:spacing w:val="-2"/>
          <w:sz w:val="18"/>
          <w:szCs w:val="18"/>
        </w:rPr>
        <w:t>Investment in our People</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 xml:space="preserve">People are our most important asset. During 2017, we undertook an extensive review of our reward framework to further embed within our culture the alignment of performance rewards with our company values, good client outcomes and strategic objectives.  Our aim is to develop our people to fulfil their full potential and reward them for delivering excellent client outcomes. </w:t>
      </w:r>
    </w:p>
    <w:p w:rsidR="00D03F46" w:rsidRPr="005B1DE1" w:rsidRDefault="00D03F46" w:rsidP="00D03F46">
      <w:pPr>
        <w:rPr>
          <w:rFonts w:ascii="Arial" w:hAnsi="Arial" w:cs="Arial"/>
          <w:color w:val="000000"/>
          <w:spacing w:val="-2"/>
          <w:sz w:val="18"/>
          <w:szCs w:val="18"/>
        </w:rPr>
      </w:pPr>
      <w:r w:rsidRPr="005B1DE1">
        <w:rPr>
          <w:rFonts w:ascii="Arial" w:hAnsi="Arial" w:cs="Arial"/>
          <w:color w:val="000000"/>
          <w:spacing w:val="-2"/>
          <w:sz w:val="18"/>
          <w:szCs w:val="18"/>
        </w:rPr>
        <w:t xml:space="preserve">We have heavily invested in ‘people’ technology through the introduction of a self-service HR system, online performance management system, learning management system and an engagement, recognition and internal communications platform. These investments have improved the efficiency of delivering online training and development to staff and our ability to communicate effectively as the firm grows. </w:t>
      </w:r>
    </w:p>
    <w:p w:rsidR="00D03F46" w:rsidRPr="003E5A10" w:rsidRDefault="00D03F46" w:rsidP="003E5A10">
      <w:pPr>
        <w:rPr>
          <w:rFonts w:ascii="Arial" w:hAnsi="Arial" w:cs="Arial"/>
          <w:b/>
          <w:bCs/>
          <w:caps/>
          <w:color w:val="ED6F2E"/>
          <w:spacing w:val="-2"/>
          <w:sz w:val="18"/>
          <w:szCs w:val="18"/>
        </w:rPr>
      </w:pPr>
      <w:r w:rsidRPr="005B1DE1">
        <w:rPr>
          <w:rFonts w:ascii="Arial" w:hAnsi="Arial" w:cs="Arial"/>
          <w:color w:val="000000"/>
          <w:spacing w:val="-2"/>
          <w:sz w:val="18"/>
          <w:szCs w:val="18"/>
        </w:rPr>
        <w:t>As part of our desire to understand our people and cater for their needs, we have commenced regular surveys as part of a wider employee engagement programme. This is aimed to help inform our future people policies and approaches to personal development.</w:t>
      </w:r>
    </w:p>
    <w:p w:rsidR="00DB3027" w:rsidRDefault="00DB3027" w:rsidP="00254A2F">
      <w:pPr>
        <w:pStyle w:val="Heading1"/>
        <w:spacing w:before="0"/>
        <w:rPr>
          <w:rFonts w:ascii="Arial" w:eastAsiaTheme="minorEastAsia" w:hAnsi="Arial" w:cs="Arial"/>
          <w:b w:val="0"/>
          <w:bCs w:val="0"/>
          <w:color w:val="808080" w:themeColor="background1" w:themeShade="80"/>
          <w:lang w:val="en-IE"/>
        </w:rPr>
      </w:pPr>
      <w:bookmarkStart w:id="7" w:name="_Toc255821611"/>
      <w:bookmarkEnd w:id="0"/>
    </w:p>
    <w:p w:rsidR="00DB3027" w:rsidRDefault="00DB3027" w:rsidP="00254A2F">
      <w:pPr>
        <w:pStyle w:val="Heading1"/>
        <w:spacing w:before="0"/>
        <w:rPr>
          <w:rFonts w:ascii="Arial" w:eastAsiaTheme="minorEastAsia" w:hAnsi="Arial" w:cs="Arial"/>
          <w:b w:val="0"/>
          <w:bCs w:val="0"/>
          <w:color w:val="808080" w:themeColor="background1" w:themeShade="80"/>
          <w:lang w:val="en-IE"/>
        </w:rPr>
      </w:pPr>
    </w:p>
    <w:p w:rsidR="00254A2F" w:rsidRPr="00E65E93" w:rsidRDefault="00E00494" w:rsidP="00C467A2">
      <w:pPr>
        <w:pStyle w:val="Heading1"/>
        <w:tabs>
          <w:tab w:val="left" w:pos="9915"/>
        </w:tabs>
        <w:spacing w:before="0"/>
        <w:rPr>
          <w:rFonts w:ascii="Arial" w:eastAsiaTheme="minorEastAsia" w:hAnsi="Arial" w:cs="Arial"/>
          <w:b w:val="0"/>
          <w:bCs w:val="0"/>
          <w:color w:val="808080" w:themeColor="background1" w:themeShade="80"/>
          <w:lang w:val="en-IE"/>
        </w:rPr>
      </w:pPr>
      <w:r w:rsidRPr="00E65E93">
        <w:rPr>
          <w:rFonts w:ascii="Arial" w:eastAsiaTheme="minorEastAsia" w:hAnsi="Arial" w:cs="Arial"/>
          <w:b w:val="0"/>
          <w:bCs w:val="0"/>
          <w:color w:val="808080" w:themeColor="background1" w:themeShade="80"/>
          <w:lang w:val="en-IE"/>
        </w:rPr>
        <w:t>Consolidated Income Statement</w:t>
      </w:r>
      <w:bookmarkEnd w:id="7"/>
      <w:r w:rsidR="00C467A2">
        <w:rPr>
          <w:rFonts w:ascii="Arial" w:eastAsiaTheme="minorEastAsia" w:hAnsi="Arial" w:cs="Arial"/>
          <w:b w:val="0"/>
          <w:bCs w:val="0"/>
          <w:color w:val="808080" w:themeColor="background1" w:themeShade="80"/>
          <w:lang w:val="en-IE"/>
        </w:rPr>
        <w:tab/>
      </w:r>
    </w:p>
    <w:p w:rsidR="00254A2F" w:rsidRPr="006C3343" w:rsidRDefault="004A108E" w:rsidP="00254A2F">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0"/>
          <w:szCs w:val="20"/>
          <w:lang w:val="en-IE"/>
        </w:rPr>
      </w:pPr>
      <w:r w:rsidRPr="006C3343">
        <w:rPr>
          <w:rFonts w:ascii="Arial" w:hAnsi="Arial" w:cs="Arial"/>
          <w:b/>
          <w:color w:val="1F497D" w:themeColor="text2"/>
          <w:sz w:val="24"/>
          <w:szCs w:val="24"/>
          <w:lang w:val="en-IE"/>
        </w:rPr>
        <w:t>Y</w:t>
      </w:r>
      <w:r w:rsidR="00667E14" w:rsidRPr="006C3343">
        <w:rPr>
          <w:rFonts w:ascii="Arial" w:hAnsi="Arial" w:cs="Arial"/>
          <w:b/>
          <w:color w:val="1F497D" w:themeColor="text2"/>
          <w:sz w:val="24"/>
          <w:szCs w:val="24"/>
          <w:lang w:val="en-IE"/>
        </w:rPr>
        <w:t>ear</w:t>
      </w:r>
      <w:r w:rsidR="00E00494" w:rsidRPr="006C3343">
        <w:rPr>
          <w:rFonts w:ascii="Arial" w:hAnsi="Arial" w:cs="Arial"/>
          <w:b/>
          <w:color w:val="1F497D" w:themeColor="text2"/>
          <w:sz w:val="24"/>
          <w:szCs w:val="24"/>
          <w:lang w:val="en-IE"/>
        </w:rPr>
        <w:t xml:space="preserve"> </w:t>
      </w:r>
      <w:r w:rsidR="0009454C" w:rsidRPr="006C3343">
        <w:rPr>
          <w:rFonts w:ascii="Arial" w:hAnsi="Arial" w:cs="Arial"/>
          <w:b/>
          <w:color w:val="1F497D" w:themeColor="text2"/>
          <w:sz w:val="24"/>
          <w:szCs w:val="24"/>
          <w:lang w:val="en-IE"/>
        </w:rPr>
        <w:t>e</w:t>
      </w:r>
      <w:r w:rsidR="00E00494" w:rsidRPr="006C3343">
        <w:rPr>
          <w:rFonts w:ascii="Arial" w:hAnsi="Arial" w:cs="Arial"/>
          <w:b/>
          <w:color w:val="1F497D" w:themeColor="text2"/>
          <w:sz w:val="24"/>
          <w:szCs w:val="24"/>
          <w:lang w:val="en-IE"/>
        </w:rPr>
        <w:t xml:space="preserve">nded 31 December </w:t>
      </w:r>
      <w:r w:rsidR="000C4709" w:rsidRPr="006C3343">
        <w:rPr>
          <w:rFonts w:ascii="Arial" w:hAnsi="Arial" w:cs="Arial"/>
          <w:b/>
          <w:color w:val="1F497D" w:themeColor="text2"/>
          <w:sz w:val="24"/>
          <w:szCs w:val="24"/>
          <w:lang w:val="en-IE"/>
        </w:rPr>
        <w:t>201</w:t>
      </w:r>
      <w:r w:rsidR="00D03F46">
        <w:rPr>
          <w:rFonts w:ascii="Arial" w:hAnsi="Arial" w:cs="Arial"/>
          <w:b/>
          <w:color w:val="1F497D" w:themeColor="text2"/>
          <w:sz w:val="24"/>
          <w:szCs w:val="24"/>
          <w:lang w:val="en-IE"/>
        </w:rPr>
        <w:t>7</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126"/>
        <w:gridCol w:w="989"/>
        <w:gridCol w:w="287"/>
        <w:gridCol w:w="1276"/>
        <w:gridCol w:w="283"/>
      </w:tblGrid>
      <w:tr w:rsidR="00552873" w:rsidRPr="00040E7D" w:rsidTr="00027DF8">
        <w:trPr>
          <w:gridAfter w:val="1"/>
          <w:wAfter w:w="283" w:type="dxa"/>
          <w:trHeight w:hRule="exact" w:val="232"/>
        </w:trPr>
        <w:tc>
          <w:tcPr>
            <w:tcW w:w="6096" w:type="dxa"/>
            <w:vAlign w:val="center"/>
          </w:tcPr>
          <w:p w:rsidR="0037168B" w:rsidRPr="006010C1" w:rsidRDefault="0037168B" w:rsidP="00EC46E6">
            <w:pPr>
              <w:tabs>
                <w:tab w:val="right" w:pos="5040"/>
                <w:tab w:val="left" w:pos="5400"/>
                <w:tab w:val="right" w:pos="6480"/>
                <w:tab w:val="center" w:pos="6840"/>
                <w:tab w:val="right" w:pos="7200"/>
                <w:tab w:val="right" w:pos="7920"/>
                <w:tab w:val="center" w:pos="8280"/>
                <w:tab w:val="right" w:pos="8640"/>
              </w:tabs>
              <w:spacing w:after="200" w:line="276" w:lineRule="auto"/>
              <w:jc w:val="both"/>
              <w:rPr>
                <w:rFonts w:ascii="Arial" w:hAnsi="Arial" w:cs="Arial"/>
                <w:color w:val="1F497D" w:themeColor="text2"/>
                <w:sz w:val="18"/>
                <w:szCs w:val="18"/>
                <w:lang w:val="en-IE"/>
              </w:rPr>
            </w:pPr>
          </w:p>
        </w:tc>
        <w:tc>
          <w:tcPr>
            <w:tcW w:w="2126" w:type="dxa"/>
            <w:vAlign w:val="center"/>
          </w:tcPr>
          <w:p w:rsidR="0037168B" w:rsidRPr="006010C1" w:rsidRDefault="00E00494" w:rsidP="00315549">
            <w:pPr>
              <w:tabs>
                <w:tab w:val="right" w:pos="5040"/>
                <w:tab w:val="left" w:pos="5400"/>
                <w:tab w:val="right" w:pos="6480"/>
                <w:tab w:val="center" w:pos="6840"/>
                <w:tab w:val="right" w:pos="7200"/>
                <w:tab w:val="right" w:pos="7920"/>
                <w:tab w:val="center" w:pos="8280"/>
                <w:tab w:val="right" w:pos="8640"/>
              </w:tabs>
              <w:spacing w:after="200" w:line="276" w:lineRule="auto"/>
              <w:jc w:val="center"/>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Notes</w:t>
            </w:r>
          </w:p>
        </w:tc>
        <w:tc>
          <w:tcPr>
            <w:tcW w:w="1276" w:type="dxa"/>
            <w:gridSpan w:val="2"/>
            <w:shd w:val="clear" w:color="auto" w:fill="auto"/>
            <w:vAlign w:val="center"/>
          </w:tcPr>
          <w:p w:rsidR="0037168B" w:rsidRPr="006010C1" w:rsidRDefault="005E11D6" w:rsidP="00A6531D">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
                <w:bCs/>
                <w:color w:val="1F497D" w:themeColor="text2"/>
                <w:sz w:val="18"/>
                <w:szCs w:val="18"/>
                <w:lang w:val="en-IE"/>
              </w:rPr>
            </w:pPr>
            <w:r w:rsidRPr="006010C1">
              <w:rPr>
                <w:rFonts w:ascii="Arial" w:hAnsi="Arial" w:cs="Arial"/>
                <w:b/>
                <w:bCs/>
                <w:color w:val="1F497D" w:themeColor="text2"/>
                <w:sz w:val="18"/>
                <w:szCs w:val="18"/>
                <w:lang w:val="en-IE"/>
              </w:rPr>
              <w:t>201</w:t>
            </w:r>
            <w:r w:rsidR="009607B0">
              <w:rPr>
                <w:rFonts w:ascii="Arial" w:hAnsi="Arial" w:cs="Arial"/>
                <w:b/>
                <w:bCs/>
                <w:color w:val="1F497D" w:themeColor="text2"/>
                <w:sz w:val="18"/>
                <w:szCs w:val="18"/>
                <w:lang w:val="en-IE"/>
              </w:rPr>
              <w:t>7</w:t>
            </w:r>
          </w:p>
        </w:tc>
        <w:tc>
          <w:tcPr>
            <w:tcW w:w="1276" w:type="dxa"/>
            <w:vAlign w:val="center"/>
          </w:tcPr>
          <w:p w:rsidR="00A6531D" w:rsidRPr="00750A61" w:rsidRDefault="005E11D6" w:rsidP="00C467A2">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Cs/>
                <w:color w:val="1F497D" w:themeColor="text2"/>
                <w:sz w:val="18"/>
                <w:szCs w:val="18"/>
                <w:lang w:val="en-IE"/>
              </w:rPr>
            </w:pPr>
            <w:r w:rsidRPr="00750A61">
              <w:rPr>
                <w:rFonts w:ascii="Arial" w:hAnsi="Arial" w:cs="Arial"/>
                <w:bCs/>
                <w:color w:val="1F497D" w:themeColor="text2"/>
                <w:sz w:val="18"/>
                <w:szCs w:val="18"/>
                <w:lang w:val="en-IE"/>
              </w:rPr>
              <w:t>201</w:t>
            </w:r>
            <w:r w:rsidR="009607B0" w:rsidRPr="00750A61">
              <w:rPr>
                <w:rFonts w:ascii="Arial" w:hAnsi="Arial" w:cs="Arial"/>
                <w:bCs/>
                <w:color w:val="1F497D" w:themeColor="text2"/>
                <w:sz w:val="18"/>
                <w:szCs w:val="18"/>
                <w:lang w:val="en-IE"/>
              </w:rPr>
              <w:t>6</w:t>
            </w:r>
          </w:p>
        </w:tc>
      </w:tr>
      <w:tr w:rsidR="00A6531D" w:rsidRPr="00040E7D" w:rsidTr="00027DF8">
        <w:trPr>
          <w:gridAfter w:val="1"/>
          <w:wAfter w:w="283" w:type="dxa"/>
          <w:trHeight w:hRule="exact" w:val="232"/>
        </w:trPr>
        <w:tc>
          <w:tcPr>
            <w:tcW w:w="6096" w:type="dxa"/>
            <w:vAlign w:val="center"/>
          </w:tcPr>
          <w:p w:rsidR="00A6531D" w:rsidRPr="006010C1" w:rsidRDefault="00A6531D" w:rsidP="00EC46E6">
            <w:pPr>
              <w:tabs>
                <w:tab w:val="right" w:pos="5040"/>
                <w:tab w:val="left" w:pos="5400"/>
                <w:tab w:val="right" w:pos="6480"/>
                <w:tab w:val="center" w:pos="6840"/>
                <w:tab w:val="right" w:pos="7200"/>
                <w:tab w:val="right" w:pos="7920"/>
                <w:tab w:val="center" w:pos="8280"/>
                <w:tab w:val="right" w:pos="8640"/>
              </w:tabs>
              <w:jc w:val="both"/>
              <w:rPr>
                <w:rFonts w:ascii="Arial" w:hAnsi="Arial" w:cs="Arial"/>
                <w:color w:val="1F497D" w:themeColor="text2"/>
                <w:sz w:val="18"/>
                <w:szCs w:val="18"/>
                <w:lang w:val="en-IE"/>
              </w:rPr>
            </w:pPr>
          </w:p>
        </w:tc>
        <w:tc>
          <w:tcPr>
            <w:tcW w:w="2126" w:type="dxa"/>
            <w:vAlign w:val="center"/>
          </w:tcPr>
          <w:p w:rsidR="00A6531D" w:rsidRPr="006010C1" w:rsidRDefault="00A6531D" w:rsidP="00315549">
            <w:pPr>
              <w:tabs>
                <w:tab w:val="right" w:pos="5040"/>
                <w:tab w:val="left" w:pos="5400"/>
                <w:tab w:val="right" w:pos="6480"/>
                <w:tab w:val="center" w:pos="6840"/>
                <w:tab w:val="right" w:pos="7200"/>
                <w:tab w:val="right" w:pos="7920"/>
                <w:tab w:val="center" w:pos="8280"/>
                <w:tab w:val="right" w:pos="8640"/>
              </w:tabs>
              <w:jc w:val="center"/>
              <w:rPr>
                <w:rFonts w:ascii="Arial" w:hAnsi="Arial" w:cs="Arial"/>
                <w:b/>
                <w:color w:val="1F497D" w:themeColor="text2"/>
                <w:sz w:val="18"/>
                <w:szCs w:val="18"/>
                <w:lang w:val="en-IE"/>
              </w:rPr>
            </w:pPr>
          </w:p>
        </w:tc>
        <w:tc>
          <w:tcPr>
            <w:tcW w:w="1276" w:type="dxa"/>
            <w:gridSpan w:val="2"/>
            <w:shd w:val="clear" w:color="auto" w:fill="auto"/>
            <w:vAlign w:val="center"/>
          </w:tcPr>
          <w:p w:rsidR="00A6531D" w:rsidRPr="006010C1" w:rsidRDefault="00A6531D" w:rsidP="00A6531D">
            <w:pPr>
              <w:tabs>
                <w:tab w:val="right" w:pos="5040"/>
                <w:tab w:val="left" w:pos="5400"/>
                <w:tab w:val="right" w:pos="6480"/>
                <w:tab w:val="center" w:pos="6840"/>
                <w:tab w:val="right" w:pos="7200"/>
                <w:tab w:val="right" w:pos="7920"/>
                <w:tab w:val="center" w:pos="8280"/>
                <w:tab w:val="right" w:pos="8640"/>
              </w:tabs>
              <w:jc w:val="right"/>
              <w:rPr>
                <w:rFonts w:ascii="Arial" w:hAnsi="Arial" w:cs="Arial"/>
                <w:b/>
                <w:bCs/>
                <w:color w:val="1F497D" w:themeColor="text2"/>
                <w:sz w:val="18"/>
                <w:szCs w:val="18"/>
                <w:lang w:val="en-IE"/>
              </w:rPr>
            </w:pPr>
          </w:p>
        </w:tc>
        <w:tc>
          <w:tcPr>
            <w:tcW w:w="1276" w:type="dxa"/>
            <w:vAlign w:val="center"/>
          </w:tcPr>
          <w:p w:rsidR="00A6531D" w:rsidRPr="00750A61" w:rsidRDefault="00A6531D" w:rsidP="00750A61">
            <w:pPr>
              <w:tabs>
                <w:tab w:val="right" w:pos="5040"/>
                <w:tab w:val="left" w:pos="5400"/>
                <w:tab w:val="right" w:pos="6480"/>
                <w:tab w:val="center" w:pos="6840"/>
                <w:tab w:val="right" w:pos="7200"/>
                <w:tab w:val="right" w:pos="7920"/>
                <w:tab w:val="center" w:pos="8280"/>
                <w:tab w:val="right" w:pos="8640"/>
              </w:tabs>
              <w:spacing w:after="200" w:line="276" w:lineRule="auto"/>
              <w:rPr>
                <w:rFonts w:ascii="Arial" w:hAnsi="Arial" w:cs="Arial"/>
                <w:bCs/>
                <w:color w:val="1F497D" w:themeColor="text2"/>
                <w:sz w:val="18"/>
                <w:szCs w:val="18"/>
                <w:lang w:val="en-IE"/>
              </w:rPr>
            </w:pPr>
          </w:p>
        </w:tc>
      </w:tr>
      <w:tr w:rsidR="00552873" w:rsidRPr="00040E7D" w:rsidTr="00027DF8">
        <w:trPr>
          <w:gridAfter w:val="1"/>
          <w:wAfter w:w="283" w:type="dxa"/>
          <w:trHeight w:hRule="exact" w:val="232"/>
        </w:trPr>
        <w:tc>
          <w:tcPr>
            <w:tcW w:w="6096" w:type="dxa"/>
            <w:vAlign w:val="center"/>
          </w:tcPr>
          <w:p w:rsidR="0037168B" w:rsidRPr="006010C1" w:rsidRDefault="0037168B" w:rsidP="004271C7">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b/>
                <w:color w:val="1F497D" w:themeColor="text2"/>
                <w:sz w:val="18"/>
                <w:szCs w:val="18"/>
                <w:lang w:val="en-IE"/>
              </w:rPr>
            </w:pPr>
          </w:p>
        </w:tc>
        <w:tc>
          <w:tcPr>
            <w:tcW w:w="2126" w:type="dxa"/>
            <w:vAlign w:val="center"/>
          </w:tcPr>
          <w:p w:rsidR="0037168B" w:rsidRPr="006010C1" w:rsidRDefault="0037168B" w:rsidP="00315549">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color w:val="1F497D" w:themeColor="text2"/>
                <w:sz w:val="18"/>
                <w:szCs w:val="18"/>
                <w:lang w:val="en-IE"/>
              </w:rPr>
            </w:pPr>
          </w:p>
        </w:tc>
        <w:tc>
          <w:tcPr>
            <w:tcW w:w="1276" w:type="dxa"/>
            <w:gridSpan w:val="2"/>
            <w:shd w:val="clear" w:color="auto" w:fill="auto"/>
            <w:vAlign w:val="center"/>
          </w:tcPr>
          <w:p w:rsidR="0037168B" w:rsidRPr="006010C1" w:rsidRDefault="00E00494" w:rsidP="004271C7">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276" w:type="dxa"/>
            <w:vAlign w:val="center"/>
          </w:tcPr>
          <w:p w:rsidR="0037168B" w:rsidRPr="00750A61" w:rsidRDefault="00E00494" w:rsidP="00750A61">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Cs/>
                <w:color w:val="1F497D" w:themeColor="text2"/>
                <w:sz w:val="18"/>
                <w:szCs w:val="18"/>
                <w:lang w:val="en-IE"/>
              </w:rPr>
            </w:pPr>
            <w:r w:rsidRPr="00750A61">
              <w:rPr>
                <w:rFonts w:ascii="Arial" w:hAnsi="Arial" w:cs="Arial"/>
                <w:bCs/>
                <w:color w:val="1F497D" w:themeColor="text2"/>
                <w:sz w:val="18"/>
                <w:szCs w:val="18"/>
                <w:lang w:val="en-IE"/>
              </w:rPr>
              <w:t>£’000</w:t>
            </w:r>
          </w:p>
        </w:tc>
      </w:tr>
      <w:tr w:rsidR="00D27579" w:rsidRPr="00040E7D" w:rsidTr="00027DF8">
        <w:trPr>
          <w:gridAfter w:val="1"/>
          <w:wAfter w:w="283" w:type="dxa"/>
          <w:trHeight w:hRule="exact" w:val="284"/>
        </w:trPr>
        <w:tc>
          <w:tcPr>
            <w:tcW w:w="6096" w:type="dxa"/>
          </w:tcPr>
          <w:p w:rsidR="00D27579" w:rsidRPr="006010C1" w:rsidRDefault="00C75AE2" w:rsidP="004271C7">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Pr>
                <w:rFonts w:ascii="Arial" w:hAnsi="Arial" w:cs="Arial"/>
                <w:b/>
                <w:sz w:val="18"/>
                <w:szCs w:val="18"/>
                <w:lang w:val="en-IE"/>
              </w:rPr>
              <w:t>From</w:t>
            </w:r>
            <w:r w:rsidRPr="006010C1">
              <w:rPr>
                <w:rFonts w:ascii="Arial" w:hAnsi="Arial" w:cs="Arial"/>
                <w:b/>
                <w:sz w:val="18"/>
                <w:szCs w:val="18"/>
                <w:lang w:val="en-IE"/>
              </w:rPr>
              <w:t xml:space="preserve"> </w:t>
            </w:r>
            <w:r w:rsidR="00D27579" w:rsidRPr="006010C1">
              <w:rPr>
                <w:rFonts w:ascii="Arial" w:hAnsi="Arial" w:cs="Arial"/>
                <w:b/>
                <w:sz w:val="18"/>
                <w:szCs w:val="18"/>
                <w:lang w:val="en-IE"/>
              </w:rPr>
              <w:t>operations</w:t>
            </w:r>
          </w:p>
        </w:tc>
        <w:tc>
          <w:tcPr>
            <w:tcW w:w="2126" w:type="dxa"/>
          </w:tcPr>
          <w:p w:rsidR="00D27579" w:rsidRPr="006010C1" w:rsidRDefault="00D27579" w:rsidP="00315549">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shd w:val="clear" w:color="auto" w:fill="auto"/>
          </w:tcPr>
          <w:p w:rsidR="00D27579" w:rsidRPr="006010C1" w:rsidRDefault="00D27579" w:rsidP="004271C7">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sz w:val="18"/>
                <w:szCs w:val="18"/>
                <w:lang w:val="en-IE"/>
              </w:rPr>
            </w:pPr>
          </w:p>
        </w:tc>
        <w:tc>
          <w:tcPr>
            <w:tcW w:w="1276" w:type="dxa"/>
          </w:tcPr>
          <w:p w:rsidR="00D27579" w:rsidRPr="006010C1" w:rsidRDefault="00D27579" w:rsidP="004271C7">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sz w:val="18"/>
                <w:szCs w:val="18"/>
                <w:lang w:val="en-IE"/>
              </w:rPr>
            </w:pPr>
          </w:p>
        </w:tc>
      </w:tr>
      <w:tr w:rsidR="009607B0" w:rsidRPr="00040E7D" w:rsidTr="00027DF8">
        <w:trPr>
          <w:gridAfter w:val="1"/>
          <w:wAfter w:w="283" w:type="dxa"/>
          <w:trHeight w:hRule="exact" w:val="284"/>
        </w:trPr>
        <w:tc>
          <w:tcPr>
            <w:tcW w:w="6096" w:type="dxa"/>
          </w:tcPr>
          <w:p w:rsidR="009607B0" w:rsidRPr="006010C1" w:rsidRDefault="009607B0" w:rsidP="009607B0">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Revenue</w:t>
            </w: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center"/>
              <w:rPr>
                <w:rFonts w:ascii="Arial" w:hAnsi="Arial" w:cs="Arial"/>
                <w:sz w:val="18"/>
                <w:szCs w:val="18"/>
                <w:highlight w:val="yellow"/>
                <w:lang w:val="en-IE"/>
              </w:rPr>
            </w:pPr>
            <w:r w:rsidRPr="006010C1">
              <w:rPr>
                <w:rFonts w:ascii="Arial" w:hAnsi="Arial" w:cs="Arial"/>
                <w:sz w:val="18"/>
                <w:szCs w:val="18"/>
                <w:lang w:val="en-IE"/>
              </w:rPr>
              <w:t>3</w:t>
            </w:r>
          </w:p>
        </w:tc>
        <w:tc>
          <w:tcPr>
            <w:tcW w:w="1276" w:type="dxa"/>
            <w:gridSpan w:val="2"/>
            <w:shd w:val="clear" w:color="auto" w:fill="auto"/>
          </w:tcPr>
          <w:p w:rsidR="009607B0" w:rsidRPr="009607B0"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78,394</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78,465</w:t>
            </w:r>
          </w:p>
        </w:tc>
      </w:tr>
      <w:tr w:rsidR="009607B0" w:rsidRPr="00040E7D" w:rsidTr="00027DF8">
        <w:trPr>
          <w:gridAfter w:val="1"/>
          <w:wAfter w:w="283" w:type="dxa"/>
          <w:trHeight w:hRule="exact" w:val="284"/>
        </w:trPr>
        <w:tc>
          <w:tcPr>
            <w:tcW w:w="6096" w:type="dxa"/>
          </w:tcPr>
          <w:p w:rsidR="009607B0" w:rsidRPr="006010C1" w:rsidRDefault="009607B0" w:rsidP="009607B0">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Staffing expense</w:t>
            </w: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jc w:val="center"/>
              <w:rPr>
                <w:rFonts w:ascii="Arial" w:hAnsi="Arial" w:cs="Arial"/>
                <w:sz w:val="18"/>
                <w:szCs w:val="18"/>
                <w:highlight w:val="yellow"/>
                <w:lang w:val="en-IE"/>
              </w:rPr>
            </w:pPr>
          </w:p>
        </w:tc>
        <w:tc>
          <w:tcPr>
            <w:tcW w:w="1276" w:type="dxa"/>
            <w:gridSpan w:val="2"/>
            <w:shd w:val="clear" w:color="auto" w:fill="auto"/>
          </w:tcPr>
          <w:p w:rsidR="009607B0" w:rsidRPr="009607B0"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(49,265)</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bCs/>
                <w:color w:val="000000"/>
                <w:spacing w:val="-5"/>
                <w:sz w:val="18"/>
                <w:szCs w:val="18"/>
              </w:rPr>
            </w:pPr>
            <w:r w:rsidRPr="005B1DE1">
              <w:rPr>
                <w:rFonts w:ascii="Arial" w:hAnsi="Arial" w:cs="Arial"/>
                <w:color w:val="000000"/>
                <w:spacing w:val="-5"/>
                <w:sz w:val="18"/>
                <w:szCs w:val="18"/>
              </w:rPr>
              <w:t>(51,647)</w:t>
            </w:r>
          </w:p>
        </w:tc>
      </w:tr>
      <w:tr w:rsidR="009607B0" w:rsidRPr="00040E7D" w:rsidTr="00027DF8">
        <w:trPr>
          <w:gridAfter w:val="1"/>
          <w:wAfter w:w="283" w:type="dxa"/>
          <w:trHeight w:hRule="exact" w:val="284"/>
        </w:trPr>
        <w:tc>
          <w:tcPr>
            <w:tcW w:w="6096" w:type="dxa"/>
          </w:tcPr>
          <w:p w:rsidR="009607B0" w:rsidRPr="006010C1" w:rsidRDefault="009607B0" w:rsidP="009607B0">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Depreciation and amortisation</w:t>
            </w: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jc w:val="center"/>
              <w:rPr>
                <w:rFonts w:ascii="Arial" w:hAnsi="Arial" w:cs="Arial"/>
                <w:sz w:val="18"/>
                <w:szCs w:val="18"/>
                <w:highlight w:val="yellow"/>
                <w:lang w:val="en-IE"/>
              </w:rPr>
            </w:pPr>
          </w:p>
        </w:tc>
        <w:tc>
          <w:tcPr>
            <w:tcW w:w="1276" w:type="dxa"/>
            <w:gridSpan w:val="2"/>
            <w:shd w:val="clear" w:color="auto" w:fill="auto"/>
          </w:tcPr>
          <w:p w:rsidR="009607B0" w:rsidRPr="009607B0"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(5,330)</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bCs/>
                <w:color w:val="000000"/>
                <w:spacing w:val="-5"/>
                <w:sz w:val="18"/>
                <w:szCs w:val="18"/>
              </w:rPr>
            </w:pPr>
            <w:r w:rsidRPr="005B1DE1">
              <w:rPr>
                <w:rFonts w:ascii="Arial" w:hAnsi="Arial" w:cs="Arial"/>
                <w:color w:val="000000"/>
                <w:spacing w:val="-5"/>
                <w:sz w:val="18"/>
                <w:szCs w:val="18"/>
              </w:rPr>
              <w:t>(4,764)</w:t>
            </w:r>
          </w:p>
        </w:tc>
      </w:tr>
      <w:tr w:rsidR="009607B0" w:rsidRPr="00040E7D" w:rsidTr="00027DF8">
        <w:trPr>
          <w:gridAfter w:val="1"/>
          <w:wAfter w:w="283" w:type="dxa"/>
          <w:trHeight w:hRule="exact" w:val="284"/>
        </w:trPr>
        <w:tc>
          <w:tcPr>
            <w:tcW w:w="6096" w:type="dxa"/>
          </w:tcPr>
          <w:p w:rsidR="009607B0" w:rsidRPr="006010C1" w:rsidRDefault="009607B0" w:rsidP="009607B0">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Other operating expenses</w:t>
            </w: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jc w:val="center"/>
              <w:rPr>
                <w:rFonts w:ascii="Arial" w:hAnsi="Arial" w:cs="Arial"/>
                <w:sz w:val="18"/>
                <w:szCs w:val="18"/>
                <w:highlight w:val="yellow"/>
                <w:lang w:val="en-IE"/>
              </w:rPr>
            </w:pPr>
          </w:p>
        </w:tc>
        <w:tc>
          <w:tcPr>
            <w:tcW w:w="1276" w:type="dxa"/>
            <w:gridSpan w:val="2"/>
            <w:shd w:val="clear" w:color="auto" w:fill="auto"/>
          </w:tcPr>
          <w:p w:rsidR="009607B0" w:rsidRPr="009607B0"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(24,363)</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(17,323)</w:t>
            </w:r>
          </w:p>
        </w:tc>
      </w:tr>
      <w:tr w:rsidR="009607B0" w:rsidRPr="00040E7D" w:rsidTr="00027DF8">
        <w:trPr>
          <w:gridAfter w:val="1"/>
          <w:wAfter w:w="283" w:type="dxa"/>
          <w:trHeight w:hRule="exact" w:val="284"/>
        </w:trPr>
        <w:tc>
          <w:tcPr>
            <w:tcW w:w="6096" w:type="dxa"/>
            <w:tcBorders>
              <w:bottom w:val="single" w:sz="4" w:space="0" w:color="auto"/>
            </w:tcBorders>
          </w:tcPr>
          <w:p w:rsidR="009607B0" w:rsidRPr="006010C1" w:rsidRDefault="009607B0" w:rsidP="009607B0">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Other gains</w:t>
            </w:r>
          </w:p>
        </w:tc>
        <w:tc>
          <w:tcPr>
            <w:tcW w:w="2126" w:type="dxa"/>
            <w:tcBorders>
              <w:bottom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tcBorders>
              <w:bottom w:val="single" w:sz="4" w:space="0" w:color="auto"/>
            </w:tcBorders>
            <w:shd w:val="clear" w:color="auto" w:fill="auto"/>
          </w:tcPr>
          <w:p w:rsidR="009607B0" w:rsidRPr="009607B0"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131</w:t>
            </w:r>
          </w:p>
        </w:tc>
        <w:tc>
          <w:tcPr>
            <w:tcW w:w="1276" w:type="dxa"/>
            <w:tcBorders>
              <w:bottom w:val="single" w:sz="4" w:space="0" w:color="auto"/>
            </w:tcBorders>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bCs/>
                <w:color w:val="000000"/>
                <w:spacing w:val="-5"/>
                <w:sz w:val="18"/>
                <w:szCs w:val="18"/>
              </w:rPr>
            </w:pPr>
            <w:r w:rsidRPr="005B1DE1">
              <w:rPr>
                <w:rFonts w:ascii="Arial" w:hAnsi="Arial" w:cs="Arial"/>
                <w:color w:val="000000"/>
                <w:spacing w:val="-5"/>
                <w:sz w:val="18"/>
                <w:szCs w:val="18"/>
              </w:rPr>
              <w:t>1,495</w:t>
            </w:r>
          </w:p>
        </w:tc>
      </w:tr>
      <w:tr w:rsidR="009607B0" w:rsidRPr="00040E7D" w:rsidTr="00027DF8">
        <w:trPr>
          <w:gridAfter w:val="1"/>
          <w:wAfter w:w="283" w:type="dxa"/>
          <w:trHeight w:hRule="exact" w:val="284"/>
        </w:trPr>
        <w:tc>
          <w:tcPr>
            <w:tcW w:w="6096" w:type="dxa"/>
            <w:tcBorders>
              <w:top w:val="single" w:sz="4" w:space="0" w:color="auto"/>
              <w:bottom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Operating</w:t>
            </w:r>
            <w:r w:rsidR="00C75AE2">
              <w:rPr>
                <w:rFonts w:ascii="Arial" w:hAnsi="Arial" w:cs="Arial"/>
                <w:b/>
                <w:sz w:val="18"/>
                <w:szCs w:val="18"/>
                <w:lang w:val="en-IE"/>
              </w:rPr>
              <w:t xml:space="preserve"> (loss)/</w:t>
            </w:r>
            <w:r w:rsidRPr="006010C1">
              <w:rPr>
                <w:rFonts w:ascii="Arial" w:hAnsi="Arial" w:cs="Arial"/>
                <w:b/>
                <w:sz w:val="18"/>
                <w:szCs w:val="18"/>
                <w:lang w:val="en-IE"/>
              </w:rPr>
              <w:t>profit</w:t>
            </w:r>
          </w:p>
        </w:tc>
        <w:tc>
          <w:tcPr>
            <w:tcW w:w="2126" w:type="dxa"/>
            <w:tcBorders>
              <w:top w:val="single" w:sz="4" w:space="0" w:color="auto"/>
              <w:bottom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tcBorders>
              <w:top w:val="single" w:sz="4" w:space="0" w:color="auto"/>
              <w:bottom w:val="single" w:sz="4" w:space="0" w:color="auto"/>
            </w:tcBorders>
            <w:shd w:val="clear" w:color="auto" w:fill="auto"/>
          </w:tcPr>
          <w:p w:rsidR="009607B0" w:rsidRPr="009607B0"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(433)</w:t>
            </w:r>
          </w:p>
        </w:tc>
        <w:tc>
          <w:tcPr>
            <w:tcW w:w="1276" w:type="dxa"/>
            <w:tcBorders>
              <w:top w:val="single" w:sz="4" w:space="0" w:color="auto"/>
              <w:bottom w:val="single" w:sz="4" w:space="0" w:color="auto"/>
            </w:tcBorders>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6,226</w:t>
            </w:r>
          </w:p>
        </w:tc>
      </w:tr>
      <w:tr w:rsidR="009607B0" w:rsidRPr="00040E7D" w:rsidTr="00027DF8">
        <w:trPr>
          <w:gridAfter w:val="1"/>
          <w:wAfter w:w="283" w:type="dxa"/>
          <w:trHeight w:hRule="exact" w:val="284"/>
        </w:trPr>
        <w:tc>
          <w:tcPr>
            <w:tcW w:w="6096" w:type="dxa"/>
            <w:tcBorders>
              <w:top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sz w:val="18"/>
                <w:szCs w:val="18"/>
                <w:lang w:val="en-IE"/>
              </w:rPr>
            </w:pPr>
          </w:p>
        </w:tc>
        <w:tc>
          <w:tcPr>
            <w:tcW w:w="2126" w:type="dxa"/>
            <w:tcBorders>
              <w:top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highlight w:val="yellow"/>
                <w:lang w:val="en-IE"/>
              </w:rPr>
            </w:pPr>
          </w:p>
        </w:tc>
        <w:tc>
          <w:tcPr>
            <w:tcW w:w="1276" w:type="dxa"/>
            <w:gridSpan w:val="2"/>
            <w:tcBorders>
              <w:top w:val="single" w:sz="4" w:space="0" w:color="auto"/>
            </w:tcBorders>
            <w:shd w:val="clear" w:color="auto" w:fill="auto"/>
          </w:tcPr>
          <w:p w:rsidR="009607B0" w:rsidRPr="006010C1" w:rsidRDefault="009607B0" w:rsidP="00835ACD">
            <w:pPr>
              <w:widowControl w:val="0"/>
              <w:autoSpaceDE w:val="0"/>
              <w:autoSpaceDN w:val="0"/>
              <w:adjustRightInd w:val="0"/>
              <w:jc w:val="right"/>
              <w:rPr>
                <w:rFonts w:ascii="Arial" w:hAnsi="Arial" w:cs="Arial"/>
                <w:b/>
                <w:sz w:val="18"/>
                <w:szCs w:val="18"/>
                <w:lang w:val="en-US"/>
              </w:rPr>
            </w:pPr>
          </w:p>
        </w:tc>
        <w:tc>
          <w:tcPr>
            <w:tcW w:w="1276" w:type="dxa"/>
            <w:tcBorders>
              <w:top w:val="single" w:sz="4" w:space="0" w:color="auto"/>
            </w:tcBorders>
          </w:tcPr>
          <w:p w:rsidR="009607B0" w:rsidRPr="009607B0" w:rsidRDefault="009607B0" w:rsidP="009607B0">
            <w:pPr>
              <w:widowControl w:val="0"/>
              <w:autoSpaceDE w:val="0"/>
              <w:autoSpaceDN w:val="0"/>
              <w:adjustRightInd w:val="0"/>
              <w:rPr>
                <w:rFonts w:ascii="Arial" w:hAnsi="Arial" w:cs="Arial"/>
                <w:sz w:val="18"/>
                <w:szCs w:val="18"/>
                <w:lang w:val="en-US"/>
              </w:rPr>
            </w:pPr>
          </w:p>
        </w:tc>
      </w:tr>
      <w:tr w:rsidR="009607B0" w:rsidRPr="00040E7D" w:rsidTr="00027DF8">
        <w:trPr>
          <w:gridAfter w:val="1"/>
          <w:wAfter w:w="283" w:type="dxa"/>
          <w:trHeight w:hRule="exact" w:val="284"/>
        </w:trPr>
        <w:tc>
          <w:tcPr>
            <w:tcW w:w="609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Analysed as:</w:t>
            </w: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highlight w:val="yellow"/>
                <w:lang w:val="en-IE"/>
              </w:rPr>
            </w:pPr>
          </w:p>
        </w:tc>
        <w:tc>
          <w:tcPr>
            <w:tcW w:w="1276" w:type="dxa"/>
            <w:gridSpan w:val="2"/>
            <w:shd w:val="clear" w:color="auto" w:fill="auto"/>
          </w:tcPr>
          <w:p w:rsidR="009607B0" w:rsidRPr="006010C1" w:rsidRDefault="009607B0" w:rsidP="00835ACD">
            <w:pPr>
              <w:widowControl w:val="0"/>
              <w:autoSpaceDE w:val="0"/>
              <w:autoSpaceDN w:val="0"/>
              <w:adjustRightInd w:val="0"/>
              <w:jc w:val="right"/>
              <w:rPr>
                <w:rFonts w:ascii="Arial" w:hAnsi="Arial" w:cs="Arial"/>
                <w:b/>
                <w:sz w:val="18"/>
                <w:szCs w:val="18"/>
                <w:lang w:val="en-US"/>
              </w:rPr>
            </w:pPr>
          </w:p>
        </w:tc>
        <w:tc>
          <w:tcPr>
            <w:tcW w:w="1276" w:type="dxa"/>
          </w:tcPr>
          <w:p w:rsidR="009607B0" w:rsidRPr="009607B0" w:rsidRDefault="009607B0" w:rsidP="009607B0">
            <w:pPr>
              <w:widowControl w:val="0"/>
              <w:autoSpaceDE w:val="0"/>
              <w:autoSpaceDN w:val="0"/>
              <w:adjustRightInd w:val="0"/>
              <w:rPr>
                <w:rFonts w:ascii="Arial" w:hAnsi="Arial" w:cs="Arial"/>
                <w:sz w:val="18"/>
                <w:szCs w:val="18"/>
                <w:lang w:val="en-US"/>
              </w:rPr>
            </w:pPr>
          </w:p>
        </w:tc>
      </w:tr>
      <w:tr w:rsidR="009607B0" w:rsidRPr="00040E7D" w:rsidTr="00027DF8">
        <w:trPr>
          <w:trHeight w:hRule="exact" w:val="284"/>
        </w:trPr>
        <w:tc>
          <w:tcPr>
            <w:tcW w:w="8222" w:type="dxa"/>
            <w:gridSpan w:val="2"/>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rPr>
                <w:rFonts w:ascii="Arial" w:hAnsi="Arial" w:cs="Arial"/>
                <w:sz w:val="18"/>
                <w:szCs w:val="18"/>
                <w:lang w:val="en-IE"/>
              </w:rPr>
            </w:pPr>
            <w:r w:rsidRPr="006010C1">
              <w:rPr>
                <w:rFonts w:ascii="Arial" w:hAnsi="Arial" w:cs="Arial"/>
                <w:b/>
                <w:sz w:val="18"/>
                <w:szCs w:val="18"/>
                <w:lang w:val="en-IE"/>
              </w:rPr>
              <w:t xml:space="preserve">Operating profit before exceptional items </w:t>
            </w:r>
          </w:p>
        </w:tc>
        <w:tc>
          <w:tcPr>
            <w:tcW w:w="1276" w:type="dxa"/>
            <w:gridSpan w:val="2"/>
            <w:shd w:val="clear" w:color="auto" w:fill="auto"/>
          </w:tcPr>
          <w:p w:rsidR="009607B0" w:rsidRPr="006010C1"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8,362</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bCs/>
                <w:color w:val="000000"/>
                <w:spacing w:val="-5"/>
                <w:sz w:val="18"/>
                <w:szCs w:val="18"/>
              </w:rPr>
            </w:pPr>
            <w:r>
              <w:rPr>
                <w:rFonts w:ascii="Arial" w:hAnsi="Arial" w:cs="Arial"/>
                <w:bCs/>
                <w:color w:val="000000"/>
                <w:spacing w:val="-5"/>
                <w:sz w:val="18"/>
                <w:szCs w:val="18"/>
              </w:rPr>
              <w:t>7,953</w:t>
            </w:r>
          </w:p>
        </w:tc>
        <w:tc>
          <w:tcPr>
            <w:tcW w:w="283" w:type="dxa"/>
          </w:tcPr>
          <w:p w:rsidR="009607B0" w:rsidRPr="006010C1" w:rsidRDefault="009607B0" w:rsidP="009607B0">
            <w:pPr>
              <w:widowControl w:val="0"/>
              <w:suppressAutoHyphens/>
              <w:autoSpaceDE w:val="0"/>
              <w:autoSpaceDN w:val="0"/>
              <w:adjustRightInd w:val="0"/>
              <w:spacing w:line="200" w:lineRule="atLeast"/>
              <w:ind w:right="380"/>
              <w:jc w:val="right"/>
              <w:textAlignment w:val="center"/>
              <w:rPr>
                <w:rFonts w:ascii="Arial" w:hAnsi="Arial" w:cs="Arial"/>
                <w:color w:val="000000"/>
                <w:spacing w:val="-5"/>
                <w:sz w:val="18"/>
                <w:szCs w:val="18"/>
              </w:rPr>
            </w:pPr>
          </w:p>
        </w:tc>
      </w:tr>
      <w:tr w:rsidR="009607B0" w:rsidRPr="00040E7D" w:rsidTr="00027DF8">
        <w:trPr>
          <w:gridAfter w:val="1"/>
          <w:wAfter w:w="283" w:type="dxa"/>
          <w:trHeight w:hRule="exact" w:val="284"/>
        </w:trPr>
        <w:tc>
          <w:tcPr>
            <w:tcW w:w="609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Exceptional items</w:t>
            </w:r>
          </w:p>
        </w:tc>
        <w:tc>
          <w:tcPr>
            <w:tcW w:w="2126" w:type="dxa"/>
          </w:tcPr>
          <w:p w:rsidR="009607B0" w:rsidRPr="006010C1" w:rsidRDefault="009607B0" w:rsidP="009607B0">
            <w:pPr>
              <w:widowControl w:val="0"/>
              <w:suppressAutoHyphens/>
              <w:autoSpaceDE w:val="0"/>
              <w:autoSpaceDN w:val="0"/>
              <w:adjustRightInd w:val="0"/>
              <w:spacing w:line="200" w:lineRule="atLeast"/>
              <w:jc w:val="center"/>
              <w:textAlignment w:val="center"/>
              <w:rPr>
                <w:rFonts w:ascii="Arial" w:hAnsi="Arial" w:cs="Arial"/>
                <w:color w:val="000000"/>
                <w:spacing w:val="-5"/>
                <w:sz w:val="18"/>
                <w:szCs w:val="18"/>
              </w:rPr>
            </w:pPr>
            <w:r w:rsidRPr="006010C1">
              <w:rPr>
                <w:rFonts w:ascii="Arial" w:hAnsi="Arial" w:cs="Arial"/>
                <w:color w:val="000000"/>
                <w:spacing w:val="-5"/>
                <w:sz w:val="18"/>
                <w:szCs w:val="18"/>
              </w:rPr>
              <w:t>4</w:t>
            </w:r>
          </w:p>
        </w:tc>
        <w:tc>
          <w:tcPr>
            <w:tcW w:w="1276" w:type="dxa"/>
            <w:gridSpan w:val="2"/>
            <w:tcBorders>
              <w:bottom w:val="single" w:sz="4" w:space="0" w:color="auto"/>
            </w:tcBorders>
            <w:shd w:val="clear" w:color="auto" w:fill="auto"/>
          </w:tcPr>
          <w:p w:rsidR="009607B0" w:rsidRPr="006010C1"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6010C1">
              <w:rPr>
                <w:rFonts w:ascii="Arial" w:hAnsi="Arial" w:cs="Arial"/>
                <w:b/>
                <w:color w:val="000000"/>
                <w:spacing w:val="-5"/>
                <w:sz w:val="18"/>
                <w:szCs w:val="18"/>
              </w:rPr>
              <w:t>(</w:t>
            </w:r>
            <w:r>
              <w:rPr>
                <w:rFonts w:ascii="Arial" w:hAnsi="Arial" w:cs="Arial"/>
                <w:b/>
                <w:color w:val="000000"/>
                <w:spacing w:val="-5"/>
                <w:sz w:val="18"/>
                <w:szCs w:val="18"/>
              </w:rPr>
              <w:t>8</w:t>
            </w:r>
            <w:r w:rsidRPr="006010C1">
              <w:rPr>
                <w:rFonts w:ascii="Arial" w:hAnsi="Arial" w:cs="Arial"/>
                <w:b/>
                <w:color w:val="000000"/>
                <w:spacing w:val="-5"/>
                <w:sz w:val="18"/>
                <w:szCs w:val="18"/>
              </w:rPr>
              <w:t>,7</w:t>
            </w:r>
            <w:r>
              <w:rPr>
                <w:rFonts w:ascii="Arial" w:hAnsi="Arial" w:cs="Arial"/>
                <w:b/>
                <w:color w:val="000000"/>
                <w:spacing w:val="-5"/>
                <w:sz w:val="18"/>
                <w:szCs w:val="18"/>
              </w:rPr>
              <w:t>95</w:t>
            </w:r>
            <w:r w:rsidRPr="006010C1">
              <w:rPr>
                <w:rFonts w:ascii="Arial" w:hAnsi="Arial" w:cs="Arial"/>
                <w:b/>
                <w:color w:val="000000"/>
                <w:spacing w:val="-5"/>
                <w:sz w:val="18"/>
                <w:szCs w:val="18"/>
              </w:rPr>
              <w:t>)</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(1,727)</w:t>
            </w:r>
          </w:p>
        </w:tc>
      </w:tr>
      <w:tr w:rsidR="009607B0" w:rsidRPr="00040E7D" w:rsidTr="00027DF8">
        <w:trPr>
          <w:gridAfter w:val="1"/>
          <w:wAfter w:w="283" w:type="dxa"/>
          <w:trHeight w:hRule="exact" w:val="284"/>
        </w:trPr>
        <w:tc>
          <w:tcPr>
            <w:tcW w:w="6096" w:type="dxa"/>
            <w:tcBorders>
              <w:top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 xml:space="preserve">Operating </w:t>
            </w:r>
            <w:r w:rsidR="00C75AE2">
              <w:rPr>
                <w:rFonts w:ascii="Arial" w:hAnsi="Arial" w:cs="Arial"/>
                <w:b/>
                <w:sz w:val="18"/>
                <w:szCs w:val="18"/>
                <w:lang w:val="en-IE"/>
              </w:rPr>
              <w:t>(loss)/</w:t>
            </w:r>
            <w:r w:rsidRPr="006010C1">
              <w:rPr>
                <w:rFonts w:ascii="Arial" w:hAnsi="Arial" w:cs="Arial"/>
                <w:b/>
                <w:sz w:val="18"/>
                <w:szCs w:val="18"/>
                <w:lang w:val="en-IE"/>
              </w:rPr>
              <w:t>profit</w:t>
            </w:r>
          </w:p>
        </w:tc>
        <w:tc>
          <w:tcPr>
            <w:tcW w:w="2126" w:type="dxa"/>
            <w:tcBorders>
              <w:top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highlight w:val="yellow"/>
                <w:lang w:val="en-IE"/>
              </w:rPr>
            </w:pPr>
          </w:p>
        </w:tc>
        <w:tc>
          <w:tcPr>
            <w:tcW w:w="1276" w:type="dxa"/>
            <w:gridSpan w:val="2"/>
            <w:tcBorders>
              <w:top w:val="single" w:sz="4" w:space="0" w:color="auto"/>
            </w:tcBorders>
            <w:shd w:val="clear" w:color="auto" w:fill="auto"/>
          </w:tcPr>
          <w:p w:rsidR="009607B0" w:rsidRPr="006010C1" w:rsidRDefault="00E762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(433)</w:t>
            </w:r>
          </w:p>
        </w:tc>
        <w:tc>
          <w:tcPr>
            <w:tcW w:w="1276" w:type="dxa"/>
            <w:tcBorders>
              <w:top w:val="single" w:sz="4" w:space="0" w:color="auto"/>
            </w:tcBorders>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6,226</w:t>
            </w:r>
          </w:p>
        </w:tc>
      </w:tr>
      <w:tr w:rsidR="009607B0" w:rsidRPr="00040E7D" w:rsidTr="00027DF8">
        <w:trPr>
          <w:gridAfter w:val="1"/>
          <w:wAfter w:w="283" w:type="dxa"/>
          <w:trHeight w:hRule="exact" w:val="284"/>
        </w:trPr>
        <w:tc>
          <w:tcPr>
            <w:tcW w:w="609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sz w:val="18"/>
                <w:szCs w:val="18"/>
                <w:lang w:val="en-IE"/>
              </w:rPr>
            </w:pP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highlight w:val="yellow"/>
                <w:lang w:val="en-IE"/>
              </w:rPr>
            </w:pPr>
          </w:p>
        </w:tc>
        <w:tc>
          <w:tcPr>
            <w:tcW w:w="1276" w:type="dxa"/>
            <w:gridSpan w:val="2"/>
            <w:shd w:val="clear" w:color="auto" w:fill="auto"/>
          </w:tcPr>
          <w:p w:rsidR="009607B0" w:rsidRPr="006010C1"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9607B0" w:rsidRPr="00040E7D" w:rsidTr="00027DF8">
        <w:trPr>
          <w:gridAfter w:val="1"/>
          <w:wAfter w:w="283" w:type="dxa"/>
          <w:trHeight w:hRule="exact" w:val="284"/>
        </w:trPr>
        <w:tc>
          <w:tcPr>
            <w:tcW w:w="609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Finance income</w:t>
            </w: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center"/>
              <w:rPr>
                <w:rFonts w:ascii="Arial" w:hAnsi="Arial" w:cs="Arial"/>
                <w:sz w:val="18"/>
                <w:szCs w:val="18"/>
                <w:lang w:val="en-IE"/>
              </w:rPr>
            </w:pPr>
          </w:p>
        </w:tc>
        <w:tc>
          <w:tcPr>
            <w:tcW w:w="1276" w:type="dxa"/>
            <w:gridSpan w:val="2"/>
            <w:shd w:val="clear" w:color="auto" w:fill="auto"/>
          </w:tcPr>
          <w:p w:rsidR="009607B0" w:rsidRPr="006010C1" w:rsidRDefault="00E762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52</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414</w:t>
            </w:r>
          </w:p>
        </w:tc>
      </w:tr>
      <w:tr w:rsidR="009607B0" w:rsidRPr="00040E7D" w:rsidTr="00027DF8">
        <w:trPr>
          <w:gridAfter w:val="1"/>
          <w:wAfter w:w="283" w:type="dxa"/>
          <w:trHeight w:hRule="exact" w:val="244"/>
        </w:trPr>
        <w:tc>
          <w:tcPr>
            <w:tcW w:w="6096" w:type="dxa"/>
          </w:tcPr>
          <w:p w:rsidR="009607B0" w:rsidRPr="00040E7D"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jc w:val="both"/>
              <w:rPr>
                <w:rFonts w:ascii="Arial" w:hAnsi="Arial" w:cs="Arial"/>
                <w:sz w:val="18"/>
                <w:szCs w:val="18"/>
                <w:lang w:val="en-IE"/>
              </w:rPr>
            </w:pPr>
            <w:r w:rsidRPr="009D404B">
              <w:rPr>
                <w:rFonts w:ascii="Arial" w:hAnsi="Arial" w:cs="Arial"/>
                <w:sz w:val="18"/>
                <w:szCs w:val="18"/>
                <w:lang w:val="en-IE"/>
              </w:rPr>
              <w:t xml:space="preserve">Finance costs </w:t>
            </w:r>
          </w:p>
        </w:tc>
        <w:tc>
          <w:tcPr>
            <w:tcW w:w="2126" w:type="dxa"/>
          </w:tcPr>
          <w:p w:rsidR="009607B0" w:rsidRPr="00040E7D"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jc w:val="center"/>
              <w:rPr>
                <w:rFonts w:ascii="Arial" w:hAnsi="Arial" w:cs="Arial"/>
                <w:sz w:val="18"/>
                <w:szCs w:val="18"/>
                <w:lang w:val="en-IE"/>
              </w:rPr>
            </w:pPr>
          </w:p>
        </w:tc>
        <w:tc>
          <w:tcPr>
            <w:tcW w:w="1276" w:type="dxa"/>
            <w:gridSpan w:val="2"/>
            <w:shd w:val="clear" w:color="auto" w:fill="auto"/>
          </w:tcPr>
          <w:p w:rsidR="009607B0" w:rsidRPr="00040E7D" w:rsidRDefault="00E762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(437)</w:t>
            </w:r>
          </w:p>
        </w:tc>
      </w:tr>
      <w:tr w:rsidR="009607B0" w:rsidRPr="00040E7D" w:rsidTr="00027DF8">
        <w:trPr>
          <w:gridAfter w:val="1"/>
          <w:wAfter w:w="283" w:type="dxa"/>
          <w:trHeight w:hRule="exact" w:val="233"/>
        </w:trPr>
        <w:tc>
          <w:tcPr>
            <w:tcW w:w="609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Share of profit in associate</w:t>
            </w:r>
            <w:r w:rsidRPr="006010C1">
              <w:rPr>
                <w:rFonts w:ascii="Arial" w:hAnsi="Arial" w:cs="Arial"/>
                <w:sz w:val="18"/>
                <w:szCs w:val="18"/>
                <w:lang w:val="en-IE"/>
              </w:rPr>
              <w:t xml:space="preserve"> </w:t>
            </w: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center"/>
              <w:rPr>
                <w:rFonts w:ascii="Arial" w:hAnsi="Arial" w:cs="Arial"/>
                <w:sz w:val="18"/>
                <w:szCs w:val="18"/>
                <w:lang w:val="en-IE"/>
              </w:rPr>
            </w:pPr>
          </w:p>
        </w:tc>
        <w:tc>
          <w:tcPr>
            <w:tcW w:w="1276" w:type="dxa"/>
            <w:gridSpan w:val="2"/>
            <w:shd w:val="clear" w:color="auto" w:fill="auto"/>
          </w:tcPr>
          <w:p w:rsidR="009607B0" w:rsidRPr="006010C1" w:rsidRDefault="00E762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w:t>
            </w: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242</w:t>
            </w:r>
          </w:p>
        </w:tc>
      </w:tr>
      <w:tr w:rsidR="009607B0" w:rsidRPr="00040E7D" w:rsidTr="00027DF8">
        <w:trPr>
          <w:gridAfter w:val="1"/>
          <w:wAfter w:w="283" w:type="dxa"/>
          <w:trHeight w:hRule="exact" w:val="284"/>
        </w:trPr>
        <w:tc>
          <w:tcPr>
            <w:tcW w:w="6096" w:type="dxa"/>
            <w:tcBorders>
              <w:top w:val="single" w:sz="4" w:space="0" w:color="auto"/>
            </w:tcBorders>
          </w:tcPr>
          <w:p w:rsidR="009607B0" w:rsidRPr="006010C1" w:rsidRDefault="00C75AE2"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Pr>
                <w:rFonts w:ascii="Arial" w:hAnsi="Arial" w:cs="Arial"/>
                <w:b/>
                <w:sz w:val="18"/>
                <w:szCs w:val="18"/>
                <w:lang w:val="en-IE"/>
              </w:rPr>
              <w:t>(Loss)/p</w:t>
            </w:r>
            <w:r w:rsidR="009607B0" w:rsidRPr="006010C1">
              <w:rPr>
                <w:rFonts w:ascii="Arial" w:hAnsi="Arial" w:cs="Arial"/>
                <w:b/>
                <w:sz w:val="18"/>
                <w:szCs w:val="18"/>
                <w:lang w:val="en-IE"/>
              </w:rPr>
              <w:t>rofit before income tax</w:t>
            </w:r>
          </w:p>
        </w:tc>
        <w:tc>
          <w:tcPr>
            <w:tcW w:w="2126" w:type="dxa"/>
            <w:tcBorders>
              <w:top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highlight w:val="yellow"/>
                <w:lang w:val="en-IE"/>
              </w:rPr>
            </w:pPr>
          </w:p>
        </w:tc>
        <w:tc>
          <w:tcPr>
            <w:tcW w:w="1276" w:type="dxa"/>
            <w:gridSpan w:val="2"/>
            <w:tcBorders>
              <w:top w:val="single" w:sz="4" w:space="0" w:color="auto"/>
            </w:tcBorders>
            <w:shd w:val="clear" w:color="auto" w:fill="auto"/>
          </w:tcPr>
          <w:p w:rsidR="009607B0" w:rsidRPr="006010C1" w:rsidRDefault="00E762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(381)</w:t>
            </w:r>
          </w:p>
        </w:tc>
        <w:tc>
          <w:tcPr>
            <w:tcW w:w="1276" w:type="dxa"/>
            <w:tcBorders>
              <w:top w:val="single" w:sz="4" w:space="0" w:color="auto"/>
            </w:tcBorders>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6,445</w:t>
            </w:r>
          </w:p>
        </w:tc>
      </w:tr>
      <w:tr w:rsidR="009607B0" w:rsidRPr="00040E7D" w:rsidTr="00027DF8">
        <w:trPr>
          <w:gridAfter w:val="1"/>
          <w:wAfter w:w="283" w:type="dxa"/>
          <w:trHeight w:hRule="exact" w:val="284"/>
        </w:trPr>
        <w:tc>
          <w:tcPr>
            <w:tcW w:w="609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sz w:val="18"/>
                <w:szCs w:val="18"/>
                <w:lang w:val="en-IE"/>
              </w:rPr>
            </w:pP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highlight w:val="yellow"/>
                <w:lang w:val="en-IE"/>
              </w:rPr>
            </w:pPr>
          </w:p>
        </w:tc>
        <w:tc>
          <w:tcPr>
            <w:tcW w:w="1276" w:type="dxa"/>
            <w:gridSpan w:val="2"/>
            <w:shd w:val="clear" w:color="auto" w:fill="auto"/>
          </w:tcPr>
          <w:p w:rsidR="009607B0" w:rsidRPr="006010C1" w:rsidRDefault="009607B0"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9607B0" w:rsidRPr="00040E7D" w:rsidTr="00027DF8">
        <w:trPr>
          <w:gridAfter w:val="1"/>
          <w:wAfter w:w="283" w:type="dxa"/>
          <w:trHeight w:hRule="exact" w:val="284"/>
        </w:trPr>
        <w:tc>
          <w:tcPr>
            <w:tcW w:w="6096" w:type="dxa"/>
            <w:tcBorders>
              <w:bottom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 xml:space="preserve">Income tax </w:t>
            </w:r>
            <w:r w:rsidR="00064382">
              <w:rPr>
                <w:rFonts w:ascii="Arial" w:hAnsi="Arial" w:cs="Arial"/>
                <w:sz w:val="18"/>
                <w:szCs w:val="18"/>
                <w:lang w:val="en-IE"/>
              </w:rPr>
              <w:t>credit/</w:t>
            </w:r>
            <w:r w:rsidR="007B113F">
              <w:rPr>
                <w:rFonts w:ascii="Arial" w:hAnsi="Arial" w:cs="Arial"/>
                <w:sz w:val="18"/>
                <w:szCs w:val="18"/>
                <w:lang w:val="en-IE"/>
              </w:rPr>
              <w:t>(</w:t>
            </w:r>
            <w:r w:rsidRPr="006010C1">
              <w:rPr>
                <w:rFonts w:ascii="Arial" w:hAnsi="Arial" w:cs="Arial"/>
                <w:sz w:val="18"/>
                <w:szCs w:val="18"/>
                <w:lang w:val="en-IE"/>
              </w:rPr>
              <w:t>expense</w:t>
            </w:r>
            <w:r w:rsidR="007B113F">
              <w:rPr>
                <w:rFonts w:ascii="Arial" w:hAnsi="Arial" w:cs="Arial"/>
                <w:sz w:val="18"/>
                <w:szCs w:val="18"/>
                <w:lang w:val="en-IE"/>
              </w:rPr>
              <w:t>)</w:t>
            </w:r>
            <w:r w:rsidRPr="006010C1">
              <w:rPr>
                <w:rFonts w:ascii="Arial" w:hAnsi="Arial" w:cs="Arial"/>
                <w:sz w:val="18"/>
                <w:szCs w:val="18"/>
                <w:lang w:val="en-IE"/>
              </w:rPr>
              <w:t xml:space="preserve"> </w:t>
            </w:r>
          </w:p>
        </w:tc>
        <w:tc>
          <w:tcPr>
            <w:tcW w:w="2126" w:type="dxa"/>
            <w:tcBorders>
              <w:bottom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center"/>
              <w:rPr>
                <w:rFonts w:ascii="Arial" w:hAnsi="Arial" w:cs="Arial"/>
                <w:sz w:val="18"/>
                <w:szCs w:val="18"/>
                <w:lang w:val="en-IE"/>
              </w:rPr>
            </w:pPr>
            <w:r w:rsidRPr="006010C1">
              <w:rPr>
                <w:rFonts w:ascii="Arial" w:hAnsi="Arial" w:cs="Arial"/>
                <w:sz w:val="18"/>
                <w:szCs w:val="18"/>
                <w:lang w:val="en-IE"/>
              </w:rPr>
              <w:t>5</w:t>
            </w:r>
          </w:p>
        </w:tc>
        <w:tc>
          <w:tcPr>
            <w:tcW w:w="1276" w:type="dxa"/>
            <w:gridSpan w:val="2"/>
            <w:tcBorders>
              <w:bottom w:val="single" w:sz="4" w:space="0" w:color="auto"/>
            </w:tcBorders>
            <w:shd w:val="clear" w:color="auto" w:fill="auto"/>
          </w:tcPr>
          <w:p w:rsidR="009607B0" w:rsidRPr="006010C1" w:rsidRDefault="00E762B0" w:rsidP="00835ACD">
            <w:pPr>
              <w:widowControl w:val="0"/>
              <w:suppressAutoHyphens/>
              <w:autoSpaceDE w:val="0"/>
              <w:autoSpaceDN w:val="0"/>
              <w:adjustRightInd w:val="0"/>
              <w:spacing w:line="200" w:lineRule="atLeast"/>
              <w:jc w:val="right"/>
              <w:textAlignment w:val="center"/>
              <w:rPr>
                <w:rFonts w:ascii="Arial" w:hAnsi="Arial" w:cs="Arial"/>
                <w:b/>
                <w:sz w:val="18"/>
                <w:szCs w:val="18"/>
                <w:lang w:val="en-US"/>
              </w:rPr>
            </w:pPr>
            <w:r>
              <w:rPr>
                <w:rFonts w:ascii="Arial" w:hAnsi="Arial" w:cs="Arial"/>
                <w:b/>
                <w:color w:val="000000"/>
                <w:spacing w:val="-5"/>
                <w:sz w:val="18"/>
                <w:szCs w:val="18"/>
              </w:rPr>
              <w:t>43</w:t>
            </w:r>
          </w:p>
        </w:tc>
        <w:tc>
          <w:tcPr>
            <w:tcW w:w="1276" w:type="dxa"/>
            <w:tcBorders>
              <w:bottom w:val="single" w:sz="4" w:space="0" w:color="auto"/>
            </w:tcBorders>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sz w:val="18"/>
                <w:szCs w:val="18"/>
                <w:lang w:val="en-US"/>
              </w:rPr>
            </w:pPr>
            <w:r w:rsidRPr="005B1DE1">
              <w:rPr>
                <w:rFonts w:ascii="Arial" w:hAnsi="Arial" w:cs="Arial"/>
                <w:color w:val="000000"/>
                <w:spacing w:val="-5"/>
                <w:sz w:val="18"/>
                <w:szCs w:val="18"/>
              </w:rPr>
              <w:t>(1,195)</w:t>
            </w:r>
          </w:p>
        </w:tc>
      </w:tr>
      <w:tr w:rsidR="009607B0" w:rsidRPr="00040E7D" w:rsidTr="00027DF8">
        <w:trPr>
          <w:gridAfter w:val="1"/>
          <w:wAfter w:w="283" w:type="dxa"/>
          <w:trHeight w:hRule="exact" w:val="284"/>
        </w:trPr>
        <w:tc>
          <w:tcPr>
            <w:tcW w:w="6096" w:type="dxa"/>
            <w:tcBorders>
              <w:top w:val="single" w:sz="4" w:space="0" w:color="auto"/>
            </w:tcBorders>
          </w:tcPr>
          <w:p w:rsidR="009607B0" w:rsidRPr="006010C1" w:rsidRDefault="00C75AE2" w:rsidP="009607B0">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Pr>
                <w:rFonts w:ascii="Arial" w:hAnsi="Arial" w:cs="Arial"/>
                <w:b/>
                <w:sz w:val="18"/>
                <w:szCs w:val="18"/>
                <w:lang w:val="en-IE"/>
              </w:rPr>
              <w:lastRenderedPageBreak/>
              <w:t>(Loss)/p</w:t>
            </w:r>
            <w:r w:rsidR="009607B0" w:rsidRPr="006010C1">
              <w:rPr>
                <w:rFonts w:ascii="Arial" w:hAnsi="Arial" w:cs="Arial"/>
                <w:b/>
                <w:sz w:val="18"/>
                <w:szCs w:val="18"/>
                <w:lang w:val="en-IE"/>
              </w:rPr>
              <w:t xml:space="preserve">rofit for the financial year </w:t>
            </w:r>
          </w:p>
        </w:tc>
        <w:tc>
          <w:tcPr>
            <w:tcW w:w="2126" w:type="dxa"/>
            <w:tcBorders>
              <w:top w:val="single" w:sz="4" w:space="0" w:color="auto"/>
            </w:tcBorders>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tcBorders>
              <w:top w:val="single" w:sz="4" w:space="0" w:color="auto"/>
            </w:tcBorders>
            <w:shd w:val="clear" w:color="auto" w:fill="auto"/>
          </w:tcPr>
          <w:p w:rsidR="009607B0" w:rsidRPr="006010C1" w:rsidRDefault="00C75AE2" w:rsidP="00835AC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(338)</w:t>
            </w:r>
          </w:p>
        </w:tc>
        <w:tc>
          <w:tcPr>
            <w:tcW w:w="1276" w:type="dxa"/>
            <w:tcBorders>
              <w:top w:val="single" w:sz="4" w:space="0" w:color="auto"/>
            </w:tcBorders>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5,250</w:t>
            </w:r>
          </w:p>
        </w:tc>
      </w:tr>
      <w:tr w:rsidR="009607B0" w:rsidRPr="00040E7D" w:rsidTr="00027DF8">
        <w:trPr>
          <w:gridAfter w:val="1"/>
          <w:wAfter w:w="283" w:type="dxa"/>
          <w:trHeight w:hRule="exact" w:val="284"/>
        </w:trPr>
        <w:tc>
          <w:tcPr>
            <w:tcW w:w="609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sz w:val="18"/>
                <w:szCs w:val="18"/>
                <w:lang w:val="en-IE"/>
              </w:rPr>
            </w:pPr>
          </w:p>
        </w:tc>
        <w:tc>
          <w:tcPr>
            <w:tcW w:w="2126" w:type="dxa"/>
          </w:tcPr>
          <w:p w:rsidR="009607B0" w:rsidRPr="006010C1" w:rsidRDefault="009607B0" w:rsidP="009607B0">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shd w:val="clear" w:color="auto" w:fill="auto"/>
          </w:tcPr>
          <w:p w:rsidR="009607B0" w:rsidRPr="006010C1" w:rsidRDefault="009607B0" w:rsidP="009607B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Pr>
          <w:p w:rsidR="009607B0" w:rsidRPr="009607B0" w:rsidRDefault="009607B0" w:rsidP="009607B0">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3910CE" w:rsidRPr="00040E7D" w:rsidTr="005F086E">
        <w:trPr>
          <w:gridAfter w:val="1"/>
          <w:wAfter w:w="283" w:type="dxa"/>
          <w:trHeight w:hRule="exact" w:val="232"/>
        </w:trPr>
        <w:tc>
          <w:tcPr>
            <w:tcW w:w="6096" w:type="dxa"/>
            <w:tcBorders>
              <w:top w:val="single" w:sz="12" w:space="0" w:color="auto"/>
            </w:tcBorders>
            <w:vAlign w:val="center"/>
          </w:tcPr>
          <w:p w:rsidR="003910CE" w:rsidRPr="006010C1" w:rsidRDefault="003910CE" w:rsidP="003910CE">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sz w:val="18"/>
                <w:szCs w:val="18"/>
                <w:lang w:val="en-IE"/>
              </w:rPr>
            </w:pPr>
          </w:p>
        </w:tc>
        <w:tc>
          <w:tcPr>
            <w:tcW w:w="2126" w:type="dxa"/>
            <w:tcBorders>
              <w:top w:val="single" w:sz="12" w:space="0" w:color="auto"/>
            </w:tcBorders>
            <w:vAlign w:val="center"/>
          </w:tcPr>
          <w:p w:rsidR="003910CE" w:rsidRPr="006010C1" w:rsidRDefault="003910CE" w:rsidP="003910CE">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sz w:val="18"/>
                <w:szCs w:val="18"/>
                <w:lang w:val="en-IE"/>
              </w:rPr>
            </w:pPr>
          </w:p>
        </w:tc>
        <w:tc>
          <w:tcPr>
            <w:tcW w:w="989" w:type="dxa"/>
            <w:tcBorders>
              <w:top w:val="single" w:sz="12" w:space="0" w:color="auto"/>
            </w:tcBorders>
            <w:vAlign w:val="center"/>
          </w:tcPr>
          <w:p w:rsidR="003910CE" w:rsidRPr="006010C1" w:rsidRDefault="003910CE" w:rsidP="003910CE">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b/>
                <w:sz w:val="18"/>
                <w:szCs w:val="18"/>
                <w:lang w:val="en-IE"/>
              </w:rPr>
            </w:pPr>
          </w:p>
        </w:tc>
        <w:tc>
          <w:tcPr>
            <w:tcW w:w="1563" w:type="dxa"/>
            <w:gridSpan w:val="2"/>
            <w:tcBorders>
              <w:top w:val="single" w:sz="12" w:space="0" w:color="auto"/>
            </w:tcBorders>
            <w:vAlign w:val="center"/>
          </w:tcPr>
          <w:p w:rsidR="003910CE" w:rsidRPr="006010C1" w:rsidRDefault="003910CE" w:rsidP="003910CE">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sz w:val="18"/>
                <w:szCs w:val="18"/>
                <w:lang w:val="en-IE"/>
              </w:rPr>
            </w:pPr>
          </w:p>
        </w:tc>
      </w:tr>
      <w:tr w:rsidR="003910CE" w:rsidRPr="00040E7D" w:rsidTr="005F086E">
        <w:trPr>
          <w:gridAfter w:val="1"/>
          <w:wAfter w:w="283" w:type="dxa"/>
          <w:trHeight w:val="232"/>
        </w:trPr>
        <w:tc>
          <w:tcPr>
            <w:tcW w:w="10774" w:type="dxa"/>
            <w:gridSpan w:val="5"/>
            <w:vAlign w:val="center"/>
          </w:tcPr>
          <w:p w:rsidR="00A67DDE" w:rsidRDefault="00A67DDE" w:rsidP="003910CE">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rPr>
                <w:rFonts w:ascii="Arial" w:hAnsi="Arial" w:cs="Arial"/>
                <w:sz w:val="18"/>
                <w:szCs w:val="18"/>
                <w:lang w:val="en-IE"/>
              </w:rPr>
            </w:pPr>
          </w:p>
          <w:p w:rsidR="003910CE" w:rsidRPr="006010C1" w:rsidRDefault="003910CE" w:rsidP="003910CE">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rPr>
                <w:rFonts w:ascii="Arial" w:hAnsi="Arial" w:cs="Arial"/>
                <w:sz w:val="18"/>
                <w:szCs w:val="18"/>
                <w:lang w:val="en-IE"/>
              </w:rPr>
            </w:pPr>
            <w:r w:rsidRPr="006010C1">
              <w:rPr>
                <w:rFonts w:ascii="Arial" w:hAnsi="Arial" w:cs="Arial"/>
                <w:sz w:val="18"/>
                <w:szCs w:val="18"/>
                <w:lang w:val="en-IE"/>
              </w:rPr>
              <w:t>Earnings per share from continuing and discontinued operations attributable to the owners of the Company during the year:</w:t>
            </w:r>
          </w:p>
        </w:tc>
      </w:tr>
      <w:tr w:rsidR="00C75AE2" w:rsidRPr="00040E7D" w:rsidTr="00027D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83" w:type="dxa"/>
          <w:trHeight w:hRule="exact" w:val="232"/>
        </w:trPr>
        <w:tc>
          <w:tcPr>
            <w:tcW w:w="6096" w:type="dxa"/>
            <w:tcBorders>
              <w:top w:val="nil"/>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b/>
                <w:sz w:val="18"/>
                <w:szCs w:val="18"/>
                <w:lang w:val="en-IE"/>
              </w:rPr>
            </w:pPr>
          </w:p>
        </w:tc>
        <w:tc>
          <w:tcPr>
            <w:tcW w:w="2126" w:type="dxa"/>
            <w:tcBorders>
              <w:top w:val="nil"/>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color w:val="1F497D" w:themeColor="text2"/>
                <w:sz w:val="18"/>
                <w:szCs w:val="18"/>
                <w:lang w:val="en-IE"/>
              </w:rPr>
            </w:pPr>
          </w:p>
        </w:tc>
        <w:tc>
          <w:tcPr>
            <w:tcW w:w="1276" w:type="dxa"/>
            <w:gridSpan w:val="2"/>
            <w:tcBorders>
              <w:top w:val="nil"/>
              <w:left w:val="nil"/>
              <w:bottom w:val="nil"/>
              <w:right w:val="nil"/>
            </w:tcBorders>
            <w:shd w:val="clear" w:color="auto" w:fill="auto"/>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Pr>
                <w:rFonts w:ascii="Arial" w:hAnsi="Arial" w:cs="Arial"/>
                <w:b/>
                <w:color w:val="1F497D" w:themeColor="text2"/>
                <w:sz w:val="18"/>
                <w:szCs w:val="18"/>
                <w:lang w:val="en-IE"/>
              </w:rPr>
              <w:t>7</w:t>
            </w:r>
          </w:p>
        </w:tc>
        <w:tc>
          <w:tcPr>
            <w:tcW w:w="1276" w:type="dxa"/>
            <w:tcBorders>
              <w:top w:val="nil"/>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Cs/>
                <w:color w:val="1F497D" w:themeColor="text2"/>
                <w:sz w:val="18"/>
                <w:szCs w:val="18"/>
                <w:lang w:val="en-IE"/>
              </w:rPr>
            </w:pPr>
            <w:r w:rsidRPr="006010C1">
              <w:rPr>
                <w:rFonts w:ascii="Arial" w:hAnsi="Arial" w:cs="Arial"/>
                <w:b/>
                <w:color w:val="1F497D" w:themeColor="text2"/>
                <w:sz w:val="18"/>
                <w:szCs w:val="18"/>
                <w:lang w:val="en-IE"/>
              </w:rPr>
              <w:t>2016</w:t>
            </w:r>
          </w:p>
        </w:tc>
      </w:tr>
      <w:tr w:rsidR="00C75AE2" w:rsidRPr="00040E7D" w:rsidTr="00027DF8">
        <w:trPr>
          <w:gridAfter w:val="1"/>
          <w:wAfter w:w="283" w:type="dxa"/>
          <w:trHeight w:hRule="exact" w:val="284"/>
        </w:trPr>
        <w:tc>
          <w:tcPr>
            <w:tcW w:w="6096" w:type="dxa"/>
            <w:tcBorders>
              <w:top w:val="nil"/>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autoSpaceDE w:val="0"/>
              <w:autoSpaceDN w:val="0"/>
              <w:adjustRightInd w:val="0"/>
              <w:jc w:val="both"/>
              <w:rPr>
                <w:rFonts w:ascii="Arial" w:hAnsi="Arial" w:cs="Arial"/>
                <w:b/>
                <w:sz w:val="18"/>
                <w:szCs w:val="18"/>
                <w:lang w:val="en-IE"/>
              </w:rPr>
            </w:pPr>
          </w:p>
        </w:tc>
        <w:tc>
          <w:tcPr>
            <w:tcW w:w="2126" w:type="dxa"/>
            <w:tcBorders>
              <w:top w:val="nil"/>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jc w:val="right"/>
              <w:rPr>
                <w:rFonts w:ascii="Arial" w:hAnsi="Arial" w:cs="Arial"/>
                <w:sz w:val="18"/>
                <w:szCs w:val="18"/>
                <w:lang w:val="en-IE"/>
              </w:rPr>
            </w:pPr>
          </w:p>
        </w:tc>
        <w:tc>
          <w:tcPr>
            <w:tcW w:w="1276" w:type="dxa"/>
            <w:gridSpan w:val="2"/>
            <w:tcBorders>
              <w:top w:val="nil"/>
              <w:left w:val="nil"/>
              <w:bottom w:val="nil"/>
              <w:right w:val="nil"/>
            </w:tcBorders>
            <w:shd w:val="clear" w:color="auto" w:fill="auto"/>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jc w:val="right"/>
              <w:rPr>
                <w:rFonts w:ascii="Arial" w:hAnsi="Arial" w:cs="Arial"/>
                <w:b/>
                <w:sz w:val="18"/>
                <w:szCs w:val="18"/>
                <w:lang w:val="en-IE"/>
              </w:rPr>
            </w:pPr>
          </w:p>
        </w:tc>
        <w:tc>
          <w:tcPr>
            <w:tcW w:w="1276" w:type="dxa"/>
            <w:tcBorders>
              <w:top w:val="nil"/>
              <w:left w:val="nil"/>
              <w:bottom w:val="nil"/>
              <w:right w:val="nil"/>
            </w:tcBorders>
          </w:tcPr>
          <w:p w:rsidR="00C75AE2" w:rsidRPr="002F4B11" w:rsidRDefault="00C75AE2" w:rsidP="00C75AE2">
            <w:pPr>
              <w:tabs>
                <w:tab w:val="right" w:pos="5040"/>
                <w:tab w:val="left" w:pos="5400"/>
                <w:tab w:val="right" w:pos="6480"/>
                <w:tab w:val="center" w:pos="6840"/>
                <w:tab w:val="right" w:pos="7200"/>
                <w:tab w:val="right" w:pos="7920"/>
                <w:tab w:val="center" w:pos="8280"/>
                <w:tab w:val="right" w:pos="8640"/>
              </w:tabs>
              <w:jc w:val="right"/>
              <w:rPr>
                <w:rFonts w:ascii="Arial" w:hAnsi="Arial" w:cs="Arial"/>
                <w:bCs/>
                <w:color w:val="1F497D" w:themeColor="text2"/>
                <w:sz w:val="16"/>
                <w:szCs w:val="16"/>
                <w:lang w:val="en-IE"/>
              </w:rPr>
            </w:pPr>
          </w:p>
        </w:tc>
      </w:tr>
      <w:tr w:rsidR="00C75AE2" w:rsidRPr="00040E7D" w:rsidTr="00027DF8">
        <w:trPr>
          <w:gridAfter w:val="1"/>
          <w:wAfter w:w="283" w:type="dxa"/>
          <w:trHeight w:hRule="exact" w:val="284"/>
        </w:trPr>
        <w:tc>
          <w:tcPr>
            <w:tcW w:w="6096" w:type="dxa"/>
            <w:tcBorders>
              <w:top w:val="nil"/>
              <w:left w:val="nil"/>
              <w:bottom w:val="nil"/>
              <w:right w:val="nil"/>
            </w:tcBorders>
          </w:tcPr>
          <w:p w:rsidR="00C75AE2" w:rsidRPr="005B1DE1" w:rsidRDefault="001B639D" w:rsidP="00C75AE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5B1DE1">
              <w:rPr>
                <w:rFonts w:ascii="Arial" w:hAnsi="Arial" w:cs="Arial"/>
                <w:b/>
                <w:bCs/>
                <w:color w:val="000000"/>
                <w:spacing w:val="-5"/>
                <w:sz w:val="18"/>
                <w:szCs w:val="18"/>
              </w:rPr>
              <w:t>Basic (loss)/earnings per ordinary share (pence)</w:t>
            </w:r>
          </w:p>
        </w:tc>
        <w:tc>
          <w:tcPr>
            <w:tcW w:w="2126" w:type="dxa"/>
            <w:tcBorders>
              <w:top w:val="nil"/>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sz w:val="18"/>
                <w:szCs w:val="18"/>
                <w:lang w:val="en-IE"/>
              </w:rPr>
            </w:pPr>
          </w:p>
        </w:tc>
        <w:tc>
          <w:tcPr>
            <w:tcW w:w="1276" w:type="dxa"/>
            <w:gridSpan w:val="2"/>
            <w:tcBorders>
              <w:top w:val="nil"/>
              <w:left w:val="nil"/>
              <w:bottom w:val="nil"/>
              <w:right w:val="nil"/>
            </w:tcBorders>
            <w:shd w:val="clear" w:color="auto" w:fill="auto"/>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b/>
                <w:sz w:val="18"/>
                <w:szCs w:val="18"/>
                <w:lang w:val="en-IE"/>
              </w:rPr>
            </w:pPr>
          </w:p>
        </w:tc>
        <w:tc>
          <w:tcPr>
            <w:tcW w:w="1276" w:type="dxa"/>
            <w:tcBorders>
              <w:top w:val="nil"/>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right"/>
              <w:rPr>
                <w:rFonts w:ascii="Arial" w:hAnsi="Arial" w:cs="Arial"/>
                <w:color w:val="1F497D" w:themeColor="text2"/>
                <w:sz w:val="18"/>
                <w:szCs w:val="18"/>
                <w:lang w:val="en-IE"/>
              </w:rPr>
            </w:pPr>
          </w:p>
        </w:tc>
      </w:tr>
      <w:tr w:rsidR="00C75AE2" w:rsidRPr="00040E7D" w:rsidTr="00027DF8">
        <w:trPr>
          <w:gridAfter w:val="1"/>
          <w:wAfter w:w="283" w:type="dxa"/>
          <w:trHeight w:hRule="exact" w:val="284"/>
        </w:trPr>
        <w:tc>
          <w:tcPr>
            <w:tcW w:w="6096" w:type="dxa"/>
            <w:tcBorders>
              <w:top w:val="nil"/>
              <w:left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sz w:val="18"/>
                <w:szCs w:val="18"/>
                <w:lang w:val="en-IE"/>
              </w:rPr>
              <w:t>From operations</w:t>
            </w:r>
          </w:p>
        </w:tc>
        <w:tc>
          <w:tcPr>
            <w:tcW w:w="2126" w:type="dxa"/>
            <w:tcBorders>
              <w:top w:val="nil"/>
              <w:left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sz w:val="18"/>
                <w:szCs w:val="18"/>
                <w:lang w:val="en-IE"/>
              </w:rPr>
            </w:pPr>
          </w:p>
        </w:tc>
        <w:tc>
          <w:tcPr>
            <w:tcW w:w="1276" w:type="dxa"/>
            <w:gridSpan w:val="2"/>
            <w:tcBorders>
              <w:top w:val="nil"/>
              <w:left w:val="nil"/>
              <w:right w:val="nil"/>
            </w:tcBorders>
            <w:shd w:val="clear" w:color="auto" w:fill="auto"/>
          </w:tcPr>
          <w:p w:rsidR="00C75AE2" w:rsidRPr="00C77409" w:rsidRDefault="001B639D" w:rsidP="00C75AE2">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(0.32)</w:t>
            </w:r>
          </w:p>
        </w:tc>
        <w:tc>
          <w:tcPr>
            <w:tcW w:w="1276" w:type="dxa"/>
            <w:tcBorders>
              <w:top w:val="nil"/>
              <w:left w:val="nil"/>
              <w:right w:val="nil"/>
            </w:tcBorders>
          </w:tcPr>
          <w:p w:rsidR="00C75AE2" w:rsidRPr="006010C1" w:rsidRDefault="00C75AE2" w:rsidP="00C75AE2">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C77409">
              <w:rPr>
                <w:rFonts w:ascii="Arial" w:hAnsi="Arial" w:cs="Arial"/>
                <w:b/>
                <w:color w:val="000000"/>
                <w:spacing w:val="-5"/>
                <w:sz w:val="18"/>
                <w:szCs w:val="18"/>
              </w:rPr>
              <w:t>4.98</w:t>
            </w:r>
          </w:p>
        </w:tc>
      </w:tr>
      <w:tr w:rsidR="00C75AE2" w:rsidRPr="00040E7D" w:rsidTr="00027DF8">
        <w:trPr>
          <w:gridAfter w:val="1"/>
          <w:wAfter w:w="283" w:type="dxa"/>
          <w:trHeight w:hRule="exact" w:val="312"/>
        </w:trPr>
        <w:tc>
          <w:tcPr>
            <w:tcW w:w="6096" w:type="dxa"/>
            <w:tcBorders>
              <w:top w:val="single" w:sz="4" w:space="0" w:color="auto"/>
              <w:left w:val="nil"/>
              <w:bottom w:val="single" w:sz="12" w:space="0" w:color="000000" w:themeColor="text1"/>
              <w:right w:val="nil"/>
            </w:tcBorders>
          </w:tcPr>
          <w:p w:rsidR="00C75AE2" w:rsidRPr="005B1DE1" w:rsidRDefault="001B639D" w:rsidP="00C75AE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5B1DE1">
              <w:rPr>
                <w:rFonts w:ascii="Arial" w:hAnsi="Arial" w:cs="Arial"/>
                <w:b/>
                <w:bCs/>
                <w:color w:val="000000"/>
                <w:spacing w:val="-5"/>
                <w:sz w:val="18"/>
                <w:szCs w:val="18"/>
              </w:rPr>
              <w:t>From (loss)/profit for the financial year</w:t>
            </w:r>
          </w:p>
        </w:tc>
        <w:tc>
          <w:tcPr>
            <w:tcW w:w="2126" w:type="dxa"/>
            <w:tcBorders>
              <w:top w:val="single" w:sz="4" w:space="0" w:color="auto"/>
              <w:left w:val="nil"/>
              <w:bottom w:val="single" w:sz="12" w:space="0" w:color="000000" w:themeColor="text1"/>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center"/>
              <w:rPr>
                <w:rFonts w:ascii="Arial" w:hAnsi="Arial" w:cs="Arial"/>
                <w:sz w:val="18"/>
                <w:szCs w:val="18"/>
                <w:lang w:val="en-IE"/>
              </w:rPr>
            </w:pPr>
            <w:r>
              <w:rPr>
                <w:rFonts w:ascii="Arial" w:hAnsi="Arial" w:cs="Arial"/>
                <w:sz w:val="18"/>
                <w:szCs w:val="18"/>
                <w:lang w:val="en-IE"/>
              </w:rPr>
              <w:t>6</w:t>
            </w:r>
          </w:p>
        </w:tc>
        <w:tc>
          <w:tcPr>
            <w:tcW w:w="1276" w:type="dxa"/>
            <w:gridSpan w:val="2"/>
            <w:tcBorders>
              <w:top w:val="single" w:sz="4" w:space="0" w:color="auto"/>
              <w:left w:val="nil"/>
              <w:bottom w:val="single" w:sz="12" w:space="0" w:color="000000" w:themeColor="text1"/>
              <w:right w:val="nil"/>
            </w:tcBorders>
            <w:shd w:val="clear" w:color="auto" w:fill="auto"/>
          </w:tcPr>
          <w:p w:rsidR="00C75AE2" w:rsidRPr="005F086E" w:rsidRDefault="001B639D" w:rsidP="00C75AE2">
            <w:pPr>
              <w:widowControl w:val="0"/>
              <w:suppressAutoHyphens/>
              <w:autoSpaceDE w:val="0"/>
              <w:autoSpaceDN w:val="0"/>
              <w:adjustRightInd w:val="0"/>
              <w:spacing w:line="200" w:lineRule="atLeast"/>
              <w:jc w:val="right"/>
              <w:textAlignment w:val="center"/>
              <w:rPr>
                <w:rFonts w:ascii="Arial" w:hAnsi="Arial" w:cs="Arial"/>
                <w:b/>
                <w:bCs/>
                <w:color w:val="000000"/>
                <w:spacing w:val="-5"/>
                <w:sz w:val="18"/>
                <w:szCs w:val="18"/>
              </w:rPr>
            </w:pPr>
            <w:r>
              <w:rPr>
                <w:rFonts w:ascii="Arial" w:hAnsi="Arial" w:cs="Arial"/>
                <w:b/>
                <w:bCs/>
                <w:color w:val="000000"/>
                <w:spacing w:val="-5"/>
                <w:sz w:val="18"/>
                <w:szCs w:val="18"/>
              </w:rPr>
              <w:t>(0.32)</w:t>
            </w:r>
          </w:p>
        </w:tc>
        <w:tc>
          <w:tcPr>
            <w:tcW w:w="1276" w:type="dxa"/>
            <w:tcBorders>
              <w:top w:val="single" w:sz="4" w:space="0" w:color="auto"/>
              <w:left w:val="nil"/>
              <w:bottom w:val="single" w:sz="12" w:space="0" w:color="000000" w:themeColor="text1"/>
              <w:right w:val="nil"/>
            </w:tcBorders>
          </w:tcPr>
          <w:p w:rsidR="00C75AE2" w:rsidRPr="006010C1" w:rsidRDefault="00C75AE2" w:rsidP="00C75AE2">
            <w:pPr>
              <w:widowControl w:val="0"/>
              <w:suppressAutoHyphens/>
              <w:autoSpaceDE w:val="0"/>
              <w:autoSpaceDN w:val="0"/>
              <w:adjustRightInd w:val="0"/>
              <w:spacing w:line="200" w:lineRule="atLeast"/>
              <w:jc w:val="right"/>
              <w:textAlignment w:val="center"/>
              <w:rPr>
                <w:rFonts w:ascii="Arial" w:hAnsi="Arial" w:cs="Arial"/>
                <w:bCs/>
                <w:color w:val="000000"/>
                <w:spacing w:val="-5"/>
                <w:sz w:val="18"/>
                <w:szCs w:val="18"/>
              </w:rPr>
            </w:pPr>
            <w:r w:rsidRPr="005F086E">
              <w:rPr>
                <w:rFonts w:ascii="Arial" w:hAnsi="Arial" w:cs="Arial"/>
                <w:b/>
                <w:bCs/>
                <w:color w:val="000000"/>
                <w:spacing w:val="-5"/>
                <w:sz w:val="18"/>
                <w:szCs w:val="18"/>
              </w:rPr>
              <w:t>4.98</w:t>
            </w:r>
          </w:p>
        </w:tc>
      </w:tr>
      <w:tr w:rsidR="00C75AE2" w:rsidRPr="00040E7D" w:rsidTr="00027DF8">
        <w:trPr>
          <w:gridAfter w:val="1"/>
          <w:wAfter w:w="283" w:type="dxa"/>
          <w:trHeight w:hRule="exact" w:val="284"/>
        </w:trPr>
        <w:tc>
          <w:tcPr>
            <w:tcW w:w="6096" w:type="dxa"/>
            <w:tcBorders>
              <w:top w:val="single" w:sz="12" w:space="0" w:color="000000" w:themeColor="text1"/>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both"/>
              <w:rPr>
                <w:rFonts w:ascii="Arial" w:hAnsi="Arial" w:cs="Arial"/>
                <w:b/>
                <w:sz w:val="18"/>
                <w:szCs w:val="18"/>
                <w:lang w:val="en-IE"/>
              </w:rPr>
            </w:pPr>
          </w:p>
        </w:tc>
        <w:tc>
          <w:tcPr>
            <w:tcW w:w="2126" w:type="dxa"/>
            <w:tcBorders>
              <w:top w:val="single" w:sz="12" w:space="0" w:color="000000" w:themeColor="text1"/>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tcBorders>
              <w:top w:val="single" w:sz="12" w:space="0" w:color="000000" w:themeColor="text1"/>
              <w:left w:val="nil"/>
              <w:bottom w:val="nil"/>
              <w:right w:val="nil"/>
            </w:tcBorders>
            <w:shd w:val="clear" w:color="auto" w:fill="auto"/>
          </w:tcPr>
          <w:p w:rsidR="00C75AE2" w:rsidRPr="00C77409" w:rsidRDefault="00C75AE2" w:rsidP="00C75AE2">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b/>
                <w:sz w:val="18"/>
                <w:szCs w:val="18"/>
                <w:lang w:val="en-IE"/>
              </w:rPr>
            </w:pPr>
          </w:p>
        </w:tc>
        <w:tc>
          <w:tcPr>
            <w:tcW w:w="1276" w:type="dxa"/>
            <w:tcBorders>
              <w:top w:val="single" w:sz="12" w:space="0" w:color="000000" w:themeColor="text1"/>
              <w:left w:val="nil"/>
              <w:bottom w:val="nil"/>
              <w:right w:val="nil"/>
            </w:tcBorders>
          </w:tcPr>
          <w:p w:rsidR="00C75AE2" w:rsidRPr="006010C1" w:rsidRDefault="00C75AE2" w:rsidP="00C75AE2">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sz w:val="18"/>
                <w:szCs w:val="18"/>
                <w:lang w:val="en-IE"/>
              </w:rPr>
            </w:pPr>
          </w:p>
        </w:tc>
      </w:tr>
      <w:tr w:rsidR="001B639D" w:rsidRPr="00040E7D" w:rsidTr="00027DF8">
        <w:trPr>
          <w:gridAfter w:val="1"/>
          <w:wAfter w:w="283" w:type="dxa"/>
          <w:trHeight w:hRule="exact" w:val="284"/>
        </w:trPr>
        <w:tc>
          <w:tcPr>
            <w:tcW w:w="6096" w:type="dxa"/>
            <w:tcBorders>
              <w:top w:val="nil"/>
              <w:left w:val="nil"/>
              <w:bottom w:val="nil"/>
              <w:right w:val="nil"/>
            </w:tcBorders>
            <w:vAlign w:val="bottom"/>
          </w:tcPr>
          <w:p w:rsidR="001B639D" w:rsidRPr="005B1DE1" w:rsidRDefault="001B639D" w:rsidP="001B639D">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5B1DE1">
              <w:rPr>
                <w:rFonts w:ascii="Arial" w:hAnsi="Arial" w:cs="Arial"/>
                <w:b/>
                <w:bCs/>
                <w:color w:val="000000"/>
                <w:spacing w:val="-5"/>
                <w:sz w:val="18"/>
                <w:szCs w:val="18"/>
              </w:rPr>
              <w:t>Diluted (loss)/earnings per ordinary share (pence)</w:t>
            </w:r>
          </w:p>
        </w:tc>
        <w:tc>
          <w:tcPr>
            <w:tcW w:w="2126" w:type="dxa"/>
            <w:tcBorders>
              <w:top w:val="nil"/>
              <w:left w:val="nil"/>
              <w:bottom w:val="nil"/>
              <w:right w:val="nil"/>
            </w:tcBorders>
          </w:tcPr>
          <w:p w:rsidR="001B639D" w:rsidRPr="006010C1" w:rsidRDefault="001B639D" w:rsidP="001B639D">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tcBorders>
              <w:top w:val="nil"/>
              <w:left w:val="nil"/>
              <w:bottom w:val="nil"/>
              <w:right w:val="nil"/>
            </w:tcBorders>
            <w:shd w:val="clear" w:color="auto" w:fill="auto"/>
          </w:tcPr>
          <w:p w:rsidR="001B639D" w:rsidRPr="00C77409" w:rsidRDefault="001B639D" w:rsidP="001B639D">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b/>
                <w:sz w:val="18"/>
                <w:szCs w:val="18"/>
                <w:lang w:val="en-IE"/>
              </w:rPr>
            </w:pPr>
          </w:p>
        </w:tc>
        <w:tc>
          <w:tcPr>
            <w:tcW w:w="1276" w:type="dxa"/>
            <w:tcBorders>
              <w:top w:val="nil"/>
              <w:left w:val="nil"/>
              <w:bottom w:val="nil"/>
              <w:right w:val="nil"/>
            </w:tcBorders>
          </w:tcPr>
          <w:p w:rsidR="001B639D" w:rsidRPr="006010C1" w:rsidRDefault="001B639D" w:rsidP="001B639D">
            <w:pPr>
              <w:tabs>
                <w:tab w:val="right" w:pos="5040"/>
                <w:tab w:val="left" w:pos="5400"/>
                <w:tab w:val="right" w:pos="6480"/>
                <w:tab w:val="center" w:pos="6840"/>
                <w:tab w:val="right" w:pos="7200"/>
                <w:tab w:val="right" w:pos="7920"/>
                <w:tab w:val="center" w:pos="8280"/>
                <w:tab w:val="right" w:pos="8640"/>
              </w:tabs>
              <w:spacing w:after="200"/>
              <w:jc w:val="right"/>
              <w:rPr>
                <w:rFonts w:ascii="Arial" w:hAnsi="Arial" w:cs="Arial"/>
                <w:sz w:val="18"/>
                <w:szCs w:val="18"/>
                <w:lang w:val="en-IE"/>
              </w:rPr>
            </w:pPr>
          </w:p>
        </w:tc>
      </w:tr>
      <w:tr w:rsidR="001B639D" w:rsidRPr="00040E7D" w:rsidTr="00027DF8">
        <w:trPr>
          <w:gridAfter w:val="1"/>
          <w:wAfter w:w="283" w:type="dxa"/>
          <w:trHeight w:hRule="exact" w:val="284"/>
        </w:trPr>
        <w:tc>
          <w:tcPr>
            <w:tcW w:w="6096" w:type="dxa"/>
            <w:tcBorders>
              <w:top w:val="nil"/>
              <w:left w:val="nil"/>
              <w:right w:val="nil"/>
            </w:tcBorders>
            <w:vAlign w:val="bottom"/>
          </w:tcPr>
          <w:p w:rsidR="001B639D" w:rsidRPr="005B1DE1" w:rsidRDefault="001B639D" w:rsidP="001B639D">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5B1DE1">
              <w:rPr>
                <w:rFonts w:ascii="Arial" w:hAnsi="Arial" w:cs="Arial"/>
                <w:color w:val="000000"/>
                <w:spacing w:val="-5"/>
                <w:sz w:val="18"/>
                <w:szCs w:val="18"/>
              </w:rPr>
              <w:t>From operations</w:t>
            </w:r>
          </w:p>
        </w:tc>
        <w:tc>
          <w:tcPr>
            <w:tcW w:w="2126" w:type="dxa"/>
            <w:tcBorders>
              <w:top w:val="nil"/>
              <w:left w:val="nil"/>
              <w:right w:val="nil"/>
            </w:tcBorders>
          </w:tcPr>
          <w:p w:rsidR="001B639D" w:rsidRPr="006010C1" w:rsidRDefault="001B639D" w:rsidP="001B639D">
            <w:pPr>
              <w:tabs>
                <w:tab w:val="right" w:pos="5040"/>
                <w:tab w:val="left" w:pos="5400"/>
                <w:tab w:val="right" w:pos="6480"/>
                <w:tab w:val="center" w:pos="6840"/>
                <w:tab w:val="right" w:pos="7200"/>
                <w:tab w:val="right" w:pos="7920"/>
                <w:tab w:val="center" w:pos="8280"/>
                <w:tab w:val="right" w:pos="8640"/>
              </w:tabs>
              <w:spacing w:after="200"/>
              <w:jc w:val="center"/>
              <w:rPr>
                <w:rFonts w:ascii="Arial" w:hAnsi="Arial" w:cs="Arial"/>
                <w:sz w:val="18"/>
                <w:szCs w:val="18"/>
                <w:lang w:val="en-IE"/>
              </w:rPr>
            </w:pPr>
          </w:p>
        </w:tc>
        <w:tc>
          <w:tcPr>
            <w:tcW w:w="1276" w:type="dxa"/>
            <w:gridSpan w:val="2"/>
            <w:tcBorders>
              <w:top w:val="nil"/>
              <w:left w:val="nil"/>
              <w:right w:val="nil"/>
            </w:tcBorders>
            <w:shd w:val="clear" w:color="auto" w:fill="auto"/>
          </w:tcPr>
          <w:p w:rsidR="001B639D" w:rsidRPr="00C77409" w:rsidRDefault="001B639D" w:rsidP="001B639D">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(0.32)</w:t>
            </w:r>
          </w:p>
        </w:tc>
        <w:tc>
          <w:tcPr>
            <w:tcW w:w="1276" w:type="dxa"/>
            <w:tcBorders>
              <w:top w:val="nil"/>
              <w:left w:val="nil"/>
              <w:right w:val="nil"/>
            </w:tcBorders>
          </w:tcPr>
          <w:p w:rsidR="001B639D" w:rsidRPr="006010C1" w:rsidRDefault="001B639D" w:rsidP="001B639D">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C77409">
              <w:rPr>
                <w:rFonts w:ascii="Arial" w:hAnsi="Arial" w:cs="Arial"/>
                <w:b/>
                <w:color w:val="000000"/>
                <w:spacing w:val="-5"/>
                <w:sz w:val="18"/>
                <w:szCs w:val="18"/>
              </w:rPr>
              <w:t>4.96</w:t>
            </w:r>
          </w:p>
        </w:tc>
      </w:tr>
      <w:tr w:rsidR="00064382" w:rsidRPr="00040E7D" w:rsidTr="00027DF8">
        <w:trPr>
          <w:gridAfter w:val="1"/>
          <w:wAfter w:w="283" w:type="dxa"/>
          <w:trHeight w:hRule="exact" w:val="284"/>
        </w:trPr>
        <w:tc>
          <w:tcPr>
            <w:tcW w:w="6096" w:type="dxa"/>
            <w:tcBorders>
              <w:top w:val="single" w:sz="4" w:space="0" w:color="auto"/>
              <w:left w:val="nil"/>
              <w:bottom w:val="single" w:sz="12" w:space="0" w:color="000000" w:themeColor="text1"/>
              <w:right w:val="nil"/>
            </w:tcBorders>
          </w:tcPr>
          <w:p w:rsidR="00064382" w:rsidRPr="005B1DE1" w:rsidRDefault="00064382" w:rsidP="0006438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both"/>
              <w:rPr>
                <w:rFonts w:ascii="Arial" w:hAnsi="Arial" w:cs="Arial"/>
                <w:b/>
                <w:sz w:val="18"/>
                <w:szCs w:val="18"/>
                <w:lang w:val="en-IE"/>
              </w:rPr>
            </w:pPr>
            <w:r w:rsidRPr="005B1DE1">
              <w:rPr>
                <w:rFonts w:ascii="Arial" w:hAnsi="Arial" w:cs="Arial"/>
                <w:b/>
                <w:bCs/>
                <w:color w:val="000000"/>
                <w:spacing w:val="-5"/>
                <w:sz w:val="18"/>
                <w:szCs w:val="18"/>
              </w:rPr>
              <w:t>From (loss)/profit for the financial year</w:t>
            </w:r>
          </w:p>
        </w:tc>
        <w:tc>
          <w:tcPr>
            <w:tcW w:w="2126" w:type="dxa"/>
            <w:tcBorders>
              <w:top w:val="single" w:sz="4" w:space="0" w:color="auto"/>
              <w:left w:val="nil"/>
              <w:bottom w:val="single" w:sz="12" w:space="0" w:color="000000" w:themeColor="text1"/>
              <w:right w:val="nil"/>
            </w:tcBorders>
          </w:tcPr>
          <w:p w:rsidR="00064382" w:rsidRPr="00B61833" w:rsidRDefault="00064382" w:rsidP="00064382">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center"/>
              <w:rPr>
                <w:rFonts w:ascii="Arial" w:hAnsi="Arial" w:cs="Arial"/>
                <w:sz w:val="18"/>
                <w:szCs w:val="18"/>
                <w:lang w:val="en-IE"/>
              </w:rPr>
            </w:pPr>
            <w:r w:rsidRPr="00B61833">
              <w:rPr>
                <w:rFonts w:ascii="Arial" w:hAnsi="Arial" w:cs="Arial"/>
                <w:sz w:val="18"/>
                <w:szCs w:val="18"/>
                <w:lang w:val="en-IE"/>
              </w:rPr>
              <w:t>6</w:t>
            </w:r>
          </w:p>
        </w:tc>
        <w:tc>
          <w:tcPr>
            <w:tcW w:w="1276" w:type="dxa"/>
            <w:gridSpan w:val="2"/>
            <w:tcBorders>
              <w:top w:val="single" w:sz="4" w:space="0" w:color="auto"/>
              <w:left w:val="nil"/>
              <w:bottom w:val="single" w:sz="12" w:space="0" w:color="000000" w:themeColor="text1"/>
              <w:right w:val="nil"/>
            </w:tcBorders>
            <w:shd w:val="clear" w:color="auto" w:fill="auto"/>
          </w:tcPr>
          <w:p w:rsidR="00064382" w:rsidRPr="005F086E" w:rsidRDefault="00064382" w:rsidP="00064382">
            <w:pPr>
              <w:widowControl w:val="0"/>
              <w:suppressAutoHyphens/>
              <w:autoSpaceDE w:val="0"/>
              <w:autoSpaceDN w:val="0"/>
              <w:adjustRightInd w:val="0"/>
              <w:spacing w:line="200" w:lineRule="atLeast"/>
              <w:jc w:val="right"/>
              <w:textAlignment w:val="center"/>
              <w:rPr>
                <w:rFonts w:ascii="Arial" w:hAnsi="Arial" w:cs="Arial"/>
                <w:b/>
                <w:sz w:val="18"/>
                <w:szCs w:val="18"/>
                <w:lang w:val="en-IE"/>
              </w:rPr>
            </w:pPr>
            <w:r>
              <w:rPr>
                <w:rFonts w:ascii="Arial" w:hAnsi="Arial" w:cs="Arial"/>
                <w:b/>
                <w:sz w:val="18"/>
                <w:szCs w:val="18"/>
                <w:lang w:val="en-IE"/>
              </w:rPr>
              <w:t>(0.32)</w:t>
            </w:r>
          </w:p>
        </w:tc>
        <w:tc>
          <w:tcPr>
            <w:tcW w:w="1276" w:type="dxa"/>
            <w:tcBorders>
              <w:top w:val="single" w:sz="4" w:space="0" w:color="auto"/>
              <w:left w:val="nil"/>
              <w:bottom w:val="single" w:sz="12" w:space="0" w:color="000000" w:themeColor="text1"/>
              <w:right w:val="nil"/>
            </w:tcBorders>
          </w:tcPr>
          <w:p w:rsidR="00064382" w:rsidRPr="00DC6585" w:rsidRDefault="00064382" w:rsidP="00064382">
            <w:pPr>
              <w:widowControl w:val="0"/>
              <w:suppressAutoHyphens/>
              <w:autoSpaceDE w:val="0"/>
              <w:autoSpaceDN w:val="0"/>
              <w:adjustRightInd w:val="0"/>
              <w:spacing w:line="200" w:lineRule="atLeast"/>
              <w:jc w:val="right"/>
              <w:textAlignment w:val="center"/>
              <w:rPr>
                <w:rFonts w:ascii="Arial" w:hAnsi="Arial" w:cs="Arial"/>
                <w:sz w:val="18"/>
                <w:szCs w:val="18"/>
                <w:lang w:val="en-IE"/>
              </w:rPr>
            </w:pPr>
            <w:r w:rsidRPr="005F086E">
              <w:rPr>
                <w:rFonts w:ascii="Arial" w:hAnsi="Arial" w:cs="Arial"/>
                <w:b/>
                <w:sz w:val="18"/>
                <w:szCs w:val="18"/>
                <w:lang w:val="en-IE"/>
              </w:rPr>
              <w:t>4.96</w:t>
            </w:r>
          </w:p>
        </w:tc>
      </w:tr>
    </w:tbl>
    <w:p w:rsidR="00254A2F" w:rsidRPr="006C3343" w:rsidRDefault="00254A2F" w:rsidP="00DE1C20">
      <w:pPr>
        <w:tabs>
          <w:tab w:val="right" w:pos="5387"/>
          <w:tab w:val="right" w:pos="6521"/>
          <w:tab w:val="right" w:pos="7655"/>
          <w:tab w:val="right" w:pos="8647"/>
          <w:tab w:val="right" w:pos="10065"/>
          <w:tab w:val="right" w:pos="11057"/>
          <w:tab w:val="right" w:pos="12049"/>
        </w:tabs>
        <w:spacing w:after="0" w:line="240" w:lineRule="auto"/>
        <w:jc w:val="both"/>
        <w:rPr>
          <w:rFonts w:ascii="Arial" w:hAnsi="Arial" w:cs="Arial"/>
          <w:sz w:val="20"/>
          <w:szCs w:val="20"/>
          <w:lang w:val="en-IE"/>
        </w:rPr>
      </w:pPr>
    </w:p>
    <w:p w:rsidR="003C7E5B" w:rsidRPr="006C3343" w:rsidRDefault="003C7E5B" w:rsidP="008907B5">
      <w:pPr>
        <w:pStyle w:val="Heading1"/>
        <w:spacing w:before="0"/>
        <w:rPr>
          <w:rFonts w:ascii="Arial" w:eastAsiaTheme="minorEastAsia" w:hAnsi="Arial" w:cs="Arial"/>
          <w:b w:val="0"/>
          <w:bCs w:val="0"/>
          <w:color w:val="808080" w:themeColor="background1" w:themeShade="80"/>
          <w:sz w:val="20"/>
          <w:szCs w:val="20"/>
          <w:lang w:val="en-IE"/>
        </w:rPr>
      </w:pPr>
      <w:bookmarkStart w:id="8" w:name="_Toc255821612"/>
    </w:p>
    <w:p w:rsidR="0079727F" w:rsidRPr="006C3343" w:rsidRDefault="0079727F">
      <w:pPr>
        <w:rPr>
          <w:rFonts w:ascii="Arial" w:hAnsi="Arial" w:cs="Arial"/>
          <w:color w:val="808080" w:themeColor="background1" w:themeShade="80"/>
          <w:sz w:val="20"/>
          <w:szCs w:val="20"/>
          <w:lang w:val="en-IE"/>
        </w:rPr>
      </w:pPr>
    </w:p>
    <w:p w:rsidR="00BE58A5" w:rsidRPr="006010C1" w:rsidRDefault="00E00494" w:rsidP="008907B5">
      <w:pPr>
        <w:pStyle w:val="Heading1"/>
        <w:spacing w:before="0"/>
        <w:rPr>
          <w:rFonts w:ascii="Arial" w:eastAsiaTheme="minorEastAsia" w:hAnsi="Arial" w:cs="Arial"/>
          <w:b w:val="0"/>
          <w:bCs w:val="0"/>
          <w:color w:val="808080" w:themeColor="background1" w:themeShade="80"/>
          <w:lang w:val="en-IE"/>
        </w:rPr>
      </w:pPr>
      <w:r w:rsidRPr="00E65E93">
        <w:rPr>
          <w:rFonts w:ascii="Arial" w:eastAsiaTheme="minorEastAsia" w:hAnsi="Arial" w:cs="Arial"/>
          <w:b w:val="0"/>
          <w:bCs w:val="0"/>
          <w:color w:val="808080" w:themeColor="background1" w:themeShade="80"/>
          <w:lang w:val="en-IE"/>
        </w:rPr>
        <w:t xml:space="preserve">Consolidated Statement </w:t>
      </w:r>
      <w:r w:rsidR="00CA3DE5" w:rsidRPr="00E65E93">
        <w:rPr>
          <w:rFonts w:ascii="Arial" w:eastAsiaTheme="minorEastAsia" w:hAnsi="Arial" w:cs="Arial"/>
          <w:b w:val="0"/>
          <w:bCs w:val="0"/>
          <w:color w:val="808080" w:themeColor="background1" w:themeShade="80"/>
          <w:lang w:val="en-IE"/>
        </w:rPr>
        <w:t xml:space="preserve">of </w:t>
      </w:r>
      <w:r w:rsidRPr="00E65E93">
        <w:rPr>
          <w:rFonts w:ascii="Arial" w:eastAsiaTheme="minorEastAsia" w:hAnsi="Arial" w:cs="Arial"/>
          <w:b w:val="0"/>
          <w:bCs w:val="0"/>
          <w:color w:val="808080" w:themeColor="background1" w:themeShade="80"/>
          <w:lang w:val="en-IE"/>
        </w:rPr>
        <w:t>Comprehensive Income</w:t>
      </w:r>
      <w:bookmarkEnd w:id="8"/>
    </w:p>
    <w:p w:rsidR="00254A2F" w:rsidRPr="006C3343" w:rsidRDefault="004A108E" w:rsidP="00254A2F">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4"/>
          <w:szCs w:val="24"/>
          <w:lang w:val="en-IE"/>
        </w:rPr>
      </w:pPr>
      <w:r w:rsidRPr="006C3343">
        <w:rPr>
          <w:rFonts w:ascii="Arial" w:hAnsi="Arial" w:cs="Arial"/>
          <w:b/>
          <w:color w:val="1F497D" w:themeColor="text2"/>
          <w:sz w:val="24"/>
          <w:szCs w:val="24"/>
          <w:lang w:val="en-IE"/>
        </w:rPr>
        <w:t>Year</w:t>
      </w:r>
      <w:r w:rsidR="00E00494" w:rsidRPr="006C3343">
        <w:rPr>
          <w:rFonts w:ascii="Arial" w:hAnsi="Arial" w:cs="Arial"/>
          <w:b/>
          <w:color w:val="1F497D" w:themeColor="text2"/>
          <w:sz w:val="24"/>
          <w:szCs w:val="24"/>
          <w:lang w:val="en-IE"/>
        </w:rPr>
        <w:t xml:space="preserve"> </w:t>
      </w:r>
      <w:r w:rsidR="0009454C" w:rsidRPr="006C3343">
        <w:rPr>
          <w:rFonts w:ascii="Arial" w:hAnsi="Arial" w:cs="Arial"/>
          <w:b/>
          <w:color w:val="1F497D" w:themeColor="text2"/>
          <w:sz w:val="24"/>
          <w:szCs w:val="24"/>
          <w:lang w:val="en-IE"/>
        </w:rPr>
        <w:t>e</w:t>
      </w:r>
      <w:r w:rsidR="00E00494" w:rsidRPr="006C3343">
        <w:rPr>
          <w:rFonts w:ascii="Arial" w:hAnsi="Arial" w:cs="Arial"/>
          <w:b/>
          <w:color w:val="1F497D" w:themeColor="text2"/>
          <w:sz w:val="24"/>
          <w:szCs w:val="24"/>
          <w:lang w:val="en-IE"/>
        </w:rPr>
        <w:t xml:space="preserve">nded 31 December </w:t>
      </w:r>
      <w:r w:rsidR="0079727F" w:rsidRPr="006C3343">
        <w:rPr>
          <w:rFonts w:ascii="Arial" w:hAnsi="Arial" w:cs="Arial"/>
          <w:b/>
          <w:color w:val="1F497D" w:themeColor="text2"/>
          <w:sz w:val="24"/>
          <w:szCs w:val="24"/>
          <w:lang w:val="en-IE"/>
        </w:rPr>
        <w:t>201</w:t>
      </w:r>
      <w:r w:rsidR="006D2B39">
        <w:rPr>
          <w:rFonts w:ascii="Arial" w:hAnsi="Arial" w:cs="Arial"/>
          <w:b/>
          <w:color w:val="1F497D" w:themeColor="text2"/>
          <w:sz w:val="24"/>
          <w:szCs w:val="24"/>
          <w:lang w:val="en-IE"/>
        </w:rPr>
        <w:t>7</w:t>
      </w:r>
    </w:p>
    <w:p w:rsidR="004274F6" w:rsidRPr="006C3343" w:rsidRDefault="004274F6" w:rsidP="00254A2F">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0"/>
          <w:szCs w:val="20"/>
          <w:lang w:val="en-IE"/>
        </w:rPr>
      </w:pPr>
    </w:p>
    <w:p w:rsidR="004274F6" w:rsidRPr="006C3343" w:rsidRDefault="004274F6" w:rsidP="00254A2F">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0"/>
          <w:szCs w:val="20"/>
          <w:lang w:val="en-IE"/>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851"/>
        <w:gridCol w:w="1417"/>
        <w:gridCol w:w="1276"/>
      </w:tblGrid>
      <w:tr w:rsidR="00552873" w:rsidRPr="002F4B11" w:rsidTr="00027DF8">
        <w:trPr>
          <w:trHeight w:hRule="exact" w:val="183"/>
        </w:trPr>
        <w:tc>
          <w:tcPr>
            <w:tcW w:w="7371" w:type="dxa"/>
            <w:vAlign w:val="center"/>
          </w:tcPr>
          <w:p w:rsidR="00442945" w:rsidRPr="006010C1" w:rsidRDefault="00442945" w:rsidP="00EC46E6">
            <w:pPr>
              <w:tabs>
                <w:tab w:val="right" w:pos="5040"/>
                <w:tab w:val="left" w:pos="5400"/>
                <w:tab w:val="right" w:pos="6480"/>
                <w:tab w:val="center" w:pos="6840"/>
                <w:tab w:val="right" w:pos="7200"/>
                <w:tab w:val="right" w:pos="7920"/>
                <w:tab w:val="center" w:pos="8280"/>
                <w:tab w:val="right" w:pos="8640"/>
              </w:tabs>
              <w:spacing w:after="200" w:line="276" w:lineRule="auto"/>
              <w:jc w:val="both"/>
              <w:rPr>
                <w:rFonts w:ascii="Arial" w:hAnsi="Arial" w:cs="Arial"/>
                <w:color w:val="1F497D" w:themeColor="text2"/>
                <w:sz w:val="18"/>
                <w:szCs w:val="18"/>
                <w:lang w:val="en-IE"/>
              </w:rPr>
            </w:pPr>
          </w:p>
        </w:tc>
        <w:tc>
          <w:tcPr>
            <w:tcW w:w="851" w:type="dxa"/>
            <w:vAlign w:val="center"/>
          </w:tcPr>
          <w:p w:rsidR="00442945" w:rsidRPr="006010C1" w:rsidRDefault="00442945" w:rsidP="00EC46E6">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
                <w:color w:val="1F497D" w:themeColor="text2"/>
                <w:sz w:val="18"/>
                <w:szCs w:val="18"/>
                <w:lang w:val="en-IE"/>
              </w:rPr>
            </w:pPr>
          </w:p>
        </w:tc>
        <w:tc>
          <w:tcPr>
            <w:tcW w:w="1417" w:type="dxa"/>
            <w:shd w:val="clear" w:color="auto" w:fill="auto"/>
            <w:vAlign w:val="center"/>
          </w:tcPr>
          <w:p w:rsidR="00883930" w:rsidRPr="006010C1" w:rsidRDefault="005E11D6" w:rsidP="0079727F">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color w:val="1F497D" w:themeColor="text2"/>
                <w:sz w:val="18"/>
                <w:szCs w:val="18"/>
                <w:lang w:val="en-IE"/>
              </w:rPr>
            </w:pPr>
            <w:r w:rsidRPr="006010C1">
              <w:rPr>
                <w:rFonts w:ascii="Arial" w:hAnsi="Arial" w:cs="Arial"/>
                <w:b/>
                <w:bCs/>
                <w:color w:val="1F497D" w:themeColor="text2"/>
                <w:sz w:val="18"/>
                <w:szCs w:val="18"/>
                <w:lang w:val="en-IE"/>
              </w:rPr>
              <w:t>201</w:t>
            </w:r>
            <w:r w:rsidR="006D2B39">
              <w:rPr>
                <w:rFonts w:ascii="Arial" w:hAnsi="Arial" w:cs="Arial"/>
                <w:b/>
                <w:bCs/>
                <w:color w:val="1F497D" w:themeColor="text2"/>
                <w:sz w:val="18"/>
                <w:szCs w:val="18"/>
                <w:lang w:val="en-IE"/>
              </w:rPr>
              <w:t>7</w:t>
            </w:r>
          </w:p>
        </w:tc>
        <w:tc>
          <w:tcPr>
            <w:tcW w:w="1276" w:type="dxa"/>
            <w:vAlign w:val="center"/>
          </w:tcPr>
          <w:p w:rsidR="00883930" w:rsidRPr="006010C1" w:rsidRDefault="005E11D6" w:rsidP="0079727F">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color w:val="1F497D" w:themeColor="text2"/>
                <w:sz w:val="18"/>
                <w:szCs w:val="18"/>
                <w:lang w:val="en-IE"/>
              </w:rPr>
            </w:pPr>
            <w:r w:rsidRPr="006010C1">
              <w:rPr>
                <w:rFonts w:ascii="Arial" w:hAnsi="Arial" w:cs="Arial"/>
                <w:bCs/>
                <w:color w:val="1F497D" w:themeColor="text2"/>
                <w:sz w:val="18"/>
                <w:szCs w:val="18"/>
                <w:lang w:val="en-IE"/>
              </w:rPr>
              <w:t>201</w:t>
            </w:r>
            <w:r w:rsidR="006D2B39">
              <w:rPr>
                <w:rFonts w:ascii="Arial" w:hAnsi="Arial" w:cs="Arial"/>
                <w:bCs/>
                <w:color w:val="1F497D" w:themeColor="text2"/>
                <w:sz w:val="18"/>
                <w:szCs w:val="18"/>
                <w:lang w:val="en-IE"/>
              </w:rPr>
              <w:t>6</w:t>
            </w:r>
          </w:p>
        </w:tc>
      </w:tr>
      <w:tr w:rsidR="008D1B1B" w:rsidRPr="002F4B11" w:rsidTr="00027DF8">
        <w:trPr>
          <w:trHeight w:hRule="exact" w:val="426"/>
        </w:trPr>
        <w:tc>
          <w:tcPr>
            <w:tcW w:w="7371" w:type="dxa"/>
            <w:vAlign w:val="center"/>
          </w:tcPr>
          <w:p w:rsidR="008D1B1B" w:rsidRPr="006010C1" w:rsidRDefault="008D1B1B" w:rsidP="00EC46E6">
            <w:pPr>
              <w:tabs>
                <w:tab w:val="right" w:pos="5040"/>
                <w:tab w:val="left" w:pos="5400"/>
                <w:tab w:val="right" w:pos="6480"/>
                <w:tab w:val="center" w:pos="6840"/>
                <w:tab w:val="right" w:pos="7200"/>
                <w:tab w:val="right" w:pos="7920"/>
                <w:tab w:val="center" w:pos="8280"/>
                <w:tab w:val="right" w:pos="8640"/>
              </w:tabs>
              <w:jc w:val="both"/>
              <w:rPr>
                <w:rFonts w:ascii="Arial" w:hAnsi="Arial" w:cs="Arial"/>
                <w:color w:val="1F497D" w:themeColor="text2"/>
                <w:sz w:val="18"/>
                <w:szCs w:val="18"/>
                <w:lang w:val="en-IE"/>
              </w:rPr>
            </w:pPr>
          </w:p>
        </w:tc>
        <w:tc>
          <w:tcPr>
            <w:tcW w:w="851" w:type="dxa"/>
            <w:vAlign w:val="center"/>
          </w:tcPr>
          <w:p w:rsidR="008D1B1B" w:rsidRPr="006010C1" w:rsidRDefault="008D1B1B" w:rsidP="00EC46E6">
            <w:pPr>
              <w:tabs>
                <w:tab w:val="right" w:pos="5040"/>
                <w:tab w:val="left" w:pos="5400"/>
                <w:tab w:val="right" w:pos="6480"/>
                <w:tab w:val="center" w:pos="6840"/>
                <w:tab w:val="right" w:pos="7200"/>
                <w:tab w:val="right" w:pos="7920"/>
                <w:tab w:val="center" w:pos="8280"/>
                <w:tab w:val="right" w:pos="8640"/>
              </w:tabs>
              <w:jc w:val="right"/>
              <w:rPr>
                <w:rFonts w:ascii="Arial" w:hAnsi="Arial" w:cs="Arial"/>
                <w:b/>
                <w:color w:val="1F497D" w:themeColor="text2"/>
                <w:sz w:val="18"/>
                <w:szCs w:val="18"/>
                <w:lang w:val="en-IE"/>
              </w:rPr>
            </w:pPr>
          </w:p>
        </w:tc>
        <w:tc>
          <w:tcPr>
            <w:tcW w:w="1417" w:type="dxa"/>
            <w:shd w:val="clear" w:color="auto" w:fill="auto"/>
            <w:vAlign w:val="center"/>
          </w:tcPr>
          <w:p w:rsidR="008D1B1B" w:rsidRPr="006010C1" w:rsidRDefault="00614864">
            <w:pPr>
              <w:tabs>
                <w:tab w:val="right" w:pos="5040"/>
                <w:tab w:val="left" w:pos="5400"/>
                <w:tab w:val="right" w:pos="6480"/>
                <w:tab w:val="center" w:pos="6840"/>
                <w:tab w:val="right" w:pos="7200"/>
                <w:tab w:val="right" w:pos="7920"/>
                <w:tab w:val="center" w:pos="8280"/>
                <w:tab w:val="right" w:pos="8640"/>
              </w:tabs>
              <w:jc w:val="right"/>
              <w:rPr>
                <w:rFonts w:ascii="Arial" w:hAnsi="Arial" w:cs="Arial"/>
                <w:b/>
                <w:bCs/>
                <w:color w:val="1F497D" w:themeColor="text2"/>
                <w:sz w:val="18"/>
                <w:szCs w:val="18"/>
                <w:lang w:val="en-IE"/>
              </w:rPr>
            </w:pPr>
            <w:r w:rsidRPr="006010C1">
              <w:rPr>
                <w:rFonts w:ascii="Arial" w:hAnsi="Arial" w:cs="Arial"/>
                <w:b/>
                <w:color w:val="1F497D" w:themeColor="text2"/>
                <w:sz w:val="18"/>
                <w:szCs w:val="18"/>
                <w:lang w:val="en-IE"/>
              </w:rPr>
              <w:t>£’000</w:t>
            </w:r>
          </w:p>
        </w:tc>
        <w:tc>
          <w:tcPr>
            <w:tcW w:w="1276" w:type="dxa"/>
            <w:vAlign w:val="center"/>
          </w:tcPr>
          <w:p w:rsidR="008D1B1B" w:rsidRPr="006010C1" w:rsidRDefault="00614864">
            <w:pPr>
              <w:tabs>
                <w:tab w:val="right" w:pos="5040"/>
                <w:tab w:val="left" w:pos="5400"/>
                <w:tab w:val="right" w:pos="6480"/>
                <w:tab w:val="center" w:pos="6840"/>
                <w:tab w:val="right" w:pos="7200"/>
                <w:tab w:val="right" w:pos="7920"/>
                <w:tab w:val="center" w:pos="8280"/>
                <w:tab w:val="right" w:pos="8640"/>
              </w:tabs>
              <w:jc w:val="right"/>
              <w:rPr>
                <w:rFonts w:ascii="Arial" w:hAnsi="Arial" w:cs="Arial"/>
                <w:bCs/>
                <w:color w:val="1F497D" w:themeColor="text2"/>
                <w:sz w:val="18"/>
                <w:szCs w:val="18"/>
                <w:lang w:val="en-IE"/>
              </w:rPr>
            </w:pPr>
            <w:r w:rsidRPr="006010C1">
              <w:rPr>
                <w:rFonts w:ascii="Arial" w:hAnsi="Arial" w:cs="Arial"/>
                <w:color w:val="1F497D" w:themeColor="text2"/>
                <w:sz w:val="18"/>
                <w:szCs w:val="18"/>
                <w:lang w:val="en-IE"/>
              </w:rPr>
              <w:t>£’000</w:t>
            </w:r>
          </w:p>
        </w:tc>
      </w:tr>
      <w:tr w:rsidR="00442945" w:rsidRPr="002F4B11" w:rsidTr="00027DF8">
        <w:trPr>
          <w:trHeight w:hRule="exact" w:val="284"/>
        </w:trPr>
        <w:tc>
          <w:tcPr>
            <w:tcW w:w="7371" w:type="dxa"/>
          </w:tcPr>
          <w:p w:rsidR="00442945" w:rsidRPr="006010C1" w:rsidRDefault="00442945" w:rsidP="00EC46E6">
            <w:pPr>
              <w:tabs>
                <w:tab w:val="right" w:pos="5040"/>
                <w:tab w:val="left" w:pos="5400"/>
                <w:tab w:val="right" w:pos="6480"/>
                <w:tab w:val="center" w:pos="6840"/>
                <w:tab w:val="right" w:pos="7200"/>
                <w:tab w:val="right" w:pos="7920"/>
                <w:tab w:val="center" w:pos="8280"/>
                <w:tab w:val="right" w:pos="8640"/>
              </w:tabs>
              <w:spacing w:after="200" w:line="276" w:lineRule="auto"/>
              <w:jc w:val="both"/>
              <w:rPr>
                <w:rFonts w:ascii="Arial" w:hAnsi="Arial" w:cs="Arial"/>
                <w:sz w:val="18"/>
                <w:szCs w:val="18"/>
                <w:lang w:val="en-IE"/>
              </w:rPr>
            </w:pPr>
          </w:p>
        </w:tc>
        <w:tc>
          <w:tcPr>
            <w:tcW w:w="851" w:type="dxa"/>
          </w:tcPr>
          <w:p w:rsidR="00442945" w:rsidRPr="006010C1" w:rsidRDefault="00442945" w:rsidP="00EC46E6">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417" w:type="dxa"/>
            <w:shd w:val="clear" w:color="auto" w:fill="auto"/>
          </w:tcPr>
          <w:p w:rsidR="00442945" w:rsidRPr="006010C1" w:rsidRDefault="00442945" w:rsidP="00EC46E6">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
                <w:sz w:val="18"/>
                <w:szCs w:val="18"/>
                <w:lang w:val="en-IE"/>
              </w:rPr>
            </w:pPr>
          </w:p>
        </w:tc>
        <w:tc>
          <w:tcPr>
            <w:tcW w:w="1276" w:type="dxa"/>
          </w:tcPr>
          <w:p w:rsidR="00442945" w:rsidRPr="006010C1" w:rsidRDefault="00442945" w:rsidP="007B122E">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
                <w:sz w:val="18"/>
                <w:szCs w:val="18"/>
                <w:lang w:val="en-IE"/>
              </w:rPr>
            </w:pPr>
          </w:p>
        </w:tc>
      </w:tr>
      <w:tr w:rsidR="006D2B39" w:rsidRPr="002F4B11" w:rsidTr="00027DF8">
        <w:trPr>
          <w:trHeight w:hRule="exact" w:val="284"/>
        </w:trPr>
        <w:tc>
          <w:tcPr>
            <w:tcW w:w="7371" w:type="dxa"/>
          </w:tcPr>
          <w:p w:rsidR="006D2B39" w:rsidRPr="006010C1" w:rsidRDefault="0015742A"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line="276" w:lineRule="auto"/>
              <w:jc w:val="both"/>
              <w:rPr>
                <w:rFonts w:ascii="Arial" w:hAnsi="Arial" w:cs="Arial"/>
                <w:sz w:val="18"/>
                <w:szCs w:val="18"/>
                <w:lang w:val="en-IE"/>
              </w:rPr>
            </w:pPr>
            <w:r>
              <w:rPr>
                <w:rFonts w:ascii="Arial" w:hAnsi="Arial" w:cs="Arial"/>
                <w:sz w:val="18"/>
                <w:szCs w:val="18"/>
                <w:lang w:val="en-IE"/>
              </w:rPr>
              <w:t>(Loss)/p</w:t>
            </w:r>
            <w:r w:rsidR="006D2B39" w:rsidRPr="006010C1">
              <w:rPr>
                <w:rFonts w:ascii="Arial" w:hAnsi="Arial" w:cs="Arial"/>
                <w:sz w:val="18"/>
                <w:szCs w:val="18"/>
                <w:lang w:val="en-IE"/>
              </w:rPr>
              <w:t xml:space="preserve">rofit for the financial year </w:t>
            </w:r>
          </w:p>
        </w:tc>
        <w:tc>
          <w:tcPr>
            <w:tcW w:w="851" w:type="dxa"/>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417" w:type="dxa"/>
            <w:shd w:val="clear" w:color="auto" w:fill="auto"/>
          </w:tcPr>
          <w:p w:rsidR="006D2B39" w:rsidRPr="006010C1" w:rsidRDefault="006D2B39" w:rsidP="006D2B3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(338)</w:t>
            </w:r>
          </w:p>
        </w:tc>
        <w:tc>
          <w:tcPr>
            <w:tcW w:w="1276" w:type="dxa"/>
          </w:tcPr>
          <w:p w:rsidR="006D2B39" w:rsidRPr="006010C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6010C1">
              <w:rPr>
                <w:rFonts w:ascii="Arial" w:hAnsi="Arial" w:cs="Arial"/>
                <w:b/>
                <w:color w:val="000000"/>
                <w:spacing w:val="-5"/>
                <w:sz w:val="18"/>
                <w:szCs w:val="18"/>
              </w:rPr>
              <w:t>5,250</w:t>
            </w: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both"/>
              <w:rPr>
                <w:rFonts w:ascii="Arial" w:hAnsi="Arial" w:cs="Arial"/>
                <w:sz w:val="18"/>
                <w:szCs w:val="18"/>
                <w:lang w:val="en-IE"/>
              </w:rPr>
            </w:pP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
                <w:sz w:val="18"/>
                <w:szCs w:val="18"/>
                <w:lang w:val="en-IE"/>
              </w:rPr>
            </w:pP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line="201" w:lineRule="atLeast"/>
              <w:jc w:val="both"/>
              <w:rPr>
                <w:rFonts w:ascii="Arial" w:hAnsi="Arial" w:cs="Arial"/>
                <w:b/>
                <w:sz w:val="18"/>
                <w:szCs w:val="18"/>
                <w:lang w:val="en-IE"/>
              </w:rPr>
            </w:pPr>
            <w:r w:rsidRPr="006010C1">
              <w:rPr>
                <w:rFonts w:ascii="Arial" w:hAnsi="Arial" w:cs="Arial"/>
                <w:b/>
                <w:sz w:val="18"/>
                <w:szCs w:val="18"/>
                <w:lang w:val="en-IE"/>
              </w:rPr>
              <w:t>Other comprehensive income:</w:t>
            </w: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both"/>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both"/>
              <w:rPr>
                <w:rFonts w:ascii="Arial" w:hAnsi="Arial" w:cs="Arial"/>
                <w:sz w:val="18"/>
                <w:szCs w:val="18"/>
                <w:lang w:val="en-IE"/>
              </w:rPr>
            </w:pP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both"/>
              <w:rPr>
                <w:rFonts w:ascii="Arial" w:hAnsi="Arial" w:cs="Arial"/>
                <w:b/>
                <w:i/>
                <w:sz w:val="18"/>
                <w:szCs w:val="18"/>
                <w:lang w:val="en-IE"/>
              </w:rPr>
            </w:pPr>
            <w:r w:rsidRPr="006010C1">
              <w:rPr>
                <w:rFonts w:ascii="Arial" w:hAnsi="Arial" w:cs="Arial"/>
                <w:b/>
                <w:i/>
                <w:sz w:val="18"/>
                <w:szCs w:val="18"/>
                <w:lang w:val="en-IE"/>
              </w:rPr>
              <w:t>Items that may be reclassified subsequently to profit or loss:</w:t>
            </w: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
                <w:sz w:val="18"/>
                <w:szCs w:val="18"/>
                <w:lang w:val="en-IE"/>
              </w:rPr>
            </w:pP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 xml:space="preserve">Exchange differences on translation of foreign currency operations </w:t>
            </w: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b/>
                <w:sz w:val="18"/>
                <w:szCs w:val="18"/>
                <w:lang w:val="en-IE"/>
              </w:rPr>
            </w:pPr>
            <w:r>
              <w:rPr>
                <w:rFonts w:ascii="Arial" w:hAnsi="Arial" w:cs="Arial"/>
                <w:b/>
                <w:sz w:val="18"/>
                <w:szCs w:val="18"/>
                <w:lang w:val="en-IE"/>
              </w:rPr>
              <w:t>143</w:t>
            </w: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sz w:val="18"/>
                <w:szCs w:val="18"/>
                <w:lang w:val="en-IE"/>
              </w:rPr>
            </w:pPr>
            <w:r w:rsidRPr="006010C1">
              <w:rPr>
                <w:rFonts w:ascii="Arial" w:hAnsi="Arial" w:cs="Arial"/>
                <w:b/>
                <w:sz w:val="18"/>
                <w:szCs w:val="18"/>
                <w:lang w:val="en-IE"/>
              </w:rPr>
              <w:t>419</w:t>
            </w: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Reclassification of exchange reserve upon strike off of subsidiaries</w:t>
            </w: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b/>
                <w:sz w:val="18"/>
                <w:szCs w:val="18"/>
                <w:lang w:val="en-IE"/>
              </w:rPr>
            </w:pPr>
            <w:r>
              <w:rPr>
                <w:rFonts w:ascii="Arial" w:hAnsi="Arial" w:cs="Arial"/>
                <w:b/>
                <w:sz w:val="18"/>
                <w:szCs w:val="18"/>
                <w:lang w:val="en-IE"/>
              </w:rPr>
              <w:t>-</w:t>
            </w: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sz w:val="18"/>
                <w:szCs w:val="18"/>
                <w:lang w:val="en-IE"/>
              </w:rPr>
            </w:pPr>
            <w:r w:rsidRPr="006010C1">
              <w:rPr>
                <w:rFonts w:ascii="Arial" w:hAnsi="Arial" w:cs="Arial"/>
                <w:b/>
                <w:sz w:val="18"/>
                <w:szCs w:val="18"/>
                <w:lang w:val="en-IE"/>
              </w:rPr>
              <w:t>(516)</w:t>
            </w: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both"/>
              <w:rPr>
                <w:rFonts w:ascii="Arial" w:hAnsi="Arial" w:cs="Arial"/>
                <w:sz w:val="18"/>
                <w:szCs w:val="18"/>
                <w:lang w:val="en-IE"/>
              </w:rPr>
            </w:pP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b/>
                <w:sz w:val="18"/>
                <w:szCs w:val="18"/>
                <w:lang w:val="en-IE"/>
              </w:rPr>
            </w:pP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sz w:val="18"/>
                <w:szCs w:val="18"/>
                <w:lang w:val="en-IE"/>
              </w:rPr>
            </w:pP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both"/>
              <w:rPr>
                <w:rFonts w:ascii="Arial" w:hAnsi="Arial" w:cs="Arial"/>
                <w:b/>
                <w:i/>
                <w:sz w:val="18"/>
                <w:szCs w:val="18"/>
                <w:lang w:val="en-IE"/>
              </w:rPr>
            </w:pPr>
            <w:r w:rsidRPr="006010C1">
              <w:rPr>
                <w:rFonts w:ascii="Arial" w:hAnsi="Arial" w:cs="Arial"/>
                <w:b/>
                <w:i/>
                <w:sz w:val="18"/>
                <w:szCs w:val="18"/>
                <w:lang w:val="en-IE"/>
              </w:rPr>
              <w:t>Items reclassified to profit or loss:</w:t>
            </w: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b/>
                <w:sz w:val="18"/>
                <w:szCs w:val="18"/>
                <w:lang w:val="en-IE"/>
              </w:rPr>
            </w:pP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sz w:val="18"/>
                <w:szCs w:val="18"/>
                <w:lang w:val="en-IE"/>
              </w:rPr>
            </w:pP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both"/>
              <w:rPr>
                <w:rFonts w:ascii="Arial" w:hAnsi="Arial" w:cs="Arial"/>
                <w:sz w:val="18"/>
                <w:szCs w:val="18"/>
                <w:lang w:val="en-IE"/>
              </w:rPr>
            </w:pPr>
            <w:r w:rsidRPr="006010C1">
              <w:rPr>
                <w:rFonts w:ascii="Arial" w:hAnsi="Arial" w:cs="Arial"/>
                <w:sz w:val="18"/>
                <w:szCs w:val="18"/>
                <w:lang w:val="en-IE"/>
              </w:rPr>
              <w:t>Recycled to the Consolidated Income Statement on disposal of subsidiaries</w:t>
            </w: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jc w:val="right"/>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b/>
                <w:sz w:val="18"/>
                <w:szCs w:val="18"/>
                <w:lang w:val="en-IE"/>
              </w:rPr>
            </w:pPr>
            <w:r>
              <w:rPr>
                <w:rFonts w:ascii="Arial" w:hAnsi="Arial" w:cs="Arial"/>
                <w:b/>
                <w:sz w:val="18"/>
                <w:szCs w:val="18"/>
                <w:lang w:val="en-IE"/>
              </w:rPr>
              <w:t>-</w:t>
            </w: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sz w:val="18"/>
                <w:szCs w:val="18"/>
                <w:lang w:val="en-IE"/>
              </w:rPr>
            </w:pPr>
            <w:r w:rsidRPr="006010C1">
              <w:rPr>
                <w:rFonts w:ascii="Arial" w:hAnsi="Arial" w:cs="Arial"/>
                <w:b/>
                <w:sz w:val="18"/>
                <w:szCs w:val="18"/>
                <w:lang w:val="en-IE"/>
              </w:rPr>
              <w:t>(48)</w:t>
            </w:r>
          </w:p>
        </w:tc>
      </w:tr>
      <w:tr w:rsidR="006D2B39" w:rsidRPr="002F4B11" w:rsidTr="00027DF8">
        <w:trPr>
          <w:trHeight w:hRule="exact" w:val="284"/>
        </w:trPr>
        <w:tc>
          <w:tcPr>
            <w:tcW w:w="737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both"/>
              <w:rPr>
                <w:rFonts w:ascii="Arial" w:hAnsi="Arial" w:cs="Arial"/>
                <w:sz w:val="18"/>
                <w:szCs w:val="18"/>
                <w:lang w:val="en-IE"/>
              </w:rPr>
            </w:pPr>
          </w:p>
        </w:tc>
        <w:tc>
          <w:tcPr>
            <w:tcW w:w="851"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jc w:val="right"/>
              <w:rPr>
                <w:rFonts w:ascii="Arial" w:hAnsi="Arial" w:cs="Arial"/>
                <w:sz w:val="18"/>
                <w:szCs w:val="18"/>
                <w:lang w:val="en-IE"/>
              </w:rPr>
            </w:pPr>
          </w:p>
        </w:tc>
        <w:tc>
          <w:tcPr>
            <w:tcW w:w="1417" w:type="dxa"/>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b/>
                <w:sz w:val="18"/>
                <w:szCs w:val="18"/>
                <w:lang w:val="en-IE"/>
              </w:rPr>
            </w:pPr>
          </w:p>
        </w:tc>
        <w:tc>
          <w:tcPr>
            <w:tcW w:w="1276" w:type="dxa"/>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line="201" w:lineRule="atLeast"/>
              <w:jc w:val="right"/>
              <w:rPr>
                <w:rFonts w:ascii="Arial" w:hAnsi="Arial" w:cs="Arial"/>
                <w:sz w:val="18"/>
                <w:szCs w:val="18"/>
                <w:lang w:val="en-IE"/>
              </w:rPr>
            </w:pPr>
          </w:p>
        </w:tc>
      </w:tr>
      <w:tr w:rsidR="006D2B39" w:rsidRPr="002F4B11" w:rsidTr="00027DF8">
        <w:trPr>
          <w:trHeight w:hRule="exact" w:val="284"/>
        </w:trPr>
        <w:tc>
          <w:tcPr>
            <w:tcW w:w="7371" w:type="dxa"/>
            <w:tcBorders>
              <w:top w:val="single" w:sz="4" w:space="0" w:color="auto"/>
              <w:bottom w:val="single" w:sz="4" w:space="0" w:color="auto"/>
            </w:tcBorders>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line="201" w:lineRule="atLeast"/>
              <w:jc w:val="both"/>
              <w:rPr>
                <w:rFonts w:ascii="Arial" w:hAnsi="Arial" w:cs="Arial"/>
                <w:sz w:val="18"/>
                <w:szCs w:val="18"/>
                <w:lang w:val="en-IE"/>
              </w:rPr>
            </w:pPr>
            <w:r w:rsidRPr="006010C1">
              <w:rPr>
                <w:rFonts w:ascii="Arial" w:hAnsi="Arial" w:cs="Arial"/>
                <w:sz w:val="18"/>
                <w:szCs w:val="18"/>
                <w:lang w:val="en-IE"/>
              </w:rPr>
              <w:t>Other comprehensive income</w:t>
            </w:r>
            <w:r w:rsidR="0015742A">
              <w:rPr>
                <w:rFonts w:ascii="Arial" w:hAnsi="Arial" w:cs="Arial"/>
                <w:sz w:val="18"/>
                <w:szCs w:val="18"/>
                <w:lang w:val="en-IE"/>
              </w:rPr>
              <w:t>/(loss)</w:t>
            </w:r>
          </w:p>
        </w:tc>
        <w:tc>
          <w:tcPr>
            <w:tcW w:w="851" w:type="dxa"/>
            <w:tcBorders>
              <w:top w:val="single" w:sz="4" w:space="0" w:color="auto"/>
              <w:bottom w:val="single" w:sz="4" w:space="0" w:color="auto"/>
            </w:tcBorders>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417" w:type="dxa"/>
            <w:tcBorders>
              <w:top w:val="single" w:sz="4" w:space="0" w:color="auto"/>
              <w:bottom w:val="single" w:sz="4" w:space="0" w:color="auto"/>
            </w:tcBorders>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line="276" w:lineRule="auto"/>
              <w:jc w:val="right"/>
              <w:rPr>
                <w:rFonts w:ascii="Arial" w:hAnsi="Arial" w:cs="Arial"/>
                <w:b/>
                <w:sz w:val="18"/>
                <w:szCs w:val="18"/>
                <w:lang w:val="en-IE"/>
              </w:rPr>
            </w:pPr>
            <w:r>
              <w:rPr>
                <w:rFonts w:ascii="Arial" w:hAnsi="Arial" w:cs="Arial"/>
                <w:b/>
                <w:sz w:val="18"/>
                <w:szCs w:val="18"/>
                <w:lang w:val="en-IE"/>
              </w:rPr>
              <w:t>143</w:t>
            </w:r>
          </w:p>
        </w:tc>
        <w:tc>
          <w:tcPr>
            <w:tcW w:w="1276" w:type="dxa"/>
            <w:tcBorders>
              <w:top w:val="single" w:sz="4" w:space="0" w:color="auto"/>
              <w:bottom w:val="single" w:sz="4" w:space="0" w:color="auto"/>
            </w:tcBorders>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line="276" w:lineRule="auto"/>
              <w:jc w:val="right"/>
              <w:rPr>
                <w:rFonts w:ascii="Arial" w:hAnsi="Arial" w:cs="Arial"/>
                <w:sz w:val="18"/>
                <w:szCs w:val="18"/>
                <w:lang w:val="en-IE"/>
              </w:rPr>
            </w:pPr>
            <w:r w:rsidRPr="006010C1">
              <w:rPr>
                <w:rFonts w:ascii="Arial" w:hAnsi="Arial" w:cs="Arial"/>
                <w:b/>
                <w:sz w:val="18"/>
                <w:szCs w:val="18"/>
                <w:lang w:val="en-IE"/>
              </w:rPr>
              <w:t>(145)</w:t>
            </w:r>
          </w:p>
        </w:tc>
      </w:tr>
      <w:tr w:rsidR="006D2B39" w:rsidRPr="002F4B11" w:rsidTr="00027DF8">
        <w:trPr>
          <w:trHeight w:hRule="exact" w:val="284"/>
        </w:trPr>
        <w:tc>
          <w:tcPr>
            <w:tcW w:w="7371" w:type="dxa"/>
            <w:tcBorders>
              <w:top w:val="single" w:sz="4" w:space="0" w:color="auto"/>
              <w:bottom w:val="single" w:sz="12" w:space="0" w:color="auto"/>
            </w:tcBorders>
            <w:noWrap/>
            <w:vAlign w:val="center"/>
          </w:tcPr>
          <w:p w:rsidR="006D2B39" w:rsidRPr="006010C1" w:rsidRDefault="006D2B39" w:rsidP="006D2B39">
            <w:pPr>
              <w:tabs>
                <w:tab w:val="left" w:pos="4069"/>
              </w:tabs>
              <w:autoSpaceDE w:val="0"/>
              <w:autoSpaceDN w:val="0"/>
              <w:adjustRightInd w:val="0"/>
              <w:spacing w:after="200" w:line="276" w:lineRule="auto"/>
              <w:jc w:val="both"/>
              <w:rPr>
                <w:rFonts w:ascii="Arial" w:hAnsi="Arial" w:cs="Arial"/>
                <w:b/>
                <w:sz w:val="18"/>
                <w:szCs w:val="18"/>
                <w:lang w:val="en-IE"/>
              </w:rPr>
            </w:pPr>
            <w:r w:rsidRPr="006010C1">
              <w:rPr>
                <w:rFonts w:ascii="Arial" w:hAnsi="Arial" w:cs="Arial"/>
                <w:b/>
                <w:sz w:val="18"/>
                <w:szCs w:val="18"/>
                <w:lang w:val="en-IE"/>
              </w:rPr>
              <w:t xml:space="preserve">Total comprehensive </w:t>
            </w:r>
            <w:r w:rsidR="0015742A">
              <w:rPr>
                <w:rFonts w:ascii="Arial" w:hAnsi="Arial" w:cs="Arial"/>
                <w:b/>
                <w:sz w:val="18"/>
                <w:szCs w:val="18"/>
                <w:lang w:val="en-IE"/>
              </w:rPr>
              <w:t>(loss)/</w:t>
            </w:r>
            <w:r w:rsidRPr="006010C1">
              <w:rPr>
                <w:rFonts w:ascii="Arial" w:hAnsi="Arial" w:cs="Arial"/>
                <w:b/>
                <w:sz w:val="18"/>
                <w:szCs w:val="18"/>
                <w:lang w:val="en-IE"/>
              </w:rPr>
              <w:t>income for the financial year</w:t>
            </w:r>
          </w:p>
        </w:tc>
        <w:tc>
          <w:tcPr>
            <w:tcW w:w="851" w:type="dxa"/>
            <w:tcBorders>
              <w:top w:val="single" w:sz="4" w:space="0" w:color="auto"/>
              <w:bottom w:val="single" w:sz="12" w:space="0" w:color="auto"/>
            </w:tcBorders>
            <w:noWrap/>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417" w:type="dxa"/>
            <w:tcBorders>
              <w:top w:val="single" w:sz="4" w:space="0" w:color="auto"/>
              <w:bottom w:val="single" w:sz="12" w:space="0" w:color="auto"/>
            </w:tcBorders>
            <w:shd w:val="clear" w:color="auto" w:fill="auto"/>
            <w:noWrap/>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line="276" w:lineRule="auto"/>
              <w:jc w:val="right"/>
              <w:rPr>
                <w:rFonts w:ascii="Arial" w:hAnsi="Arial" w:cs="Arial"/>
                <w:b/>
                <w:sz w:val="18"/>
                <w:szCs w:val="18"/>
                <w:lang w:val="en-IE"/>
              </w:rPr>
            </w:pPr>
            <w:r>
              <w:rPr>
                <w:rFonts w:ascii="Arial" w:hAnsi="Arial" w:cs="Arial"/>
                <w:b/>
                <w:sz w:val="18"/>
                <w:szCs w:val="18"/>
                <w:lang w:val="en-IE"/>
              </w:rPr>
              <w:t>(195)</w:t>
            </w:r>
          </w:p>
        </w:tc>
        <w:tc>
          <w:tcPr>
            <w:tcW w:w="1276" w:type="dxa"/>
            <w:tcBorders>
              <w:top w:val="single" w:sz="4" w:space="0" w:color="auto"/>
              <w:bottom w:val="single" w:sz="12" w:space="0" w:color="auto"/>
            </w:tcBorders>
            <w:noWrap/>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line="276" w:lineRule="auto"/>
              <w:jc w:val="right"/>
              <w:rPr>
                <w:rFonts w:ascii="Arial" w:hAnsi="Arial" w:cs="Arial"/>
                <w:sz w:val="18"/>
                <w:szCs w:val="18"/>
                <w:lang w:val="en-IE"/>
              </w:rPr>
            </w:pPr>
            <w:r w:rsidRPr="006010C1">
              <w:rPr>
                <w:rFonts w:ascii="Arial" w:hAnsi="Arial" w:cs="Arial"/>
                <w:b/>
                <w:sz w:val="18"/>
                <w:szCs w:val="18"/>
                <w:lang w:val="en-IE"/>
              </w:rPr>
              <w:t>5,105</w:t>
            </w:r>
          </w:p>
        </w:tc>
      </w:tr>
      <w:tr w:rsidR="006D2B39" w:rsidRPr="002F4B11" w:rsidTr="005707A8">
        <w:trPr>
          <w:trHeight w:hRule="exact" w:val="284"/>
        </w:trPr>
        <w:tc>
          <w:tcPr>
            <w:tcW w:w="7371" w:type="dxa"/>
            <w:tcBorders>
              <w:top w:val="single" w:sz="12" w:space="0" w:color="auto"/>
            </w:tcBorders>
            <w:vAlign w:val="center"/>
          </w:tcPr>
          <w:p w:rsidR="006D2B39" w:rsidRPr="006010C1" w:rsidRDefault="006D2B39" w:rsidP="006D2B39">
            <w:pPr>
              <w:pStyle w:val="ListParagraph"/>
              <w:tabs>
                <w:tab w:val="right" w:pos="5040"/>
                <w:tab w:val="left" w:pos="5400"/>
                <w:tab w:val="right" w:pos="6480"/>
                <w:tab w:val="center" w:pos="6840"/>
                <w:tab w:val="right" w:pos="7200"/>
                <w:tab w:val="right" w:pos="7920"/>
                <w:tab w:val="center" w:pos="8280"/>
                <w:tab w:val="right" w:pos="8640"/>
              </w:tabs>
              <w:jc w:val="both"/>
              <w:rPr>
                <w:rFonts w:ascii="Arial" w:hAnsi="Arial" w:cs="Arial"/>
                <w:sz w:val="18"/>
                <w:szCs w:val="18"/>
                <w:lang w:val="en-IE"/>
              </w:rPr>
            </w:pPr>
          </w:p>
        </w:tc>
        <w:tc>
          <w:tcPr>
            <w:tcW w:w="851" w:type="dxa"/>
            <w:tcBorders>
              <w:top w:val="single" w:sz="12" w:space="0" w:color="auto"/>
            </w:tcBorders>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c>
          <w:tcPr>
            <w:tcW w:w="1417" w:type="dxa"/>
            <w:tcBorders>
              <w:top w:val="single" w:sz="12" w:space="0" w:color="auto"/>
            </w:tcBorders>
            <w:shd w:val="clear" w:color="auto" w:fill="auto"/>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b/>
                <w:sz w:val="18"/>
                <w:szCs w:val="18"/>
                <w:lang w:val="en-IE"/>
              </w:rPr>
            </w:pPr>
          </w:p>
        </w:tc>
        <w:tc>
          <w:tcPr>
            <w:tcW w:w="1276" w:type="dxa"/>
            <w:tcBorders>
              <w:top w:val="single" w:sz="12" w:space="0" w:color="auto"/>
            </w:tcBorders>
            <w:vAlign w:val="center"/>
          </w:tcPr>
          <w:p w:rsidR="006D2B39" w:rsidRPr="006010C1" w:rsidRDefault="006D2B39" w:rsidP="006D2B39">
            <w:pPr>
              <w:tabs>
                <w:tab w:val="right" w:pos="5040"/>
                <w:tab w:val="left" w:pos="5400"/>
                <w:tab w:val="right" w:pos="6480"/>
                <w:tab w:val="center" w:pos="6840"/>
                <w:tab w:val="right" w:pos="7200"/>
                <w:tab w:val="right" w:pos="7920"/>
                <w:tab w:val="center" w:pos="8280"/>
                <w:tab w:val="right" w:pos="8640"/>
              </w:tabs>
              <w:spacing w:after="200" w:line="276" w:lineRule="auto"/>
              <w:jc w:val="right"/>
              <w:rPr>
                <w:rFonts w:ascii="Arial" w:hAnsi="Arial" w:cs="Arial"/>
                <w:sz w:val="18"/>
                <w:szCs w:val="18"/>
                <w:lang w:val="en-IE"/>
              </w:rPr>
            </w:pPr>
          </w:p>
        </w:tc>
      </w:tr>
    </w:tbl>
    <w:p w:rsidR="00254A2F" w:rsidRPr="006C3343" w:rsidRDefault="00254A2F" w:rsidP="00254A2F">
      <w:pPr>
        <w:rPr>
          <w:rFonts w:ascii="Arial" w:hAnsi="Arial" w:cs="Arial"/>
          <w:sz w:val="20"/>
          <w:szCs w:val="20"/>
          <w:lang w:val="en-IE"/>
        </w:rPr>
      </w:pPr>
    </w:p>
    <w:p w:rsidR="00BE58A5" w:rsidRPr="006010C1" w:rsidRDefault="00E00494" w:rsidP="008907B5">
      <w:pPr>
        <w:pStyle w:val="Heading1"/>
        <w:spacing w:before="0"/>
        <w:rPr>
          <w:rFonts w:ascii="Arial" w:hAnsi="Arial" w:cs="Arial"/>
          <w:color w:val="1F497D" w:themeColor="text2"/>
          <w:lang w:val="en-IE"/>
        </w:rPr>
      </w:pPr>
      <w:bookmarkStart w:id="9" w:name="_Toc255821613"/>
      <w:r w:rsidRPr="00E65E93">
        <w:rPr>
          <w:rFonts w:ascii="Arial" w:eastAsiaTheme="minorEastAsia" w:hAnsi="Arial" w:cs="Arial"/>
          <w:b w:val="0"/>
          <w:bCs w:val="0"/>
          <w:color w:val="808080" w:themeColor="background1" w:themeShade="80"/>
          <w:lang w:val="en-IE"/>
        </w:rPr>
        <w:t xml:space="preserve">Consolidated </w:t>
      </w:r>
      <w:r w:rsidR="009F3F13" w:rsidRPr="00E65E93">
        <w:rPr>
          <w:rFonts w:ascii="Arial" w:eastAsiaTheme="minorEastAsia" w:hAnsi="Arial" w:cs="Arial"/>
          <w:b w:val="0"/>
          <w:bCs w:val="0"/>
          <w:color w:val="808080" w:themeColor="background1" w:themeShade="80"/>
          <w:lang w:val="en-IE"/>
        </w:rPr>
        <w:t>Statement of Financial Position</w:t>
      </w:r>
      <w:bookmarkEnd w:id="9"/>
    </w:p>
    <w:p w:rsidR="0009454C" w:rsidRPr="006C3343" w:rsidRDefault="004A108E" w:rsidP="0009454C">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4"/>
          <w:szCs w:val="24"/>
          <w:lang w:val="en-IE"/>
        </w:rPr>
      </w:pPr>
      <w:r w:rsidRPr="006C3343">
        <w:rPr>
          <w:rFonts w:ascii="Arial" w:hAnsi="Arial" w:cs="Arial"/>
          <w:b/>
          <w:color w:val="1F497D" w:themeColor="text2"/>
          <w:sz w:val="24"/>
          <w:szCs w:val="24"/>
          <w:lang w:val="en-IE"/>
        </w:rPr>
        <w:t>Year</w:t>
      </w:r>
      <w:r w:rsidR="0009454C" w:rsidRPr="006C3343">
        <w:rPr>
          <w:rFonts w:ascii="Arial" w:hAnsi="Arial" w:cs="Arial"/>
          <w:b/>
          <w:color w:val="1F497D" w:themeColor="text2"/>
          <w:sz w:val="24"/>
          <w:szCs w:val="24"/>
          <w:lang w:val="en-IE"/>
        </w:rPr>
        <w:t xml:space="preserve"> ended 31 December 201</w:t>
      </w:r>
      <w:r w:rsidR="006D2B39">
        <w:rPr>
          <w:rFonts w:ascii="Arial" w:hAnsi="Arial" w:cs="Arial"/>
          <w:b/>
          <w:color w:val="1F497D" w:themeColor="text2"/>
          <w:sz w:val="24"/>
          <w:szCs w:val="24"/>
          <w:lang w:val="en-IE"/>
        </w:rPr>
        <w:t>7</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2268"/>
        <w:gridCol w:w="1417"/>
        <w:gridCol w:w="1276"/>
      </w:tblGrid>
      <w:tr w:rsidR="00552873" w:rsidRPr="00040E7D" w:rsidTr="00027DF8">
        <w:trPr>
          <w:trHeight w:hRule="exact" w:val="284"/>
        </w:trPr>
        <w:tc>
          <w:tcPr>
            <w:tcW w:w="5954" w:type="dxa"/>
            <w:vAlign w:val="center"/>
          </w:tcPr>
          <w:p w:rsidR="00392254" w:rsidRPr="006010C1" w:rsidRDefault="00392254" w:rsidP="00EC46E6">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rPr>
                <w:rFonts w:ascii="Arial" w:hAnsi="Arial" w:cs="Arial"/>
                <w:b/>
                <w:bCs/>
                <w:color w:val="1F497D" w:themeColor="text2"/>
                <w:sz w:val="18"/>
                <w:szCs w:val="18"/>
                <w:lang w:val="en-IE"/>
              </w:rPr>
            </w:pPr>
          </w:p>
        </w:tc>
        <w:tc>
          <w:tcPr>
            <w:tcW w:w="2268" w:type="dxa"/>
            <w:vAlign w:val="center"/>
          </w:tcPr>
          <w:p w:rsidR="00392254" w:rsidRPr="006010C1" w:rsidRDefault="00392254">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
                <w:bCs/>
                <w:color w:val="1F497D" w:themeColor="text2"/>
                <w:sz w:val="18"/>
                <w:szCs w:val="18"/>
                <w:lang w:val="en-IE"/>
              </w:rPr>
            </w:pPr>
          </w:p>
        </w:tc>
        <w:tc>
          <w:tcPr>
            <w:tcW w:w="1417" w:type="dxa"/>
            <w:shd w:val="clear" w:color="auto" w:fill="auto"/>
            <w:vAlign w:val="center"/>
          </w:tcPr>
          <w:p w:rsidR="00392254" w:rsidRPr="006010C1" w:rsidRDefault="005E11D6" w:rsidP="003234D3">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
                <w:bCs/>
                <w:color w:val="1F497D" w:themeColor="text2"/>
                <w:sz w:val="18"/>
                <w:szCs w:val="18"/>
                <w:lang w:val="en-IE"/>
              </w:rPr>
            </w:pPr>
            <w:r w:rsidRPr="006010C1">
              <w:rPr>
                <w:rFonts w:ascii="Arial" w:hAnsi="Arial" w:cs="Arial"/>
                <w:b/>
                <w:bCs/>
                <w:color w:val="1F497D" w:themeColor="text2"/>
                <w:sz w:val="18"/>
                <w:szCs w:val="18"/>
                <w:lang w:val="en-IE"/>
              </w:rPr>
              <w:t>201</w:t>
            </w:r>
            <w:r w:rsidR="006D2B39">
              <w:rPr>
                <w:rFonts w:ascii="Arial" w:hAnsi="Arial" w:cs="Arial"/>
                <w:b/>
                <w:bCs/>
                <w:color w:val="1F497D" w:themeColor="text2"/>
                <w:sz w:val="18"/>
                <w:szCs w:val="18"/>
                <w:lang w:val="en-IE"/>
              </w:rPr>
              <w:t>7</w:t>
            </w:r>
          </w:p>
        </w:tc>
        <w:tc>
          <w:tcPr>
            <w:tcW w:w="1276" w:type="dxa"/>
            <w:vAlign w:val="center"/>
          </w:tcPr>
          <w:p w:rsidR="00A5752E" w:rsidRPr="006010C1" w:rsidDel="00392254" w:rsidRDefault="005E11D6" w:rsidP="000465A1">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color w:val="1F497D" w:themeColor="text2"/>
                <w:sz w:val="18"/>
                <w:szCs w:val="18"/>
                <w:lang w:val="en-IE"/>
              </w:rPr>
            </w:pPr>
            <w:r w:rsidRPr="006010C1">
              <w:rPr>
                <w:rFonts w:ascii="Arial" w:hAnsi="Arial" w:cs="Arial"/>
                <w:bCs/>
                <w:color w:val="1F497D" w:themeColor="text2"/>
                <w:sz w:val="18"/>
                <w:szCs w:val="18"/>
                <w:lang w:val="en-IE"/>
              </w:rPr>
              <w:t>201</w:t>
            </w:r>
            <w:r w:rsidR="006D2B39">
              <w:rPr>
                <w:rFonts w:ascii="Arial" w:hAnsi="Arial" w:cs="Arial"/>
                <w:bCs/>
                <w:color w:val="1F497D" w:themeColor="text2"/>
                <w:sz w:val="18"/>
                <w:szCs w:val="18"/>
                <w:lang w:val="en-IE"/>
              </w:rPr>
              <w:t>6</w:t>
            </w:r>
          </w:p>
        </w:tc>
      </w:tr>
      <w:tr w:rsidR="00552873" w:rsidRPr="00040E7D" w:rsidTr="00027DF8">
        <w:trPr>
          <w:trHeight w:hRule="exact" w:val="284"/>
        </w:trPr>
        <w:tc>
          <w:tcPr>
            <w:tcW w:w="5954" w:type="dxa"/>
            <w:vAlign w:val="center"/>
          </w:tcPr>
          <w:p w:rsidR="00392254" w:rsidRPr="006010C1" w:rsidRDefault="00392254" w:rsidP="00EC46E6">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rPr>
                <w:rFonts w:ascii="Arial" w:hAnsi="Arial" w:cs="Arial"/>
                <w:b/>
                <w:bCs/>
                <w:color w:val="1F497D" w:themeColor="text2"/>
                <w:sz w:val="18"/>
                <w:szCs w:val="18"/>
                <w:lang w:val="en-IE"/>
              </w:rPr>
            </w:pPr>
          </w:p>
        </w:tc>
        <w:tc>
          <w:tcPr>
            <w:tcW w:w="2268" w:type="dxa"/>
            <w:vAlign w:val="center"/>
          </w:tcPr>
          <w:p w:rsidR="00392254" w:rsidRPr="006010C1" w:rsidRDefault="00392254" w:rsidP="00EC46E6">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
                <w:bCs/>
                <w:color w:val="1F497D" w:themeColor="text2"/>
                <w:sz w:val="18"/>
                <w:szCs w:val="18"/>
                <w:lang w:val="en-IE"/>
              </w:rPr>
            </w:pPr>
          </w:p>
        </w:tc>
        <w:tc>
          <w:tcPr>
            <w:tcW w:w="1417" w:type="dxa"/>
            <w:shd w:val="clear" w:color="auto" w:fill="auto"/>
            <w:vAlign w:val="center"/>
          </w:tcPr>
          <w:p w:rsidR="00392254" w:rsidRPr="006010C1" w:rsidRDefault="00E00494" w:rsidP="00EC46E6">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jc w:val="right"/>
              <w:rPr>
                <w:rFonts w:ascii="Arial" w:hAnsi="Arial" w:cs="Arial"/>
                <w:b/>
                <w:bCs/>
                <w:color w:val="1F497D" w:themeColor="text2"/>
                <w:sz w:val="18"/>
                <w:szCs w:val="18"/>
                <w:lang w:val="en-IE"/>
              </w:rPr>
            </w:pPr>
            <w:r w:rsidRPr="006010C1">
              <w:rPr>
                <w:rFonts w:ascii="Arial" w:hAnsi="Arial" w:cs="Arial"/>
                <w:b/>
                <w:bCs/>
                <w:color w:val="1F497D" w:themeColor="text2"/>
                <w:sz w:val="18"/>
                <w:szCs w:val="18"/>
                <w:lang w:val="en-IE"/>
              </w:rPr>
              <w:t>£’000</w:t>
            </w:r>
          </w:p>
        </w:tc>
        <w:tc>
          <w:tcPr>
            <w:tcW w:w="1276" w:type="dxa"/>
            <w:vAlign w:val="center"/>
          </w:tcPr>
          <w:p w:rsidR="00392254" w:rsidRPr="006010C1" w:rsidDel="00392254" w:rsidRDefault="00E00494" w:rsidP="007B122E">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01" w:lineRule="atLeast"/>
              <w:jc w:val="right"/>
              <w:rPr>
                <w:rFonts w:ascii="Arial" w:hAnsi="Arial" w:cs="Arial"/>
                <w:bCs/>
                <w:color w:val="1F497D" w:themeColor="text2"/>
                <w:sz w:val="18"/>
                <w:szCs w:val="18"/>
                <w:lang w:val="en-IE"/>
              </w:rPr>
            </w:pPr>
            <w:r w:rsidRPr="006010C1">
              <w:rPr>
                <w:rFonts w:ascii="Arial" w:hAnsi="Arial" w:cs="Arial"/>
                <w:bCs/>
                <w:color w:val="1F497D" w:themeColor="text2"/>
                <w:sz w:val="18"/>
                <w:szCs w:val="18"/>
                <w:lang w:val="en-IE"/>
              </w:rPr>
              <w:t>£’000</w:t>
            </w:r>
          </w:p>
        </w:tc>
      </w:tr>
      <w:tr w:rsidR="00392254" w:rsidRPr="00040E7D" w:rsidTr="00027DF8">
        <w:trPr>
          <w:trHeight w:hRule="exact" w:val="284"/>
        </w:trPr>
        <w:tc>
          <w:tcPr>
            <w:tcW w:w="5954" w:type="dxa"/>
            <w:vAlign w:val="center"/>
          </w:tcPr>
          <w:p w:rsidR="00392254" w:rsidRPr="006010C1" w:rsidRDefault="00E00494" w:rsidP="00EC46E6">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ASSETS</w:t>
            </w:r>
          </w:p>
        </w:tc>
        <w:tc>
          <w:tcPr>
            <w:tcW w:w="2268" w:type="dxa"/>
            <w:vAlign w:val="center"/>
          </w:tcPr>
          <w:p w:rsidR="00392254" w:rsidRPr="006010C1" w:rsidRDefault="00392254" w:rsidP="00EC46E6">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
                <w:bCs/>
                <w:sz w:val="18"/>
                <w:szCs w:val="18"/>
                <w:lang w:val="en-IE"/>
              </w:rPr>
            </w:pPr>
          </w:p>
        </w:tc>
        <w:tc>
          <w:tcPr>
            <w:tcW w:w="1417" w:type="dxa"/>
            <w:shd w:val="clear" w:color="auto" w:fill="auto"/>
            <w:vAlign w:val="center"/>
          </w:tcPr>
          <w:p w:rsidR="00392254" w:rsidRPr="006010C1" w:rsidRDefault="00392254" w:rsidP="00EC46E6">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
                <w:bCs/>
                <w:sz w:val="18"/>
                <w:szCs w:val="18"/>
                <w:lang w:val="en-IE"/>
              </w:rPr>
            </w:pPr>
          </w:p>
        </w:tc>
        <w:tc>
          <w:tcPr>
            <w:tcW w:w="1276" w:type="dxa"/>
            <w:vAlign w:val="center"/>
          </w:tcPr>
          <w:p w:rsidR="00392254" w:rsidRPr="006010C1" w:rsidRDefault="00392254" w:rsidP="007B122E">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lang w:val="en-IE"/>
              </w:rPr>
            </w:pPr>
          </w:p>
        </w:tc>
      </w:tr>
      <w:tr w:rsidR="00392254" w:rsidRPr="00040E7D" w:rsidTr="00027DF8">
        <w:trPr>
          <w:trHeight w:hRule="exact" w:val="284"/>
        </w:trPr>
        <w:tc>
          <w:tcPr>
            <w:tcW w:w="5954" w:type="dxa"/>
          </w:tcPr>
          <w:p w:rsidR="00392254" w:rsidRPr="006010C1" w:rsidRDefault="00E00494" w:rsidP="00EC46E6">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01" w:lineRule="atLeast"/>
              <w:rPr>
                <w:rFonts w:ascii="Arial" w:hAnsi="Arial" w:cs="Arial"/>
                <w:b/>
                <w:bCs/>
                <w:sz w:val="18"/>
                <w:szCs w:val="18"/>
                <w:lang w:val="en-IE"/>
              </w:rPr>
            </w:pPr>
            <w:r w:rsidRPr="006010C1">
              <w:rPr>
                <w:rFonts w:ascii="Arial" w:hAnsi="Arial" w:cs="Arial"/>
                <w:b/>
                <w:bCs/>
                <w:sz w:val="18"/>
                <w:szCs w:val="18"/>
                <w:lang w:val="en-IE"/>
              </w:rPr>
              <w:t>Non-current assets</w:t>
            </w:r>
          </w:p>
        </w:tc>
        <w:tc>
          <w:tcPr>
            <w:tcW w:w="2268" w:type="dxa"/>
          </w:tcPr>
          <w:p w:rsidR="00392254" w:rsidRPr="006010C1" w:rsidRDefault="00392254" w:rsidP="00EC46E6">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lang w:val="en-IE"/>
              </w:rPr>
            </w:pPr>
          </w:p>
        </w:tc>
        <w:tc>
          <w:tcPr>
            <w:tcW w:w="1417" w:type="dxa"/>
            <w:shd w:val="clear" w:color="auto" w:fill="auto"/>
          </w:tcPr>
          <w:p w:rsidR="00392254" w:rsidRPr="006010C1" w:rsidRDefault="00392254" w:rsidP="00EC46E6">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
                <w:bCs/>
                <w:sz w:val="18"/>
                <w:szCs w:val="18"/>
                <w:lang w:val="en-IE"/>
              </w:rPr>
            </w:pPr>
          </w:p>
        </w:tc>
        <w:tc>
          <w:tcPr>
            <w:tcW w:w="1276" w:type="dxa"/>
          </w:tcPr>
          <w:p w:rsidR="00392254" w:rsidRPr="006010C1" w:rsidRDefault="00392254" w:rsidP="007B122E">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lang w:val="en-IE"/>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line="201" w:lineRule="atLeast"/>
              <w:rPr>
                <w:rFonts w:ascii="Arial" w:hAnsi="Arial" w:cs="Arial"/>
                <w:bCs/>
                <w:sz w:val="18"/>
                <w:szCs w:val="18"/>
                <w:lang w:val="en-IE"/>
              </w:rPr>
            </w:pPr>
            <w:r>
              <w:rPr>
                <w:rFonts w:ascii="Arial" w:hAnsi="Arial" w:cs="Arial"/>
                <w:bCs/>
                <w:sz w:val="18"/>
                <w:szCs w:val="18"/>
                <w:lang w:val="en-IE"/>
              </w:rPr>
              <w:t>Property, plant and equipment</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line="201" w:lineRule="atLeast"/>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4,181</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4,322</w:t>
            </w:r>
          </w:p>
        </w:tc>
      </w:tr>
      <w:tr w:rsidR="006D2B39" w:rsidRPr="00040E7D" w:rsidTr="00027DF8">
        <w:trPr>
          <w:trHeight w:hRule="exact" w:val="284"/>
        </w:trPr>
        <w:tc>
          <w:tcPr>
            <w:tcW w:w="5954" w:type="dxa"/>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line="201" w:lineRule="atLeast"/>
              <w:rPr>
                <w:rFonts w:ascii="Arial" w:hAnsi="Arial" w:cs="Arial"/>
                <w:bCs/>
                <w:sz w:val="18"/>
                <w:szCs w:val="18"/>
                <w:lang w:val="en-IE"/>
              </w:rPr>
            </w:pPr>
            <w:r>
              <w:rPr>
                <w:rFonts w:ascii="Arial" w:hAnsi="Arial" w:cs="Arial"/>
                <w:bCs/>
                <w:sz w:val="18"/>
                <w:szCs w:val="18"/>
                <w:lang w:val="en-IE"/>
              </w:rPr>
              <w:t>Intangible assets</w:t>
            </w:r>
          </w:p>
        </w:tc>
        <w:tc>
          <w:tcPr>
            <w:tcW w:w="2268" w:type="dxa"/>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line="201" w:lineRule="atLeast"/>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53,720</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bCs/>
                <w:sz w:val="18"/>
                <w:szCs w:val="18"/>
                <w:lang w:val="en-IE"/>
              </w:rPr>
            </w:pPr>
            <w:r w:rsidRPr="005B1DE1">
              <w:rPr>
                <w:rFonts w:ascii="Arial" w:hAnsi="Arial" w:cs="Arial"/>
                <w:color w:val="000000"/>
                <w:spacing w:val="-5"/>
                <w:sz w:val="18"/>
                <w:szCs w:val="18"/>
              </w:rPr>
              <w:t>55,074</w:t>
            </w:r>
          </w:p>
        </w:tc>
      </w:tr>
      <w:tr w:rsidR="006D2B39" w:rsidRPr="00040E7D" w:rsidTr="00027DF8">
        <w:trPr>
          <w:trHeight w:hRule="exact" w:val="284"/>
        </w:trPr>
        <w:tc>
          <w:tcPr>
            <w:tcW w:w="5954" w:type="dxa"/>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line="201" w:lineRule="atLeast"/>
              <w:rPr>
                <w:rFonts w:ascii="Arial" w:hAnsi="Arial" w:cs="Arial"/>
                <w:bCs/>
                <w:sz w:val="18"/>
                <w:szCs w:val="18"/>
                <w:lang w:val="en-IE"/>
              </w:rPr>
            </w:pPr>
            <w:r w:rsidRPr="009D404B">
              <w:rPr>
                <w:rFonts w:ascii="Arial" w:hAnsi="Arial" w:cs="Arial"/>
                <w:bCs/>
                <w:sz w:val="18"/>
                <w:szCs w:val="18"/>
                <w:lang w:val="en-IE"/>
              </w:rPr>
              <w:t>Deferred income tax asset</w:t>
            </w:r>
          </w:p>
        </w:tc>
        <w:tc>
          <w:tcPr>
            <w:tcW w:w="2268" w:type="dxa"/>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line="201" w:lineRule="atLeast"/>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703</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bCs/>
                <w:sz w:val="18"/>
                <w:szCs w:val="18"/>
                <w:lang w:val="en-IE"/>
              </w:rPr>
            </w:pPr>
            <w:r w:rsidRPr="005B1DE1">
              <w:rPr>
                <w:rFonts w:ascii="Arial" w:hAnsi="Arial" w:cs="Arial"/>
                <w:color w:val="000000"/>
                <w:spacing w:val="-5"/>
                <w:sz w:val="18"/>
                <w:szCs w:val="18"/>
              </w:rPr>
              <w:t>9</w:t>
            </w:r>
          </w:p>
        </w:tc>
      </w:tr>
      <w:tr w:rsidR="006D2B39" w:rsidRPr="00040E7D" w:rsidTr="00027DF8">
        <w:trPr>
          <w:trHeight w:hRule="exact" w:val="284"/>
        </w:trPr>
        <w:tc>
          <w:tcPr>
            <w:tcW w:w="5954" w:type="dxa"/>
            <w:tcBorders>
              <w:top w:val="single" w:sz="4" w:space="0" w:color="auto"/>
              <w:bottom w:val="single" w:sz="4" w:space="0" w:color="auto"/>
            </w:tcBorders>
          </w:tcPr>
          <w:p w:rsidR="006D2B39" w:rsidRPr="006010C1" w:rsidRDefault="006D2B39" w:rsidP="006D2B39">
            <w:pPr>
              <w:widowControl w:val="0"/>
              <w:suppressAutoHyphens/>
              <w:autoSpaceDE w:val="0"/>
              <w:autoSpaceDN w:val="0"/>
              <w:adjustRightInd w:val="0"/>
              <w:spacing w:line="200" w:lineRule="atLeast"/>
              <w:textAlignment w:val="center"/>
              <w:rPr>
                <w:rFonts w:ascii="Arial" w:hAnsi="Arial" w:cs="Arial"/>
                <w:b/>
                <w:bCs/>
                <w:sz w:val="18"/>
                <w:szCs w:val="18"/>
                <w:lang w:val="en-IE"/>
              </w:rPr>
            </w:pPr>
            <w:r w:rsidRPr="006010C1">
              <w:rPr>
                <w:rFonts w:ascii="Arial" w:hAnsi="Arial" w:cs="Arial"/>
                <w:b/>
                <w:bCs/>
                <w:sz w:val="18"/>
                <w:szCs w:val="18"/>
                <w:lang w:val="en-IE"/>
              </w:rPr>
              <w:t>Total non-current assets</w:t>
            </w:r>
          </w:p>
        </w:tc>
        <w:tc>
          <w:tcPr>
            <w:tcW w:w="2268"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lang w:val="en-IE"/>
              </w:rPr>
            </w:pPr>
          </w:p>
        </w:tc>
        <w:tc>
          <w:tcPr>
            <w:tcW w:w="1417" w:type="dxa"/>
            <w:tcBorders>
              <w:top w:val="single" w:sz="4" w:space="0" w:color="auto"/>
              <w:bottom w:val="single" w:sz="4" w:space="0" w:color="auto"/>
            </w:tcBorders>
            <w:shd w:val="clear" w:color="auto" w:fill="auto"/>
          </w:tcPr>
          <w:p w:rsidR="006D2B39" w:rsidRPr="005B1DE1" w:rsidRDefault="006D2B39" w:rsidP="0060745C">
            <w:pPr>
              <w:widowControl w:val="0"/>
              <w:autoSpaceDE w:val="0"/>
              <w:autoSpaceDN w:val="0"/>
              <w:adjustRightInd w:val="0"/>
              <w:jc w:val="right"/>
              <w:rPr>
                <w:rFonts w:ascii="Arial" w:hAnsi="Arial" w:cs="Arial"/>
                <w:b/>
                <w:sz w:val="18"/>
                <w:szCs w:val="18"/>
                <w:lang w:val="en-US"/>
              </w:rPr>
            </w:pPr>
            <w:r w:rsidRPr="005B1DE1">
              <w:rPr>
                <w:rFonts w:ascii="Arial" w:hAnsi="Arial" w:cs="Arial"/>
                <w:b/>
                <w:color w:val="000000"/>
                <w:spacing w:val="-5"/>
                <w:sz w:val="18"/>
                <w:szCs w:val="18"/>
              </w:rPr>
              <w:t>58,604</w:t>
            </w:r>
          </w:p>
        </w:tc>
        <w:tc>
          <w:tcPr>
            <w:tcW w:w="1276" w:type="dxa"/>
            <w:tcBorders>
              <w:top w:val="single" w:sz="4" w:space="0" w:color="auto"/>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sz w:val="18"/>
                <w:szCs w:val="18"/>
                <w:lang w:val="en-US"/>
              </w:rPr>
              <w:t>59,405</w:t>
            </w:r>
          </w:p>
        </w:tc>
      </w:tr>
      <w:tr w:rsidR="006D2B39" w:rsidRPr="00040E7D" w:rsidTr="00027DF8">
        <w:trPr>
          <w:trHeight w:hRule="exact" w:val="284"/>
        </w:trPr>
        <w:tc>
          <w:tcPr>
            <w:tcW w:w="5954" w:type="dxa"/>
            <w:tcBorders>
              <w:top w:val="single" w:sz="4" w:space="0" w:color="auto"/>
            </w:tcBorders>
          </w:tcPr>
          <w:p w:rsidR="006D2B39" w:rsidRPr="006010C1" w:rsidRDefault="006D2B39" w:rsidP="006D2B39">
            <w:pPr>
              <w:widowControl w:val="0"/>
              <w:suppressAutoHyphens/>
              <w:autoSpaceDE w:val="0"/>
              <w:autoSpaceDN w:val="0"/>
              <w:adjustRightInd w:val="0"/>
              <w:spacing w:line="200" w:lineRule="atLeast"/>
              <w:textAlignment w:val="center"/>
              <w:rPr>
                <w:rFonts w:ascii="Arial" w:hAnsi="Arial" w:cs="Arial"/>
                <w:b/>
                <w:bCs/>
                <w:sz w:val="18"/>
                <w:szCs w:val="18"/>
                <w:lang w:val="en-IE"/>
              </w:rPr>
            </w:pPr>
          </w:p>
        </w:tc>
        <w:tc>
          <w:tcPr>
            <w:tcW w:w="2268" w:type="dxa"/>
            <w:tcBorders>
              <w:top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jc w:val="right"/>
              <w:rPr>
                <w:rFonts w:ascii="Arial" w:hAnsi="Arial" w:cs="Arial"/>
                <w:bCs/>
                <w:sz w:val="18"/>
                <w:szCs w:val="18"/>
                <w:lang w:val="en-IE"/>
              </w:rPr>
            </w:pPr>
          </w:p>
        </w:tc>
        <w:tc>
          <w:tcPr>
            <w:tcW w:w="1417" w:type="dxa"/>
            <w:tcBorders>
              <w:top w:val="single" w:sz="4" w:space="0" w:color="auto"/>
            </w:tcBorders>
            <w:shd w:val="clear" w:color="auto" w:fill="auto"/>
          </w:tcPr>
          <w:p w:rsidR="006D2B39" w:rsidRPr="001972EA" w:rsidRDefault="006D2B39" w:rsidP="0060745C">
            <w:pPr>
              <w:widowControl w:val="0"/>
              <w:autoSpaceDE w:val="0"/>
              <w:autoSpaceDN w:val="0"/>
              <w:adjustRightInd w:val="0"/>
              <w:jc w:val="right"/>
              <w:rPr>
                <w:rFonts w:ascii="Arial" w:hAnsi="Arial" w:cs="Arial"/>
                <w:b/>
                <w:sz w:val="18"/>
                <w:szCs w:val="18"/>
                <w:lang w:val="en-US"/>
              </w:rPr>
            </w:pPr>
          </w:p>
        </w:tc>
        <w:tc>
          <w:tcPr>
            <w:tcW w:w="1276" w:type="dxa"/>
            <w:tcBorders>
              <w:top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Current assets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shd w:val="clear" w:color="auto" w:fill="auto"/>
          </w:tcPr>
          <w:p w:rsidR="006D2B39" w:rsidRPr="001972EA"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rPr>
                <w:rFonts w:ascii="Arial" w:hAnsi="Arial" w:cs="Arial"/>
                <w:bCs/>
                <w:sz w:val="18"/>
                <w:szCs w:val="18"/>
                <w:lang w:val="en-IE"/>
              </w:rPr>
            </w:pPr>
            <w:r>
              <w:rPr>
                <w:rFonts w:ascii="Arial" w:hAnsi="Arial" w:cs="Arial"/>
                <w:bCs/>
                <w:sz w:val="18"/>
                <w:szCs w:val="18"/>
                <w:lang w:val="en-IE"/>
              </w:rPr>
              <w:t>Trade and other receivables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18,054</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22,828</w:t>
            </w:r>
          </w:p>
        </w:tc>
      </w:tr>
      <w:tr w:rsidR="006D2B39" w:rsidRPr="00040E7D" w:rsidTr="00027DF8">
        <w:trPr>
          <w:trHeight w:hRule="exact" w:val="284"/>
        </w:trPr>
        <w:tc>
          <w:tcPr>
            <w:tcW w:w="5954" w:type="dxa"/>
          </w:tcPr>
          <w:p w:rsidR="006D2B39"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rPr>
                <w:rFonts w:ascii="Arial" w:hAnsi="Arial" w:cs="Arial"/>
                <w:bCs/>
                <w:sz w:val="18"/>
                <w:szCs w:val="18"/>
                <w:lang w:val="en-IE"/>
              </w:rPr>
            </w:pPr>
            <w:r w:rsidRPr="009D404B">
              <w:rPr>
                <w:rFonts w:ascii="Arial" w:hAnsi="Arial" w:cs="Arial"/>
                <w:bCs/>
                <w:sz w:val="18"/>
                <w:szCs w:val="18"/>
                <w:lang w:val="en-IE"/>
              </w:rPr>
              <w:t>Income tax asset</w:t>
            </w:r>
          </w:p>
        </w:tc>
        <w:tc>
          <w:tcPr>
            <w:tcW w:w="2268" w:type="dxa"/>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133</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w:t>
            </w:r>
          </w:p>
        </w:tc>
      </w:tr>
      <w:tr w:rsidR="006D2B39" w:rsidRPr="00040E7D" w:rsidTr="00027DF8">
        <w:trPr>
          <w:trHeight w:hRule="exact" w:val="284"/>
        </w:trPr>
        <w:tc>
          <w:tcPr>
            <w:tcW w:w="5954" w:type="dxa"/>
            <w:tcBorders>
              <w:bottom w:val="single" w:sz="4" w:space="0" w:color="auto"/>
            </w:tcBorders>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rPr>
                <w:rFonts w:ascii="Arial" w:hAnsi="Arial" w:cs="Arial"/>
                <w:bCs/>
                <w:sz w:val="18"/>
                <w:szCs w:val="18"/>
                <w:lang w:val="en-IE"/>
              </w:rPr>
            </w:pPr>
            <w:r>
              <w:rPr>
                <w:rFonts w:ascii="Arial" w:hAnsi="Arial" w:cs="Arial"/>
                <w:bCs/>
                <w:sz w:val="18"/>
                <w:szCs w:val="18"/>
                <w:lang w:val="en-IE"/>
              </w:rPr>
              <w:t>Cash and cash equivalents</w:t>
            </w:r>
          </w:p>
        </w:tc>
        <w:tc>
          <w:tcPr>
            <w:tcW w:w="2268" w:type="dxa"/>
            <w:tcBorders>
              <w:bottom w:val="single" w:sz="4" w:space="0" w:color="auto"/>
            </w:tcBorders>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jc w:val="right"/>
              <w:rPr>
                <w:rFonts w:ascii="Arial" w:hAnsi="Arial" w:cs="Arial"/>
                <w:bCs/>
                <w:sz w:val="18"/>
                <w:szCs w:val="18"/>
                <w:lang w:val="en-IE"/>
              </w:rPr>
            </w:pPr>
          </w:p>
        </w:tc>
        <w:tc>
          <w:tcPr>
            <w:tcW w:w="1417" w:type="dxa"/>
            <w:tcBorders>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24,572</w:t>
            </w:r>
          </w:p>
        </w:tc>
        <w:tc>
          <w:tcPr>
            <w:tcW w:w="1276" w:type="dxa"/>
            <w:tcBorders>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bCs/>
                <w:sz w:val="18"/>
                <w:szCs w:val="18"/>
                <w:lang w:val="en-IE"/>
              </w:rPr>
            </w:pPr>
            <w:r w:rsidRPr="005B1DE1">
              <w:rPr>
                <w:rFonts w:ascii="Arial" w:hAnsi="Arial" w:cs="Arial"/>
                <w:color w:val="000000"/>
                <w:spacing w:val="-5"/>
                <w:sz w:val="18"/>
                <w:szCs w:val="18"/>
              </w:rPr>
              <w:t>28,226</w:t>
            </w:r>
          </w:p>
        </w:tc>
      </w:tr>
      <w:tr w:rsidR="006D2B39" w:rsidRPr="00040E7D" w:rsidTr="00027DF8">
        <w:trPr>
          <w:trHeight w:hRule="exact" w:val="284"/>
        </w:trPr>
        <w:tc>
          <w:tcPr>
            <w:tcW w:w="5954"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Total current assets</w:t>
            </w:r>
          </w:p>
        </w:tc>
        <w:tc>
          <w:tcPr>
            <w:tcW w:w="2268"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tcBorders>
              <w:top w:val="single" w:sz="4" w:space="0" w:color="auto"/>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42,759</w:t>
            </w:r>
          </w:p>
        </w:tc>
        <w:tc>
          <w:tcPr>
            <w:tcW w:w="1276" w:type="dxa"/>
            <w:tcBorders>
              <w:top w:val="single" w:sz="4" w:space="0" w:color="auto"/>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51,054</w:t>
            </w:r>
          </w:p>
        </w:tc>
      </w:tr>
      <w:tr w:rsidR="006D2B39" w:rsidRPr="00040E7D" w:rsidTr="00027DF8">
        <w:trPr>
          <w:trHeight w:hRule="exact" w:val="284"/>
        </w:trPr>
        <w:tc>
          <w:tcPr>
            <w:tcW w:w="5954"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Total assets</w:t>
            </w:r>
          </w:p>
        </w:tc>
        <w:tc>
          <w:tcPr>
            <w:tcW w:w="2268"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tcBorders>
              <w:top w:val="single" w:sz="4" w:space="0" w:color="auto"/>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101,363</w:t>
            </w:r>
          </w:p>
        </w:tc>
        <w:tc>
          <w:tcPr>
            <w:tcW w:w="1276" w:type="dxa"/>
            <w:tcBorders>
              <w:top w:val="single" w:sz="4" w:space="0" w:color="auto"/>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110,459</w:t>
            </w:r>
          </w:p>
        </w:tc>
      </w:tr>
      <w:tr w:rsidR="006D2B39" w:rsidRPr="00040E7D" w:rsidTr="00027DF8">
        <w:trPr>
          <w:trHeight w:hRule="exact" w:val="284"/>
        </w:trPr>
        <w:tc>
          <w:tcPr>
            <w:tcW w:w="5954" w:type="dxa"/>
            <w:tcBorders>
              <w:top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rPr>
                <w:rFonts w:ascii="Arial" w:hAnsi="Arial" w:cs="Arial"/>
                <w:b/>
                <w:bCs/>
                <w:sz w:val="18"/>
                <w:szCs w:val="18"/>
                <w:lang w:val="en-IE"/>
              </w:rPr>
            </w:pPr>
          </w:p>
        </w:tc>
        <w:tc>
          <w:tcPr>
            <w:tcW w:w="2268" w:type="dxa"/>
            <w:tcBorders>
              <w:top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tcBorders>
              <w:top w:val="single" w:sz="4" w:space="0" w:color="auto"/>
            </w:tcBorders>
            <w:shd w:val="clear" w:color="auto" w:fill="auto"/>
          </w:tcPr>
          <w:p w:rsidR="006D2B39" w:rsidRPr="001972EA"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Borders>
              <w:top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LIABILITIES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shd w:val="clear" w:color="auto" w:fill="auto"/>
          </w:tcPr>
          <w:p w:rsidR="006D2B39" w:rsidRPr="001972EA"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Non-current liabilities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shd w:val="clear" w:color="auto" w:fill="auto"/>
          </w:tcPr>
          <w:p w:rsidR="006D2B39" w:rsidRPr="001972EA" w:rsidRDefault="006D2B39" w:rsidP="0060745C">
            <w:pPr>
              <w:widowControl w:val="0"/>
              <w:autoSpaceDE w:val="0"/>
              <w:autoSpaceDN w:val="0"/>
              <w:adjustRightInd w:val="0"/>
              <w:jc w:val="right"/>
              <w:rPr>
                <w:rFonts w:ascii="Arial" w:hAnsi="Arial" w:cs="Arial"/>
                <w:b/>
                <w:sz w:val="18"/>
                <w:szCs w:val="18"/>
                <w:lang w:val="en-US"/>
              </w:rPr>
            </w:pP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widowControl w:val="0"/>
              <w:suppressAutoHyphens/>
              <w:autoSpaceDE w:val="0"/>
              <w:autoSpaceDN w:val="0"/>
              <w:adjustRightInd w:val="0"/>
              <w:spacing w:line="200" w:lineRule="atLeast"/>
              <w:textAlignment w:val="center"/>
              <w:rPr>
                <w:rFonts w:ascii="Arial" w:hAnsi="Arial" w:cs="Arial"/>
                <w:bCs/>
                <w:sz w:val="18"/>
                <w:szCs w:val="18"/>
                <w:lang w:val="en-IE"/>
              </w:rPr>
            </w:pPr>
            <w:r w:rsidRPr="006010C1">
              <w:rPr>
                <w:rFonts w:ascii="Arial" w:hAnsi="Arial" w:cs="Arial"/>
                <w:bCs/>
                <w:sz w:val="18"/>
                <w:szCs w:val="18"/>
                <w:lang w:val="en-IE"/>
              </w:rPr>
              <w:t>Deferred income tax liabilities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jc w:val="right"/>
              <w:rPr>
                <w:rFonts w:ascii="Arial" w:hAnsi="Arial" w:cs="Arial"/>
                <w:bCs/>
                <w:sz w:val="18"/>
                <w:szCs w:val="18"/>
                <w:highlight w:val="yellow"/>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2,252</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2,323</w:t>
            </w:r>
          </w:p>
        </w:tc>
      </w:tr>
      <w:tr w:rsidR="006D2B39" w:rsidRPr="00040E7D" w:rsidTr="00027DF8">
        <w:trPr>
          <w:trHeight w:hRule="exact" w:val="284"/>
        </w:trPr>
        <w:tc>
          <w:tcPr>
            <w:tcW w:w="5954" w:type="dxa"/>
            <w:tcBorders>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Cs/>
                <w:sz w:val="18"/>
                <w:szCs w:val="18"/>
                <w:lang w:val="en-IE"/>
              </w:rPr>
            </w:pPr>
            <w:r w:rsidRPr="006010C1">
              <w:rPr>
                <w:rFonts w:ascii="Arial" w:hAnsi="Arial" w:cs="Arial"/>
                <w:bCs/>
                <w:sz w:val="18"/>
                <w:szCs w:val="18"/>
                <w:lang w:val="en-IE"/>
              </w:rPr>
              <w:t>Provisions for other liabilities</w:t>
            </w:r>
          </w:p>
        </w:tc>
        <w:tc>
          <w:tcPr>
            <w:tcW w:w="2268" w:type="dxa"/>
            <w:tcBorders>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jc w:val="right"/>
              <w:rPr>
                <w:rFonts w:ascii="Arial" w:hAnsi="Arial" w:cs="Arial"/>
                <w:bCs/>
                <w:sz w:val="18"/>
                <w:szCs w:val="18"/>
                <w:highlight w:val="yellow"/>
                <w:lang w:val="en-IE"/>
              </w:rPr>
            </w:pPr>
          </w:p>
        </w:tc>
        <w:tc>
          <w:tcPr>
            <w:tcW w:w="1417" w:type="dxa"/>
            <w:tcBorders>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449</w:t>
            </w:r>
          </w:p>
        </w:tc>
        <w:tc>
          <w:tcPr>
            <w:tcW w:w="1276" w:type="dxa"/>
            <w:tcBorders>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1,032</w:t>
            </w:r>
          </w:p>
        </w:tc>
      </w:tr>
      <w:tr w:rsidR="006D2B39" w:rsidRPr="00040E7D" w:rsidTr="00027DF8">
        <w:trPr>
          <w:trHeight w:hRule="exact" w:val="284"/>
        </w:trPr>
        <w:tc>
          <w:tcPr>
            <w:tcW w:w="5954"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Total non-current liabilities</w:t>
            </w:r>
          </w:p>
        </w:tc>
        <w:tc>
          <w:tcPr>
            <w:tcW w:w="2268"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tcBorders>
              <w:top w:val="single" w:sz="4" w:space="0" w:color="auto"/>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2,701</w:t>
            </w:r>
          </w:p>
        </w:tc>
        <w:tc>
          <w:tcPr>
            <w:tcW w:w="1276" w:type="dxa"/>
            <w:tcBorders>
              <w:top w:val="single" w:sz="4" w:space="0" w:color="auto"/>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3,355</w:t>
            </w:r>
          </w:p>
        </w:tc>
      </w:tr>
      <w:tr w:rsidR="006D2B39" w:rsidRPr="00040E7D" w:rsidTr="00027DF8">
        <w:trPr>
          <w:trHeight w:hRule="exact" w:val="284"/>
        </w:trPr>
        <w:tc>
          <w:tcPr>
            <w:tcW w:w="5954" w:type="dxa"/>
            <w:tcBorders>
              <w:top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rPr>
                <w:rFonts w:ascii="Arial" w:hAnsi="Arial" w:cs="Arial"/>
                <w:b/>
                <w:bCs/>
                <w:sz w:val="18"/>
                <w:szCs w:val="18"/>
                <w:lang w:val="en-IE"/>
              </w:rPr>
            </w:pPr>
          </w:p>
        </w:tc>
        <w:tc>
          <w:tcPr>
            <w:tcW w:w="2268" w:type="dxa"/>
            <w:tcBorders>
              <w:top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tcBorders>
              <w:top w:val="single" w:sz="4" w:space="0" w:color="auto"/>
            </w:tcBorders>
            <w:shd w:val="clear" w:color="auto" w:fill="auto"/>
          </w:tcPr>
          <w:p w:rsidR="006D2B39" w:rsidRPr="001972EA"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Borders>
              <w:top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Current liabilities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shd w:val="clear" w:color="auto" w:fill="auto"/>
          </w:tcPr>
          <w:p w:rsidR="006D2B39" w:rsidRPr="001972EA"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rPr>
                <w:rFonts w:ascii="Arial" w:hAnsi="Arial" w:cs="Arial"/>
                <w:bCs/>
                <w:sz w:val="18"/>
                <w:szCs w:val="18"/>
                <w:lang w:val="en-IE"/>
              </w:rPr>
            </w:pPr>
            <w:r>
              <w:rPr>
                <w:rFonts w:ascii="Arial" w:hAnsi="Arial" w:cs="Arial"/>
                <w:bCs/>
                <w:sz w:val="18"/>
                <w:szCs w:val="18"/>
                <w:lang w:val="en-IE"/>
              </w:rPr>
              <w:t>Trade and other payables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19,239</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22,551</w:t>
            </w:r>
          </w:p>
        </w:tc>
      </w:tr>
      <w:tr w:rsidR="006D2B39" w:rsidRPr="00040E7D" w:rsidTr="00027DF8">
        <w:trPr>
          <w:trHeight w:hRule="exact" w:val="284"/>
        </w:trPr>
        <w:tc>
          <w:tcPr>
            <w:tcW w:w="5954" w:type="dxa"/>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rPr>
                <w:rFonts w:ascii="Arial" w:hAnsi="Arial" w:cs="Arial"/>
                <w:bCs/>
                <w:sz w:val="18"/>
                <w:szCs w:val="18"/>
                <w:lang w:val="en-IE"/>
              </w:rPr>
            </w:pPr>
            <w:r w:rsidRPr="009D404B">
              <w:rPr>
                <w:rFonts w:ascii="Arial" w:hAnsi="Arial" w:cs="Arial"/>
                <w:bCs/>
                <w:sz w:val="18"/>
                <w:szCs w:val="18"/>
                <w:lang w:val="en-IE"/>
              </w:rPr>
              <w:t>Income tax liabilities</w:t>
            </w:r>
          </w:p>
        </w:tc>
        <w:tc>
          <w:tcPr>
            <w:tcW w:w="2268" w:type="dxa"/>
          </w:tcPr>
          <w:p w:rsidR="006D2B39" w:rsidRPr="00040E7D"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168</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bCs/>
                <w:sz w:val="18"/>
                <w:szCs w:val="18"/>
                <w:lang w:val="en-IE"/>
              </w:rPr>
            </w:pPr>
            <w:r w:rsidRPr="005B1DE1">
              <w:rPr>
                <w:rFonts w:ascii="Arial" w:hAnsi="Arial" w:cs="Arial"/>
                <w:color w:val="000000"/>
                <w:spacing w:val="-5"/>
                <w:sz w:val="18"/>
                <w:szCs w:val="18"/>
              </w:rPr>
              <w:t>1,902</w:t>
            </w:r>
          </w:p>
        </w:tc>
      </w:tr>
      <w:tr w:rsidR="006D2B39" w:rsidRPr="00040E7D" w:rsidTr="00027DF8">
        <w:trPr>
          <w:trHeight w:hRule="exact" w:val="284"/>
        </w:trPr>
        <w:tc>
          <w:tcPr>
            <w:tcW w:w="5954" w:type="dxa"/>
            <w:tcBorders>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rPr>
                <w:rFonts w:ascii="Arial" w:hAnsi="Arial" w:cs="Arial"/>
                <w:bCs/>
                <w:sz w:val="18"/>
                <w:szCs w:val="18"/>
                <w:lang w:val="en-IE"/>
              </w:rPr>
            </w:pPr>
            <w:r w:rsidRPr="006010C1">
              <w:rPr>
                <w:rFonts w:ascii="Arial" w:hAnsi="Arial" w:cs="Arial"/>
                <w:bCs/>
                <w:sz w:val="18"/>
                <w:szCs w:val="18"/>
                <w:lang w:val="en-IE"/>
              </w:rPr>
              <w:t>Provisions for other liabilities</w:t>
            </w:r>
          </w:p>
        </w:tc>
        <w:tc>
          <w:tcPr>
            <w:tcW w:w="2268" w:type="dxa"/>
            <w:tcBorders>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jc w:val="right"/>
              <w:rPr>
                <w:rFonts w:ascii="Arial" w:hAnsi="Arial" w:cs="Arial"/>
                <w:bCs/>
                <w:sz w:val="18"/>
                <w:szCs w:val="18"/>
                <w:lang w:val="en-IE"/>
              </w:rPr>
            </w:pPr>
          </w:p>
        </w:tc>
        <w:tc>
          <w:tcPr>
            <w:tcW w:w="1417" w:type="dxa"/>
            <w:tcBorders>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4,539</w:t>
            </w:r>
          </w:p>
        </w:tc>
        <w:tc>
          <w:tcPr>
            <w:tcW w:w="1276" w:type="dxa"/>
            <w:tcBorders>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bCs/>
                <w:sz w:val="18"/>
                <w:szCs w:val="18"/>
                <w:lang w:val="en-IE"/>
              </w:rPr>
            </w:pPr>
            <w:r w:rsidRPr="005B1DE1">
              <w:rPr>
                <w:rFonts w:ascii="Arial" w:hAnsi="Arial" w:cs="Arial"/>
                <w:color w:val="000000"/>
                <w:spacing w:val="-5"/>
                <w:sz w:val="18"/>
                <w:szCs w:val="18"/>
              </w:rPr>
              <w:t>2,445</w:t>
            </w:r>
          </w:p>
        </w:tc>
      </w:tr>
      <w:tr w:rsidR="006D2B39" w:rsidRPr="00040E7D" w:rsidTr="00027DF8">
        <w:trPr>
          <w:trHeight w:hRule="exact" w:val="284"/>
        </w:trPr>
        <w:tc>
          <w:tcPr>
            <w:tcW w:w="5954"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sz w:val="18"/>
                <w:szCs w:val="18"/>
                <w:lang w:val="en-IE"/>
              </w:rPr>
              <w:t>Total current liabilities</w:t>
            </w:r>
          </w:p>
        </w:tc>
        <w:tc>
          <w:tcPr>
            <w:tcW w:w="2268"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tcBorders>
              <w:top w:val="single" w:sz="4" w:space="0" w:color="auto"/>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23,946</w:t>
            </w:r>
          </w:p>
        </w:tc>
        <w:tc>
          <w:tcPr>
            <w:tcW w:w="1276" w:type="dxa"/>
            <w:tcBorders>
              <w:top w:val="single" w:sz="4" w:space="0" w:color="auto"/>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26,898</w:t>
            </w:r>
          </w:p>
        </w:tc>
      </w:tr>
      <w:tr w:rsidR="006D2B39" w:rsidRPr="00040E7D" w:rsidTr="00027DF8">
        <w:trPr>
          <w:trHeight w:hRule="exact" w:val="284"/>
        </w:trPr>
        <w:tc>
          <w:tcPr>
            <w:tcW w:w="5954"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Total liabilities</w:t>
            </w:r>
          </w:p>
        </w:tc>
        <w:tc>
          <w:tcPr>
            <w:tcW w:w="2268" w:type="dxa"/>
            <w:tcBorders>
              <w:top w:val="single" w:sz="4" w:space="0" w:color="auto"/>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rPr>
                <w:rFonts w:ascii="Arial" w:hAnsi="Arial" w:cs="Arial"/>
                <w:b/>
                <w:bCs/>
                <w:sz w:val="18"/>
                <w:szCs w:val="18"/>
                <w:highlight w:val="yellow"/>
                <w:lang w:val="en-IE"/>
              </w:rPr>
            </w:pPr>
          </w:p>
        </w:tc>
        <w:tc>
          <w:tcPr>
            <w:tcW w:w="1417" w:type="dxa"/>
            <w:tcBorders>
              <w:top w:val="single" w:sz="4" w:space="0" w:color="auto"/>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26,647</w:t>
            </w:r>
          </w:p>
        </w:tc>
        <w:tc>
          <w:tcPr>
            <w:tcW w:w="1276" w:type="dxa"/>
            <w:tcBorders>
              <w:top w:val="single" w:sz="4" w:space="0" w:color="auto"/>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30,253</w:t>
            </w:r>
          </w:p>
        </w:tc>
      </w:tr>
      <w:tr w:rsidR="006D2B39" w:rsidRPr="00040E7D" w:rsidTr="00027DF8">
        <w:trPr>
          <w:trHeight w:hRule="exact" w:val="284"/>
        </w:trPr>
        <w:tc>
          <w:tcPr>
            <w:tcW w:w="5954" w:type="dxa"/>
            <w:tcBorders>
              <w:top w:val="single" w:sz="4" w:space="0" w:color="auto"/>
              <w:bottom w:val="single" w:sz="12"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Net assets</w:t>
            </w:r>
          </w:p>
        </w:tc>
        <w:tc>
          <w:tcPr>
            <w:tcW w:w="2268" w:type="dxa"/>
            <w:tcBorders>
              <w:top w:val="single" w:sz="4" w:space="0" w:color="auto"/>
              <w:bottom w:val="single" w:sz="12"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
                <w:bCs/>
                <w:sz w:val="18"/>
                <w:szCs w:val="18"/>
                <w:highlight w:val="yellow"/>
                <w:lang w:val="en-IE"/>
              </w:rPr>
            </w:pPr>
          </w:p>
        </w:tc>
        <w:tc>
          <w:tcPr>
            <w:tcW w:w="1417" w:type="dxa"/>
            <w:tcBorders>
              <w:top w:val="single" w:sz="4" w:space="0" w:color="auto"/>
              <w:bottom w:val="single" w:sz="12"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74,716</w:t>
            </w:r>
          </w:p>
        </w:tc>
        <w:tc>
          <w:tcPr>
            <w:tcW w:w="1276" w:type="dxa"/>
            <w:tcBorders>
              <w:top w:val="single" w:sz="4" w:space="0" w:color="auto"/>
              <w:bottom w:val="single" w:sz="12"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80,206</w:t>
            </w:r>
          </w:p>
        </w:tc>
      </w:tr>
      <w:tr w:rsidR="006D2B39" w:rsidRPr="00040E7D" w:rsidTr="00027DF8">
        <w:trPr>
          <w:trHeight w:hRule="exact" w:val="284"/>
        </w:trPr>
        <w:tc>
          <w:tcPr>
            <w:tcW w:w="5954" w:type="dxa"/>
            <w:tcBorders>
              <w:top w:val="single" w:sz="12"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rPr>
                <w:rFonts w:ascii="Arial" w:hAnsi="Arial" w:cs="Arial"/>
                <w:b/>
                <w:bCs/>
                <w:sz w:val="18"/>
                <w:szCs w:val="18"/>
                <w:lang w:val="en-IE"/>
              </w:rPr>
            </w:pPr>
          </w:p>
        </w:tc>
        <w:tc>
          <w:tcPr>
            <w:tcW w:w="2268" w:type="dxa"/>
            <w:tcBorders>
              <w:top w:val="single" w:sz="12"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tcBorders>
              <w:top w:val="single" w:sz="12" w:space="0" w:color="auto"/>
            </w:tcBorders>
            <w:shd w:val="clear" w:color="auto" w:fill="auto"/>
          </w:tcPr>
          <w:p w:rsidR="006D2B39" w:rsidRPr="001972EA"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Borders>
              <w:top w:val="single" w:sz="12"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EQUITY</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highlight w:val="yellow"/>
                <w:lang w:val="en-IE"/>
              </w:rPr>
            </w:pPr>
          </w:p>
        </w:tc>
        <w:tc>
          <w:tcPr>
            <w:tcW w:w="1417" w:type="dxa"/>
            <w:shd w:val="clear" w:color="auto" w:fill="auto"/>
          </w:tcPr>
          <w:p w:rsidR="006D2B39" w:rsidRPr="001972EA"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Cs/>
                <w:sz w:val="18"/>
                <w:szCs w:val="18"/>
                <w:lang w:val="en-IE"/>
              </w:rPr>
            </w:pPr>
            <w:r>
              <w:rPr>
                <w:rFonts w:ascii="Arial" w:hAnsi="Arial" w:cs="Arial"/>
                <w:bCs/>
                <w:sz w:val="18"/>
                <w:szCs w:val="18"/>
                <w:lang w:val="en-IE"/>
              </w:rPr>
              <w:t>Ordinary s</w:t>
            </w:r>
            <w:r w:rsidRPr="006010C1">
              <w:rPr>
                <w:rFonts w:ascii="Arial" w:hAnsi="Arial" w:cs="Arial"/>
                <w:bCs/>
                <w:sz w:val="18"/>
                <w:szCs w:val="18"/>
                <w:lang w:val="en-IE"/>
              </w:rPr>
              <w:t xml:space="preserve">hare </w:t>
            </w:r>
            <w:r>
              <w:rPr>
                <w:rFonts w:ascii="Arial" w:hAnsi="Arial" w:cs="Arial"/>
                <w:bCs/>
                <w:sz w:val="18"/>
                <w:szCs w:val="18"/>
                <w:lang w:val="en-IE"/>
              </w:rPr>
              <w:t>capital presented as equity</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jc w:val="right"/>
              <w:rPr>
                <w:rFonts w:ascii="Arial" w:hAnsi="Arial" w:cs="Arial"/>
                <w:bCs/>
                <w:sz w:val="18"/>
                <w:szCs w:val="18"/>
                <w:lang w:val="en-IE"/>
              </w:rPr>
            </w:pPr>
          </w:p>
        </w:tc>
        <w:tc>
          <w:tcPr>
            <w:tcW w:w="1417" w:type="dxa"/>
            <w:shd w:val="clear" w:color="auto" w:fill="auto"/>
          </w:tcPr>
          <w:p w:rsidR="006D2B39" w:rsidRPr="005B1DE1" w:rsidRDefault="006D2B39" w:rsidP="0060745C">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jc w:val="right"/>
              <w:rPr>
                <w:rFonts w:ascii="Arial" w:hAnsi="Arial" w:cs="Arial"/>
                <w:b/>
                <w:bCs/>
                <w:sz w:val="18"/>
                <w:szCs w:val="18"/>
                <w:lang w:val="en-IE"/>
              </w:rPr>
            </w:pPr>
            <w:r w:rsidRPr="005B1DE1">
              <w:rPr>
                <w:rFonts w:ascii="Arial" w:hAnsi="Arial" w:cs="Arial"/>
                <w:b/>
                <w:color w:val="000000"/>
                <w:spacing w:val="-5"/>
                <w:sz w:val="18"/>
                <w:szCs w:val="18"/>
              </w:rPr>
              <w:t>10,093</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bCs/>
                <w:sz w:val="18"/>
                <w:szCs w:val="18"/>
                <w:lang w:val="en-IE"/>
              </w:rPr>
              <w:t>10,093</w:t>
            </w: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Cs/>
                <w:sz w:val="18"/>
                <w:szCs w:val="18"/>
                <w:lang w:val="en-IE"/>
              </w:rPr>
            </w:pPr>
            <w:r w:rsidRPr="006010C1">
              <w:rPr>
                <w:rFonts w:ascii="Arial" w:hAnsi="Arial" w:cs="Arial"/>
                <w:bCs/>
                <w:sz w:val="18"/>
                <w:szCs w:val="18"/>
                <w:lang w:val="en-IE"/>
              </w:rPr>
              <w:t>Share premium</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autoSpaceDE w:val="0"/>
              <w:autoSpaceDN w:val="0"/>
              <w:adjustRightInd w:val="0"/>
              <w:jc w:val="right"/>
              <w:rPr>
                <w:rFonts w:ascii="Arial" w:hAnsi="Arial" w:cs="Arial"/>
                <w:b/>
                <w:sz w:val="18"/>
                <w:szCs w:val="18"/>
                <w:lang w:val="en-US"/>
              </w:rPr>
            </w:pPr>
            <w:r w:rsidRPr="005B1DE1">
              <w:rPr>
                <w:rFonts w:ascii="Arial" w:hAnsi="Arial" w:cs="Arial"/>
                <w:b/>
                <w:color w:val="000000"/>
                <w:spacing w:val="-5"/>
                <w:sz w:val="18"/>
                <w:szCs w:val="18"/>
              </w:rPr>
              <w:t>82,404</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sz w:val="18"/>
                <w:szCs w:val="18"/>
                <w:lang w:val="en-US"/>
              </w:rPr>
              <w:t>82,404</w:t>
            </w:r>
          </w:p>
        </w:tc>
      </w:tr>
      <w:tr w:rsidR="006D2B39" w:rsidRPr="00040E7D" w:rsidTr="00027DF8">
        <w:trPr>
          <w:trHeight w:hRule="exact" w:val="284"/>
        </w:trPr>
        <w:tc>
          <w:tcPr>
            <w:tcW w:w="5954"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Cs/>
                <w:sz w:val="18"/>
                <w:szCs w:val="18"/>
                <w:lang w:val="en-IE"/>
              </w:rPr>
            </w:pPr>
            <w:r w:rsidRPr="006010C1">
              <w:rPr>
                <w:rFonts w:ascii="Arial" w:hAnsi="Arial" w:cs="Arial"/>
                <w:bCs/>
                <w:sz w:val="18"/>
                <w:szCs w:val="18"/>
                <w:lang w:val="en-IE"/>
              </w:rPr>
              <w:t>Other reserves</w:t>
            </w:r>
          </w:p>
        </w:tc>
        <w:tc>
          <w:tcPr>
            <w:tcW w:w="2268" w:type="dxa"/>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jc w:val="right"/>
              <w:rPr>
                <w:rFonts w:ascii="Arial" w:hAnsi="Arial" w:cs="Arial"/>
                <w:bCs/>
                <w:sz w:val="18"/>
                <w:szCs w:val="18"/>
                <w:lang w:val="en-IE"/>
              </w:rPr>
            </w:pPr>
          </w:p>
        </w:tc>
        <w:tc>
          <w:tcPr>
            <w:tcW w:w="1417" w:type="dxa"/>
            <w:shd w:val="clear" w:color="auto" w:fill="auto"/>
          </w:tcPr>
          <w:p w:rsidR="006D2B39" w:rsidRPr="005B1DE1" w:rsidRDefault="006D2B39" w:rsidP="0060745C">
            <w:pPr>
              <w:widowControl w:val="0"/>
              <w:autoSpaceDE w:val="0"/>
              <w:autoSpaceDN w:val="0"/>
              <w:adjustRightInd w:val="0"/>
              <w:jc w:val="right"/>
              <w:rPr>
                <w:rFonts w:ascii="Arial" w:hAnsi="Arial" w:cs="Arial"/>
                <w:b/>
                <w:sz w:val="18"/>
                <w:szCs w:val="18"/>
                <w:lang w:val="en-US"/>
              </w:rPr>
            </w:pPr>
            <w:r w:rsidRPr="005B1DE1">
              <w:rPr>
                <w:rFonts w:ascii="Arial" w:hAnsi="Arial" w:cs="Arial"/>
                <w:b/>
                <w:color w:val="000000"/>
                <w:spacing w:val="-5"/>
                <w:sz w:val="18"/>
                <w:szCs w:val="18"/>
              </w:rPr>
              <w:t>(14,118)</w:t>
            </w:r>
          </w:p>
        </w:tc>
        <w:tc>
          <w:tcPr>
            <w:tcW w:w="1276" w:type="dxa"/>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sz w:val="18"/>
                <w:szCs w:val="18"/>
                <w:lang w:val="en-US"/>
              </w:rPr>
              <w:t>(14,054)</w:t>
            </w:r>
          </w:p>
        </w:tc>
      </w:tr>
      <w:tr w:rsidR="006D2B39" w:rsidRPr="00040E7D" w:rsidTr="00027DF8">
        <w:trPr>
          <w:trHeight w:hRule="exact" w:val="284"/>
        </w:trPr>
        <w:tc>
          <w:tcPr>
            <w:tcW w:w="5954" w:type="dxa"/>
            <w:tcBorders>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autoSpaceDE w:val="0"/>
              <w:autoSpaceDN w:val="0"/>
              <w:adjustRightInd w:val="0"/>
              <w:spacing w:after="200" w:line="276" w:lineRule="auto"/>
              <w:rPr>
                <w:rFonts w:ascii="Arial" w:hAnsi="Arial" w:cs="Arial"/>
                <w:bCs/>
                <w:sz w:val="18"/>
                <w:szCs w:val="18"/>
                <w:lang w:val="en-IE"/>
              </w:rPr>
            </w:pPr>
            <w:r w:rsidRPr="006010C1">
              <w:rPr>
                <w:rFonts w:ascii="Arial" w:hAnsi="Arial" w:cs="Arial"/>
                <w:bCs/>
                <w:sz w:val="18"/>
                <w:szCs w:val="18"/>
                <w:lang w:val="en-IE"/>
              </w:rPr>
              <w:t>Retained earnings</w:t>
            </w:r>
          </w:p>
        </w:tc>
        <w:tc>
          <w:tcPr>
            <w:tcW w:w="2268" w:type="dxa"/>
            <w:tcBorders>
              <w:bottom w:val="single" w:sz="4"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lang w:val="en-IE"/>
              </w:rPr>
            </w:pPr>
          </w:p>
        </w:tc>
        <w:tc>
          <w:tcPr>
            <w:tcW w:w="1417" w:type="dxa"/>
            <w:tcBorders>
              <w:bottom w:val="single" w:sz="4"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(3,663)</w:t>
            </w:r>
          </w:p>
        </w:tc>
        <w:tc>
          <w:tcPr>
            <w:tcW w:w="1276" w:type="dxa"/>
            <w:tcBorders>
              <w:bottom w:val="single" w:sz="4"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1,763</w:t>
            </w:r>
          </w:p>
        </w:tc>
      </w:tr>
      <w:tr w:rsidR="006D2B39" w:rsidRPr="00040E7D" w:rsidTr="00027DF8">
        <w:trPr>
          <w:trHeight w:hRule="exact" w:val="284"/>
        </w:trPr>
        <w:tc>
          <w:tcPr>
            <w:tcW w:w="5954" w:type="dxa"/>
            <w:tcBorders>
              <w:top w:val="single" w:sz="4" w:space="0" w:color="auto"/>
              <w:bottom w:val="single" w:sz="12" w:space="0" w:color="auto"/>
            </w:tcBorders>
          </w:tcPr>
          <w:p w:rsidR="006D2B39" w:rsidRPr="006010C1" w:rsidRDefault="006D2B39" w:rsidP="006D2B39">
            <w:pPr>
              <w:widowControl w:val="0"/>
              <w:suppressAutoHyphens/>
              <w:autoSpaceDE w:val="0"/>
              <w:autoSpaceDN w:val="0"/>
              <w:adjustRightInd w:val="0"/>
              <w:spacing w:line="200" w:lineRule="atLeast"/>
              <w:textAlignment w:val="center"/>
              <w:rPr>
                <w:rFonts w:ascii="Arial" w:hAnsi="Arial" w:cs="Arial"/>
                <w:b/>
                <w:bCs/>
                <w:sz w:val="18"/>
                <w:szCs w:val="18"/>
                <w:lang w:val="en-IE"/>
              </w:rPr>
            </w:pPr>
            <w:r w:rsidRPr="006010C1">
              <w:rPr>
                <w:rFonts w:ascii="Arial" w:hAnsi="Arial" w:cs="Arial"/>
                <w:b/>
                <w:bCs/>
                <w:sz w:val="18"/>
                <w:szCs w:val="18"/>
                <w:lang w:val="en-IE"/>
              </w:rPr>
              <w:t>Total equity</w:t>
            </w:r>
          </w:p>
        </w:tc>
        <w:tc>
          <w:tcPr>
            <w:tcW w:w="2268" w:type="dxa"/>
            <w:tcBorders>
              <w:top w:val="single" w:sz="4" w:space="0" w:color="auto"/>
              <w:bottom w:val="single" w:sz="12" w:space="0" w:color="auto"/>
            </w:tcBorders>
          </w:tcPr>
          <w:p w:rsidR="006D2B39" w:rsidRPr="006010C1" w:rsidRDefault="006D2B39" w:rsidP="006D2B39">
            <w:pPr>
              <w:tabs>
                <w:tab w:val="left" w:pos="4140"/>
                <w:tab w:val="right" w:pos="5103"/>
                <w:tab w:val="right" w:pos="5954"/>
                <w:tab w:val="right" w:pos="7655"/>
                <w:tab w:val="right" w:pos="8930"/>
                <w:tab w:val="right" w:pos="10206"/>
                <w:tab w:val="right" w:pos="11482"/>
                <w:tab w:val="right" w:pos="12758"/>
                <w:tab w:val="right" w:pos="14033"/>
                <w:tab w:val="right" w:pos="15309"/>
              </w:tabs>
              <w:spacing w:after="200" w:line="276" w:lineRule="auto"/>
              <w:jc w:val="right"/>
              <w:rPr>
                <w:rFonts w:ascii="Arial" w:hAnsi="Arial" w:cs="Arial"/>
                <w:bCs/>
                <w:sz w:val="18"/>
                <w:szCs w:val="18"/>
                <w:lang w:val="en-IE"/>
              </w:rPr>
            </w:pPr>
          </w:p>
        </w:tc>
        <w:tc>
          <w:tcPr>
            <w:tcW w:w="1417" w:type="dxa"/>
            <w:tcBorders>
              <w:top w:val="single" w:sz="4" w:space="0" w:color="auto"/>
              <w:bottom w:val="single" w:sz="12" w:space="0" w:color="auto"/>
            </w:tcBorders>
            <w:shd w:val="clear" w:color="auto" w:fill="auto"/>
          </w:tcPr>
          <w:p w:rsidR="006D2B39" w:rsidRPr="005B1DE1" w:rsidRDefault="006D2B39" w:rsidP="0060745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74,716</w:t>
            </w:r>
          </w:p>
        </w:tc>
        <w:tc>
          <w:tcPr>
            <w:tcW w:w="1276" w:type="dxa"/>
            <w:tcBorders>
              <w:top w:val="single" w:sz="4" w:space="0" w:color="auto"/>
              <w:bottom w:val="single" w:sz="12" w:space="0" w:color="auto"/>
            </w:tcBorders>
          </w:tcPr>
          <w:p w:rsidR="006D2B39" w:rsidRPr="005B1DE1" w:rsidRDefault="006D2B39" w:rsidP="006D2B39">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80,206</w:t>
            </w:r>
          </w:p>
        </w:tc>
      </w:tr>
    </w:tbl>
    <w:p w:rsidR="00254A2F" w:rsidRPr="006C3343" w:rsidRDefault="00254A2F" w:rsidP="00254A2F">
      <w:pPr>
        <w:tabs>
          <w:tab w:val="left" w:pos="3870"/>
          <w:tab w:val="right" w:pos="5103"/>
          <w:tab w:val="right" w:pos="5954"/>
          <w:tab w:val="right" w:pos="7290"/>
          <w:tab w:val="left" w:pos="7920"/>
          <w:tab w:val="right" w:pos="8930"/>
          <w:tab w:val="right" w:pos="10206"/>
          <w:tab w:val="right" w:pos="11482"/>
          <w:tab w:val="right" w:pos="12758"/>
          <w:tab w:val="right" w:pos="14033"/>
          <w:tab w:val="right" w:pos="15309"/>
        </w:tabs>
        <w:spacing w:after="0" w:line="240" w:lineRule="auto"/>
        <w:rPr>
          <w:rFonts w:ascii="Arial" w:hAnsi="Arial" w:cs="Arial"/>
          <w:bCs/>
          <w:sz w:val="20"/>
          <w:szCs w:val="20"/>
          <w:lang w:val="en-IE"/>
        </w:rPr>
      </w:pPr>
    </w:p>
    <w:p w:rsidR="007F24C9" w:rsidRPr="006C3343" w:rsidRDefault="007F24C9" w:rsidP="007F24C9">
      <w:pPr>
        <w:tabs>
          <w:tab w:val="left" w:pos="3870"/>
          <w:tab w:val="right" w:pos="5103"/>
          <w:tab w:val="right" w:pos="5954"/>
          <w:tab w:val="right" w:pos="7290"/>
          <w:tab w:val="left" w:pos="7920"/>
          <w:tab w:val="right" w:pos="8930"/>
          <w:tab w:val="right" w:pos="10206"/>
          <w:tab w:val="right" w:pos="11482"/>
          <w:tab w:val="right" w:pos="12758"/>
          <w:tab w:val="right" w:pos="14033"/>
          <w:tab w:val="right" w:pos="15309"/>
        </w:tabs>
        <w:spacing w:after="0" w:line="240" w:lineRule="auto"/>
        <w:rPr>
          <w:rFonts w:ascii="Arial" w:hAnsi="Arial" w:cs="Arial"/>
          <w:b/>
          <w:bCs/>
          <w:sz w:val="20"/>
          <w:szCs w:val="20"/>
          <w:lang w:val="en-IE"/>
        </w:rPr>
      </w:pPr>
    </w:p>
    <w:p w:rsidR="00AE0383" w:rsidRPr="006C3343" w:rsidRDefault="00AE0383">
      <w:pPr>
        <w:rPr>
          <w:rFonts w:ascii="Arial" w:hAnsi="Arial" w:cs="Arial"/>
          <w:b/>
          <w:bCs/>
          <w:sz w:val="20"/>
          <w:szCs w:val="20"/>
          <w:lang w:val="en-IE"/>
        </w:rPr>
      </w:pPr>
      <w:bookmarkStart w:id="10" w:name="_Toc255821614"/>
      <w:bookmarkStart w:id="11" w:name="OLE_LINK21"/>
      <w:bookmarkStart w:id="12" w:name="OLE_LINK22"/>
    </w:p>
    <w:p w:rsidR="00BE58A5" w:rsidRPr="00E65E93" w:rsidRDefault="00E00494" w:rsidP="008907B5">
      <w:pPr>
        <w:pStyle w:val="Heading1"/>
        <w:spacing w:before="0"/>
        <w:rPr>
          <w:rFonts w:ascii="Arial" w:eastAsiaTheme="minorEastAsia" w:hAnsi="Arial" w:cs="Arial"/>
          <w:b w:val="0"/>
          <w:bCs w:val="0"/>
          <w:color w:val="808080" w:themeColor="background1" w:themeShade="80"/>
          <w:lang w:val="en-IE"/>
        </w:rPr>
      </w:pPr>
      <w:r w:rsidRPr="00E65E93">
        <w:rPr>
          <w:rFonts w:ascii="Arial" w:eastAsiaTheme="minorEastAsia" w:hAnsi="Arial" w:cs="Arial"/>
          <w:b w:val="0"/>
          <w:bCs w:val="0"/>
          <w:color w:val="808080" w:themeColor="background1" w:themeShade="80"/>
          <w:lang w:val="en-IE"/>
        </w:rPr>
        <w:t xml:space="preserve">Consolidated </w:t>
      </w:r>
      <w:r w:rsidR="00626B84" w:rsidRPr="00E65E93">
        <w:rPr>
          <w:rFonts w:ascii="Arial" w:eastAsiaTheme="minorEastAsia" w:hAnsi="Arial" w:cs="Arial"/>
          <w:b w:val="0"/>
          <w:bCs w:val="0"/>
          <w:color w:val="808080" w:themeColor="background1" w:themeShade="80"/>
          <w:lang w:val="en-IE"/>
        </w:rPr>
        <w:t xml:space="preserve">Statement of </w:t>
      </w:r>
      <w:r w:rsidRPr="00E65E93">
        <w:rPr>
          <w:rFonts w:ascii="Arial" w:eastAsiaTheme="minorEastAsia" w:hAnsi="Arial" w:cs="Arial"/>
          <w:b w:val="0"/>
          <w:bCs w:val="0"/>
          <w:color w:val="808080" w:themeColor="background1" w:themeShade="80"/>
          <w:lang w:val="en-IE"/>
        </w:rPr>
        <w:t>Cash Flow</w:t>
      </w:r>
      <w:r w:rsidR="00626B84" w:rsidRPr="00E65E93">
        <w:rPr>
          <w:rFonts w:ascii="Arial" w:eastAsiaTheme="minorEastAsia" w:hAnsi="Arial" w:cs="Arial"/>
          <w:b w:val="0"/>
          <w:bCs w:val="0"/>
          <w:color w:val="808080" w:themeColor="background1" w:themeShade="80"/>
          <w:lang w:val="en-IE"/>
        </w:rPr>
        <w:t>s</w:t>
      </w:r>
      <w:r w:rsidRPr="00E65E93">
        <w:rPr>
          <w:rFonts w:ascii="Arial" w:eastAsiaTheme="minorEastAsia" w:hAnsi="Arial" w:cs="Arial"/>
          <w:b w:val="0"/>
          <w:bCs w:val="0"/>
          <w:color w:val="808080" w:themeColor="background1" w:themeShade="80"/>
          <w:lang w:val="en-IE"/>
        </w:rPr>
        <w:t xml:space="preserve"> </w:t>
      </w:r>
      <w:bookmarkEnd w:id="10"/>
    </w:p>
    <w:p w:rsidR="00254A2F" w:rsidRPr="006C3343" w:rsidRDefault="004A108E" w:rsidP="00254A2F">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4"/>
          <w:szCs w:val="24"/>
          <w:lang w:val="en-IE"/>
        </w:rPr>
      </w:pPr>
      <w:r w:rsidRPr="006C3343">
        <w:rPr>
          <w:rFonts w:ascii="Arial" w:hAnsi="Arial" w:cs="Arial"/>
          <w:b/>
          <w:color w:val="1F497D" w:themeColor="text2"/>
          <w:sz w:val="24"/>
          <w:szCs w:val="24"/>
          <w:lang w:val="en-IE"/>
        </w:rPr>
        <w:t>Y</w:t>
      </w:r>
      <w:r w:rsidR="00667E14" w:rsidRPr="006C3343">
        <w:rPr>
          <w:rFonts w:ascii="Arial" w:hAnsi="Arial" w:cs="Arial"/>
          <w:b/>
          <w:color w:val="1F497D" w:themeColor="text2"/>
          <w:sz w:val="24"/>
          <w:szCs w:val="24"/>
          <w:lang w:val="en-IE"/>
        </w:rPr>
        <w:t>ear</w:t>
      </w:r>
      <w:r w:rsidR="00E00494" w:rsidRPr="006C3343">
        <w:rPr>
          <w:rFonts w:ascii="Arial" w:hAnsi="Arial" w:cs="Arial"/>
          <w:b/>
          <w:color w:val="1F497D" w:themeColor="text2"/>
          <w:sz w:val="24"/>
          <w:szCs w:val="24"/>
          <w:lang w:val="en-IE"/>
        </w:rPr>
        <w:t xml:space="preserve"> </w:t>
      </w:r>
      <w:r w:rsidR="0009454C" w:rsidRPr="006C3343">
        <w:rPr>
          <w:rFonts w:ascii="Arial" w:hAnsi="Arial" w:cs="Arial"/>
          <w:b/>
          <w:color w:val="1F497D" w:themeColor="text2"/>
          <w:sz w:val="24"/>
          <w:szCs w:val="24"/>
          <w:lang w:val="en-IE"/>
        </w:rPr>
        <w:t>e</w:t>
      </w:r>
      <w:r w:rsidR="00E00494" w:rsidRPr="006C3343">
        <w:rPr>
          <w:rFonts w:ascii="Arial" w:hAnsi="Arial" w:cs="Arial"/>
          <w:b/>
          <w:color w:val="1F497D" w:themeColor="text2"/>
          <w:sz w:val="24"/>
          <w:szCs w:val="24"/>
          <w:lang w:val="en-IE"/>
        </w:rPr>
        <w:t xml:space="preserve">nded 31 December </w:t>
      </w:r>
      <w:r w:rsidR="005E11D6" w:rsidRPr="006C3343">
        <w:rPr>
          <w:rFonts w:ascii="Arial" w:hAnsi="Arial" w:cs="Arial"/>
          <w:b/>
          <w:color w:val="1F497D" w:themeColor="text2"/>
          <w:sz w:val="24"/>
          <w:szCs w:val="24"/>
          <w:lang w:val="en-IE"/>
        </w:rPr>
        <w:t>201</w:t>
      </w:r>
      <w:r w:rsidR="00494514">
        <w:rPr>
          <w:rFonts w:ascii="Arial" w:hAnsi="Arial" w:cs="Arial"/>
          <w:b/>
          <w:color w:val="1F497D" w:themeColor="text2"/>
          <w:sz w:val="24"/>
          <w:szCs w:val="24"/>
          <w:lang w:val="en-IE"/>
        </w:rPr>
        <w:t>7</w:t>
      </w:r>
    </w:p>
    <w:p w:rsidR="0009454C" w:rsidRPr="006C3343" w:rsidRDefault="0009454C" w:rsidP="00254A2F">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0"/>
          <w:szCs w:val="20"/>
          <w:lang w:val="en-IE"/>
        </w:rPr>
      </w:pPr>
    </w:p>
    <w:p w:rsidR="0009454C" w:rsidRPr="006C3343" w:rsidRDefault="0009454C" w:rsidP="00254A2F">
      <w:pPr>
        <w:tabs>
          <w:tab w:val="right" w:pos="5040"/>
          <w:tab w:val="left" w:pos="5400"/>
          <w:tab w:val="right" w:pos="6480"/>
          <w:tab w:val="center" w:pos="6840"/>
          <w:tab w:val="right" w:pos="7200"/>
          <w:tab w:val="right" w:pos="7920"/>
          <w:tab w:val="center" w:pos="8280"/>
          <w:tab w:val="right" w:pos="8640"/>
        </w:tabs>
        <w:spacing w:after="0" w:line="240" w:lineRule="auto"/>
        <w:jc w:val="both"/>
        <w:rPr>
          <w:rFonts w:ascii="Arial" w:hAnsi="Arial" w:cs="Arial"/>
          <w:b/>
          <w:color w:val="1F497D" w:themeColor="text2"/>
          <w:sz w:val="20"/>
          <w:szCs w:val="20"/>
          <w:lang w:val="en-IE"/>
        </w:rPr>
      </w:pPr>
    </w:p>
    <w:tbl>
      <w:tblPr>
        <w:tblStyle w:val="TableGrid"/>
        <w:tblW w:w="12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1827"/>
        <w:gridCol w:w="1409"/>
        <w:gridCol w:w="1382"/>
        <w:gridCol w:w="241"/>
        <w:gridCol w:w="760"/>
        <w:gridCol w:w="258"/>
      </w:tblGrid>
      <w:tr w:rsidR="00552873" w:rsidRPr="00040E7D" w:rsidTr="00027DF8">
        <w:trPr>
          <w:gridAfter w:val="3"/>
          <w:wAfter w:w="1259" w:type="dxa"/>
          <w:trHeight w:hRule="exact" w:val="262"/>
        </w:trPr>
        <w:tc>
          <w:tcPr>
            <w:tcW w:w="6306" w:type="dxa"/>
            <w:vAlign w:val="center"/>
          </w:tcPr>
          <w:p w:rsidR="002B36A5" w:rsidRPr="006010C1" w:rsidRDefault="002B36A5" w:rsidP="00EC46E6">
            <w:pPr>
              <w:spacing w:after="200" w:line="276" w:lineRule="auto"/>
              <w:rPr>
                <w:rFonts w:ascii="Arial" w:hAnsi="Arial" w:cs="Arial"/>
                <w:color w:val="1F497D" w:themeColor="text2"/>
                <w:sz w:val="18"/>
                <w:szCs w:val="18"/>
                <w:lang w:val="en-IE"/>
              </w:rPr>
            </w:pPr>
            <w:bookmarkStart w:id="13" w:name="OLE_LINK30"/>
            <w:bookmarkStart w:id="14" w:name="OLE_LINK31"/>
          </w:p>
        </w:tc>
        <w:tc>
          <w:tcPr>
            <w:tcW w:w="1827" w:type="dxa"/>
            <w:vAlign w:val="center"/>
          </w:tcPr>
          <w:p w:rsidR="002B36A5" w:rsidRPr="006010C1" w:rsidRDefault="00E00494" w:rsidP="00315549">
            <w:pPr>
              <w:spacing w:after="200" w:line="276" w:lineRule="auto"/>
              <w:jc w:val="center"/>
              <w:rPr>
                <w:rFonts w:ascii="Arial" w:hAnsi="Arial" w:cs="Arial"/>
                <w:color w:val="1F497D" w:themeColor="text2"/>
                <w:sz w:val="18"/>
                <w:szCs w:val="18"/>
                <w:lang w:val="en-IE"/>
              </w:rPr>
            </w:pPr>
            <w:r w:rsidRPr="006010C1">
              <w:rPr>
                <w:rFonts w:ascii="Arial" w:hAnsi="Arial" w:cs="Arial"/>
                <w:b/>
                <w:bCs/>
                <w:color w:val="1F497D" w:themeColor="text2"/>
                <w:sz w:val="18"/>
                <w:szCs w:val="18"/>
                <w:lang w:val="en-IE"/>
              </w:rPr>
              <w:t>Notes</w:t>
            </w:r>
          </w:p>
        </w:tc>
        <w:tc>
          <w:tcPr>
            <w:tcW w:w="1409" w:type="dxa"/>
            <w:shd w:val="clear" w:color="auto" w:fill="auto"/>
            <w:vAlign w:val="center"/>
          </w:tcPr>
          <w:p w:rsidR="00883930" w:rsidRPr="006010C1" w:rsidRDefault="005E11D6" w:rsidP="003234D3">
            <w:pPr>
              <w:spacing w:after="200" w:line="276" w:lineRule="auto"/>
              <w:jc w:val="right"/>
              <w:rPr>
                <w:rFonts w:ascii="Arial" w:hAnsi="Arial" w:cs="Arial"/>
                <w:b/>
                <w:color w:val="1F497D" w:themeColor="text2"/>
                <w:sz w:val="18"/>
                <w:szCs w:val="18"/>
                <w:lang w:val="en-IE"/>
              </w:rPr>
            </w:pPr>
            <w:r w:rsidRPr="006010C1">
              <w:rPr>
                <w:rFonts w:ascii="Arial" w:hAnsi="Arial" w:cs="Arial"/>
                <w:b/>
                <w:bCs/>
                <w:color w:val="1F497D" w:themeColor="text2"/>
                <w:sz w:val="18"/>
                <w:szCs w:val="18"/>
                <w:lang w:val="en-IE"/>
              </w:rPr>
              <w:t>201</w:t>
            </w:r>
            <w:r w:rsidR="00494514">
              <w:rPr>
                <w:rFonts w:ascii="Arial" w:hAnsi="Arial" w:cs="Arial"/>
                <w:b/>
                <w:bCs/>
                <w:color w:val="1F497D" w:themeColor="text2"/>
                <w:sz w:val="18"/>
                <w:szCs w:val="18"/>
                <w:lang w:val="en-IE"/>
              </w:rPr>
              <w:t>7</w:t>
            </w:r>
          </w:p>
        </w:tc>
        <w:tc>
          <w:tcPr>
            <w:tcW w:w="1382" w:type="dxa"/>
            <w:vAlign w:val="center"/>
          </w:tcPr>
          <w:p w:rsidR="00883930" w:rsidRPr="006010C1" w:rsidRDefault="005E11D6" w:rsidP="003234D3">
            <w:pPr>
              <w:spacing w:after="200" w:line="276" w:lineRule="auto"/>
              <w:jc w:val="right"/>
              <w:rPr>
                <w:rFonts w:ascii="Arial" w:hAnsi="Arial" w:cs="Arial"/>
                <w:color w:val="1F497D" w:themeColor="text2"/>
                <w:sz w:val="18"/>
                <w:szCs w:val="18"/>
                <w:lang w:val="en-IE"/>
              </w:rPr>
            </w:pPr>
            <w:r w:rsidRPr="006010C1">
              <w:rPr>
                <w:rFonts w:ascii="Arial" w:hAnsi="Arial" w:cs="Arial"/>
                <w:bCs/>
                <w:color w:val="1F497D" w:themeColor="text2"/>
                <w:sz w:val="18"/>
                <w:szCs w:val="18"/>
                <w:lang w:val="en-IE"/>
              </w:rPr>
              <w:t>201</w:t>
            </w:r>
            <w:r w:rsidR="00494514">
              <w:rPr>
                <w:rFonts w:ascii="Arial" w:hAnsi="Arial" w:cs="Arial"/>
                <w:bCs/>
                <w:color w:val="1F497D" w:themeColor="text2"/>
                <w:sz w:val="18"/>
                <w:szCs w:val="18"/>
                <w:lang w:val="en-IE"/>
              </w:rPr>
              <w:t>6</w:t>
            </w:r>
          </w:p>
        </w:tc>
      </w:tr>
      <w:tr w:rsidR="00552873" w:rsidRPr="00040E7D" w:rsidTr="00027DF8">
        <w:trPr>
          <w:gridAfter w:val="3"/>
          <w:wAfter w:w="1259" w:type="dxa"/>
          <w:trHeight w:hRule="exact" w:val="262"/>
        </w:trPr>
        <w:tc>
          <w:tcPr>
            <w:tcW w:w="6306" w:type="dxa"/>
            <w:vAlign w:val="center"/>
          </w:tcPr>
          <w:p w:rsidR="002B36A5" w:rsidRPr="006010C1" w:rsidRDefault="002B36A5" w:rsidP="00EC46E6">
            <w:pPr>
              <w:spacing w:after="200" w:line="276" w:lineRule="auto"/>
              <w:rPr>
                <w:rFonts w:ascii="Arial" w:hAnsi="Arial" w:cs="Arial"/>
                <w:b/>
                <w:bCs/>
                <w:color w:val="1F497D" w:themeColor="text2"/>
                <w:sz w:val="18"/>
                <w:szCs w:val="18"/>
                <w:lang w:val="en-IE"/>
              </w:rPr>
            </w:pPr>
          </w:p>
        </w:tc>
        <w:tc>
          <w:tcPr>
            <w:tcW w:w="1827" w:type="dxa"/>
            <w:vAlign w:val="center"/>
          </w:tcPr>
          <w:p w:rsidR="002B36A5" w:rsidRPr="006010C1" w:rsidRDefault="002B36A5" w:rsidP="00315549">
            <w:pPr>
              <w:tabs>
                <w:tab w:val="right" w:pos="5103"/>
                <w:tab w:val="right" w:pos="6521"/>
                <w:tab w:val="right" w:pos="7938"/>
                <w:tab w:val="right" w:pos="9356"/>
              </w:tabs>
              <w:spacing w:after="200" w:line="276" w:lineRule="auto"/>
              <w:jc w:val="center"/>
              <w:rPr>
                <w:rFonts w:ascii="Arial" w:hAnsi="Arial" w:cs="Arial"/>
                <w:color w:val="1F497D" w:themeColor="text2"/>
                <w:sz w:val="18"/>
                <w:szCs w:val="18"/>
                <w:lang w:val="en-IE"/>
              </w:rPr>
            </w:pPr>
          </w:p>
        </w:tc>
        <w:tc>
          <w:tcPr>
            <w:tcW w:w="1409" w:type="dxa"/>
            <w:shd w:val="clear" w:color="auto" w:fill="auto"/>
            <w:vAlign w:val="center"/>
          </w:tcPr>
          <w:p w:rsidR="002B36A5" w:rsidRPr="006010C1" w:rsidRDefault="00E00494" w:rsidP="00EC46E6">
            <w:pPr>
              <w:tabs>
                <w:tab w:val="right" w:pos="5103"/>
                <w:tab w:val="right" w:pos="6521"/>
                <w:tab w:val="right" w:pos="7938"/>
                <w:tab w:val="right" w:pos="9356"/>
              </w:tabs>
              <w:autoSpaceDE w:val="0"/>
              <w:autoSpaceDN w:val="0"/>
              <w:adjustRightInd w:val="0"/>
              <w:spacing w:after="200" w:line="276" w:lineRule="auto"/>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382" w:type="dxa"/>
            <w:vAlign w:val="center"/>
          </w:tcPr>
          <w:p w:rsidR="002B36A5" w:rsidRPr="006010C1" w:rsidRDefault="00E00494" w:rsidP="00251FE0">
            <w:pPr>
              <w:tabs>
                <w:tab w:val="right" w:pos="5103"/>
                <w:tab w:val="right" w:pos="6521"/>
                <w:tab w:val="right" w:pos="7938"/>
                <w:tab w:val="right" w:pos="9356"/>
              </w:tabs>
              <w:autoSpaceDE w:val="0"/>
              <w:autoSpaceDN w:val="0"/>
              <w:adjustRightInd w:val="0"/>
              <w:spacing w:after="200" w:line="276" w:lineRule="auto"/>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2B36A5" w:rsidRPr="00040E7D" w:rsidTr="00027DF8">
        <w:trPr>
          <w:gridAfter w:val="3"/>
          <w:wAfter w:w="1259" w:type="dxa"/>
          <w:trHeight w:hRule="exact" w:val="262"/>
        </w:trPr>
        <w:tc>
          <w:tcPr>
            <w:tcW w:w="6306" w:type="dxa"/>
          </w:tcPr>
          <w:p w:rsidR="002B36A5" w:rsidRPr="006010C1" w:rsidRDefault="00E00494" w:rsidP="00EC46E6">
            <w:pPr>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Cash flows from operating activities</w:t>
            </w:r>
            <w:r w:rsidRPr="006010C1">
              <w:rPr>
                <w:rFonts w:ascii="Arial" w:hAnsi="Arial" w:cs="Arial"/>
                <w:sz w:val="18"/>
                <w:szCs w:val="18"/>
                <w:lang w:val="en-IE"/>
              </w:rPr>
              <w:t xml:space="preserve"> </w:t>
            </w:r>
          </w:p>
        </w:tc>
        <w:tc>
          <w:tcPr>
            <w:tcW w:w="1827" w:type="dxa"/>
          </w:tcPr>
          <w:p w:rsidR="002B36A5" w:rsidRPr="006010C1" w:rsidRDefault="002B36A5" w:rsidP="00315549">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2B36A5" w:rsidRPr="006010C1" w:rsidRDefault="002B36A5" w:rsidP="00EC46E6">
            <w:pPr>
              <w:tabs>
                <w:tab w:val="right" w:pos="5103"/>
                <w:tab w:val="right" w:pos="6521"/>
                <w:tab w:val="right" w:pos="7938"/>
                <w:tab w:val="right" w:pos="9356"/>
              </w:tabs>
              <w:spacing w:after="200" w:line="276" w:lineRule="auto"/>
              <w:jc w:val="right"/>
              <w:rPr>
                <w:rFonts w:ascii="Arial" w:hAnsi="Arial" w:cs="Arial"/>
                <w:sz w:val="18"/>
                <w:szCs w:val="18"/>
                <w:lang w:val="en-IE"/>
              </w:rPr>
            </w:pPr>
          </w:p>
        </w:tc>
        <w:tc>
          <w:tcPr>
            <w:tcW w:w="1382" w:type="dxa"/>
          </w:tcPr>
          <w:p w:rsidR="002B36A5" w:rsidRPr="006010C1" w:rsidRDefault="002B36A5" w:rsidP="00251FE0">
            <w:pPr>
              <w:tabs>
                <w:tab w:val="right" w:pos="5103"/>
                <w:tab w:val="right" w:pos="6521"/>
                <w:tab w:val="right" w:pos="7938"/>
                <w:tab w:val="right" w:pos="9356"/>
              </w:tabs>
              <w:spacing w:after="200" w:line="276" w:lineRule="auto"/>
              <w:jc w:val="right"/>
              <w:rPr>
                <w:rFonts w:ascii="Arial" w:hAnsi="Arial" w:cs="Arial"/>
                <w:sz w:val="18"/>
                <w:szCs w:val="18"/>
                <w:lang w:val="en-IE"/>
              </w:rPr>
            </w:pP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bCs/>
                <w:sz w:val="18"/>
                <w:szCs w:val="18"/>
                <w:lang w:val="en-IE"/>
              </w:rPr>
            </w:pPr>
            <w:r w:rsidRPr="006010C1">
              <w:rPr>
                <w:rFonts w:ascii="Arial" w:hAnsi="Arial" w:cs="Arial"/>
                <w:bCs/>
                <w:sz w:val="18"/>
                <w:szCs w:val="18"/>
                <w:lang w:val="en-IE"/>
              </w:rPr>
              <w:t>Cash generated from operations</w:t>
            </w:r>
          </w:p>
        </w:tc>
        <w:tc>
          <w:tcPr>
            <w:tcW w:w="1827" w:type="dxa"/>
          </w:tcPr>
          <w:p w:rsidR="00494514" w:rsidRPr="006010C1" w:rsidRDefault="005A3314" w:rsidP="00494514">
            <w:pPr>
              <w:tabs>
                <w:tab w:val="right" w:pos="5103"/>
                <w:tab w:val="right" w:pos="6521"/>
                <w:tab w:val="right" w:pos="7938"/>
                <w:tab w:val="right" w:pos="9356"/>
              </w:tabs>
              <w:jc w:val="center"/>
              <w:rPr>
                <w:rFonts w:ascii="Arial" w:hAnsi="Arial" w:cs="Arial"/>
                <w:sz w:val="18"/>
                <w:szCs w:val="18"/>
                <w:lang w:val="en-IE"/>
              </w:rPr>
            </w:pPr>
            <w:r>
              <w:rPr>
                <w:rFonts w:ascii="Arial" w:hAnsi="Arial" w:cs="Arial"/>
                <w:sz w:val="18"/>
                <w:szCs w:val="18"/>
                <w:lang w:val="en-IE"/>
              </w:rPr>
              <w:t>8</w:t>
            </w: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10,132</w:t>
            </w:r>
          </w:p>
        </w:tc>
        <w:tc>
          <w:tcPr>
            <w:tcW w:w="1382" w:type="dxa"/>
          </w:tcPr>
          <w:p w:rsidR="00494514" w:rsidRPr="005B1DE1" w:rsidRDefault="00494514" w:rsidP="00494514">
            <w:pPr>
              <w:tabs>
                <w:tab w:val="right" w:pos="5103"/>
                <w:tab w:val="right" w:pos="6521"/>
                <w:tab w:val="right" w:pos="7938"/>
                <w:tab w:val="right" w:pos="9356"/>
              </w:tabs>
              <w:jc w:val="right"/>
              <w:rPr>
                <w:rFonts w:ascii="Arial" w:hAnsi="Arial" w:cs="Arial"/>
                <w:sz w:val="18"/>
                <w:szCs w:val="18"/>
                <w:lang w:val="en-IE"/>
              </w:rPr>
            </w:pPr>
            <w:r w:rsidRPr="005B1DE1">
              <w:rPr>
                <w:rFonts w:ascii="Arial" w:hAnsi="Arial" w:cs="Arial"/>
                <w:sz w:val="18"/>
                <w:szCs w:val="18"/>
                <w:lang w:val="en-IE"/>
              </w:rPr>
              <w:t>11,769</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bCs/>
                <w:sz w:val="18"/>
                <w:szCs w:val="18"/>
                <w:lang w:val="en-IE"/>
              </w:rPr>
            </w:pPr>
            <w:r>
              <w:rPr>
                <w:rFonts w:ascii="Arial" w:hAnsi="Arial" w:cs="Arial"/>
                <w:bCs/>
                <w:sz w:val="18"/>
                <w:szCs w:val="18"/>
                <w:lang w:val="en-IE"/>
              </w:rPr>
              <w:t>Exceptional items paid</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1972EA"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(6,650)</w:t>
            </w:r>
          </w:p>
        </w:tc>
        <w:tc>
          <w:tcPr>
            <w:tcW w:w="1382" w:type="dxa"/>
          </w:tcPr>
          <w:p w:rsidR="00494514" w:rsidRPr="005B1DE1" w:rsidRDefault="00BD34FF" w:rsidP="00494514">
            <w:pPr>
              <w:tabs>
                <w:tab w:val="right" w:pos="5103"/>
                <w:tab w:val="right" w:pos="6521"/>
                <w:tab w:val="right" w:pos="7938"/>
                <w:tab w:val="right" w:pos="9356"/>
              </w:tabs>
              <w:jc w:val="right"/>
              <w:rPr>
                <w:rFonts w:ascii="Arial" w:hAnsi="Arial" w:cs="Arial"/>
                <w:sz w:val="18"/>
                <w:szCs w:val="18"/>
                <w:lang w:val="en-IE"/>
              </w:rPr>
            </w:pPr>
            <w:r>
              <w:rPr>
                <w:rFonts w:ascii="Arial" w:hAnsi="Arial" w:cs="Arial"/>
                <w:sz w:val="18"/>
                <w:szCs w:val="18"/>
                <w:lang w:val="en-IE"/>
              </w:rPr>
              <w:t>-</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bCs/>
                <w:sz w:val="18"/>
                <w:szCs w:val="18"/>
                <w:lang w:val="en-IE"/>
              </w:rPr>
            </w:pPr>
            <w:r w:rsidRPr="006010C1">
              <w:rPr>
                <w:rFonts w:ascii="Arial" w:hAnsi="Arial" w:cs="Arial"/>
                <w:bCs/>
                <w:sz w:val="18"/>
                <w:szCs w:val="18"/>
                <w:lang w:val="en-IE"/>
              </w:rPr>
              <w:t>Interest received</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48</w:t>
            </w:r>
          </w:p>
        </w:tc>
        <w:tc>
          <w:tcPr>
            <w:tcW w:w="1382" w:type="dxa"/>
          </w:tcPr>
          <w:p w:rsidR="00494514" w:rsidRPr="005B1DE1" w:rsidRDefault="00494514" w:rsidP="00494514">
            <w:pPr>
              <w:tabs>
                <w:tab w:val="right" w:pos="5103"/>
                <w:tab w:val="right" w:pos="6521"/>
                <w:tab w:val="right" w:pos="7938"/>
                <w:tab w:val="right" w:pos="9356"/>
              </w:tabs>
              <w:jc w:val="right"/>
              <w:rPr>
                <w:rFonts w:ascii="Arial" w:hAnsi="Arial" w:cs="Arial"/>
                <w:sz w:val="18"/>
                <w:szCs w:val="18"/>
                <w:lang w:val="en-IE"/>
              </w:rPr>
            </w:pPr>
            <w:r w:rsidRPr="005B1DE1">
              <w:rPr>
                <w:rFonts w:ascii="Arial" w:hAnsi="Arial" w:cs="Arial"/>
                <w:sz w:val="18"/>
                <w:szCs w:val="18"/>
                <w:lang w:val="en-IE"/>
              </w:rPr>
              <w:t>212</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bCs/>
                <w:sz w:val="18"/>
                <w:szCs w:val="18"/>
                <w:lang w:val="en-IE"/>
              </w:rPr>
            </w:pPr>
            <w:r w:rsidRPr="006010C1">
              <w:rPr>
                <w:rFonts w:ascii="Arial" w:hAnsi="Arial" w:cs="Arial"/>
                <w:bCs/>
                <w:sz w:val="18"/>
                <w:szCs w:val="18"/>
                <w:lang w:val="en-IE"/>
              </w:rPr>
              <w:t xml:space="preserve">Income tax </w:t>
            </w:r>
            <w:r w:rsidR="005A3314">
              <w:rPr>
                <w:rFonts w:ascii="Arial" w:hAnsi="Arial" w:cs="Arial"/>
                <w:bCs/>
                <w:sz w:val="18"/>
                <w:szCs w:val="18"/>
                <w:lang w:val="en-IE"/>
              </w:rPr>
              <w:t>(paid)</w:t>
            </w:r>
            <w:r w:rsidRPr="006010C1">
              <w:rPr>
                <w:rFonts w:ascii="Arial" w:hAnsi="Arial" w:cs="Arial"/>
                <w:bCs/>
                <w:sz w:val="18"/>
                <w:szCs w:val="18"/>
                <w:lang w:val="en-IE"/>
              </w:rPr>
              <w:t>/</w:t>
            </w:r>
            <w:r w:rsidR="005A3314">
              <w:rPr>
                <w:rFonts w:ascii="Arial" w:hAnsi="Arial" w:cs="Arial"/>
                <w:bCs/>
                <w:sz w:val="18"/>
                <w:szCs w:val="18"/>
                <w:lang w:val="en-IE"/>
              </w:rPr>
              <w:t>refund</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(2,261)</w:t>
            </w:r>
          </w:p>
        </w:tc>
        <w:tc>
          <w:tcPr>
            <w:tcW w:w="1382" w:type="dxa"/>
          </w:tcPr>
          <w:p w:rsidR="00494514" w:rsidRPr="005B1DE1" w:rsidRDefault="00494514" w:rsidP="00494514">
            <w:pPr>
              <w:tabs>
                <w:tab w:val="right" w:pos="5103"/>
                <w:tab w:val="right" w:pos="6521"/>
                <w:tab w:val="right" w:pos="7938"/>
                <w:tab w:val="right" w:pos="9356"/>
              </w:tabs>
              <w:jc w:val="right"/>
              <w:rPr>
                <w:rFonts w:ascii="Arial" w:hAnsi="Arial" w:cs="Arial"/>
                <w:sz w:val="18"/>
                <w:szCs w:val="18"/>
                <w:lang w:val="en-IE"/>
              </w:rPr>
            </w:pPr>
            <w:r w:rsidRPr="005B1DE1">
              <w:rPr>
                <w:rFonts w:ascii="Arial" w:hAnsi="Arial" w:cs="Arial"/>
                <w:sz w:val="18"/>
                <w:szCs w:val="18"/>
                <w:lang w:val="en-IE"/>
              </w:rPr>
              <w:t>208</w:t>
            </w:r>
          </w:p>
        </w:tc>
      </w:tr>
      <w:tr w:rsidR="00494514" w:rsidRPr="00040E7D" w:rsidTr="00027DF8">
        <w:trPr>
          <w:gridAfter w:val="3"/>
          <w:wAfter w:w="1259" w:type="dxa"/>
          <w:trHeight w:hRule="exact" w:val="262"/>
        </w:trPr>
        <w:tc>
          <w:tcPr>
            <w:tcW w:w="6306" w:type="dxa"/>
            <w:tcBorders>
              <w:top w:val="single" w:sz="4" w:space="0" w:color="auto"/>
            </w:tcBorders>
          </w:tcPr>
          <w:p w:rsidR="00494514" w:rsidRPr="006010C1" w:rsidRDefault="00494514" w:rsidP="00494514">
            <w:pPr>
              <w:tabs>
                <w:tab w:val="right" w:pos="5103"/>
                <w:tab w:val="right" w:pos="6521"/>
                <w:tab w:val="right" w:pos="7938"/>
                <w:tab w:val="right" w:pos="9356"/>
              </w:tabs>
              <w:spacing w:after="200" w:line="276" w:lineRule="auto"/>
              <w:rPr>
                <w:rFonts w:ascii="Arial" w:hAnsi="Arial" w:cs="Arial"/>
                <w:b/>
                <w:sz w:val="18"/>
                <w:szCs w:val="18"/>
                <w:lang w:val="en-IE"/>
              </w:rPr>
            </w:pPr>
            <w:r w:rsidRPr="006010C1">
              <w:rPr>
                <w:rFonts w:ascii="Arial" w:hAnsi="Arial" w:cs="Arial"/>
                <w:b/>
                <w:sz w:val="18"/>
                <w:szCs w:val="18"/>
                <w:lang w:val="en-IE"/>
              </w:rPr>
              <w:t>Net cash generated from operating activities</w:t>
            </w:r>
          </w:p>
        </w:tc>
        <w:tc>
          <w:tcPr>
            <w:tcW w:w="1827" w:type="dxa"/>
            <w:tcBorders>
              <w:top w:val="single" w:sz="4" w:space="0" w:color="auto"/>
            </w:tcBorders>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tcBorders>
              <w:top w:val="single" w:sz="4" w:space="0" w:color="auto"/>
            </w:tcBorders>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1,269</w:t>
            </w:r>
          </w:p>
        </w:tc>
        <w:tc>
          <w:tcPr>
            <w:tcW w:w="1382" w:type="dxa"/>
            <w:tcBorders>
              <w:top w:val="single" w:sz="4" w:space="0" w:color="auto"/>
            </w:tcBorders>
          </w:tcPr>
          <w:p w:rsidR="00494514" w:rsidRPr="005B1DE1" w:rsidRDefault="00494514" w:rsidP="00494514">
            <w:pPr>
              <w:tabs>
                <w:tab w:val="right" w:pos="5103"/>
                <w:tab w:val="right" w:pos="6521"/>
                <w:tab w:val="right" w:pos="7938"/>
                <w:tab w:val="right" w:pos="9356"/>
              </w:tabs>
              <w:spacing w:after="200" w:line="276" w:lineRule="auto"/>
              <w:jc w:val="right"/>
              <w:rPr>
                <w:rFonts w:ascii="Arial" w:hAnsi="Arial" w:cs="Arial"/>
                <w:sz w:val="18"/>
                <w:szCs w:val="18"/>
                <w:lang w:val="en-IE"/>
              </w:rPr>
            </w:pPr>
            <w:r w:rsidRPr="005B1DE1">
              <w:rPr>
                <w:rFonts w:ascii="Arial" w:hAnsi="Arial" w:cs="Arial"/>
                <w:sz w:val="18"/>
                <w:szCs w:val="18"/>
                <w:lang w:val="en-IE"/>
              </w:rPr>
              <w:t>12,189</w:t>
            </w:r>
          </w:p>
        </w:tc>
      </w:tr>
      <w:tr w:rsidR="00494514" w:rsidRPr="00040E7D" w:rsidTr="00027DF8">
        <w:trPr>
          <w:gridAfter w:val="3"/>
          <w:wAfter w:w="1259" w:type="dxa"/>
          <w:trHeight w:hRule="exact" w:val="262"/>
        </w:trPr>
        <w:tc>
          <w:tcPr>
            <w:tcW w:w="6306" w:type="dxa"/>
            <w:tcBorders>
              <w:top w:val="single" w:sz="4" w:space="0" w:color="auto"/>
            </w:tcBorders>
          </w:tcPr>
          <w:p w:rsidR="00494514" w:rsidRPr="006010C1" w:rsidRDefault="00494514" w:rsidP="00494514">
            <w:pPr>
              <w:tabs>
                <w:tab w:val="right" w:pos="5103"/>
                <w:tab w:val="right" w:pos="6521"/>
                <w:tab w:val="right" w:pos="7938"/>
                <w:tab w:val="right" w:pos="9356"/>
              </w:tabs>
              <w:rPr>
                <w:rFonts w:ascii="Arial" w:hAnsi="Arial" w:cs="Arial"/>
                <w:sz w:val="18"/>
                <w:szCs w:val="18"/>
                <w:lang w:val="en-IE"/>
              </w:rPr>
            </w:pPr>
          </w:p>
        </w:tc>
        <w:tc>
          <w:tcPr>
            <w:tcW w:w="1827" w:type="dxa"/>
            <w:tcBorders>
              <w:top w:val="single" w:sz="4" w:space="0" w:color="auto"/>
            </w:tcBorders>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tcBorders>
              <w:top w:val="single" w:sz="4" w:space="0" w:color="auto"/>
            </w:tcBorders>
            <w:shd w:val="clear" w:color="auto" w:fill="auto"/>
          </w:tcPr>
          <w:p w:rsidR="00494514" w:rsidRPr="001972EA" w:rsidRDefault="00494514" w:rsidP="00835ACD">
            <w:pPr>
              <w:tabs>
                <w:tab w:val="right" w:pos="5103"/>
                <w:tab w:val="right" w:pos="6521"/>
                <w:tab w:val="right" w:pos="7938"/>
                <w:tab w:val="right" w:pos="9356"/>
              </w:tabs>
              <w:jc w:val="right"/>
              <w:rPr>
                <w:rFonts w:ascii="Arial" w:hAnsi="Arial" w:cs="Arial"/>
                <w:b/>
                <w:sz w:val="18"/>
                <w:szCs w:val="18"/>
                <w:lang w:val="en-IE"/>
              </w:rPr>
            </w:pPr>
          </w:p>
        </w:tc>
        <w:tc>
          <w:tcPr>
            <w:tcW w:w="1382" w:type="dxa"/>
            <w:tcBorders>
              <w:top w:val="single" w:sz="4" w:space="0" w:color="auto"/>
            </w:tcBorders>
          </w:tcPr>
          <w:p w:rsidR="00494514" w:rsidRPr="005B1DE1" w:rsidRDefault="00494514" w:rsidP="00494514">
            <w:pPr>
              <w:tabs>
                <w:tab w:val="right" w:pos="5103"/>
                <w:tab w:val="right" w:pos="6521"/>
                <w:tab w:val="right" w:pos="7938"/>
                <w:tab w:val="right" w:pos="9356"/>
              </w:tabs>
              <w:jc w:val="right"/>
              <w:rPr>
                <w:rFonts w:ascii="Arial" w:hAnsi="Arial" w:cs="Arial"/>
                <w:sz w:val="18"/>
                <w:szCs w:val="18"/>
                <w:lang w:val="en-IE"/>
              </w:rPr>
            </w:pP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spacing w:after="200" w:line="276" w:lineRule="auto"/>
              <w:rPr>
                <w:rFonts w:ascii="Arial" w:hAnsi="Arial" w:cs="Arial"/>
                <w:b/>
                <w:bCs/>
                <w:sz w:val="18"/>
                <w:szCs w:val="18"/>
                <w:lang w:val="en-IE"/>
              </w:rPr>
            </w:pPr>
            <w:r w:rsidRPr="006010C1">
              <w:rPr>
                <w:rFonts w:ascii="Arial" w:hAnsi="Arial" w:cs="Arial"/>
                <w:b/>
                <w:bCs/>
                <w:sz w:val="18"/>
                <w:szCs w:val="18"/>
                <w:lang w:val="en-IE"/>
              </w:rPr>
              <w:t>Cash flows from investing activities</w:t>
            </w: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1972EA" w:rsidRDefault="00494514" w:rsidP="00835ACD">
            <w:pPr>
              <w:tabs>
                <w:tab w:val="right" w:pos="5103"/>
                <w:tab w:val="right" w:pos="6521"/>
                <w:tab w:val="right" w:pos="7938"/>
                <w:tab w:val="right" w:pos="9356"/>
              </w:tabs>
              <w:jc w:val="right"/>
              <w:rPr>
                <w:rFonts w:ascii="Arial" w:hAnsi="Arial" w:cs="Arial"/>
                <w:b/>
                <w:sz w:val="18"/>
                <w:szCs w:val="18"/>
                <w:lang w:val="en-IE"/>
              </w:rPr>
            </w:pPr>
          </w:p>
        </w:tc>
        <w:tc>
          <w:tcPr>
            <w:tcW w:w="1382" w:type="dxa"/>
          </w:tcPr>
          <w:p w:rsidR="00494514" w:rsidRPr="005B1DE1" w:rsidRDefault="00494514" w:rsidP="00494514">
            <w:pPr>
              <w:tabs>
                <w:tab w:val="right" w:pos="5103"/>
                <w:tab w:val="right" w:pos="6521"/>
                <w:tab w:val="right" w:pos="7938"/>
                <w:tab w:val="right" w:pos="9356"/>
              </w:tabs>
              <w:spacing w:after="200" w:line="276" w:lineRule="auto"/>
              <w:jc w:val="right"/>
              <w:rPr>
                <w:rFonts w:ascii="Arial" w:hAnsi="Arial" w:cs="Arial"/>
                <w:sz w:val="18"/>
                <w:szCs w:val="18"/>
                <w:lang w:val="en-IE"/>
              </w:rPr>
            </w:pP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bCs/>
                <w:sz w:val="18"/>
                <w:szCs w:val="18"/>
                <w:lang w:val="en-IE"/>
              </w:rPr>
            </w:pPr>
            <w:r w:rsidRPr="006010C1">
              <w:rPr>
                <w:rFonts w:ascii="Arial" w:hAnsi="Arial" w:cs="Arial"/>
                <w:bCs/>
                <w:sz w:val="18"/>
                <w:szCs w:val="18"/>
                <w:lang w:val="en-IE"/>
              </w:rPr>
              <w:t>Purchase of property, plant and equipment</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(1,622)</w:t>
            </w:r>
          </w:p>
        </w:tc>
        <w:tc>
          <w:tcPr>
            <w:tcW w:w="1382" w:type="dxa"/>
          </w:tcPr>
          <w:p w:rsidR="00494514" w:rsidRPr="005B1DE1" w:rsidRDefault="00494514" w:rsidP="00494514">
            <w:pPr>
              <w:tabs>
                <w:tab w:val="right" w:pos="5103"/>
                <w:tab w:val="right" w:pos="6521"/>
                <w:tab w:val="right" w:pos="7938"/>
                <w:tab w:val="right" w:pos="9356"/>
              </w:tabs>
              <w:jc w:val="right"/>
              <w:rPr>
                <w:rFonts w:ascii="Arial" w:hAnsi="Arial" w:cs="Arial"/>
                <w:sz w:val="18"/>
                <w:szCs w:val="18"/>
                <w:lang w:val="en-IE"/>
              </w:rPr>
            </w:pPr>
            <w:r w:rsidRPr="005B1DE1">
              <w:rPr>
                <w:rFonts w:ascii="Arial" w:hAnsi="Arial" w:cs="Arial"/>
                <w:sz w:val="18"/>
                <w:szCs w:val="18"/>
                <w:lang w:val="en-IE"/>
              </w:rPr>
              <w:t>(2,751)</w:t>
            </w:r>
          </w:p>
        </w:tc>
      </w:tr>
      <w:tr w:rsidR="00494514" w:rsidRPr="00040E7D" w:rsidTr="00027DF8">
        <w:trPr>
          <w:gridAfter w:val="3"/>
          <w:wAfter w:w="1259" w:type="dxa"/>
          <w:trHeight w:hRule="exact" w:val="262"/>
        </w:trPr>
        <w:tc>
          <w:tcPr>
            <w:tcW w:w="6306" w:type="dxa"/>
          </w:tcPr>
          <w:p w:rsidR="00494514" w:rsidRPr="00040E7D" w:rsidRDefault="00494514" w:rsidP="00494514">
            <w:pPr>
              <w:autoSpaceDE w:val="0"/>
              <w:autoSpaceDN w:val="0"/>
              <w:adjustRightInd w:val="0"/>
              <w:rPr>
                <w:rFonts w:ascii="Arial" w:hAnsi="Arial" w:cs="Arial"/>
                <w:bCs/>
                <w:sz w:val="18"/>
                <w:szCs w:val="18"/>
                <w:lang w:val="en-IE"/>
              </w:rPr>
            </w:pPr>
            <w:r w:rsidRPr="009D404B">
              <w:rPr>
                <w:rFonts w:ascii="Arial" w:hAnsi="Arial" w:cs="Arial"/>
                <w:bCs/>
                <w:sz w:val="18"/>
                <w:szCs w:val="18"/>
                <w:lang w:val="en-IE"/>
              </w:rPr>
              <w:t>Sale of property, plant and equipment</w:t>
            </w:r>
          </w:p>
        </w:tc>
        <w:tc>
          <w:tcPr>
            <w:tcW w:w="1827" w:type="dxa"/>
          </w:tcPr>
          <w:p w:rsidR="00494514" w:rsidRPr="00040E7D"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550</w:t>
            </w:r>
          </w:p>
        </w:tc>
        <w:tc>
          <w:tcPr>
            <w:tcW w:w="1382" w:type="dxa"/>
          </w:tcPr>
          <w:p w:rsidR="00494514" w:rsidRPr="005B1DE1" w:rsidRDefault="00494514" w:rsidP="00494514">
            <w:pPr>
              <w:tabs>
                <w:tab w:val="right" w:pos="5103"/>
                <w:tab w:val="right" w:pos="6521"/>
                <w:tab w:val="right" w:pos="7938"/>
                <w:tab w:val="right" w:pos="9356"/>
              </w:tabs>
              <w:jc w:val="right"/>
              <w:rPr>
                <w:rFonts w:ascii="Arial" w:hAnsi="Arial" w:cs="Arial"/>
                <w:sz w:val="18"/>
                <w:szCs w:val="18"/>
                <w:lang w:val="en-IE"/>
              </w:rPr>
            </w:pPr>
            <w:r w:rsidRPr="005B1DE1">
              <w:rPr>
                <w:rFonts w:ascii="Arial" w:hAnsi="Arial" w:cs="Arial"/>
                <w:sz w:val="18"/>
                <w:szCs w:val="18"/>
                <w:lang w:val="en-IE"/>
              </w:rPr>
              <w:t>-</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bCs/>
                <w:sz w:val="18"/>
                <w:szCs w:val="18"/>
                <w:lang w:val="en-IE"/>
              </w:rPr>
            </w:pPr>
            <w:r w:rsidRPr="009D404B">
              <w:rPr>
                <w:rFonts w:ascii="Arial" w:hAnsi="Arial" w:cs="Arial"/>
                <w:sz w:val="18"/>
                <w:szCs w:val="18"/>
                <w:lang w:val="en-IE"/>
              </w:rPr>
              <w:t>Dividend from associate</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1972EA"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w:t>
            </w:r>
          </w:p>
        </w:tc>
        <w:tc>
          <w:tcPr>
            <w:tcW w:w="1382" w:type="dxa"/>
          </w:tcPr>
          <w:p w:rsidR="00494514" w:rsidRPr="005B1DE1" w:rsidRDefault="00494514" w:rsidP="00494514">
            <w:pPr>
              <w:tabs>
                <w:tab w:val="right" w:pos="5103"/>
                <w:tab w:val="right" w:pos="6521"/>
                <w:tab w:val="right" w:pos="7938"/>
                <w:tab w:val="right" w:pos="9356"/>
              </w:tabs>
              <w:jc w:val="right"/>
              <w:rPr>
                <w:rFonts w:ascii="Arial" w:hAnsi="Arial" w:cs="Arial"/>
                <w:sz w:val="18"/>
                <w:szCs w:val="18"/>
                <w:lang w:val="en-IE"/>
              </w:rPr>
            </w:pPr>
            <w:r w:rsidRPr="005B1DE1">
              <w:rPr>
                <w:rFonts w:ascii="Arial" w:hAnsi="Arial" w:cs="Arial"/>
                <w:color w:val="000000"/>
                <w:spacing w:val="-5"/>
                <w:sz w:val="18"/>
                <w:szCs w:val="18"/>
              </w:rPr>
              <w:t>242</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sz w:val="18"/>
                <w:szCs w:val="18"/>
                <w:lang w:val="en-IE"/>
              </w:rPr>
            </w:pPr>
            <w:r w:rsidRPr="009D404B">
              <w:rPr>
                <w:rFonts w:ascii="Arial" w:hAnsi="Arial" w:cs="Arial"/>
                <w:sz w:val="18"/>
                <w:szCs w:val="18"/>
                <w:lang w:val="en-IE"/>
              </w:rPr>
              <w:t>Disposal of subsidiaries</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4,037</w:t>
            </w:r>
          </w:p>
        </w:tc>
        <w:tc>
          <w:tcPr>
            <w:tcW w:w="1382" w:type="dxa"/>
          </w:tcPr>
          <w:p w:rsidR="00494514" w:rsidRPr="005B1DE1" w:rsidRDefault="00494514" w:rsidP="00494514">
            <w:pPr>
              <w:tabs>
                <w:tab w:val="right" w:pos="5103"/>
                <w:tab w:val="right" w:pos="6521"/>
                <w:tab w:val="right" w:pos="7938"/>
                <w:tab w:val="right" w:pos="9356"/>
              </w:tabs>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(66)</w:t>
            </w:r>
          </w:p>
        </w:tc>
      </w:tr>
      <w:tr w:rsidR="00494514" w:rsidRPr="00040E7D" w:rsidTr="00027DF8">
        <w:trPr>
          <w:gridAfter w:val="3"/>
          <w:wAfter w:w="1259" w:type="dxa"/>
          <w:trHeight w:hRule="exact" w:val="262"/>
        </w:trPr>
        <w:tc>
          <w:tcPr>
            <w:tcW w:w="6306" w:type="dxa"/>
            <w:tcBorders>
              <w:bottom w:val="single" w:sz="4" w:space="0" w:color="auto"/>
            </w:tcBorders>
          </w:tcPr>
          <w:p w:rsidR="00494514" w:rsidRPr="006010C1" w:rsidRDefault="00A43FB1" w:rsidP="00494514">
            <w:pPr>
              <w:autoSpaceDE w:val="0"/>
              <w:autoSpaceDN w:val="0"/>
              <w:adjustRightInd w:val="0"/>
              <w:rPr>
                <w:rFonts w:ascii="Arial" w:hAnsi="Arial" w:cs="Arial"/>
                <w:sz w:val="18"/>
                <w:szCs w:val="18"/>
                <w:lang w:val="en-IE"/>
              </w:rPr>
            </w:pPr>
            <w:r>
              <w:rPr>
                <w:rFonts w:ascii="Arial" w:hAnsi="Arial" w:cs="Arial"/>
                <w:sz w:val="18"/>
                <w:szCs w:val="18"/>
                <w:lang w:val="en-IE"/>
              </w:rPr>
              <w:t>Acquisition</w:t>
            </w:r>
            <w:r w:rsidRPr="006010C1">
              <w:rPr>
                <w:rFonts w:ascii="Arial" w:hAnsi="Arial" w:cs="Arial"/>
                <w:sz w:val="18"/>
                <w:szCs w:val="18"/>
                <w:lang w:val="en-IE"/>
              </w:rPr>
              <w:t xml:space="preserve"> </w:t>
            </w:r>
            <w:r w:rsidR="00494514" w:rsidRPr="006010C1">
              <w:rPr>
                <w:rFonts w:ascii="Arial" w:hAnsi="Arial" w:cs="Arial"/>
                <w:sz w:val="18"/>
                <w:szCs w:val="18"/>
                <w:lang w:val="en-IE"/>
              </w:rPr>
              <w:t>of intangible assets</w:t>
            </w:r>
          </w:p>
        </w:tc>
        <w:tc>
          <w:tcPr>
            <w:tcW w:w="1827" w:type="dxa"/>
            <w:tcBorders>
              <w:bottom w:val="single" w:sz="4" w:space="0" w:color="auto"/>
            </w:tcBorders>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tcBorders>
              <w:bottom w:val="single" w:sz="4" w:space="0" w:color="auto"/>
            </w:tcBorders>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(2,766)</w:t>
            </w:r>
          </w:p>
        </w:tc>
        <w:tc>
          <w:tcPr>
            <w:tcW w:w="1382" w:type="dxa"/>
            <w:tcBorders>
              <w:bottom w:val="single" w:sz="4" w:space="0" w:color="auto"/>
            </w:tcBorders>
          </w:tcPr>
          <w:p w:rsidR="00494514" w:rsidRPr="005B1DE1" w:rsidRDefault="00494514" w:rsidP="00494514">
            <w:pPr>
              <w:tabs>
                <w:tab w:val="right" w:pos="5103"/>
                <w:tab w:val="right" w:pos="6521"/>
                <w:tab w:val="right" w:pos="7938"/>
                <w:tab w:val="right" w:pos="9356"/>
              </w:tabs>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(3,485)</w:t>
            </w:r>
          </w:p>
        </w:tc>
      </w:tr>
      <w:tr w:rsidR="00494514" w:rsidRPr="00040E7D" w:rsidTr="00027DF8">
        <w:trPr>
          <w:gridAfter w:val="3"/>
          <w:wAfter w:w="1259" w:type="dxa"/>
          <w:trHeight w:hRule="exact" w:val="262"/>
        </w:trPr>
        <w:tc>
          <w:tcPr>
            <w:tcW w:w="6306" w:type="dxa"/>
            <w:tcBorders>
              <w:top w:val="single" w:sz="4" w:space="0" w:color="auto"/>
            </w:tcBorders>
          </w:tcPr>
          <w:p w:rsidR="00494514" w:rsidRPr="006010C1" w:rsidRDefault="00494514" w:rsidP="00494514">
            <w:pPr>
              <w:autoSpaceDE w:val="0"/>
              <w:autoSpaceDN w:val="0"/>
              <w:adjustRightInd w:val="0"/>
              <w:rPr>
                <w:rFonts w:ascii="Arial" w:hAnsi="Arial" w:cs="Arial"/>
                <w:b/>
                <w:sz w:val="18"/>
                <w:szCs w:val="18"/>
                <w:lang w:val="en-IE"/>
              </w:rPr>
            </w:pPr>
            <w:r w:rsidRPr="006010C1">
              <w:rPr>
                <w:rFonts w:ascii="Arial" w:hAnsi="Arial" w:cs="Arial"/>
                <w:b/>
                <w:sz w:val="18"/>
                <w:szCs w:val="18"/>
                <w:lang w:val="en-IE"/>
              </w:rPr>
              <w:t xml:space="preserve">Net cash </w:t>
            </w:r>
            <w:r w:rsidR="00A43FB1">
              <w:rPr>
                <w:rFonts w:ascii="Arial" w:hAnsi="Arial" w:cs="Arial"/>
                <w:b/>
                <w:sz w:val="18"/>
                <w:szCs w:val="18"/>
                <w:lang w:val="en-IE"/>
              </w:rPr>
              <w:t>generated/(</w:t>
            </w:r>
            <w:r w:rsidRPr="006010C1">
              <w:rPr>
                <w:rFonts w:ascii="Arial" w:hAnsi="Arial" w:cs="Arial"/>
                <w:b/>
                <w:sz w:val="18"/>
                <w:szCs w:val="18"/>
                <w:lang w:val="en-IE"/>
              </w:rPr>
              <w:t>used</w:t>
            </w:r>
            <w:r w:rsidR="00A43FB1">
              <w:rPr>
                <w:rFonts w:ascii="Arial" w:hAnsi="Arial" w:cs="Arial"/>
                <w:b/>
                <w:sz w:val="18"/>
                <w:szCs w:val="18"/>
                <w:lang w:val="en-IE"/>
              </w:rPr>
              <w:t>)</w:t>
            </w:r>
            <w:r w:rsidRPr="006010C1">
              <w:rPr>
                <w:rFonts w:ascii="Arial" w:hAnsi="Arial" w:cs="Arial"/>
                <w:b/>
                <w:sz w:val="18"/>
                <w:szCs w:val="18"/>
                <w:lang w:val="en-IE"/>
              </w:rPr>
              <w:t xml:space="preserve"> in investing activities</w:t>
            </w:r>
          </w:p>
        </w:tc>
        <w:tc>
          <w:tcPr>
            <w:tcW w:w="1827" w:type="dxa"/>
            <w:tcBorders>
              <w:top w:val="single" w:sz="4" w:space="0" w:color="auto"/>
            </w:tcBorders>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tcBorders>
              <w:top w:val="single" w:sz="4" w:space="0" w:color="auto"/>
            </w:tcBorders>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199</w:t>
            </w:r>
          </w:p>
        </w:tc>
        <w:tc>
          <w:tcPr>
            <w:tcW w:w="1382" w:type="dxa"/>
            <w:tcBorders>
              <w:top w:val="single" w:sz="4" w:space="0" w:color="auto"/>
            </w:tcBorders>
          </w:tcPr>
          <w:p w:rsidR="00494514" w:rsidRPr="005B1DE1" w:rsidRDefault="00494514" w:rsidP="00494514">
            <w:pPr>
              <w:tabs>
                <w:tab w:val="right" w:pos="5103"/>
                <w:tab w:val="right" w:pos="6521"/>
                <w:tab w:val="right" w:pos="7938"/>
                <w:tab w:val="right" w:pos="9356"/>
              </w:tabs>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(6,060)</w:t>
            </w:r>
          </w:p>
        </w:tc>
      </w:tr>
      <w:tr w:rsidR="00494514" w:rsidRPr="00040E7D" w:rsidTr="00027DF8">
        <w:trPr>
          <w:gridAfter w:val="3"/>
          <w:wAfter w:w="1259" w:type="dxa"/>
          <w:trHeight w:hRule="exact" w:val="262"/>
        </w:trPr>
        <w:tc>
          <w:tcPr>
            <w:tcW w:w="6306" w:type="dxa"/>
            <w:tcBorders>
              <w:top w:val="single" w:sz="4" w:space="0" w:color="auto"/>
            </w:tcBorders>
          </w:tcPr>
          <w:p w:rsidR="00494514" w:rsidRPr="006010C1" w:rsidRDefault="00494514" w:rsidP="00494514">
            <w:pPr>
              <w:autoSpaceDE w:val="0"/>
              <w:autoSpaceDN w:val="0"/>
              <w:adjustRightInd w:val="0"/>
              <w:spacing w:after="200" w:line="276" w:lineRule="auto"/>
              <w:rPr>
                <w:rFonts w:ascii="Arial" w:hAnsi="Arial" w:cs="Arial"/>
                <w:b/>
                <w:bCs/>
                <w:sz w:val="18"/>
                <w:szCs w:val="18"/>
                <w:lang w:val="en-IE"/>
              </w:rPr>
            </w:pPr>
          </w:p>
        </w:tc>
        <w:tc>
          <w:tcPr>
            <w:tcW w:w="1827" w:type="dxa"/>
            <w:tcBorders>
              <w:top w:val="single" w:sz="4" w:space="0" w:color="auto"/>
            </w:tcBorders>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tcBorders>
              <w:top w:val="single" w:sz="4" w:space="0" w:color="auto"/>
            </w:tcBorders>
            <w:shd w:val="clear" w:color="auto" w:fill="auto"/>
          </w:tcPr>
          <w:p w:rsidR="00494514" w:rsidRPr="001972EA" w:rsidRDefault="00494514" w:rsidP="00835ACD">
            <w:pPr>
              <w:tabs>
                <w:tab w:val="right" w:pos="5103"/>
                <w:tab w:val="right" w:pos="6521"/>
                <w:tab w:val="right" w:pos="7938"/>
                <w:tab w:val="right" w:pos="9356"/>
              </w:tabs>
              <w:jc w:val="right"/>
              <w:rPr>
                <w:rFonts w:ascii="Arial" w:hAnsi="Arial" w:cs="Arial"/>
                <w:b/>
                <w:sz w:val="18"/>
                <w:szCs w:val="18"/>
                <w:lang w:val="en-IE"/>
              </w:rPr>
            </w:pPr>
          </w:p>
        </w:tc>
        <w:tc>
          <w:tcPr>
            <w:tcW w:w="1382" w:type="dxa"/>
            <w:tcBorders>
              <w:top w:val="single" w:sz="4" w:space="0" w:color="auto"/>
            </w:tcBorders>
          </w:tcPr>
          <w:p w:rsidR="00494514" w:rsidRPr="005B1DE1" w:rsidRDefault="00494514" w:rsidP="00494514">
            <w:pPr>
              <w:tabs>
                <w:tab w:val="right" w:pos="5103"/>
                <w:tab w:val="right" w:pos="6521"/>
                <w:tab w:val="right" w:pos="7938"/>
                <w:tab w:val="right" w:pos="9356"/>
              </w:tabs>
              <w:autoSpaceDE w:val="0"/>
              <w:autoSpaceDN w:val="0"/>
              <w:adjustRightInd w:val="0"/>
              <w:spacing w:after="200" w:line="276" w:lineRule="auto"/>
              <w:jc w:val="right"/>
              <w:rPr>
                <w:rFonts w:ascii="Arial" w:hAnsi="Arial" w:cs="Arial"/>
                <w:sz w:val="18"/>
                <w:szCs w:val="18"/>
                <w:lang w:val="en-IE"/>
              </w:rPr>
            </w:pPr>
          </w:p>
        </w:tc>
      </w:tr>
      <w:tr w:rsidR="00494514" w:rsidRPr="00040E7D" w:rsidTr="00027DF8">
        <w:trPr>
          <w:gridAfter w:val="3"/>
          <w:wAfter w:w="1259" w:type="dxa"/>
          <w:trHeight w:hRule="exact" w:val="262"/>
        </w:trPr>
        <w:tc>
          <w:tcPr>
            <w:tcW w:w="6306" w:type="dxa"/>
          </w:tcPr>
          <w:p w:rsidR="00494514" w:rsidRPr="006010C1" w:rsidRDefault="00494514" w:rsidP="00494514">
            <w:pPr>
              <w:tabs>
                <w:tab w:val="right" w:pos="5103"/>
                <w:tab w:val="right" w:pos="6521"/>
                <w:tab w:val="right" w:pos="7938"/>
                <w:tab w:val="right" w:pos="9356"/>
              </w:tabs>
              <w:spacing w:after="200" w:line="276" w:lineRule="auto"/>
              <w:rPr>
                <w:rFonts w:ascii="Arial" w:hAnsi="Arial" w:cs="Arial"/>
                <w:sz w:val="18"/>
                <w:szCs w:val="18"/>
                <w:lang w:val="en-IE"/>
              </w:rPr>
            </w:pPr>
            <w:r w:rsidRPr="006010C1">
              <w:rPr>
                <w:rFonts w:ascii="Arial" w:hAnsi="Arial" w:cs="Arial"/>
                <w:b/>
                <w:bCs/>
                <w:sz w:val="18"/>
                <w:szCs w:val="18"/>
                <w:lang w:val="en-IE"/>
              </w:rPr>
              <w:t>Cash flows from financing activities</w:t>
            </w: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1972EA" w:rsidRDefault="00494514" w:rsidP="00835ACD">
            <w:pPr>
              <w:tabs>
                <w:tab w:val="right" w:pos="5103"/>
                <w:tab w:val="right" w:pos="6521"/>
                <w:tab w:val="right" w:pos="7938"/>
                <w:tab w:val="right" w:pos="9356"/>
              </w:tabs>
              <w:jc w:val="right"/>
              <w:rPr>
                <w:rFonts w:ascii="Arial" w:hAnsi="Arial" w:cs="Arial"/>
                <w:b/>
                <w:sz w:val="18"/>
                <w:szCs w:val="18"/>
                <w:lang w:val="en-IE"/>
              </w:rPr>
            </w:pPr>
          </w:p>
        </w:tc>
        <w:tc>
          <w:tcPr>
            <w:tcW w:w="1382" w:type="dxa"/>
          </w:tcPr>
          <w:p w:rsidR="00494514" w:rsidRPr="005B1DE1" w:rsidRDefault="00494514" w:rsidP="00494514">
            <w:pPr>
              <w:tabs>
                <w:tab w:val="right" w:pos="5103"/>
                <w:tab w:val="right" w:pos="6521"/>
                <w:tab w:val="right" w:pos="7938"/>
                <w:tab w:val="right" w:pos="9356"/>
              </w:tabs>
              <w:spacing w:after="200" w:line="276" w:lineRule="auto"/>
              <w:jc w:val="right"/>
              <w:rPr>
                <w:rFonts w:ascii="Arial" w:hAnsi="Arial" w:cs="Arial"/>
                <w:sz w:val="18"/>
                <w:szCs w:val="18"/>
                <w:lang w:val="en-IE"/>
              </w:rPr>
            </w:pP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spacing w:after="200" w:line="276" w:lineRule="auto"/>
              <w:rPr>
                <w:rFonts w:ascii="Arial" w:hAnsi="Arial" w:cs="Arial"/>
                <w:b/>
                <w:bCs/>
                <w:sz w:val="18"/>
                <w:szCs w:val="18"/>
                <w:lang w:val="en-IE"/>
              </w:rPr>
            </w:pPr>
            <w:r w:rsidRPr="006010C1">
              <w:rPr>
                <w:rFonts w:ascii="Arial" w:hAnsi="Arial" w:cs="Arial"/>
                <w:sz w:val="18"/>
                <w:szCs w:val="18"/>
                <w:lang w:val="en-IE"/>
              </w:rPr>
              <w:t xml:space="preserve">Dividends paid </w:t>
            </w: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(5,217)</w:t>
            </w:r>
          </w:p>
        </w:tc>
        <w:tc>
          <w:tcPr>
            <w:tcW w:w="1382" w:type="dxa"/>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(5,106)</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spacing w:after="200" w:line="276" w:lineRule="auto"/>
              <w:rPr>
                <w:rFonts w:ascii="Arial" w:hAnsi="Arial" w:cs="Arial"/>
                <w:sz w:val="18"/>
                <w:szCs w:val="18"/>
                <w:lang w:val="en-IE"/>
              </w:rPr>
            </w:pPr>
            <w:r w:rsidRPr="006010C1">
              <w:rPr>
                <w:rFonts w:ascii="Arial" w:hAnsi="Arial" w:cs="Arial"/>
                <w:sz w:val="18"/>
                <w:szCs w:val="18"/>
                <w:lang w:val="en-IE"/>
              </w:rPr>
              <w:t>Interest paid</w:t>
            </w: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w:t>
            </w:r>
          </w:p>
        </w:tc>
        <w:tc>
          <w:tcPr>
            <w:tcW w:w="1382" w:type="dxa"/>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(191)</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spacing w:after="200" w:line="276" w:lineRule="auto"/>
              <w:rPr>
                <w:rFonts w:ascii="Arial" w:hAnsi="Arial" w:cs="Arial"/>
                <w:sz w:val="18"/>
                <w:szCs w:val="18"/>
                <w:lang w:val="en-IE"/>
              </w:rPr>
            </w:pPr>
            <w:r w:rsidRPr="006010C1">
              <w:rPr>
                <w:rFonts w:ascii="Arial" w:hAnsi="Arial" w:cs="Arial"/>
                <w:sz w:val="18"/>
                <w:szCs w:val="18"/>
                <w:lang w:val="en-IE"/>
              </w:rPr>
              <w:t>Repayment of bank borrowings</w:t>
            </w: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w:t>
            </w:r>
          </w:p>
        </w:tc>
        <w:tc>
          <w:tcPr>
            <w:tcW w:w="1382" w:type="dxa"/>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(7,000)</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sz w:val="18"/>
                <w:szCs w:val="18"/>
                <w:lang w:val="en-IE"/>
              </w:rPr>
            </w:pPr>
            <w:r>
              <w:rPr>
                <w:rFonts w:ascii="Arial" w:hAnsi="Arial" w:cs="Arial"/>
                <w:sz w:val="18"/>
                <w:szCs w:val="18"/>
                <w:lang w:val="en-IE"/>
              </w:rPr>
              <w:t xml:space="preserve">Cash settlement </w:t>
            </w:r>
            <w:r w:rsidR="00C43661">
              <w:rPr>
                <w:rFonts w:ascii="Arial" w:hAnsi="Arial" w:cs="Arial"/>
                <w:sz w:val="18"/>
                <w:szCs w:val="18"/>
                <w:lang w:val="en-IE"/>
              </w:rPr>
              <w:t>o</w:t>
            </w:r>
            <w:r>
              <w:rPr>
                <w:rFonts w:ascii="Arial" w:hAnsi="Arial" w:cs="Arial"/>
                <w:sz w:val="18"/>
                <w:szCs w:val="18"/>
                <w:lang w:val="en-IE"/>
              </w:rPr>
              <w:t>f vested share options</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(35)</w:t>
            </w:r>
          </w:p>
        </w:tc>
        <w:tc>
          <w:tcPr>
            <w:tcW w:w="1382" w:type="dxa"/>
          </w:tcPr>
          <w:p w:rsidR="00494514" w:rsidRPr="001972EA"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Pr>
                <w:rFonts w:ascii="Arial" w:hAnsi="Arial" w:cs="Arial"/>
                <w:color w:val="000000"/>
                <w:spacing w:val="-5"/>
                <w:sz w:val="18"/>
                <w:szCs w:val="18"/>
              </w:rPr>
              <w:t>-</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rPr>
                <w:rFonts w:ascii="Arial" w:hAnsi="Arial" w:cs="Arial"/>
                <w:sz w:val="18"/>
                <w:szCs w:val="18"/>
                <w:lang w:val="en-IE"/>
              </w:rPr>
            </w:pPr>
            <w:r w:rsidRPr="006010C1">
              <w:rPr>
                <w:rFonts w:ascii="Arial" w:hAnsi="Arial" w:cs="Arial"/>
                <w:sz w:val="18"/>
                <w:szCs w:val="18"/>
                <w:lang w:val="en-IE"/>
              </w:rPr>
              <w:t xml:space="preserve">Proceeds from issue of share capital </w:t>
            </w:r>
          </w:p>
        </w:tc>
        <w:tc>
          <w:tcPr>
            <w:tcW w:w="1827" w:type="dxa"/>
          </w:tcPr>
          <w:p w:rsidR="00494514" w:rsidRPr="006010C1" w:rsidRDefault="00494514" w:rsidP="00494514">
            <w:pPr>
              <w:tabs>
                <w:tab w:val="right" w:pos="5103"/>
                <w:tab w:val="right" w:pos="6521"/>
                <w:tab w:val="right" w:pos="7938"/>
                <w:tab w:val="right" w:pos="9356"/>
              </w:tabs>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w:t>
            </w:r>
          </w:p>
        </w:tc>
        <w:tc>
          <w:tcPr>
            <w:tcW w:w="1382" w:type="dxa"/>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162</w:t>
            </w:r>
          </w:p>
        </w:tc>
      </w:tr>
      <w:tr w:rsidR="00494514" w:rsidRPr="00040E7D" w:rsidTr="00027DF8">
        <w:trPr>
          <w:gridAfter w:val="3"/>
          <w:wAfter w:w="1259" w:type="dxa"/>
          <w:trHeight w:hRule="exact" w:val="262"/>
        </w:trPr>
        <w:tc>
          <w:tcPr>
            <w:tcW w:w="6306" w:type="dxa"/>
            <w:tcBorders>
              <w:top w:val="single" w:sz="4" w:space="0" w:color="auto"/>
              <w:bottom w:val="single" w:sz="4" w:space="0" w:color="auto"/>
            </w:tcBorders>
          </w:tcPr>
          <w:p w:rsidR="00494514" w:rsidRPr="006010C1" w:rsidRDefault="00494514" w:rsidP="00494514">
            <w:pPr>
              <w:autoSpaceDE w:val="0"/>
              <w:autoSpaceDN w:val="0"/>
              <w:adjustRightInd w:val="0"/>
              <w:spacing w:after="200" w:line="276" w:lineRule="auto"/>
              <w:rPr>
                <w:rFonts w:ascii="Arial" w:hAnsi="Arial" w:cs="Arial"/>
                <w:sz w:val="18"/>
                <w:szCs w:val="18"/>
                <w:lang w:val="en-IE"/>
              </w:rPr>
            </w:pPr>
            <w:r w:rsidRPr="006010C1">
              <w:rPr>
                <w:rFonts w:ascii="Arial" w:hAnsi="Arial" w:cs="Arial"/>
                <w:b/>
                <w:bCs/>
                <w:sz w:val="18"/>
                <w:szCs w:val="18"/>
                <w:lang w:val="en-IE"/>
              </w:rPr>
              <w:t>Net cash used in financing activities</w:t>
            </w:r>
          </w:p>
        </w:tc>
        <w:tc>
          <w:tcPr>
            <w:tcW w:w="1827" w:type="dxa"/>
            <w:tcBorders>
              <w:top w:val="single" w:sz="4" w:space="0" w:color="auto"/>
              <w:bottom w:val="single" w:sz="4" w:space="0" w:color="auto"/>
            </w:tcBorders>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tcBorders>
              <w:top w:val="single" w:sz="4" w:space="0" w:color="auto"/>
              <w:bottom w:val="single" w:sz="4" w:space="0" w:color="auto"/>
            </w:tcBorders>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(5,252)</w:t>
            </w:r>
          </w:p>
        </w:tc>
        <w:tc>
          <w:tcPr>
            <w:tcW w:w="1382" w:type="dxa"/>
            <w:tcBorders>
              <w:top w:val="single" w:sz="4" w:space="0" w:color="auto"/>
              <w:bottom w:val="single" w:sz="4" w:space="0" w:color="auto"/>
            </w:tcBorders>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(12,135)</w:t>
            </w:r>
          </w:p>
        </w:tc>
      </w:tr>
      <w:tr w:rsidR="00494514" w:rsidRPr="00040E7D" w:rsidTr="00027DF8">
        <w:trPr>
          <w:gridAfter w:val="3"/>
          <w:wAfter w:w="1259" w:type="dxa"/>
          <w:trHeight w:hRule="exact" w:val="262"/>
        </w:trPr>
        <w:tc>
          <w:tcPr>
            <w:tcW w:w="6306" w:type="dxa"/>
            <w:tcBorders>
              <w:top w:val="single" w:sz="4" w:space="0" w:color="auto"/>
            </w:tcBorders>
          </w:tcPr>
          <w:p w:rsidR="00494514" w:rsidRPr="006010C1" w:rsidRDefault="00494514" w:rsidP="00494514">
            <w:pPr>
              <w:autoSpaceDE w:val="0"/>
              <w:autoSpaceDN w:val="0"/>
              <w:adjustRightInd w:val="0"/>
              <w:spacing w:after="200" w:line="276" w:lineRule="auto"/>
              <w:rPr>
                <w:rFonts w:ascii="Arial" w:hAnsi="Arial" w:cs="Arial"/>
                <w:b/>
                <w:bCs/>
                <w:sz w:val="18"/>
                <w:szCs w:val="18"/>
                <w:lang w:val="en-IE"/>
              </w:rPr>
            </w:pPr>
          </w:p>
        </w:tc>
        <w:tc>
          <w:tcPr>
            <w:tcW w:w="1827" w:type="dxa"/>
            <w:tcBorders>
              <w:top w:val="single" w:sz="4" w:space="0" w:color="auto"/>
            </w:tcBorders>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tcBorders>
              <w:top w:val="single" w:sz="4" w:space="0" w:color="auto"/>
            </w:tcBorders>
            <w:shd w:val="clear" w:color="auto" w:fill="auto"/>
          </w:tcPr>
          <w:p w:rsidR="00494514" w:rsidRPr="001972EA" w:rsidRDefault="00494514" w:rsidP="00835ACD">
            <w:pPr>
              <w:tabs>
                <w:tab w:val="right" w:pos="5103"/>
                <w:tab w:val="right" w:pos="6521"/>
                <w:tab w:val="right" w:pos="7938"/>
                <w:tab w:val="right" w:pos="9356"/>
              </w:tabs>
              <w:jc w:val="right"/>
              <w:rPr>
                <w:rFonts w:ascii="Arial" w:hAnsi="Arial" w:cs="Arial"/>
                <w:b/>
                <w:sz w:val="18"/>
                <w:szCs w:val="18"/>
                <w:lang w:val="en-IE"/>
              </w:rPr>
            </w:pPr>
          </w:p>
        </w:tc>
        <w:tc>
          <w:tcPr>
            <w:tcW w:w="1382" w:type="dxa"/>
            <w:tcBorders>
              <w:top w:val="single" w:sz="4" w:space="0" w:color="auto"/>
            </w:tcBorders>
          </w:tcPr>
          <w:p w:rsidR="00494514" w:rsidRPr="005B1DE1" w:rsidRDefault="00494514" w:rsidP="00494514">
            <w:pPr>
              <w:tabs>
                <w:tab w:val="right" w:pos="5103"/>
                <w:tab w:val="right" w:pos="6521"/>
                <w:tab w:val="right" w:pos="7938"/>
                <w:tab w:val="right" w:pos="9356"/>
              </w:tabs>
              <w:autoSpaceDE w:val="0"/>
              <w:autoSpaceDN w:val="0"/>
              <w:adjustRightInd w:val="0"/>
              <w:spacing w:after="200" w:line="276" w:lineRule="auto"/>
              <w:jc w:val="right"/>
              <w:rPr>
                <w:rFonts w:ascii="Arial" w:hAnsi="Arial" w:cs="Arial"/>
                <w:sz w:val="18"/>
                <w:szCs w:val="18"/>
                <w:lang w:val="en-IE"/>
              </w:rPr>
            </w:pPr>
          </w:p>
        </w:tc>
      </w:tr>
      <w:tr w:rsidR="00494514" w:rsidRPr="00040E7D" w:rsidTr="00027DF8">
        <w:trPr>
          <w:gridAfter w:val="3"/>
          <w:wAfter w:w="1259" w:type="dxa"/>
          <w:trHeight w:hRule="exact" w:val="262"/>
        </w:trPr>
        <w:tc>
          <w:tcPr>
            <w:tcW w:w="6306" w:type="dxa"/>
          </w:tcPr>
          <w:p w:rsidR="00494514" w:rsidRPr="006010C1" w:rsidRDefault="00494514" w:rsidP="00494514">
            <w:pPr>
              <w:tabs>
                <w:tab w:val="right" w:pos="5103"/>
                <w:tab w:val="right" w:pos="6521"/>
                <w:tab w:val="right" w:pos="7938"/>
                <w:tab w:val="right" w:pos="9356"/>
              </w:tabs>
              <w:spacing w:after="200" w:line="276" w:lineRule="auto"/>
              <w:rPr>
                <w:rFonts w:ascii="Arial" w:hAnsi="Arial" w:cs="Arial"/>
                <w:sz w:val="18"/>
                <w:szCs w:val="18"/>
                <w:lang w:val="en-IE"/>
              </w:rPr>
            </w:pPr>
            <w:r w:rsidRPr="006010C1">
              <w:rPr>
                <w:rFonts w:ascii="Arial" w:hAnsi="Arial" w:cs="Arial"/>
                <w:b/>
                <w:sz w:val="18"/>
                <w:szCs w:val="18"/>
                <w:lang w:val="en-IE"/>
              </w:rPr>
              <w:t xml:space="preserve">Net </w:t>
            </w:r>
            <w:r w:rsidR="00A43FB1">
              <w:rPr>
                <w:rFonts w:ascii="Arial" w:hAnsi="Arial" w:cs="Arial"/>
                <w:b/>
                <w:sz w:val="18"/>
                <w:szCs w:val="18"/>
                <w:lang w:val="en-IE"/>
              </w:rPr>
              <w:t>decrease</w:t>
            </w:r>
            <w:r w:rsidR="00A43FB1" w:rsidRPr="006010C1">
              <w:rPr>
                <w:rFonts w:ascii="Arial" w:hAnsi="Arial" w:cs="Arial"/>
                <w:b/>
                <w:sz w:val="18"/>
                <w:szCs w:val="18"/>
                <w:lang w:val="en-IE"/>
              </w:rPr>
              <w:t xml:space="preserve"> </w:t>
            </w:r>
            <w:r w:rsidRPr="006010C1">
              <w:rPr>
                <w:rFonts w:ascii="Arial" w:hAnsi="Arial" w:cs="Arial"/>
                <w:b/>
                <w:sz w:val="18"/>
                <w:szCs w:val="18"/>
                <w:lang w:val="en-IE"/>
              </w:rPr>
              <w:t>in cash and cash equivalents</w:t>
            </w: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(3,784)</w:t>
            </w:r>
          </w:p>
        </w:tc>
        <w:tc>
          <w:tcPr>
            <w:tcW w:w="1382" w:type="dxa"/>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(6,006)</w:t>
            </w:r>
          </w:p>
        </w:tc>
      </w:tr>
      <w:tr w:rsidR="00494514" w:rsidRPr="00040E7D" w:rsidTr="00027DF8">
        <w:trPr>
          <w:gridAfter w:val="3"/>
          <w:wAfter w:w="1259" w:type="dxa"/>
          <w:trHeight w:hRule="exact" w:val="262"/>
        </w:trPr>
        <w:tc>
          <w:tcPr>
            <w:tcW w:w="6306" w:type="dxa"/>
          </w:tcPr>
          <w:p w:rsidR="00494514" w:rsidRPr="006010C1" w:rsidRDefault="00494514" w:rsidP="00494514">
            <w:pPr>
              <w:autoSpaceDE w:val="0"/>
              <w:autoSpaceDN w:val="0"/>
              <w:adjustRightInd w:val="0"/>
              <w:spacing w:after="200" w:line="276" w:lineRule="auto"/>
              <w:rPr>
                <w:rFonts w:ascii="Arial" w:hAnsi="Arial" w:cs="Arial"/>
                <w:b/>
                <w:sz w:val="18"/>
                <w:szCs w:val="18"/>
                <w:lang w:val="en-IE"/>
              </w:rPr>
            </w:pP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p>
        </w:tc>
        <w:tc>
          <w:tcPr>
            <w:tcW w:w="1382" w:type="dxa"/>
          </w:tcPr>
          <w:p w:rsidR="00494514" w:rsidRPr="001972EA"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p>
        </w:tc>
      </w:tr>
      <w:tr w:rsidR="00494514" w:rsidRPr="00040E7D" w:rsidTr="00027DF8">
        <w:trPr>
          <w:gridAfter w:val="3"/>
          <w:wAfter w:w="1259" w:type="dxa"/>
          <w:trHeight w:hRule="exact" w:val="262"/>
        </w:trPr>
        <w:tc>
          <w:tcPr>
            <w:tcW w:w="6306" w:type="dxa"/>
          </w:tcPr>
          <w:p w:rsidR="00494514" w:rsidRPr="006010C1" w:rsidRDefault="00494514" w:rsidP="00494514">
            <w:pPr>
              <w:tabs>
                <w:tab w:val="right" w:pos="5103"/>
                <w:tab w:val="right" w:pos="6521"/>
                <w:tab w:val="right" w:pos="7938"/>
                <w:tab w:val="right" w:pos="9356"/>
              </w:tabs>
              <w:spacing w:after="200" w:line="276" w:lineRule="auto"/>
              <w:rPr>
                <w:rFonts w:ascii="Arial" w:hAnsi="Arial" w:cs="Arial"/>
                <w:sz w:val="18"/>
                <w:szCs w:val="18"/>
                <w:lang w:val="en-IE"/>
              </w:rPr>
            </w:pPr>
            <w:r w:rsidRPr="006010C1">
              <w:rPr>
                <w:rFonts w:ascii="Arial" w:hAnsi="Arial" w:cs="Arial"/>
                <w:sz w:val="18"/>
                <w:szCs w:val="18"/>
                <w:lang w:val="en-IE"/>
              </w:rPr>
              <w:t>Cash and cash equivalents at the beginning of the financial year</w:t>
            </w:r>
          </w:p>
        </w:tc>
        <w:tc>
          <w:tcPr>
            <w:tcW w:w="1827" w:type="dxa"/>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28,226</w:t>
            </w:r>
          </w:p>
        </w:tc>
        <w:tc>
          <w:tcPr>
            <w:tcW w:w="1382" w:type="dxa"/>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34,085</w:t>
            </w:r>
          </w:p>
        </w:tc>
      </w:tr>
      <w:tr w:rsidR="00494514" w:rsidRPr="00040E7D" w:rsidTr="00027DF8">
        <w:trPr>
          <w:gridAfter w:val="3"/>
          <w:wAfter w:w="1259" w:type="dxa"/>
          <w:trHeight w:hRule="exact" w:val="262"/>
        </w:trPr>
        <w:tc>
          <w:tcPr>
            <w:tcW w:w="6306" w:type="dxa"/>
            <w:tcBorders>
              <w:bottom w:val="single" w:sz="4" w:space="0" w:color="auto"/>
            </w:tcBorders>
          </w:tcPr>
          <w:p w:rsidR="00494514" w:rsidRPr="006010C1" w:rsidRDefault="00494514" w:rsidP="00494514">
            <w:pPr>
              <w:autoSpaceDE w:val="0"/>
              <w:autoSpaceDN w:val="0"/>
              <w:adjustRightInd w:val="0"/>
              <w:spacing w:after="200" w:line="276" w:lineRule="auto"/>
              <w:rPr>
                <w:rFonts w:ascii="Arial" w:hAnsi="Arial" w:cs="Arial"/>
                <w:sz w:val="18"/>
                <w:szCs w:val="18"/>
                <w:lang w:val="en-IE"/>
              </w:rPr>
            </w:pPr>
            <w:r w:rsidRPr="006010C1">
              <w:rPr>
                <w:rFonts w:ascii="Arial" w:hAnsi="Arial" w:cs="Arial"/>
                <w:sz w:val="18"/>
                <w:szCs w:val="18"/>
                <w:lang w:val="en-IE"/>
              </w:rPr>
              <w:t>Effect of foreign exchange rate changes</w:t>
            </w:r>
          </w:p>
        </w:tc>
        <w:tc>
          <w:tcPr>
            <w:tcW w:w="1827" w:type="dxa"/>
            <w:tcBorders>
              <w:bottom w:val="single" w:sz="4" w:space="0" w:color="auto"/>
            </w:tcBorders>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tcBorders>
              <w:bottom w:val="single" w:sz="4" w:space="0" w:color="auto"/>
            </w:tcBorders>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130</w:t>
            </w:r>
          </w:p>
        </w:tc>
        <w:tc>
          <w:tcPr>
            <w:tcW w:w="1382" w:type="dxa"/>
            <w:tcBorders>
              <w:bottom w:val="single" w:sz="4" w:space="0" w:color="auto"/>
            </w:tcBorders>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147</w:t>
            </w:r>
          </w:p>
        </w:tc>
      </w:tr>
      <w:tr w:rsidR="00494514" w:rsidRPr="00040E7D" w:rsidTr="00027DF8">
        <w:trPr>
          <w:gridAfter w:val="3"/>
          <w:wAfter w:w="1259" w:type="dxa"/>
          <w:trHeight w:hRule="exact" w:val="262"/>
        </w:trPr>
        <w:tc>
          <w:tcPr>
            <w:tcW w:w="6306" w:type="dxa"/>
            <w:tcBorders>
              <w:top w:val="single" w:sz="4" w:space="0" w:color="auto"/>
              <w:bottom w:val="single" w:sz="12" w:space="0" w:color="auto"/>
            </w:tcBorders>
          </w:tcPr>
          <w:p w:rsidR="00494514" w:rsidRPr="006010C1" w:rsidRDefault="00494514" w:rsidP="00494514">
            <w:pPr>
              <w:autoSpaceDE w:val="0"/>
              <w:autoSpaceDN w:val="0"/>
              <w:adjustRightInd w:val="0"/>
              <w:spacing w:after="200" w:line="276" w:lineRule="auto"/>
              <w:rPr>
                <w:rFonts w:ascii="Arial" w:hAnsi="Arial" w:cs="Arial"/>
                <w:sz w:val="18"/>
                <w:szCs w:val="18"/>
                <w:lang w:val="en-IE"/>
              </w:rPr>
            </w:pPr>
            <w:r w:rsidRPr="006010C1">
              <w:rPr>
                <w:rFonts w:ascii="Arial" w:hAnsi="Arial" w:cs="Arial"/>
                <w:b/>
                <w:bCs/>
                <w:sz w:val="18"/>
                <w:szCs w:val="18"/>
                <w:lang w:val="en-IE"/>
              </w:rPr>
              <w:t>Cash and cash equivalents at end of financial year</w:t>
            </w:r>
          </w:p>
        </w:tc>
        <w:tc>
          <w:tcPr>
            <w:tcW w:w="1827" w:type="dxa"/>
            <w:tcBorders>
              <w:top w:val="single" w:sz="4" w:space="0" w:color="auto"/>
              <w:bottom w:val="single" w:sz="12" w:space="0" w:color="auto"/>
            </w:tcBorders>
          </w:tcPr>
          <w:p w:rsidR="00494514" w:rsidRPr="006010C1" w:rsidRDefault="00494514" w:rsidP="00494514">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tcBorders>
              <w:top w:val="single" w:sz="4" w:space="0" w:color="auto"/>
              <w:bottom w:val="single" w:sz="12" w:space="0" w:color="auto"/>
            </w:tcBorders>
            <w:shd w:val="clear" w:color="auto" w:fill="auto"/>
          </w:tcPr>
          <w:p w:rsidR="00494514" w:rsidRPr="005B1DE1" w:rsidRDefault="00494514" w:rsidP="00835ACD">
            <w:pPr>
              <w:tabs>
                <w:tab w:val="right" w:pos="5103"/>
                <w:tab w:val="right" w:pos="6521"/>
                <w:tab w:val="right" w:pos="7938"/>
                <w:tab w:val="right" w:pos="9356"/>
              </w:tabs>
              <w:jc w:val="right"/>
              <w:rPr>
                <w:rFonts w:ascii="Arial" w:hAnsi="Arial" w:cs="Arial"/>
                <w:b/>
                <w:sz w:val="18"/>
                <w:szCs w:val="18"/>
                <w:lang w:val="en-IE"/>
              </w:rPr>
            </w:pPr>
            <w:r w:rsidRPr="005B1DE1">
              <w:rPr>
                <w:rFonts w:ascii="Arial" w:hAnsi="Arial" w:cs="Arial"/>
                <w:b/>
                <w:sz w:val="18"/>
                <w:szCs w:val="18"/>
                <w:lang w:val="en-IE"/>
              </w:rPr>
              <w:t>24,572</w:t>
            </w:r>
          </w:p>
        </w:tc>
        <w:tc>
          <w:tcPr>
            <w:tcW w:w="1382" w:type="dxa"/>
            <w:tcBorders>
              <w:top w:val="single" w:sz="4" w:space="0" w:color="auto"/>
              <w:bottom w:val="single" w:sz="12" w:space="0" w:color="auto"/>
            </w:tcBorders>
          </w:tcPr>
          <w:p w:rsidR="00494514" w:rsidRPr="005B1DE1" w:rsidRDefault="00494514" w:rsidP="00494514">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5B1DE1">
              <w:rPr>
                <w:rFonts w:ascii="Arial" w:hAnsi="Arial" w:cs="Arial"/>
                <w:color w:val="000000"/>
                <w:spacing w:val="-5"/>
                <w:sz w:val="18"/>
                <w:szCs w:val="18"/>
              </w:rPr>
              <w:t>28,226</w:t>
            </w:r>
          </w:p>
        </w:tc>
      </w:tr>
      <w:tr w:rsidR="00B17DC7" w:rsidRPr="00040E7D" w:rsidTr="00494514">
        <w:trPr>
          <w:gridAfter w:val="3"/>
          <w:wAfter w:w="1259" w:type="dxa"/>
          <w:trHeight w:hRule="exact" w:val="262"/>
        </w:trPr>
        <w:tc>
          <w:tcPr>
            <w:tcW w:w="6306" w:type="dxa"/>
            <w:tcBorders>
              <w:top w:val="single" w:sz="12" w:space="0" w:color="auto"/>
            </w:tcBorders>
            <w:vAlign w:val="center"/>
          </w:tcPr>
          <w:p w:rsidR="00B17DC7" w:rsidRPr="006010C1" w:rsidRDefault="00B17DC7" w:rsidP="00B17DC7">
            <w:pPr>
              <w:autoSpaceDE w:val="0"/>
              <w:autoSpaceDN w:val="0"/>
              <w:adjustRightInd w:val="0"/>
              <w:spacing w:after="200" w:line="201" w:lineRule="atLeast"/>
              <w:rPr>
                <w:rFonts w:ascii="Arial" w:hAnsi="Arial" w:cs="Arial"/>
                <w:b/>
                <w:bCs/>
                <w:sz w:val="18"/>
                <w:szCs w:val="18"/>
                <w:lang w:val="en-IE"/>
              </w:rPr>
            </w:pPr>
          </w:p>
        </w:tc>
        <w:tc>
          <w:tcPr>
            <w:tcW w:w="1827" w:type="dxa"/>
            <w:tcBorders>
              <w:top w:val="single" w:sz="12" w:space="0" w:color="auto"/>
            </w:tcBorders>
            <w:vAlign w:val="center"/>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rPr>
                <w:rFonts w:ascii="Arial" w:hAnsi="Arial" w:cs="Arial"/>
                <w:sz w:val="18"/>
                <w:szCs w:val="18"/>
                <w:lang w:val="en-IE"/>
              </w:rPr>
            </w:pPr>
          </w:p>
        </w:tc>
        <w:tc>
          <w:tcPr>
            <w:tcW w:w="1409" w:type="dxa"/>
            <w:tcBorders>
              <w:top w:val="single" w:sz="12" w:space="0" w:color="auto"/>
            </w:tcBorders>
            <w:vAlign w:val="center"/>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jc w:val="right"/>
              <w:rPr>
                <w:rFonts w:ascii="Arial" w:hAnsi="Arial" w:cs="Arial"/>
                <w:b/>
                <w:sz w:val="18"/>
                <w:szCs w:val="18"/>
                <w:lang w:val="en-IE"/>
              </w:rPr>
            </w:pPr>
          </w:p>
        </w:tc>
        <w:tc>
          <w:tcPr>
            <w:tcW w:w="1382" w:type="dxa"/>
            <w:tcBorders>
              <w:top w:val="single" w:sz="12" w:space="0" w:color="auto"/>
            </w:tcBorders>
            <w:vAlign w:val="center"/>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jc w:val="right"/>
              <w:rPr>
                <w:rFonts w:ascii="Arial" w:hAnsi="Arial" w:cs="Arial"/>
                <w:sz w:val="18"/>
                <w:szCs w:val="18"/>
                <w:lang w:val="en-IE"/>
              </w:rPr>
            </w:pPr>
          </w:p>
        </w:tc>
      </w:tr>
      <w:tr w:rsidR="00B17DC7" w:rsidRPr="00040E7D" w:rsidTr="00494514">
        <w:trPr>
          <w:gridAfter w:val="3"/>
          <w:wAfter w:w="1259" w:type="dxa"/>
          <w:trHeight w:hRule="exact" w:val="262"/>
        </w:trPr>
        <w:tc>
          <w:tcPr>
            <w:tcW w:w="6306" w:type="dxa"/>
            <w:vAlign w:val="center"/>
          </w:tcPr>
          <w:p w:rsidR="00B17DC7" w:rsidRPr="006010C1" w:rsidRDefault="00B17DC7" w:rsidP="00B17DC7">
            <w:pPr>
              <w:spacing w:after="200" w:line="276" w:lineRule="auto"/>
              <w:rPr>
                <w:rFonts w:ascii="Arial" w:hAnsi="Arial" w:cs="Arial"/>
                <w:sz w:val="18"/>
                <w:szCs w:val="18"/>
                <w:lang w:val="en-IE"/>
              </w:rPr>
            </w:pPr>
          </w:p>
        </w:tc>
        <w:tc>
          <w:tcPr>
            <w:tcW w:w="1827" w:type="dxa"/>
            <w:vAlign w:val="center"/>
          </w:tcPr>
          <w:p w:rsidR="00B17DC7" w:rsidRPr="006010C1" w:rsidRDefault="00B17DC7" w:rsidP="00B17DC7">
            <w:pPr>
              <w:tabs>
                <w:tab w:val="right" w:pos="5103"/>
                <w:tab w:val="right" w:pos="6521"/>
                <w:tab w:val="right" w:pos="7938"/>
                <w:tab w:val="right" w:pos="9356"/>
              </w:tabs>
              <w:spacing w:after="200" w:line="276" w:lineRule="auto"/>
              <w:rPr>
                <w:rFonts w:ascii="Arial" w:hAnsi="Arial" w:cs="Arial"/>
                <w:sz w:val="18"/>
                <w:szCs w:val="18"/>
                <w:lang w:val="en-IE"/>
              </w:rPr>
            </w:pPr>
          </w:p>
        </w:tc>
        <w:tc>
          <w:tcPr>
            <w:tcW w:w="1409" w:type="dxa"/>
            <w:vAlign w:val="center"/>
          </w:tcPr>
          <w:p w:rsidR="00B17DC7" w:rsidRPr="006010C1" w:rsidRDefault="00B17DC7" w:rsidP="00B17DC7">
            <w:pPr>
              <w:tabs>
                <w:tab w:val="right" w:pos="5103"/>
                <w:tab w:val="right" w:pos="6521"/>
                <w:tab w:val="right" w:pos="7938"/>
                <w:tab w:val="right" w:pos="9356"/>
              </w:tabs>
              <w:spacing w:after="200" w:line="276" w:lineRule="auto"/>
              <w:jc w:val="right"/>
              <w:rPr>
                <w:rFonts w:ascii="Arial" w:hAnsi="Arial" w:cs="Arial"/>
                <w:b/>
                <w:sz w:val="18"/>
                <w:szCs w:val="18"/>
                <w:lang w:val="en-IE"/>
              </w:rPr>
            </w:pPr>
          </w:p>
        </w:tc>
        <w:tc>
          <w:tcPr>
            <w:tcW w:w="1382" w:type="dxa"/>
            <w:vAlign w:val="center"/>
          </w:tcPr>
          <w:p w:rsidR="00B17DC7" w:rsidRPr="006010C1" w:rsidRDefault="00B17DC7" w:rsidP="00B17DC7">
            <w:pPr>
              <w:tabs>
                <w:tab w:val="right" w:pos="5103"/>
                <w:tab w:val="right" w:pos="6521"/>
                <w:tab w:val="right" w:pos="7938"/>
                <w:tab w:val="right" w:pos="9356"/>
              </w:tabs>
              <w:spacing w:after="200" w:line="276" w:lineRule="auto"/>
              <w:jc w:val="right"/>
              <w:rPr>
                <w:rFonts w:ascii="Arial" w:hAnsi="Arial" w:cs="Arial"/>
                <w:sz w:val="18"/>
                <w:szCs w:val="18"/>
                <w:lang w:val="en-IE"/>
              </w:rPr>
            </w:pPr>
          </w:p>
        </w:tc>
      </w:tr>
      <w:tr w:rsidR="00B17DC7" w:rsidRPr="00040E7D" w:rsidTr="00494514">
        <w:trPr>
          <w:trHeight w:val="262"/>
        </w:trPr>
        <w:tc>
          <w:tcPr>
            <w:tcW w:w="10924" w:type="dxa"/>
            <w:gridSpan w:val="4"/>
            <w:vAlign w:val="center"/>
          </w:tcPr>
          <w:p w:rsidR="00B17DC7" w:rsidRPr="006010C1" w:rsidRDefault="00B17DC7" w:rsidP="00B17DC7">
            <w:pPr>
              <w:tabs>
                <w:tab w:val="right" w:pos="5103"/>
                <w:tab w:val="right" w:pos="6521"/>
                <w:tab w:val="right" w:pos="7938"/>
                <w:tab w:val="right" w:pos="9356"/>
              </w:tabs>
              <w:autoSpaceDE w:val="0"/>
              <w:autoSpaceDN w:val="0"/>
              <w:adjustRightInd w:val="0"/>
              <w:jc w:val="both"/>
              <w:rPr>
                <w:rFonts w:ascii="Arial" w:hAnsi="Arial" w:cs="Arial"/>
                <w:sz w:val="18"/>
                <w:szCs w:val="18"/>
                <w:lang w:val="en-IE"/>
              </w:rPr>
            </w:pPr>
          </w:p>
        </w:tc>
        <w:tc>
          <w:tcPr>
            <w:tcW w:w="241" w:type="dxa"/>
            <w:vAlign w:val="center"/>
          </w:tcPr>
          <w:p w:rsidR="00B17DC7" w:rsidRPr="006010C1" w:rsidRDefault="00B17DC7" w:rsidP="00B17DC7">
            <w:pPr>
              <w:rPr>
                <w:rFonts w:ascii="Arial" w:hAnsi="Arial" w:cs="Arial"/>
                <w:sz w:val="18"/>
                <w:szCs w:val="18"/>
                <w:lang w:val="en-IE"/>
              </w:rPr>
            </w:pPr>
          </w:p>
        </w:tc>
        <w:tc>
          <w:tcPr>
            <w:tcW w:w="760" w:type="dxa"/>
            <w:vAlign w:val="center"/>
          </w:tcPr>
          <w:p w:rsidR="00B17DC7" w:rsidRPr="006010C1" w:rsidRDefault="00B17DC7" w:rsidP="00B17DC7">
            <w:pPr>
              <w:rPr>
                <w:rFonts w:ascii="Arial" w:hAnsi="Arial" w:cs="Arial"/>
                <w:sz w:val="18"/>
                <w:szCs w:val="18"/>
                <w:lang w:val="en-IE"/>
              </w:rPr>
            </w:pPr>
          </w:p>
        </w:tc>
        <w:tc>
          <w:tcPr>
            <w:tcW w:w="258" w:type="dxa"/>
            <w:vAlign w:val="center"/>
          </w:tcPr>
          <w:p w:rsidR="00B17DC7" w:rsidRPr="006010C1" w:rsidRDefault="00B17DC7" w:rsidP="00B17DC7">
            <w:pPr>
              <w:rPr>
                <w:rFonts w:ascii="Arial" w:hAnsi="Arial" w:cs="Arial"/>
                <w:sz w:val="18"/>
                <w:szCs w:val="18"/>
                <w:lang w:val="en-IE"/>
              </w:rPr>
            </w:pPr>
          </w:p>
        </w:tc>
      </w:tr>
      <w:tr w:rsidR="00B17DC7" w:rsidRPr="00040E7D" w:rsidTr="00027DF8">
        <w:trPr>
          <w:gridAfter w:val="3"/>
          <w:wAfter w:w="1259" w:type="dxa"/>
          <w:trHeight w:hRule="exact" w:val="262"/>
        </w:trPr>
        <w:tc>
          <w:tcPr>
            <w:tcW w:w="6306" w:type="dxa"/>
          </w:tcPr>
          <w:p w:rsidR="00B17DC7" w:rsidRPr="006010C1" w:rsidRDefault="00B17DC7" w:rsidP="00B17DC7">
            <w:pPr>
              <w:tabs>
                <w:tab w:val="right" w:pos="5103"/>
                <w:tab w:val="right" w:pos="6521"/>
                <w:tab w:val="right" w:pos="7938"/>
                <w:tab w:val="right" w:pos="9356"/>
              </w:tabs>
              <w:spacing w:after="200" w:line="276" w:lineRule="auto"/>
              <w:rPr>
                <w:rFonts w:ascii="Arial" w:hAnsi="Arial" w:cs="Arial"/>
                <w:sz w:val="18"/>
                <w:szCs w:val="18"/>
                <w:lang w:val="en-IE"/>
              </w:rPr>
            </w:pPr>
          </w:p>
        </w:tc>
        <w:tc>
          <w:tcPr>
            <w:tcW w:w="1827" w:type="dxa"/>
          </w:tcPr>
          <w:p w:rsidR="00B17DC7" w:rsidRPr="006010C1" w:rsidRDefault="00B17DC7" w:rsidP="00B17DC7">
            <w:pPr>
              <w:tabs>
                <w:tab w:val="right" w:pos="5103"/>
                <w:tab w:val="right" w:pos="6521"/>
                <w:tab w:val="right" w:pos="7938"/>
                <w:tab w:val="right" w:pos="9356"/>
              </w:tabs>
              <w:spacing w:after="200" w:line="276" w:lineRule="auto"/>
              <w:jc w:val="center"/>
              <w:rPr>
                <w:rFonts w:ascii="Arial" w:hAnsi="Arial" w:cs="Arial"/>
                <w:sz w:val="18"/>
                <w:szCs w:val="18"/>
                <w:lang w:val="en-IE"/>
              </w:rPr>
            </w:pPr>
            <w:r w:rsidRPr="006010C1">
              <w:rPr>
                <w:rFonts w:ascii="Arial" w:hAnsi="Arial" w:cs="Arial"/>
                <w:b/>
                <w:bCs/>
                <w:color w:val="1F497D" w:themeColor="text2"/>
                <w:sz w:val="18"/>
                <w:szCs w:val="18"/>
                <w:lang w:val="en-IE"/>
              </w:rPr>
              <w:t>Notes</w:t>
            </w:r>
          </w:p>
        </w:tc>
        <w:tc>
          <w:tcPr>
            <w:tcW w:w="1409" w:type="dxa"/>
            <w:shd w:val="clear" w:color="auto" w:fill="auto"/>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jc w:val="right"/>
              <w:rPr>
                <w:rFonts w:ascii="Arial" w:hAnsi="Arial" w:cs="Arial"/>
                <w:b/>
                <w:color w:val="1F497D" w:themeColor="text2"/>
                <w:sz w:val="18"/>
                <w:szCs w:val="18"/>
                <w:lang w:val="en-IE"/>
              </w:rPr>
            </w:pPr>
            <w:r w:rsidRPr="006010C1">
              <w:rPr>
                <w:rFonts w:ascii="Arial" w:hAnsi="Arial" w:cs="Arial"/>
                <w:b/>
                <w:bCs/>
                <w:color w:val="1F497D" w:themeColor="text2"/>
                <w:sz w:val="18"/>
                <w:szCs w:val="18"/>
                <w:lang w:val="en-IE"/>
              </w:rPr>
              <w:t>201</w:t>
            </w:r>
            <w:r w:rsidR="00C43661">
              <w:rPr>
                <w:rFonts w:ascii="Arial" w:hAnsi="Arial" w:cs="Arial"/>
                <w:b/>
                <w:bCs/>
                <w:color w:val="1F497D" w:themeColor="text2"/>
                <w:sz w:val="18"/>
                <w:szCs w:val="18"/>
                <w:lang w:val="en-IE"/>
              </w:rPr>
              <w:t>7</w:t>
            </w:r>
          </w:p>
        </w:tc>
        <w:tc>
          <w:tcPr>
            <w:tcW w:w="1382" w:type="dxa"/>
          </w:tcPr>
          <w:p w:rsidR="00B17DC7" w:rsidRPr="006010C1" w:rsidRDefault="00B17DC7" w:rsidP="00B17DC7">
            <w:pPr>
              <w:tabs>
                <w:tab w:val="right" w:pos="5103"/>
                <w:tab w:val="right" w:pos="6521"/>
                <w:tab w:val="right" w:pos="7938"/>
                <w:tab w:val="right" w:pos="9356"/>
              </w:tabs>
              <w:autoSpaceDE w:val="0"/>
              <w:autoSpaceDN w:val="0"/>
              <w:adjustRightInd w:val="0"/>
              <w:spacing w:after="200" w:line="201" w:lineRule="atLeast"/>
              <w:jc w:val="right"/>
              <w:rPr>
                <w:rFonts w:ascii="Arial" w:hAnsi="Arial" w:cs="Arial"/>
                <w:color w:val="1F497D" w:themeColor="text2"/>
                <w:sz w:val="18"/>
                <w:szCs w:val="18"/>
                <w:lang w:val="en-IE"/>
              </w:rPr>
            </w:pPr>
            <w:r w:rsidRPr="006010C1">
              <w:rPr>
                <w:rFonts w:ascii="Arial" w:hAnsi="Arial" w:cs="Arial"/>
                <w:bCs/>
                <w:color w:val="1F497D" w:themeColor="text2"/>
                <w:sz w:val="18"/>
                <w:szCs w:val="18"/>
                <w:lang w:val="en-IE"/>
              </w:rPr>
              <w:t>201</w:t>
            </w:r>
            <w:r w:rsidR="00BD6258">
              <w:rPr>
                <w:rFonts w:ascii="Arial" w:hAnsi="Arial" w:cs="Arial"/>
                <w:bCs/>
                <w:color w:val="1F497D" w:themeColor="text2"/>
                <w:sz w:val="18"/>
                <w:szCs w:val="18"/>
                <w:lang w:val="en-IE"/>
              </w:rPr>
              <w:t>6</w:t>
            </w:r>
          </w:p>
        </w:tc>
      </w:tr>
      <w:tr w:rsidR="00B17DC7" w:rsidRPr="00040E7D" w:rsidTr="00027DF8">
        <w:trPr>
          <w:gridAfter w:val="3"/>
          <w:wAfter w:w="1259" w:type="dxa"/>
          <w:trHeight w:hRule="exact" w:val="262"/>
        </w:trPr>
        <w:tc>
          <w:tcPr>
            <w:tcW w:w="6306" w:type="dxa"/>
          </w:tcPr>
          <w:p w:rsidR="00B17DC7" w:rsidRPr="006010C1" w:rsidRDefault="00B17DC7" w:rsidP="00B17DC7">
            <w:pPr>
              <w:tabs>
                <w:tab w:val="right" w:pos="5103"/>
                <w:tab w:val="right" w:pos="6521"/>
                <w:tab w:val="right" w:pos="7938"/>
                <w:tab w:val="right" w:pos="9356"/>
              </w:tabs>
              <w:rPr>
                <w:rFonts w:ascii="Arial" w:hAnsi="Arial" w:cs="Arial"/>
                <w:sz w:val="18"/>
                <w:szCs w:val="18"/>
                <w:lang w:val="en-IE"/>
              </w:rPr>
            </w:pPr>
          </w:p>
        </w:tc>
        <w:tc>
          <w:tcPr>
            <w:tcW w:w="1827" w:type="dxa"/>
          </w:tcPr>
          <w:p w:rsidR="00B17DC7" w:rsidRPr="006010C1" w:rsidRDefault="00B17DC7" w:rsidP="00B17DC7">
            <w:pPr>
              <w:tabs>
                <w:tab w:val="right" w:pos="5103"/>
                <w:tab w:val="right" w:pos="6521"/>
                <w:tab w:val="right" w:pos="7938"/>
                <w:tab w:val="right" w:pos="9356"/>
              </w:tabs>
              <w:rPr>
                <w:rFonts w:ascii="Arial" w:hAnsi="Arial" w:cs="Arial"/>
                <w:sz w:val="18"/>
                <w:szCs w:val="18"/>
                <w:lang w:val="en-IE"/>
              </w:rPr>
            </w:pPr>
          </w:p>
        </w:tc>
        <w:tc>
          <w:tcPr>
            <w:tcW w:w="1409" w:type="dxa"/>
            <w:shd w:val="clear" w:color="auto" w:fill="auto"/>
          </w:tcPr>
          <w:p w:rsidR="00B17DC7" w:rsidRPr="006010C1" w:rsidRDefault="00B17DC7" w:rsidP="00B17DC7">
            <w:pPr>
              <w:tabs>
                <w:tab w:val="right" w:pos="5103"/>
                <w:tab w:val="right" w:pos="6521"/>
                <w:tab w:val="right" w:pos="7938"/>
                <w:tab w:val="right" w:pos="9356"/>
              </w:tabs>
              <w:autoSpaceDE w:val="0"/>
              <w:autoSpaceDN w:val="0"/>
              <w:adjustRightInd w:val="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382" w:type="dxa"/>
          </w:tcPr>
          <w:p w:rsidR="00B17DC7" w:rsidRPr="006010C1" w:rsidRDefault="00B17DC7" w:rsidP="00B17DC7">
            <w:pPr>
              <w:tabs>
                <w:tab w:val="right" w:pos="5103"/>
                <w:tab w:val="right" w:pos="6521"/>
                <w:tab w:val="right" w:pos="7938"/>
                <w:tab w:val="right" w:pos="9356"/>
              </w:tabs>
              <w:autoSpaceDE w:val="0"/>
              <w:autoSpaceDN w:val="0"/>
              <w:adjustRightInd w:val="0"/>
              <w:spacing w:line="201" w:lineRule="atLeast"/>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B17DC7" w:rsidRPr="00040E7D" w:rsidTr="00027DF8">
        <w:trPr>
          <w:gridAfter w:val="3"/>
          <w:wAfter w:w="1259" w:type="dxa"/>
          <w:trHeight w:hRule="exact" w:val="262"/>
        </w:trPr>
        <w:tc>
          <w:tcPr>
            <w:tcW w:w="6306" w:type="dxa"/>
          </w:tcPr>
          <w:p w:rsidR="00B17DC7" w:rsidRPr="006010C1" w:rsidRDefault="00B17DC7" w:rsidP="00B17DC7">
            <w:pPr>
              <w:tabs>
                <w:tab w:val="right" w:pos="5103"/>
                <w:tab w:val="right" w:pos="6521"/>
                <w:tab w:val="right" w:pos="7938"/>
                <w:tab w:val="right" w:pos="9356"/>
              </w:tabs>
              <w:spacing w:after="200" w:line="276" w:lineRule="auto"/>
              <w:rPr>
                <w:rFonts w:ascii="Arial" w:hAnsi="Arial" w:cs="Arial"/>
                <w:sz w:val="18"/>
                <w:szCs w:val="18"/>
                <w:lang w:val="en-IE"/>
              </w:rPr>
            </w:pPr>
            <w:r w:rsidRPr="006010C1">
              <w:rPr>
                <w:rFonts w:ascii="Arial" w:hAnsi="Arial" w:cs="Arial"/>
                <w:sz w:val="18"/>
                <w:szCs w:val="18"/>
                <w:lang w:val="en-IE"/>
              </w:rPr>
              <w:t>Cash and short-term deposits</w:t>
            </w:r>
          </w:p>
        </w:tc>
        <w:tc>
          <w:tcPr>
            <w:tcW w:w="1827" w:type="dxa"/>
          </w:tcPr>
          <w:p w:rsidR="00B17DC7" w:rsidRPr="006010C1" w:rsidRDefault="00B17DC7" w:rsidP="00B17DC7">
            <w:pPr>
              <w:tabs>
                <w:tab w:val="right" w:pos="5103"/>
                <w:tab w:val="right" w:pos="6521"/>
                <w:tab w:val="right" w:pos="7938"/>
                <w:tab w:val="right" w:pos="9356"/>
              </w:tabs>
              <w:spacing w:after="200" w:line="276" w:lineRule="auto"/>
              <w:rPr>
                <w:rFonts w:ascii="Arial" w:hAnsi="Arial" w:cs="Arial"/>
                <w:sz w:val="18"/>
                <w:szCs w:val="18"/>
                <w:lang w:val="en-IE"/>
              </w:rPr>
            </w:pPr>
          </w:p>
        </w:tc>
        <w:tc>
          <w:tcPr>
            <w:tcW w:w="1409" w:type="dxa"/>
            <w:shd w:val="clear" w:color="auto" w:fill="auto"/>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jc w:val="right"/>
              <w:rPr>
                <w:rFonts w:ascii="Arial" w:hAnsi="Arial" w:cs="Arial"/>
                <w:b/>
                <w:color w:val="1F497D" w:themeColor="text2"/>
                <w:sz w:val="18"/>
                <w:szCs w:val="18"/>
                <w:lang w:val="en-IE"/>
              </w:rPr>
            </w:pPr>
          </w:p>
        </w:tc>
        <w:tc>
          <w:tcPr>
            <w:tcW w:w="1382" w:type="dxa"/>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jc w:val="right"/>
              <w:rPr>
                <w:rFonts w:ascii="Arial" w:hAnsi="Arial" w:cs="Arial"/>
                <w:color w:val="1F497D" w:themeColor="text2"/>
                <w:sz w:val="18"/>
                <w:szCs w:val="18"/>
                <w:lang w:val="en-IE"/>
              </w:rPr>
            </w:pPr>
          </w:p>
        </w:tc>
      </w:tr>
      <w:tr w:rsidR="006A78CC" w:rsidRPr="00040E7D" w:rsidTr="00027DF8">
        <w:trPr>
          <w:gridAfter w:val="3"/>
          <w:wAfter w:w="1259" w:type="dxa"/>
          <w:trHeight w:hRule="exact" w:val="262"/>
        </w:trPr>
        <w:tc>
          <w:tcPr>
            <w:tcW w:w="6306" w:type="dxa"/>
          </w:tcPr>
          <w:p w:rsidR="006A78CC" w:rsidRPr="006010C1" w:rsidRDefault="006A78CC" w:rsidP="006A78CC">
            <w:pPr>
              <w:tabs>
                <w:tab w:val="right" w:pos="5103"/>
                <w:tab w:val="right" w:pos="6521"/>
                <w:tab w:val="right" w:pos="7938"/>
                <w:tab w:val="right" w:pos="9356"/>
              </w:tabs>
              <w:autoSpaceDE w:val="0"/>
              <w:autoSpaceDN w:val="0"/>
              <w:adjustRightInd w:val="0"/>
              <w:spacing w:after="200" w:line="276" w:lineRule="auto"/>
              <w:rPr>
                <w:rFonts w:ascii="Arial" w:hAnsi="Arial" w:cs="Arial"/>
                <w:sz w:val="18"/>
                <w:szCs w:val="18"/>
                <w:lang w:val="en-IE"/>
              </w:rPr>
            </w:pPr>
            <w:r w:rsidRPr="006010C1">
              <w:rPr>
                <w:rFonts w:ascii="Arial" w:hAnsi="Arial" w:cs="Arial"/>
                <w:sz w:val="18"/>
                <w:szCs w:val="18"/>
                <w:lang w:val="en-IE"/>
              </w:rPr>
              <w:t xml:space="preserve">     - as disclosed on the Consolidated Statement of Financial Position</w:t>
            </w:r>
          </w:p>
        </w:tc>
        <w:tc>
          <w:tcPr>
            <w:tcW w:w="1827" w:type="dxa"/>
          </w:tcPr>
          <w:p w:rsidR="006A78CC" w:rsidRPr="006010C1" w:rsidRDefault="005A3314" w:rsidP="006A78CC">
            <w:pPr>
              <w:tabs>
                <w:tab w:val="right" w:pos="5103"/>
                <w:tab w:val="right" w:pos="6521"/>
                <w:tab w:val="right" w:pos="7938"/>
                <w:tab w:val="right" w:pos="9356"/>
              </w:tabs>
              <w:spacing w:after="200" w:line="276" w:lineRule="auto"/>
              <w:jc w:val="center"/>
              <w:rPr>
                <w:rFonts w:ascii="Arial" w:hAnsi="Arial" w:cs="Arial"/>
                <w:sz w:val="18"/>
                <w:szCs w:val="18"/>
                <w:lang w:val="en-IE"/>
              </w:rPr>
            </w:pPr>
            <w:r>
              <w:rPr>
                <w:rFonts w:ascii="Arial" w:hAnsi="Arial" w:cs="Arial"/>
                <w:sz w:val="18"/>
                <w:szCs w:val="18"/>
                <w:lang w:val="en-IE"/>
              </w:rPr>
              <w:t>9</w:t>
            </w:r>
          </w:p>
        </w:tc>
        <w:tc>
          <w:tcPr>
            <w:tcW w:w="1409" w:type="dxa"/>
            <w:shd w:val="clear" w:color="auto" w:fill="auto"/>
          </w:tcPr>
          <w:p w:rsidR="006A78CC" w:rsidRPr="006010C1" w:rsidRDefault="006A78CC" w:rsidP="006A78C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24,572</w:t>
            </w:r>
          </w:p>
        </w:tc>
        <w:tc>
          <w:tcPr>
            <w:tcW w:w="1382" w:type="dxa"/>
          </w:tcPr>
          <w:p w:rsidR="006A78CC" w:rsidRPr="006010C1" w:rsidRDefault="006A78CC" w:rsidP="005B1DE1">
            <w:pPr>
              <w:widowControl w:val="0"/>
              <w:tabs>
                <w:tab w:val="center" w:pos="485"/>
                <w:tab w:val="right" w:pos="970"/>
              </w:tabs>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6010C1">
              <w:rPr>
                <w:rFonts w:ascii="Arial" w:hAnsi="Arial" w:cs="Arial"/>
                <w:b/>
                <w:color w:val="000000"/>
                <w:spacing w:val="-5"/>
                <w:sz w:val="18"/>
                <w:szCs w:val="18"/>
              </w:rPr>
              <w:t>28,226</w:t>
            </w:r>
          </w:p>
        </w:tc>
      </w:tr>
      <w:tr w:rsidR="006A78CC" w:rsidRPr="00040E7D" w:rsidTr="00027DF8">
        <w:trPr>
          <w:gridAfter w:val="3"/>
          <w:wAfter w:w="1259" w:type="dxa"/>
          <w:trHeight w:hRule="exact" w:val="262"/>
        </w:trPr>
        <w:tc>
          <w:tcPr>
            <w:tcW w:w="6306" w:type="dxa"/>
            <w:tcBorders>
              <w:top w:val="single" w:sz="4" w:space="0" w:color="auto"/>
              <w:bottom w:val="single" w:sz="12" w:space="0" w:color="auto"/>
            </w:tcBorders>
          </w:tcPr>
          <w:p w:rsidR="006A78CC" w:rsidRPr="006010C1" w:rsidRDefault="006A78CC" w:rsidP="006A78CC">
            <w:pPr>
              <w:autoSpaceDE w:val="0"/>
              <w:autoSpaceDN w:val="0"/>
              <w:adjustRightInd w:val="0"/>
              <w:spacing w:after="200" w:line="276" w:lineRule="auto"/>
              <w:rPr>
                <w:rFonts w:ascii="Arial" w:hAnsi="Arial" w:cs="Arial"/>
                <w:sz w:val="18"/>
                <w:szCs w:val="18"/>
                <w:lang w:val="en-IE"/>
              </w:rPr>
            </w:pPr>
            <w:r w:rsidRPr="006010C1">
              <w:rPr>
                <w:rFonts w:ascii="Arial" w:hAnsi="Arial" w:cs="Arial"/>
                <w:b/>
                <w:bCs/>
                <w:sz w:val="18"/>
                <w:szCs w:val="18"/>
                <w:lang w:val="en-IE"/>
              </w:rPr>
              <w:t>Cash and cash equivalents at end of financial year</w:t>
            </w:r>
          </w:p>
        </w:tc>
        <w:tc>
          <w:tcPr>
            <w:tcW w:w="1827" w:type="dxa"/>
            <w:tcBorders>
              <w:top w:val="single" w:sz="4" w:space="0" w:color="auto"/>
              <w:bottom w:val="single" w:sz="12" w:space="0" w:color="auto"/>
            </w:tcBorders>
          </w:tcPr>
          <w:p w:rsidR="006A78CC" w:rsidRPr="006010C1" w:rsidRDefault="006A78CC" w:rsidP="006A78CC">
            <w:pPr>
              <w:tabs>
                <w:tab w:val="right" w:pos="5103"/>
                <w:tab w:val="right" w:pos="6521"/>
                <w:tab w:val="right" w:pos="7938"/>
                <w:tab w:val="right" w:pos="9356"/>
              </w:tabs>
              <w:spacing w:after="200" w:line="276" w:lineRule="auto"/>
              <w:jc w:val="center"/>
              <w:rPr>
                <w:rFonts w:ascii="Arial" w:hAnsi="Arial" w:cs="Arial"/>
                <w:sz w:val="18"/>
                <w:szCs w:val="18"/>
                <w:lang w:val="en-IE"/>
              </w:rPr>
            </w:pPr>
          </w:p>
        </w:tc>
        <w:tc>
          <w:tcPr>
            <w:tcW w:w="1409" w:type="dxa"/>
            <w:tcBorders>
              <w:top w:val="single" w:sz="4" w:space="0" w:color="auto"/>
              <w:bottom w:val="single" w:sz="12" w:space="0" w:color="auto"/>
            </w:tcBorders>
            <w:shd w:val="clear" w:color="auto" w:fill="auto"/>
          </w:tcPr>
          <w:p w:rsidR="006A78CC" w:rsidRPr="006010C1" w:rsidRDefault="006A78CC" w:rsidP="006A78CC">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24,572</w:t>
            </w:r>
          </w:p>
        </w:tc>
        <w:tc>
          <w:tcPr>
            <w:tcW w:w="1382" w:type="dxa"/>
            <w:tcBorders>
              <w:top w:val="single" w:sz="4" w:space="0" w:color="auto"/>
              <w:bottom w:val="single" w:sz="12" w:space="0" w:color="auto"/>
            </w:tcBorders>
          </w:tcPr>
          <w:p w:rsidR="006A78CC" w:rsidRPr="006010C1" w:rsidRDefault="006A78CC" w:rsidP="006A78CC">
            <w:pPr>
              <w:widowControl w:val="0"/>
              <w:suppressAutoHyphens/>
              <w:autoSpaceDE w:val="0"/>
              <w:autoSpaceDN w:val="0"/>
              <w:adjustRightInd w:val="0"/>
              <w:spacing w:line="200" w:lineRule="atLeast"/>
              <w:jc w:val="right"/>
              <w:textAlignment w:val="center"/>
              <w:rPr>
                <w:rFonts w:ascii="Arial" w:hAnsi="Arial" w:cs="Arial"/>
                <w:color w:val="000000"/>
                <w:spacing w:val="-5"/>
                <w:sz w:val="18"/>
                <w:szCs w:val="18"/>
              </w:rPr>
            </w:pPr>
            <w:r w:rsidRPr="006010C1">
              <w:rPr>
                <w:rFonts w:ascii="Arial" w:hAnsi="Arial" w:cs="Arial"/>
                <w:b/>
                <w:color w:val="000000"/>
                <w:spacing w:val="-5"/>
                <w:sz w:val="18"/>
                <w:szCs w:val="18"/>
              </w:rPr>
              <w:t>28,226</w:t>
            </w:r>
          </w:p>
        </w:tc>
      </w:tr>
      <w:tr w:rsidR="00B17DC7" w:rsidRPr="00040E7D" w:rsidTr="00494514">
        <w:trPr>
          <w:gridAfter w:val="3"/>
          <w:wAfter w:w="1259" w:type="dxa"/>
          <w:trHeight w:hRule="exact" w:val="328"/>
        </w:trPr>
        <w:tc>
          <w:tcPr>
            <w:tcW w:w="6306" w:type="dxa"/>
            <w:tcBorders>
              <w:top w:val="single" w:sz="12" w:space="0" w:color="auto"/>
            </w:tcBorders>
            <w:vAlign w:val="center"/>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rPr>
                <w:rFonts w:ascii="Arial" w:hAnsi="Arial" w:cs="Arial"/>
                <w:sz w:val="18"/>
                <w:szCs w:val="18"/>
                <w:lang w:val="en-IE"/>
              </w:rPr>
            </w:pPr>
          </w:p>
        </w:tc>
        <w:tc>
          <w:tcPr>
            <w:tcW w:w="1827" w:type="dxa"/>
            <w:tcBorders>
              <w:top w:val="single" w:sz="12" w:space="0" w:color="auto"/>
            </w:tcBorders>
            <w:vAlign w:val="center"/>
          </w:tcPr>
          <w:p w:rsidR="00B17DC7" w:rsidRPr="006010C1" w:rsidRDefault="00B17DC7" w:rsidP="00B17DC7">
            <w:pPr>
              <w:tabs>
                <w:tab w:val="right" w:pos="5103"/>
                <w:tab w:val="right" w:pos="6521"/>
                <w:tab w:val="right" w:pos="7938"/>
                <w:tab w:val="right" w:pos="9356"/>
              </w:tabs>
              <w:autoSpaceDE w:val="0"/>
              <w:autoSpaceDN w:val="0"/>
              <w:adjustRightInd w:val="0"/>
              <w:spacing w:after="200" w:line="201" w:lineRule="atLeast"/>
              <w:jc w:val="center"/>
              <w:rPr>
                <w:rFonts w:ascii="Arial" w:hAnsi="Arial" w:cs="Arial"/>
                <w:sz w:val="18"/>
                <w:szCs w:val="18"/>
                <w:lang w:val="en-IE"/>
              </w:rPr>
            </w:pPr>
          </w:p>
        </w:tc>
        <w:tc>
          <w:tcPr>
            <w:tcW w:w="1409" w:type="dxa"/>
            <w:tcBorders>
              <w:top w:val="single" w:sz="12" w:space="0" w:color="auto"/>
            </w:tcBorders>
            <w:vAlign w:val="center"/>
          </w:tcPr>
          <w:p w:rsidR="00B17DC7" w:rsidRPr="006010C1" w:rsidRDefault="00B17DC7" w:rsidP="00B17DC7">
            <w:pPr>
              <w:tabs>
                <w:tab w:val="right" w:pos="5103"/>
                <w:tab w:val="right" w:pos="6521"/>
                <w:tab w:val="right" w:pos="7938"/>
                <w:tab w:val="right" w:pos="9356"/>
              </w:tabs>
              <w:autoSpaceDE w:val="0"/>
              <w:autoSpaceDN w:val="0"/>
              <w:adjustRightInd w:val="0"/>
              <w:spacing w:after="200" w:line="276" w:lineRule="auto"/>
              <w:jc w:val="right"/>
              <w:rPr>
                <w:rFonts w:ascii="Arial" w:hAnsi="Arial" w:cs="Arial"/>
                <w:b/>
                <w:sz w:val="18"/>
                <w:szCs w:val="18"/>
                <w:lang w:val="en-IE"/>
              </w:rPr>
            </w:pPr>
          </w:p>
        </w:tc>
        <w:tc>
          <w:tcPr>
            <w:tcW w:w="1382" w:type="dxa"/>
            <w:tcBorders>
              <w:top w:val="single" w:sz="12" w:space="0" w:color="auto"/>
            </w:tcBorders>
            <w:vAlign w:val="center"/>
          </w:tcPr>
          <w:p w:rsidR="00B17DC7" w:rsidRPr="006010C1" w:rsidRDefault="00B17DC7" w:rsidP="00B17DC7">
            <w:pPr>
              <w:tabs>
                <w:tab w:val="right" w:pos="5103"/>
                <w:tab w:val="right" w:pos="6521"/>
                <w:tab w:val="right" w:pos="7938"/>
                <w:tab w:val="right" w:pos="9356"/>
              </w:tabs>
              <w:autoSpaceDE w:val="0"/>
              <w:autoSpaceDN w:val="0"/>
              <w:adjustRightInd w:val="0"/>
              <w:spacing w:after="200" w:line="201" w:lineRule="atLeast"/>
              <w:jc w:val="right"/>
              <w:rPr>
                <w:rFonts w:ascii="Arial" w:hAnsi="Arial" w:cs="Arial"/>
                <w:sz w:val="18"/>
                <w:szCs w:val="18"/>
                <w:lang w:val="en-IE"/>
              </w:rPr>
            </w:pPr>
          </w:p>
        </w:tc>
      </w:tr>
    </w:tbl>
    <w:p w:rsidR="00254A2F" w:rsidRPr="006C3343" w:rsidRDefault="00254A2F" w:rsidP="004806F8">
      <w:pPr>
        <w:rPr>
          <w:rFonts w:ascii="Arial" w:hAnsi="Arial" w:cs="Arial"/>
          <w:sz w:val="20"/>
          <w:szCs w:val="20"/>
          <w:lang w:val="en-IE"/>
        </w:rPr>
      </w:pPr>
      <w:bookmarkStart w:id="15" w:name="_Toc255821615"/>
      <w:bookmarkEnd w:id="11"/>
      <w:bookmarkEnd w:id="12"/>
      <w:bookmarkEnd w:id="13"/>
      <w:bookmarkEnd w:id="14"/>
    </w:p>
    <w:p w:rsidR="00E8672E" w:rsidRDefault="00E00494">
      <w:pPr>
        <w:pStyle w:val="Heading1"/>
        <w:spacing w:before="0"/>
        <w:rPr>
          <w:rFonts w:ascii="Arial" w:eastAsiaTheme="minorEastAsia" w:hAnsi="Arial" w:cs="Arial"/>
          <w:b w:val="0"/>
          <w:bCs w:val="0"/>
          <w:color w:val="808080" w:themeColor="background1" w:themeShade="80"/>
          <w:lang w:val="en-IE"/>
        </w:rPr>
      </w:pPr>
      <w:bookmarkStart w:id="16" w:name="OLE_LINK71"/>
      <w:bookmarkStart w:id="17" w:name="OLE_LINK72"/>
      <w:r w:rsidRPr="00E65E93">
        <w:rPr>
          <w:rFonts w:ascii="Arial" w:eastAsiaTheme="minorEastAsia" w:hAnsi="Arial" w:cs="Arial"/>
          <w:b w:val="0"/>
          <w:bCs w:val="0"/>
          <w:color w:val="808080" w:themeColor="background1" w:themeShade="80"/>
          <w:lang w:val="en-IE"/>
        </w:rPr>
        <w:t>Consolidated Statement of Changes in Equity</w:t>
      </w:r>
      <w:bookmarkEnd w:id="15"/>
    </w:p>
    <w:p w:rsidR="00FA63C9" w:rsidRDefault="00FA63C9" w:rsidP="005B1DE1">
      <w:pPr>
        <w:rPr>
          <w:lang w:val="en-IE"/>
        </w:rPr>
      </w:pPr>
    </w:p>
    <w:tbl>
      <w:tblPr>
        <w:tblW w:w="10674" w:type="dxa"/>
        <w:tblLayout w:type="fixed"/>
        <w:tblCellMar>
          <w:left w:w="0" w:type="dxa"/>
          <w:right w:w="0" w:type="dxa"/>
        </w:tblCellMar>
        <w:tblLook w:val="0000" w:firstRow="0" w:lastRow="0" w:firstColumn="0" w:lastColumn="0" w:noHBand="0" w:noVBand="0"/>
      </w:tblPr>
      <w:tblGrid>
        <w:gridCol w:w="5300"/>
        <w:gridCol w:w="1075"/>
        <w:gridCol w:w="1074"/>
        <w:gridCol w:w="1074"/>
        <w:gridCol w:w="1075"/>
        <w:gridCol w:w="1076"/>
      </w:tblGrid>
      <w:tr w:rsidR="00FA63C9" w:rsidRPr="00FA63C9" w:rsidTr="00027DF8">
        <w:trPr>
          <w:trHeight w:hRule="exact" w:val="920"/>
        </w:trPr>
        <w:tc>
          <w:tcPr>
            <w:tcW w:w="5300" w:type="dxa"/>
            <w:tcBorders>
              <w:left w:val="nil"/>
              <w:bottom w:val="single" w:sz="4" w:space="0" w:color="003E6F"/>
            </w:tcBorders>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rPr>
                <w:rFonts w:ascii="Arial" w:eastAsia="MS Mincho" w:hAnsi="Arial" w:cs="Arial"/>
                <w:sz w:val="18"/>
                <w:szCs w:val="18"/>
                <w:lang w:val="en-US" w:eastAsia="en-US"/>
              </w:rPr>
            </w:pPr>
          </w:p>
        </w:tc>
        <w:tc>
          <w:tcPr>
            <w:tcW w:w="1075"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Share</w:t>
            </w:r>
          </w:p>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capital</w:t>
            </w:r>
          </w:p>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
                <w:bCs/>
                <w:color w:val="000000"/>
                <w:spacing w:val="-4"/>
                <w:sz w:val="18"/>
                <w:szCs w:val="18"/>
                <w:lang w:eastAsia="en-US"/>
              </w:rPr>
              <w:t>£’000</w:t>
            </w:r>
          </w:p>
        </w:tc>
        <w:tc>
          <w:tcPr>
            <w:tcW w:w="1074"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Share</w:t>
            </w:r>
          </w:p>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premium</w:t>
            </w:r>
          </w:p>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
                <w:bCs/>
                <w:color w:val="000000"/>
                <w:spacing w:val="-4"/>
                <w:sz w:val="18"/>
                <w:szCs w:val="18"/>
                <w:lang w:eastAsia="en-US"/>
              </w:rPr>
              <w:t>£’000</w:t>
            </w:r>
          </w:p>
        </w:tc>
        <w:tc>
          <w:tcPr>
            <w:tcW w:w="1074"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Other</w:t>
            </w:r>
          </w:p>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reserves</w:t>
            </w:r>
          </w:p>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
                <w:bCs/>
                <w:color w:val="000000"/>
                <w:spacing w:val="-4"/>
                <w:sz w:val="18"/>
                <w:szCs w:val="18"/>
                <w:lang w:eastAsia="en-US"/>
              </w:rPr>
              <w:t>£’000</w:t>
            </w:r>
          </w:p>
        </w:tc>
        <w:tc>
          <w:tcPr>
            <w:tcW w:w="1075"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Retained</w:t>
            </w:r>
          </w:p>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earnings</w:t>
            </w:r>
          </w:p>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
                <w:bCs/>
                <w:color w:val="000000"/>
                <w:spacing w:val="-4"/>
                <w:sz w:val="18"/>
                <w:szCs w:val="18"/>
                <w:lang w:eastAsia="en-US"/>
              </w:rPr>
              <w:t>£’000</w:t>
            </w:r>
          </w:p>
        </w:tc>
        <w:tc>
          <w:tcPr>
            <w:tcW w:w="1076" w:type="dxa"/>
            <w:tcBorders>
              <w:bottom w:val="single" w:sz="4" w:space="0" w:color="003E6F"/>
            </w:tcBorders>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Total</w:t>
            </w:r>
          </w:p>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b/>
                <w:bCs/>
                <w:color w:val="000000"/>
                <w:spacing w:val="-4"/>
                <w:sz w:val="18"/>
                <w:szCs w:val="18"/>
                <w:lang w:eastAsia="en-US"/>
              </w:rPr>
            </w:pPr>
            <w:r w:rsidRPr="005B1DE1">
              <w:rPr>
                <w:rFonts w:ascii="Arial" w:eastAsia="MS Mincho" w:hAnsi="Arial" w:cs="Arial"/>
                <w:b/>
                <w:bCs/>
                <w:color w:val="000000"/>
                <w:spacing w:val="-4"/>
                <w:sz w:val="18"/>
                <w:szCs w:val="18"/>
                <w:lang w:eastAsia="en-US"/>
              </w:rPr>
              <w:t>equity</w:t>
            </w:r>
          </w:p>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
                <w:bCs/>
                <w:color w:val="000000"/>
                <w:spacing w:val="-4"/>
                <w:sz w:val="18"/>
                <w:szCs w:val="18"/>
                <w:lang w:eastAsia="en-US"/>
              </w:rPr>
              <w:t>£’000</w:t>
            </w:r>
          </w:p>
        </w:tc>
      </w:tr>
      <w:tr w:rsidR="00FA63C9" w:rsidRPr="00FA63C9" w:rsidTr="00027DF8">
        <w:trPr>
          <w:trHeight w:val="59"/>
        </w:trPr>
        <w:tc>
          <w:tcPr>
            <w:tcW w:w="5300" w:type="dxa"/>
            <w:tcBorders>
              <w:top w:val="single" w:sz="4" w:space="0" w:color="003E6F"/>
              <w:left w:val="nil"/>
              <w:bottom w:val="single" w:sz="8" w:space="0" w:color="003E6F"/>
            </w:tcBorders>
            <w:tcMar>
              <w:top w:w="0" w:type="dxa"/>
              <w:left w:w="0" w:type="dxa"/>
              <w:bottom w:w="71"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textAlignment w:val="center"/>
              <w:rPr>
                <w:rFonts w:ascii="Arial" w:eastAsia="MS Mincho" w:hAnsi="Arial" w:cs="Arial"/>
                <w:color w:val="000000"/>
                <w:spacing w:val="-4"/>
                <w:sz w:val="18"/>
                <w:szCs w:val="18"/>
                <w:lang w:eastAsia="en-US"/>
              </w:rPr>
            </w:pPr>
            <w:r w:rsidRPr="005B1DE1">
              <w:rPr>
                <w:rFonts w:ascii="Arial" w:eastAsia="MS Mincho" w:hAnsi="Arial" w:cs="Arial"/>
                <w:color w:val="000000"/>
                <w:spacing w:val="-5"/>
                <w:sz w:val="18"/>
                <w:szCs w:val="18"/>
                <w:lang w:eastAsia="en-US"/>
              </w:rPr>
              <w:t>At 1 January 2016</w:t>
            </w:r>
          </w:p>
        </w:tc>
        <w:tc>
          <w:tcPr>
            <w:tcW w:w="1075" w:type="dxa"/>
            <w:tcBorders>
              <w:top w:val="single" w:sz="4" w:space="0" w:color="003E6F"/>
              <w:bottom w:val="single" w:sz="8" w:space="0" w:color="003E6F"/>
            </w:tcBorders>
            <w:tcMar>
              <w:top w:w="0" w:type="dxa"/>
              <w:left w:w="0" w:type="dxa"/>
              <w:bottom w:w="71"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color w:val="000000"/>
                <w:spacing w:val="-4"/>
                <w:sz w:val="18"/>
                <w:szCs w:val="18"/>
                <w:lang w:eastAsia="en-US"/>
              </w:rPr>
            </w:pPr>
            <w:r w:rsidRPr="005B1DE1">
              <w:rPr>
                <w:rFonts w:ascii="Arial" w:eastAsia="MS Mincho" w:hAnsi="Arial" w:cs="Arial"/>
                <w:color w:val="000000"/>
                <w:spacing w:val="-5"/>
                <w:sz w:val="18"/>
                <w:szCs w:val="18"/>
                <w:lang w:eastAsia="en-US"/>
              </w:rPr>
              <w:t>10,078</w:t>
            </w:r>
          </w:p>
        </w:tc>
        <w:tc>
          <w:tcPr>
            <w:tcW w:w="1074" w:type="dxa"/>
            <w:tcBorders>
              <w:top w:val="single" w:sz="4" w:space="0" w:color="003E6F"/>
              <w:bottom w:val="single" w:sz="8" w:space="0" w:color="003E6F"/>
            </w:tcBorders>
            <w:tcMar>
              <w:top w:w="0" w:type="dxa"/>
              <w:left w:w="0" w:type="dxa"/>
              <w:bottom w:w="71"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color w:val="000000"/>
                <w:spacing w:val="-4"/>
                <w:sz w:val="18"/>
                <w:szCs w:val="18"/>
                <w:lang w:eastAsia="en-US"/>
              </w:rPr>
            </w:pPr>
            <w:r w:rsidRPr="005B1DE1">
              <w:rPr>
                <w:rFonts w:ascii="Arial" w:eastAsia="MS Mincho" w:hAnsi="Arial" w:cs="Arial"/>
                <w:color w:val="000000"/>
                <w:spacing w:val="-5"/>
                <w:sz w:val="18"/>
                <w:szCs w:val="18"/>
                <w:lang w:eastAsia="en-US"/>
              </w:rPr>
              <w:t>82,257</w:t>
            </w:r>
          </w:p>
        </w:tc>
        <w:tc>
          <w:tcPr>
            <w:tcW w:w="1074" w:type="dxa"/>
            <w:tcBorders>
              <w:top w:val="single" w:sz="4" w:space="0" w:color="003E6F"/>
              <w:bottom w:val="single" w:sz="8" w:space="0" w:color="003E6F"/>
            </w:tcBorders>
            <w:tcMar>
              <w:top w:w="0" w:type="dxa"/>
              <w:left w:w="0" w:type="dxa"/>
              <w:bottom w:w="71"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color w:val="000000"/>
                <w:spacing w:val="-4"/>
                <w:sz w:val="18"/>
                <w:szCs w:val="18"/>
                <w:lang w:eastAsia="en-US"/>
              </w:rPr>
            </w:pPr>
            <w:r w:rsidRPr="005B1DE1">
              <w:rPr>
                <w:rFonts w:ascii="Arial" w:eastAsia="MS Mincho" w:hAnsi="Arial" w:cs="Arial"/>
                <w:color w:val="000000"/>
                <w:spacing w:val="-5"/>
                <w:sz w:val="18"/>
                <w:szCs w:val="18"/>
                <w:lang w:eastAsia="en-US"/>
              </w:rPr>
              <w:t>(13,766)</w:t>
            </w:r>
          </w:p>
        </w:tc>
        <w:tc>
          <w:tcPr>
            <w:tcW w:w="1075" w:type="dxa"/>
            <w:tcBorders>
              <w:top w:val="single" w:sz="4" w:space="0" w:color="003E6F"/>
              <w:bottom w:val="single" w:sz="8" w:space="0" w:color="003E6F"/>
            </w:tcBorders>
            <w:tcMar>
              <w:top w:w="0" w:type="dxa"/>
              <w:left w:w="0" w:type="dxa"/>
              <w:bottom w:w="71"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color w:val="000000"/>
                <w:spacing w:val="-4"/>
                <w:sz w:val="18"/>
                <w:szCs w:val="18"/>
                <w:lang w:eastAsia="en-US"/>
              </w:rPr>
            </w:pPr>
            <w:r w:rsidRPr="005B1DE1">
              <w:rPr>
                <w:rFonts w:ascii="Arial" w:eastAsia="MS Mincho" w:hAnsi="Arial" w:cs="Arial"/>
                <w:color w:val="000000"/>
                <w:spacing w:val="-5"/>
                <w:sz w:val="18"/>
                <w:szCs w:val="18"/>
                <w:lang w:eastAsia="en-US"/>
              </w:rPr>
              <w:t>629</w:t>
            </w:r>
          </w:p>
        </w:tc>
        <w:tc>
          <w:tcPr>
            <w:tcW w:w="1076" w:type="dxa"/>
            <w:tcBorders>
              <w:top w:val="single" w:sz="4" w:space="0" w:color="003E6F"/>
              <w:bottom w:val="single" w:sz="8" w:space="0" w:color="003E6F"/>
            </w:tcBorders>
            <w:shd w:val="clear" w:color="auto" w:fill="auto"/>
            <w:tcMar>
              <w:top w:w="113" w:type="dxa"/>
              <w:left w:w="0" w:type="dxa"/>
              <w:bottom w:w="71" w:type="dxa"/>
              <w:right w:w="0" w:type="dxa"/>
            </w:tcMar>
            <w:vAlign w:val="bottom"/>
          </w:tcPr>
          <w:p w:rsidR="00FA63C9" w:rsidRPr="005B1DE1" w:rsidRDefault="00FA63C9" w:rsidP="00FA63C9">
            <w:pPr>
              <w:widowControl w:val="0"/>
              <w:suppressAutoHyphens/>
              <w:autoSpaceDE w:val="0"/>
              <w:autoSpaceDN w:val="0"/>
              <w:adjustRightInd w:val="0"/>
              <w:spacing w:after="0" w:line="140" w:lineRule="atLeast"/>
              <w:jc w:val="right"/>
              <w:textAlignment w:val="center"/>
              <w:rPr>
                <w:rFonts w:ascii="Arial" w:eastAsia="MS Mincho" w:hAnsi="Arial" w:cs="Arial"/>
                <w:color w:val="000000"/>
                <w:spacing w:val="-4"/>
                <w:sz w:val="18"/>
                <w:szCs w:val="18"/>
                <w:lang w:eastAsia="en-US"/>
              </w:rPr>
            </w:pPr>
            <w:r w:rsidRPr="005B1DE1">
              <w:rPr>
                <w:rFonts w:ascii="Arial" w:eastAsia="MS Mincho" w:hAnsi="Arial" w:cs="Arial"/>
                <w:color w:val="000000"/>
                <w:spacing w:val="-5"/>
                <w:sz w:val="18"/>
                <w:szCs w:val="18"/>
                <w:lang w:eastAsia="en-US"/>
              </w:rPr>
              <w:t>79,198</w:t>
            </w:r>
          </w:p>
        </w:tc>
      </w:tr>
      <w:tr w:rsidR="00FA63C9" w:rsidRPr="00FA63C9" w:rsidTr="00027DF8">
        <w:trPr>
          <w:trHeight w:val="59"/>
        </w:trPr>
        <w:tc>
          <w:tcPr>
            <w:tcW w:w="5300" w:type="dxa"/>
            <w:tcBorders>
              <w:top w:val="single" w:sz="8" w:space="0" w:color="003E6F"/>
              <w:left w:val="nil"/>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p>
        </w:tc>
        <w:tc>
          <w:tcPr>
            <w:tcW w:w="1075"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5"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6" w:type="dxa"/>
            <w:tcBorders>
              <w:top w:val="single" w:sz="8"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Profit for financial year</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5,250</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5,250</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rPr>
                <w:rFonts w:ascii="Arial" w:eastAsia="MS Mincho" w:hAnsi="Arial" w:cs="Arial"/>
                <w:sz w:val="18"/>
                <w:szCs w:val="18"/>
                <w:lang w:val="en-US" w:eastAsia="en-US"/>
              </w:rPr>
            </w:pPr>
            <w:r w:rsidRPr="005B1DE1">
              <w:rPr>
                <w:rFonts w:ascii="Arial" w:eastAsia="MS Mincho" w:hAnsi="Arial" w:cs="Arial"/>
                <w:bCs/>
                <w:i/>
                <w:iCs/>
                <w:color w:val="000000"/>
                <w:spacing w:val="-5"/>
                <w:sz w:val="18"/>
                <w:szCs w:val="18"/>
                <w:lang w:eastAsia="en-US"/>
              </w:rPr>
              <w:t>Other comprehensive income</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r>
      <w:tr w:rsidR="00FA63C9" w:rsidRPr="00FA63C9" w:rsidTr="00027DF8">
        <w:trPr>
          <w:trHeight w:val="19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Currency translation:</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arising in the financial year</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419</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bCs/>
                <w:color w:val="000000"/>
                <w:spacing w:val="-5"/>
                <w:sz w:val="18"/>
                <w:szCs w:val="18"/>
                <w:lang w:eastAsia="en-US"/>
              </w:rPr>
              <w:t>419</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reclassification of exchange reserve upon strike-off of subsidiaries</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Cs/>
                <w:color w:val="000000"/>
                <w:spacing w:val="-5"/>
                <w:sz w:val="18"/>
                <w:szCs w:val="18"/>
                <w:lang w:eastAsia="en-US"/>
              </w:rPr>
            </w:pPr>
            <w:r w:rsidRPr="005B1DE1">
              <w:rPr>
                <w:rFonts w:ascii="Arial" w:eastAsia="MS Mincho" w:hAnsi="Arial" w:cs="Arial"/>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Cs/>
                <w:color w:val="000000"/>
                <w:spacing w:val="-5"/>
                <w:sz w:val="18"/>
                <w:szCs w:val="18"/>
                <w:lang w:eastAsia="en-US"/>
              </w:rPr>
            </w:pPr>
            <w:r w:rsidRPr="005B1DE1">
              <w:rPr>
                <w:rFonts w:ascii="Arial" w:eastAsia="MS Mincho" w:hAnsi="Arial" w:cs="Arial"/>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Cs/>
                <w:color w:val="000000"/>
                <w:spacing w:val="-5"/>
                <w:sz w:val="18"/>
                <w:szCs w:val="18"/>
                <w:lang w:eastAsia="en-US"/>
              </w:rPr>
            </w:pPr>
            <w:r w:rsidRPr="005B1DE1">
              <w:rPr>
                <w:rFonts w:ascii="Arial" w:eastAsia="MS Mincho" w:hAnsi="Arial" w:cs="Arial"/>
                <w:bCs/>
                <w:color w:val="000000"/>
                <w:spacing w:val="-5"/>
                <w:sz w:val="18"/>
                <w:szCs w:val="18"/>
                <w:lang w:eastAsia="en-US"/>
              </w:rPr>
              <w:t>(516)</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Cs/>
                <w:color w:val="000000"/>
                <w:spacing w:val="-5"/>
                <w:sz w:val="18"/>
                <w:szCs w:val="18"/>
                <w:lang w:eastAsia="en-US"/>
              </w:rPr>
            </w:pPr>
            <w:r w:rsidRPr="005B1DE1">
              <w:rPr>
                <w:rFonts w:ascii="Arial" w:eastAsia="MS Mincho" w:hAnsi="Arial" w:cs="Arial"/>
                <w:bCs/>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Cs/>
                <w:color w:val="000000"/>
                <w:spacing w:val="-5"/>
                <w:sz w:val="18"/>
                <w:szCs w:val="18"/>
                <w:lang w:eastAsia="en-US"/>
              </w:rPr>
            </w:pPr>
            <w:r w:rsidRPr="005B1DE1">
              <w:rPr>
                <w:rFonts w:ascii="Arial" w:eastAsia="MS Mincho" w:hAnsi="Arial" w:cs="Arial"/>
                <w:bCs/>
                <w:color w:val="000000"/>
                <w:spacing w:val="-5"/>
                <w:sz w:val="18"/>
                <w:szCs w:val="18"/>
                <w:lang w:eastAsia="en-US"/>
              </w:rPr>
              <w:t>(516)</w:t>
            </w:r>
          </w:p>
        </w:tc>
      </w:tr>
      <w:tr w:rsidR="00FA63C9" w:rsidRPr="00FA63C9" w:rsidTr="00027DF8">
        <w:trPr>
          <w:trHeight w:val="59"/>
        </w:trPr>
        <w:tc>
          <w:tcPr>
            <w:tcW w:w="5300" w:type="dxa"/>
            <w:tcBorders>
              <w:left w:val="nil"/>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recycled to the Consolidated Income Statement on disposal of subsidiaries</w:t>
            </w:r>
          </w:p>
        </w:tc>
        <w:tc>
          <w:tcPr>
            <w:tcW w:w="1075"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bCs/>
                <w:color w:val="000000"/>
                <w:spacing w:val="-5"/>
                <w:sz w:val="18"/>
                <w:szCs w:val="18"/>
                <w:lang w:eastAsia="en-US"/>
              </w:rPr>
              <w:t>-</w:t>
            </w:r>
          </w:p>
        </w:tc>
        <w:tc>
          <w:tcPr>
            <w:tcW w:w="1074"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bCs/>
                <w:color w:val="000000"/>
                <w:spacing w:val="-5"/>
                <w:sz w:val="18"/>
                <w:szCs w:val="18"/>
                <w:lang w:eastAsia="en-US"/>
              </w:rPr>
              <w:t>-</w:t>
            </w:r>
          </w:p>
        </w:tc>
        <w:tc>
          <w:tcPr>
            <w:tcW w:w="1074"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(48)</w:t>
            </w:r>
          </w:p>
        </w:tc>
        <w:tc>
          <w:tcPr>
            <w:tcW w:w="1075"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6" w:type="dxa"/>
            <w:tcBorders>
              <w:bottom w:val="single" w:sz="4" w:space="0" w:color="003E6F"/>
            </w:tcBorders>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(48)</w:t>
            </w:r>
          </w:p>
        </w:tc>
      </w:tr>
      <w:tr w:rsidR="00FA63C9" w:rsidRPr="00FA63C9" w:rsidTr="00027DF8">
        <w:trPr>
          <w:trHeight w:val="59"/>
        </w:trPr>
        <w:tc>
          <w:tcPr>
            <w:tcW w:w="5300" w:type="dxa"/>
            <w:tcBorders>
              <w:top w:val="single" w:sz="4" w:space="0" w:color="003E6F"/>
              <w:left w:val="nil"/>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bCs/>
                <w:color w:val="000000"/>
                <w:spacing w:val="-5"/>
                <w:sz w:val="18"/>
                <w:szCs w:val="18"/>
                <w:lang w:eastAsia="en-US"/>
              </w:rPr>
              <w:t xml:space="preserve">Total comprehensive income for the </w:t>
            </w:r>
            <w:r w:rsidRPr="005B1DE1">
              <w:rPr>
                <w:rFonts w:ascii="Arial" w:eastAsia="MS Mincho" w:hAnsi="Arial" w:cs="Arial"/>
                <w:bCs/>
                <w:color w:val="000000"/>
                <w:spacing w:val="-5"/>
                <w:sz w:val="18"/>
                <w:szCs w:val="18"/>
                <w:lang w:eastAsia="en-US"/>
              </w:rPr>
              <w:br/>
              <w:t>financial year</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(145)</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5,250</w:t>
            </w:r>
          </w:p>
        </w:tc>
        <w:tc>
          <w:tcPr>
            <w:tcW w:w="1076" w:type="dxa"/>
            <w:tcBorders>
              <w:top w:val="single" w:sz="4" w:space="0" w:color="003E6F"/>
              <w:bottom w:val="single" w:sz="4"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5,105</w:t>
            </w:r>
          </w:p>
        </w:tc>
      </w:tr>
      <w:tr w:rsidR="00FA63C9" w:rsidRPr="00FA63C9" w:rsidTr="00027DF8">
        <w:trPr>
          <w:trHeight w:val="59"/>
        </w:trPr>
        <w:tc>
          <w:tcPr>
            <w:tcW w:w="5300" w:type="dxa"/>
            <w:tcBorders>
              <w:top w:val="single" w:sz="4" w:space="0" w:color="003E6F"/>
              <w:left w:val="nil"/>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p>
        </w:tc>
        <w:tc>
          <w:tcPr>
            <w:tcW w:w="1075" w:type="dxa"/>
            <w:tcBorders>
              <w:top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Borders>
              <w:top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Borders>
              <w:top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5" w:type="dxa"/>
            <w:tcBorders>
              <w:top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6" w:type="dxa"/>
            <w:tcBorders>
              <w:top w:val="single" w:sz="4"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Dividends</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(4,909)</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(4,909)</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Issue of share capital</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15</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147</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162</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Transfer of vested share-based payment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(277)</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277</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Reclassification of exchange reserve upon strike-off of subsidiaries</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516</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516</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Share-based payment compensation:</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value of employee services – share options</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134</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134</w:t>
            </w:r>
          </w:p>
        </w:tc>
      </w:tr>
      <w:tr w:rsidR="00FA63C9" w:rsidRPr="00FA63C9" w:rsidTr="00027DF8">
        <w:trPr>
          <w:trHeight w:val="59"/>
        </w:trPr>
        <w:tc>
          <w:tcPr>
            <w:tcW w:w="5300" w:type="dxa"/>
            <w:tcBorders>
              <w:top w:val="single" w:sz="4" w:space="0" w:color="003E6F"/>
              <w:left w:val="nil"/>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Transaction with owners</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15</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147</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(143)</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(4,116)</w:t>
            </w:r>
          </w:p>
        </w:tc>
        <w:tc>
          <w:tcPr>
            <w:tcW w:w="1076" w:type="dxa"/>
            <w:tcBorders>
              <w:top w:val="single" w:sz="4" w:space="0" w:color="003E6F"/>
              <w:bottom w:val="single" w:sz="4"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(4,097)</w:t>
            </w:r>
          </w:p>
        </w:tc>
      </w:tr>
      <w:tr w:rsidR="00FA63C9" w:rsidRPr="00FA63C9" w:rsidTr="00027DF8">
        <w:trPr>
          <w:trHeight w:val="59"/>
        </w:trPr>
        <w:tc>
          <w:tcPr>
            <w:tcW w:w="5300" w:type="dxa"/>
            <w:tcBorders>
              <w:top w:val="single" w:sz="4" w:space="0" w:color="003E6F"/>
              <w:left w:val="nil"/>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bCs/>
                <w:color w:val="000000"/>
                <w:spacing w:val="-5"/>
                <w:sz w:val="18"/>
                <w:szCs w:val="18"/>
                <w:lang w:eastAsia="en-US"/>
              </w:rPr>
              <w:t>At 31 December 2016</w:t>
            </w:r>
          </w:p>
        </w:tc>
        <w:tc>
          <w:tcPr>
            <w:tcW w:w="1075"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10,093</w:t>
            </w:r>
          </w:p>
        </w:tc>
        <w:tc>
          <w:tcPr>
            <w:tcW w:w="1074"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82,404</w:t>
            </w:r>
          </w:p>
        </w:tc>
        <w:tc>
          <w:tcPr>
            <w:tcW w:w="1074"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(14,054)</w:t>
            </w:r>
          </w:p>
        </w:tc>
        <w:tc>
          <w:tcPr>
            <w:tcW w:w="1075"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1,763</w:t>
            </w:r>
          </w:p>
        </w:tc>
        <w:tc>
          <w:tcPr>
            <w:tcW w:w="1076" w:type="dxa"/>
            <w:tcBorders>
              <w:top w:val="single" w:sz="4" w:space="0" w:color="003E6F"/>
              <w:bottom w:val="single" w:sz="8"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80,206</w:t>
            </w:r>
          </w:p>
        </w:tc>
      </w:tr>
      <w:tr w:rsidR="00FA63C9" w:rsidRPr="00FA63C9" w:rsidTr="00027DF8">
        <w:trPr>
          <w:trHeight w:val="59"/>
        </w:trPr>
        <w:tc>
          <w:tcPr>
            <w:tcW w:w="5300" w:type="dxa"/>
            <w:tcBorders>
              <w:top w:val="single" w:sz="8" w:space="0" w:color="003E6F"/>
              <w:left w:val="nil"/>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p>
        </w:tc>
        <w:tc>
          <w:tcPr>
            <w:tcW w:w="1075"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4"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5" w:type="dxa"/>
            <w:tcBorders>
              <w:top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c>
          <w:tcPr>
            <w:tcW w:w="1076" w:type="dxa"/>
            <w:tcBorders>
              <w:top w:val="single" w:sz="8"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color w:val="000000"/>
                <w:spacing w:val="-5"/>
                <w:sz w:val="18"/>
                <w:szCs w:val="18"/>
                <w:lang w:eastAsia="en-US"/>
              </w:rPr>
            </w:pP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both"/>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Loss for financial year</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(338)</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(338)</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rPr>
                <w:rFonts w:ascii="Arial" w:eastAsia="MS Mincho" w:hAnsi="Arial" w:cs="Arial"/>
                <w:sz w:val="18"/>
                <w:szCs w:val="18"/>
                <w:lang w:val="en-US" w:eastAsia="en-US"/>
              </w:rPr>
            </w:pPr>
            <w:r w:rsidRPr="005B1DE1">
              <w:rPr>
                <w:rFonts w:ascii="Arial" w:eastAsia="MS Mincho" w:hAnsi="Arial" w:cs="Arial"/>
                <w:b/>
                <w:bCs/>
                <w:i/>
                <w:iCs/>
                <w:color w:val="000000"/>
                <w:spacing w:val="-5"/>
                <w:sz w:val="18"/>
                <w:szCs w:val="18"/>
                <w:lang w:eastAsia="en-US"/>
              </w:rPr>
              <w:t>Other comprehensive income</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sz w:val="18"/>
                <w:szCs w:val="18"/>
                <w:lang w:val="en-US" w:eastAsia="en-US"/>
              </w:rPr>
            </w:pP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sz w:val="18"/>
                <w:szCs w:val="18"/>
                <w:lang w:val="en-US" w:eastAsia="en-US"/>
              </w:rPr>
            </w:pP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Currency translation:</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bCs/>
                <w:color w:val="000000"/>
                <w:spacing w:val="-5"/>
                <w:sz w:val="18"/>
                <w:szCs w:val="18"/>
                <w:lang w:eastAsia="en-US"/>
              </w:rPr>
            </w:pP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center"/>
              <w:textAlignment w:val="center"/>
              <w:rPr>
                <w:rFonts w:ascii="Arial" w:eastAsia="MS Mincho" w:hAnsi="Arial" w:cs="Arial"/>
                <w:b/>
                <w:bCs/>
                <w:color w:val="000000"/>
                <w:spacing w:val="-5"/>
                <w:sz w:val="18"/>
                <w:szCs w:val="18"/>
                <w:lang w:eastAsia="en-US"/>
              </w:rPr>
            </w:pP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p>
        </w:tc>
      </w:tr>
      <w:tr w:rsidR="00FA63C9" w:rsidRPr="00FA63C9" w:rsidTr="00027DF8">
        <w:trPr>
          <w:trHeight w:val="19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arising in the financial year</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143</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143</w:t>
            </w:r>
          </w:p>
        </w:tc>
      </w:tr>
      <w:tr w:rsidR="00FA63C9" w:rsidRPr="00FA63C9" w:rsidTr="00027DF8">
        <w:trPr>
          <w:trHeight w:val="19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reclassification of exchange reserve upon strike-off of subsidiaries</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r>
      <w:tr w:rsidR="00FA63C9" w:rsidRPr="00FA63C9" w:rsidTr="00027DF8">
        <w:trPr>
          <w:trHeight w:val="199"/>
        </w:trPr>
        <w:tc>
          <w:tcPr>
            <w:tcW w:w="5300" w:type="dxa"/>
            <w:tcBorders>
              <w:left w:val="nil"/>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recycled to the Consolidated Income Statement on disposal of subsidiaries</w:t>
            </w:r>
          </w:p>
        </w:tc>
        <w:tc>
          <w:tcPr>
            <w:tcW w:w="1075"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bCs/>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4"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5" w:type="dxa"/>
            <w:tcBorders>
              <w:bottom w:val="single" w:sz="4" w:space="0" w:color="003E6F"/>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c>
          <w:tcPr>
            <w:tcW w:w="1076" w:type="dxa"/>
            <w:tcBorders>
              <w:bottom w:val="single" w:sz="4" w:space="0" w:color="003E6F"/>
            </w:tcBorders>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bCs/>
                <w:color w:val="000000"/>
                <w:spacing w:val="-5"/>
                <w:sz w:val="18"/>
                <w:szCs w:val="18"/>
                <w:lang w:eastAsia="en-US"/>
              </w:rPr>
              <w:t>-</w:t>
            </w:r>
          </w:p>
        </w:tc>
      </w:tr>
      <w:tr w:rsidR="00FA63C9" w:rsidRPr="00FA63C9" w:rsidTr="00027DF8">
        <w:trPr>
          <w:trHeight w:val="59"/>
        </w:trPr>
        <w:tc>
          <w:tcPr>
            <w:tcW w:w="5300" w:type="dxa"/>
            <w:tcBorders>
              <w:top w:val="single" w:sz="4" w:space="0" w:color="003E6F"/>
              <w:left w:val="nil"/>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b/>
                <w:bCs/>
                <w:color w:val="000000"/>
                <w:spacing w:val="-5"/>
                <w:sz w:val="18"/>
                <w:szCs w:val="18"/>
                <w:lang w:eastAsia="en-US"/>
              </w:rPr>
              <w:t xml:space="preserve">Total comprehensive (loss)/income for the </w:t>
            </w:r>
            <w:r w:rsidRPr="005B1DE1">
              <w:rPr>
                <w:rFonts w:ascii="Arial" w:eastAsia="MS Mincho" w:hAnsi="Arial" w:cs="Arial"/>
                <w:b/>
                <w:bCs/>
                <w:color w:val="000000"/>
                <w:spacing w:val="-5"/>
                <w:sz w:val="18"/>
                <w:szCs w:val="18"/>
                <w:lang w:eastAsia="en-US"/>
              </w:rPr>
              <w:br/>
              <w:t>financial year</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143</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(338)</w:t>
            </w:r>
          </w:p>
        </w:tc>
        <w:tc>
          <w:tcPr>
            <w:tcW w:w="1076" w:type="dxa"/>
            <w:tcBorders>
              <w:top w:val="single" w:sz="4" w:space="0" w:color="003E6F"/>
              <w:bottom w:val="single" w:sz="4"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(195)</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rPr>
                <w:rFonts w:ascii="Arial" w:eastAsia="MS Mincho" w:hAnsi="Arial" w:cs="Arial"/>
                <w:sz w:val="18"/>
                <w:szCs w:val="18"/>
                <w:lang w:val="en-US" w:eastAsia="en-US"/>
              </w:rPr>
            </w:pPr>
            <w:r w:rsidRPr="005B1DE1">
              <w:rPr>
                <w:rFonts w:ascii="Arial" w:eastAsia="MS Mincho" w:hAnsi="Arial" w:cs="Arial"/>
                <w:color w:val="000000"/>
                <w:spacing w:val="-5"/>
                <w:sz w:val="18"/>
                <w:szCs w:val="18"/>
                <w:lang w:eastAsia="en-US"/>
              </w:rPr>
              <w:t>Dividends</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sz w:val="18"/>
                <w:szCs w:val="18"/>
                <w:lang w:val="en-US"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sz w:val="18"/>
                <w:szCs w:val="18"/>
                <w:lang w:val="en-US"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(5,217)</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sz w:val="18"/>
                <w:szCs w:val="18"/>
                <w:lang w:val="en-US" w:eastAsia="en-US"/>
              </w:rPr>
            </w:pPr>
            <w:r w:rsidRPr="005B1DE1">
              <w:rPr>
                <w:rFonts w:ascii="Arial" w:eastAsia="MS Mincho" w:hAnsi="Arial" w:cs="Arial"/>
                <w:b/>
                <w:color w:val="000000"/>
                <w:spacing w:val="-5"/>
                <w:sz w:val="18"/>
                <w:szCs w:val="18"/>
                <w:lang w:eastAsia="en-US"/>
              </w:rPr>
              <w:t>(5,217)</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Issue of share capital</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Transfer of vested share-based payment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(164)</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164</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Reclassification of exchange reserve upon strike-off of subsidiaries</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Share-based payment compensation:</w:t>
            </w: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p>
        </w:tc>
        <w:tc>
          <w:tcPr>
            <w:tcW w:w="1074"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p>
        </w:tc>
        <w:tc>
          <w:tcPr>
            <w:tcW w:w="1075" w:type="dxa"/>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p>
        </w:tc>
      </w:tr>
      <w:tr w:rsidR="0070166A" w:rsidRPr="00FA63C9" w:rsidTr="00027DF8">
        <w:trPr>
          <w:trHeight w:val="59"/>
        </w:trPr>
        <w:tc>
          <w:tcPr>
            <w:tcW w:w="5300" w:type="dxa"/>
            <w:tcBorders>
              <w:left w:val="nil"/>
            </w:tcBorders>
            <w:tcMar>
              <w:top w:w="88" w:type="dxa"/>
              <w:left w:w="0" w:type="dxa"/>
              <w:bottom w:w="0" w:type="dxa"/>
              <w:right w:w="0" w:type="dxa"/>
            </w:tcMar>
            <w:vAlign w:val="bottom"/>
          </w:tcPr>
          <w:p w:rsidR="0070166A" w:rsidRPr="005B1DE1" w:rsidRDefault="0070166A" w:rsidP="0070166A">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value of employee services – share options</w:t>
            </w:r>
          </w:p>
        </w:tc>
        <w:tc>
          <w:tcPr>
            <w:tcW w:w="1075" w:type="dxa"/>
            <w:tcMar>
              <w:top w:w="88" w:type="dxa"/>
              <w:left w:w="0" w:type="dxa"/>
              <w:bottom w:w="0" w:type="dxa"/>
              <w:right w:w="0" w:type="dxa"/>
            </w:tcMar>
            <w:vAlign w:val="bottom"/>
          </w:tcPr>
          <w:p w:rsidR="0070166A" w:rsidRPr="005B1DE1" w:rsidRDefault="0070166A" w:rsidP="0070166A">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70166A" w:rsidRPr="005B1DE1" w:rsidRDefault="0070166A" w:rsidP="0070166A">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70166A" w:rsidRPr="005B1DE1" w:rsidRDefault="0070166A" w:rsidP="0070166A">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(43)</w:t>
            </w:r>
          </w:p>
        </w:tc>
        <w:tc>
          <w:tcPr>
            <w:tcW w:w="1075" w:type="dxa"/>
            <w:tcMar>
              <w:top w:w="88" w:type="dxa"/>
              <w:left w:w="0" w:type="dxa"/>
              <w:bottom w:w="0" w:type="dxa"/>
              <w:right w:w="0" w:type="dxa"/>
            </w:tcMar>
            <w:vAlign w:val="bottom"/>
          </w:tcPr>
          <w:p w:rsidR="0070166A" w:rsidRPr="005B1DE1" w:rsidRDefault="0070166A" w:rsidP="0070166A">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6" w:type="dxa"/>
            <w:shd w:val="clear" w:color="auto" w:fill="auto"/>
            <w:tcMar>
              <w:top w:w="88" w:type="dxa"/>
              <w:left w:w="0" w:type="dxa"/>
              <w:bottom w:w="0" w:type="dxa"/>
              <w:right w:w="0" w:type="dxa"/>
            </w:tcMar>
            <w:vAlign w:val="bottom"/>
          </w:tcPr>
          <w:p w:rsidR="0070166A" w:rsidRPr="005B1DE1" w:rsidRDefault="0070166A" w:rsidP="0070166A">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(43)</w:t>
            </w:r>
          </w:p>
        </w:tc>
      </w:tr>
      <w:tr w:rsidR="00FA63C9" w:rsidRPr="00FA63C9" w:rsidTr="00027DF8">
        <w:trPr>
          <w:trHeight w:val="59"/>
        </w:trPr>
        <w:tc>
          <w:tcPr>
            <w:tcW w:w="5300" w:type="dxa"/>
            <w:tcBorders>
              <w:left w:val="nil"/>
            </w:tcBorders>
            <w:tcMar>
              <w:top w:w="88" w:type="dxa"/>
              <w:left w:w="0" w:type="dxa"/>
              <w:bottom w:w="0"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 Cash settlement of vested share options</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5" w:type="dxa"/>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(35)</w:t>
            </w:r>
          </w:p>
        </w:tc>
        <w:tc>
          <w:tcPr>
            <w:tcW w:w="1076" w:type="dxa"/>
            <w:shd w:val="clear" w:color="auto" w:fill="auto"/>
            <w:tcMar>
              <w:top w:w="88" w:type="dxa"/>
              <w:left w:w="0" w:type="dxa"/>
              <w:bottom w:w="0" w:type="dxa"/>
              <w:right w:w="0" w:type="dxa"/>
            </w:tcMar>
            <w:vAlign w:val="bottom"/>
          </w:tcPr>
          <w:p w:rsidR="00FA63C9" w:rsidRPr="005B1DE1" w:rsidRDefault="00FA63C9" w:rsidP="00FA63C9">
            <w:pPr>
              <w:widowControl w:val="0"/>
              <w:autoSpaceDE w:val="0"/>
              <w:autoSpaceDN w:val="0"/>
              <w:adjustRightInd w:val="0"/>
              <w:spacing w:after="0" w:line="240" w:lineRule="auto"/>
              <w:jc w:val="right"/>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(35)</w:t>
            </w:r>
          </w:p>
        </w:tc>
      </w:tr>
      <w:tr w:rsidR="00FA63C9" w:rsidRPr="00FA63C9" w:rsidTr="00027DF8">
        <w:trPr>
          <w:trHeight w:val="59"/>
        </w:trPr>
        <w:tc>
          <w:tcPr>
            <w:tcW w:w="5300" w:type="dxa"/>
            <w:tcBorders>
              <w:top w:val="single" w:sz="4" w:space="0" w:color="003E6F"/>
              <w:left w:val="nil"/>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color w:val="000000"/>
                <w:spacing w:val="-5"/>
                <w:sz w:val="18"/>
                <w:szCs w:val="18"/>
                <w:lang w:eastAsia="en-US"/>
              </w:rPr>
              <w:t>Transaction with owners</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w:t>
            </w:r>
          </w:p>
        </w:tc>
        <w:tc>
          <w:tcPr>
            <w:tcW w:w="1074"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(207)</w:t>
            </w:r>
          </w:p>
        </w:tc>
        <w:tc>
          <w:tcPr>
            <w:tcW w:w="1075" w:type="dxa"/>
            <w:tcBorders>
              <w:top w:val="single" w:sz="4" w:space="0" w:color="003E6F"/>
              <w:bottom w:val="single" w:sz="4"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(5,088)</w:t>
            </w:r>
          </w:p>
        </w:tc>
        <w:tc>
          <w:tcPr>
            <w:tcW w:w="1076" w:type="dxa"/>
            <w:tcBorders>
              <w:top w:val="single" w:sz="4" w:space="0" w:color="003E6F"/>
              <w:bottom w:val="single" w:sz="4"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(5,295)</w:t>
            </w:r>
          </w:p>
        </w:tc>
      </w:tr>
      <w:tr w:rsidR="00FA63C9" w:rsidRPr="00FA63C9" w:rsidTr="00027DF8">
        <w:trPr>
          <w:trHeight w:val="59"/>
        </w:trPr>
        <w:tc>
          <w:tcPr>
            <w:tcW w:w="5300" w:type="dxa"/>
            <w:tcBorders>
              <w:top w:val="single" w:sz="4" w:space="0" w:color="003E6F"/>
              <w:left w:val="nil"/>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textAlignment w:val="center"/>
              <w:rPr>
                <w:rFonts w:ascii="Arial" w:eastAsia="MS Mincho" w:hAnsi="Arial" w:cs="Arial"/>
                <w:color w:val="000000"/>
                <w:spacing w:val="-5"/>
                <w:sz w:val="18"/>
                <w:szCs w:val="18"/>
                <w:lang w:eastAsia="en-US"/>
              </w:rPr>
            </w:pPr>
            <w:r w:rsidRPr="005B1DE1">
              <w:rPr>
                <w:rFonts w:ascii="Arial" w:eastAsia="MS Mincho" w:hAnsi="Arial" w:cs="Arial"/>
                <w:b/>
                <w:bCs/>
                <w:color w:val="000000"/>
                <w:spacing w:val="-5"/>
                <w:sz w:val="18"/>
                <w:szCs w:val="18"/>
                <w:lang w:eastAsia="en-US"/>
              </w:rPr>
              <w:lastRenderedPageBreak/>
              <w:t>At 31 December 2017</w:t>
            </w:r>
          </w:p>
        </w:tc>
        <w:tc>
          <w:tcPr>
            <w:tcW w:w="1075"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10,093</w:t>
            </w:r>
          </w:p>
        </w:tc>
        <w:tc>
          <w:tcPr>
            <w:tcW w:w="1074"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82,404</w:t>
            </w:r>
          </w:p>
        </w:tc>
        <w:tc>
          <w:tcPr>
            <w:tcW w:w="1074"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(14,118)</w:t>
            </w:r>
          </w:p>
        </w:tc>
        <w:tc>
          <w:tcPr>
            <w:tcW w:w="1075" w:type="dxa"/>
            <w:tcBorders>
              <w:top w:val="single" w:sz="4" w:space="0" w:color="003E6F"/>
              <w:bottom w:val="single" w:sz="8" w:space="0" w:color="003E6F"/>
            </w:tcBorders>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(3,663)</w:t>
            </w:r>
          </w:p>
        </w:tc>
        <w:tc>
          <w:tcPr>
            <w:tcW w:w="1076" w:type="dxa"/>
            <w:tcBorders>
              <w:top w:val="single" w:sz="4" w:space="0" w:color="003E6F"/>
              <w:bottom w:val="single" w:sz="8" w:space="0" w:color="003E6F"/>
            </w:tcBorders>
            <w:shd w:val="clear" w:color="auto" w:fill="auto"/>
            <w:tcMar>
              <w:top w:w="88" w:type="dxa"/>
              <w:left w:w="0" w:type="dxa"/>
              <w:bottom w:w="79" w:type="dxa"/>
              <w:right w:w="0" w:type="dxa"/>
            </w:tcMar>
            <w:vAlign w:val="bottom"/>
          </w:tcPr>
          <w:p w:rsidR="00FA63C9" w:rsidRPr="005B1DE1" w:rsidRDefault="00FA63C9" w:rsidP="00FA63C9">
            <w:pPr>
              <w:widowControl w:val="0"/>
              <w:suppressAutoHyphens/>
              <w:autoSpaceDE w:val="0"/>
              <w:autoSpaceDN w:val="0"/>
              <w:adjustRightInd w:val="0"/>
              <w:spacing w:after="0" w:line="200" w:lineRule="atLeast"/>
              <w:jc w:val="right"/>
              <w:textAlignment w:val="center"/>
              <w:rPr>
                <w:rFonts w:ascii="Arial" w:eastAsia="MS Mincho" w:hAnsi="Arial" w:cs="Arial"/>
                <w:b/>
                <w:color w:val="000000"/>
                <w:spacing w:val="-5"/>
                <w:sz w:val="18"/>
                <w:szCs w:val="18"/>
                <w:lang w:eastAsia="en-US"/>
              </w:rPr>
            </w:pPr>
            <w:r w:rsidRPr="005B1DE1">
              <w:rPr>
                <w:rFonts w:ascii="Arial" w:eastAsia="MS Mincho" w:hAnsi="Arial" w:cs="Arial"/>
                <w:b/>
                <w:color w:val="000000"/>
                <w:spacing w:val="-5"/>
                <w:sz w:val="18"/>
                <w:szCs w:val="18"/>
                <w:lang w:eastAsia="en-US"/>
              </w:rPr>
              <w:t>74,716</w:t>
            </w:r>
          </w:p>
        </w:tc>
      </w:tr>
    </w:tbl>
    <w:p w:rsidR="00FA63C9" w:rsidRPr="00FA63C9" w:rsidRDefault="00FA63C9" w:rsidP="00FA63C9">
      <w:pPr>
        <w:spacing w:after="0" w:line="240" w:lineRule="auto"/>
        <w:rPr>
          <w:rFonts w:ascii="Cambria" w:eastAsia="MS Mincho" w:hAnsi="Cambria" w:cs="Times New Roman"/>
          <w:sz w:val="24"/>
          <w:szCs w:val="24"/>
          <w:lang w:eastAsia="en-US"/>
        </w:rPr>
      </w:pPr>
    </w:p>
    <w:p w:rsidR="00DB3027" w:rsidRDefault="00DB3027" w:rsidP="001B6FF9">
      <w:pPr>
        <w:rPr>
          <w:rFonts w:ascii="Arial" w:hAnsi="Arial" w:cs="Arial"/>
          <w:color w:val="808080" w:themeColor="background1" w:themeShade="80"/>
          <w:sz w:val="28"/>
          <w:szCs w:val="28"/>
          <w:lang w:val="en-IE"/>
        </w:rPr>
      </w:pPr>
      <w:bookmarkStart w:id="18" w:name="_Toc255821616"/>
      <w:bookmarkEnd w:id="16"/>
      <w:bookmarkEnd w:id="17"/>
    </w:p>
    <w:p w:rsidR="00BE58A5" w:rsidRPr="00E65E93" w:rsidRDefault="00E00494" w:rsidP="001B6FF9">
      <w:pPr>
        <w:rPr>
          <w:rFonts w:ascii="Arial" w:hAnsi="Arial" w:cs="Arial"/>
          <w:color w:val="808080" w:themeColor="background1" w:themeShade="80"/>
          <w:sz w:val="28"/>
          <w:szCs w:val="28"/>
          <w:lang w:val="en-IE"/>
        </w:rPr>
      </w:pPr>
      <w:r w:rsidRPr="00E65E93">
        <w:rPr>
          <w:rFonts w:ascii="Arial" w:hAnsi="Arial" w:cs="Arial"/>
          <w:color w:val="808080" w:themeColor="background1" w:themeShade="80"/>
          <w:sz w:val="28"/>
          <w:szCs w:val="28"/>
          <w:lang w:val="en-IE"/>
        </w:rPr>
        <w:t xml:space="preserve">Notes to the </w:t>
      </w:r>
      <w:bookmarkEnd w:id="18"/>
      <w:r w:rsidR="00946288" w:rsidRPr="00E65E93">
        <w:rPr>
          <w:rFonts w:ascii="Arial" w:hAnsi="Arial" w:cs="Arial"/>
          <w:color w:val="808080" w:themeColor="background1" w:themeShade="80"/>
          <w:sz w:val="28"/>
          <w:szCs w:val="28"/>
          <w:lang w:val="en-IE"/>
        </w:rPr>
        <w:t xml:space="preserve">Group </w:t>
      </w:r>
      <w:r w:rsidR="001F0BA4" w:rsidRPr="00E65E93">
        <w:rPr>
          <w:rFonts w:ascii="Arial" w:hAnsi="Arial" w:cs="Arial"/>
          <w:color w:val="808080" w:themeColor="background1" w:themeShade="80"/>
          <w:sz w:val="28"/>
          <w:szCs w:val="28"/>
          <w:lang w:val="en-IE"/>
        </w:rPr>
        <w:t>f</w:t>
      </w:r>
      <w:r w:rsidR="007362C6" w:rsidRPr="00E65E93">
        <w:rPr>
          <w:rFonts w:ascii="Arial" w:hAnsi="Arial" w:cs="Arial"/>
          <w:color w:val="808080" w:themeColor="background1" w:themeShade="80"/>
          <w:sz w:val="28"/>
          <w:szCs w:val="28"/>
          <w:lang w:val="en-IE"/>
        </w:rPr>
        <w:t>inancial statements</w:t>
      </w:r>
    </w:p>
    <w:p w:rsidR="00806862" w:rsidRPr="00A95934" w:rsidRDefault="005803A8" w:rsidP="006558DC">
      <w:pPr>
        <w:pStyle w:val="ListParagraph"/>
        <w:numPr>
          <w:ilvl w:val="0"/>
          <w:numId w:val="49"/>
        </w:numPr>
        <w:ind w:left="0" w:firstLine="0"/>
        <w:rPr>
          <w:rFonts w:ascii="Arial" w:hAnsi="Arial" w:cs="Arial"/>
          <w:b/>
          <w:color w:val="1F497D" w:themeColor="text2"/>
          <w:lang w:val="en-IE"/>
        </w:rPr>
      </w:pPr>
      <w:r w:rsidRPr="00A95934">
        <w:rPr>
          <w:rFonts w:ascii="Arial" w:hAnsi="Arial" w:cs="Arial"/>
          <w:b/>
          <w:color w:val="1F497D" w:themeColor="text2"/>
          <w:lang w:val="en-IE"/>
        </w:rPr>
        <w:t>General information</w:t>
      </w:r>
    </w:p>
    <w:p w:rsidR="00E27CE0" w:rsidRPr="006C3343" w:rsidRDefault="00E27CE0" w:rsidP="00C721AD">
      <w:pPr>
        <w:spacing w:after="0" w:line="240" w:lineRule="auto"/>
        <w:rPr>
          <w:rFonts w:ascii="Arial" w:hAnsi="Arial" w:cs="Arial"/>
          <w:sz w:val="20"/>
          <w:szCs w:val="20"/>
          <w:lang w:val="en-IE"/>
        </w:rPr>
      </w:pPr>
    </w:p>
    <w:p w:rsidR="002E572E" w:rsidRPr="005B1DE1" w:rsidRDefault="002E572E" w:rsidP="002E572E">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IFG Group plc is a public company, listed on the Irish and London Stock Exchanges and is registered and domiciled in the Republic of Ireland (registration number 21010). The Group's registered address is 70 Sir John Rogerson's Quay, Grand Canal Dock, Dublin 2, Ireland. These consolidated statements comprise the Company and its subsidiaries. The Group provides a range of financial solutions including full platform services, pension administration and independent financial advice.</w:t>
      </w:r>
    </w:p>
    <w:p w:rsidR="00E320CA" w:rsidRPr="006010C1" w:rsidRDefault="00E320CA" w:rsidP="00C721AD">
      <w:pPr>
        <w:spacing w:after="0" w:line="240" w:lineRule="auto"/>
        <w:rPr>
          <w:rFonts w:ascii="Arial" w:hAnsi="Arial" w:cs="Arial"/>
          <w:color w:val="000000" w:themeColor="text1"/>
          <w:sz w:val="18"/>
          <w:szCs w:val="18"/>
          <w:lang w:val="en-IE"/>
        </w:rPr>
      </w:pPr>
      <w:r w:rsidRPr="006010C1">
        <w:rPr>
          <w:rFonts w:ascii="Arial" w:hAnsi="Arial" w:cs="Arial"/>
          <w:color w:val="000000" w:themeColor="text1"/>
          <w:sz w:val="18"/>
          <w:szCs w:val="18"/>
          <w:lang w:val="en-IE"/>
        </w:rPr>
        <w:t xml:space="preserve">These consolidated </w:t>
      </w:r>
      <w:r w:rsidR="007362C6" w:rsidRPr="006010C1">
        <w:rPr>
          <w:rFonts w:ascii="Arial" w:hAnsi="Arial" w:cs="Arial"/>
          <w:color w:val="000000" w:themeColor="text1"/>
          <w:sz w:val="18"/>
          <w:szCs w:val="18"/>
          <w:lang w:val="en-IE"/>
        </w:rPr>
        <w:t>financial statements</w:t>
      </w:r>
      <w:r w:rsidRPr="006010C1">
        <w:rPr>
          <w:rFonts w:ascii="Arial" w:hAnsi="Arial" w:cs="Arial"/>
          <w:color w:val="000000" w:themeColor="text1"/>
          <w:sz w:val="18"/>
          <w:szCs w:val="18"/>
          <w:lang w:val="en-IE"/>
        </w:rPr>
        <w:t xml:space="preserve"> are presented in </w:t>
      </w:r>
      <w:r w:rsidR="00440045" w:rsidRPr="006010C1">
        <w:rPr>
          <w:rFonts w:ascii="Arial" w:hAnsi="Arial" w:cs="Arial"/>
          <w:color w:val="000000" w:themeColor="text1"/>
          <w:sz w:val="18"/>
          <w:szCs w:val="18"/>
          <w:lang w:val="en-IE"/>
        </w:rPr>
        <w:t>S</w:t>
      </w:r>
      <w:r w:rsidRPr="006010C1">
        <w:rPr>
          <w:rFonts w:ascii="Arial" w:hAnsi="Arial" w:cs="Arial"/>
          <w:color w:val="000000" w:themeColor="text1"/>
          <w:sz w:val="18"/>
          <w:szCs w:val="18"/>
          <w:lang w:val="en-IE"/>
        </w:rPr>
        <w:t>terling, which is the Company’s functional currency. All amounts have been rounded to the nearest thousand, unless otherwise indicated.</w:t>
      </w:r>
    </w:p>
    <w:p w:rsidR="00254A2F" w:rsidRPr="006C3343" w:rsidRDefault="00254A2F" w:rsidP="00C721AD">
      <w:pPr>
        <w:spacing w:after="0" w:line="240" w:lineRule="auto"/>
        <w:rPr>
          <w:rFonts w:ascii="Arial" w:hAnsi="Arial" w:cs="Arial"/>
          <w:sz w:val="20"/>
          <w:szCs w:val="20"/>
          <w:lang w:val="en-IE"/>
        </w:rPr>
      </w:pPr>
    </w:p>
    <w:p w:rsidR="00254A2F" w:rsidRPr="00A95934" w:rsidRDefault="009F1DAA" w:rsidP="006558DC">
      <w:pPr>
        <w:pStyle w:val="ListParagraph"/>
        <w:numPr>
          <w:ilvl w:val="0"/>
          <w:numId w:val="49"/>
        </w:numPr>
        <w:ind w:left="0" w:firstLine="0"/>
        <w:rPr>
          <w:rFonts w:ascii="Arial" w:hAnsi="Arial" w:cs="Arial"/>
          <w:b/>
          <w:color w:val="1F497D" w:themeColor="text2"/>
          <w:lang w:val="en-IE"/>
        </w:rPr>
      </w:pPr>
      <w:r w:rsidRPr="00A95934">
        <w:rPr>
          <w:rFonts w:ascii="Arial" w:hAnsi="Arial" w:cs="Arial"/>
          <w:b/>
          <w:color w:val="1F497D" w:themeColor="text2"/>
          <w:lang w:val="en-IE"/>
        </w:rPr>
        <w:t>Basis of preparation</w:t>
      </w:r>
    </w:p>
    <w:p w:rsidR="00244D00" w:rsidRPr="006C3343" w:rsidRDefault="00244D00" w:rsidP="00244D00">
      <w:pPr>
        <w:spacing w:after="0" w:line="240" w:lineRule="auto"/>
        <w:rPr>
          <w:rFonts w:ascii="Arial" w:hAnsi="Arial" w:cs="Arial"/>
          <w:sz w:val="20"/>
          <w:szCs w:val="20"/>
          <w:lang w:val="en-IE"/>
        </w:rPr>
      </w:pPr>
    </w:p>
    <w:p w:rsidR="00244D00" w:rsidRPr="006010C1" w:rsidRDefault="00244D00" w:rsidP="00244D00">
      <w:pPr>
        <w:spacing w:after="0" w:line="240" w:lineRule="auto"/>
        <w:rPr>
          <w:rFonts w:ascii="Arial" w:hAnsi="Arial" w:cs="Arial"/>
          <w:b/>
          <w:color w:val="1F497D" w:themeColor="text2"/>
          <w:sz w:val="18"/>
          <w:szCs w:val="18"/>
          <w:lang w:val="en-IE"/>
        </w:rPr>
      </w:pPr>
      <w:r w:rsidRPr="006010C1">
        <w:rPr>
          <w:rFonts w:ascii="Arial" w:hAnsi="Arial" w:cs="Arial"/>
          <w:sz w:val="18"/>
          <w:szCs w:val="18"/>
          <w:lang w:val="en-IE"/>
        </w:rPr>
        <w:t>The Group financial statements have been prepared in accordance with International Financial Reporting Standards as adopted by the EU (IFRS), IFRIC interpretations and those parts of the Companies Act 2014 applicable to companies reporting under IFRS.</w:t>
      </w:r>
    </w:p>
    <w:p w:rsidR="00C07AC9" w:rsidRPr="006010C1" w:rsidRDefault="00C07AC9" w:rsidP="006558DC">
      <w:pPr>
        <w:spacing w:after="0" w:line="240" w:lineRule="auto"/>
        <w:ind w:left="709"/>
        <w:rPr>
          <w:rFonts w:ascii="Arial" w:hAnsi="Arial" w:cs="Arial"/>
          <w:sz w:val="18"/>
          <w:szCs w:val="18"/>
          <w:highlight w:val="yellow"/>
          <w:lang w:val="en-IE"/>
        </w:rPr>
      </w:pPr>
    </w:p>
    <w:p w:rsidR="00C07AC9" w:rsidRDefault="00C07AC9" w:rsidP="006558DC">
      <w:pPr>
        <w:spacing w:after="0" w:line="240" w:lineRule="auto"/>
        <w:rPr>
          <w:rFonts w:ascii="Arial" w:hAnsi="Arial" w:cs="Arial"/>
          <w:sz w:val="18"/>
          <w:szCs w:val="18"/>
          <w:lang w:val="en-IE"/>
        </w:rPr>
      </w:pPr>
      <w:r w:rsidRPr="006010C1">
        <w:rPr>
          <w:rFonts w:ascii="Arial" w:hAnsi="Arial" w:cs="Arial"/>
          <w:sz w:val="18"/>
          <w:szCs w:val="18"/>
          <w:lang w:val="en-IE"/>
        </w:rPr>
        <w:t xml:space="preserve">The financial information in this report has been prepared in accordance with the listing rules of the Irish Stock Exchange and in accordance with Group accounting policies. Full details of the accounting policies adopted by the Group are contained in the consolidated financial statements included in the </w:t>
      </w:r>
      <w:r w:rsidR="00CB365C" w:rsidRPr="006010C1">
        <w:rPr>
          <w:rFonts w:ascii="Arial" w:hAnsi="Arial" w:cs="Arial"/>
          <w:sz w:val="18"/>
          <w:szCs w:val="18"/>
          <w:lang w:val="en-IE"/>
        </w:rPr>
        <w:t>C</w:t>
      </w:r>
      <w:r w:rsidRPr="006010C1">
        <w:rPr>
          <w:rFonts w:ascii="Arial" w:hAnsi="Arial" w:cs="Arial"/>
          <w:sz w:val="18"/>
          <w:szCs w:val="18"/>
          <w:lang w:val="en-IE"/>
        </w:rPr>
        <w:t>ompany’s annual report for</w:t>
      </w:r>
      <w:r w:rsidR="00070688" w:rsidRPr="006010C1">
        <w:rPr>
          <w:rFonts w:ascii="Arial" w:hAnsi="Arial" w:cs="Arial"/>
          <w:sz w:val="18"/>
          <w:szCs w:val="18"/>
          <w:lang w:val="en-IE"/>
        </w:rPr>
        <w:t xml:space="preserve"> the year ended 31 December 201</w:t>
      </w:r>
      <w:r w:rsidR="002E572E">
        <w:rPr>
          <w:rFonts w:ascii="Arial" w:hAnsi="Arial" w:cs="Arial"/>
          <w:sz w:val="18"/>
          <w:szCs w:val="18"/>
          <w:lang w:val="en-IE"/>
        </w:rPr>
        <w:t>6</w:t>
      </w:r>
      <w:r w:rsidRPr="006010C1">
        <w:rPr>
          <w:rFonts w:ascii="Arial" w:hAnsi="Arial" w:cs="Arial"/>
          <w:sz w:val="18"/>
          <w:szCs w:val="18"/>
          <w:lang w:val="en-IE"/>
        </w:rPr>
        <w:t xml:space="preserve">, which is available on the Group’s website at </w:t>
      </w:r>
      <w:hyperlink r:id="rId9" w:history="1">
        <w:r w:rsidRPr="006010C1">
          <w:rPr>
            <w:rFonts w:ascii="Arial" w:hAnsi="Arial" w:cs="Arial"/>
            <w:sz w:val="18"/>
            <w:szCs w:val="18"/>
            <w:lang w:val="en-IE"/>
          </w:rPr>
          <w:t>www.ifggroup.com</w:t>
        </w:r>
      </w:hyperlink>
      <w:r w:rsidRPr="006010C1">
        <w:rPr>
          <w:rFonts w:ascii="Arial" w:hAnsi="Arial" w:cs="Arial"/>
          <w:sz w:val="18"/>
          <w:szCs w:val="18"/>
          <w:lang w:val="en-IE"/>
        </w:rPr>
        <w:t>.</w:t>
      </w:r>
      <w:r w:rsidR="00E64DC4">
        <w:rPr>
          <w:rFonts w:ascii="Arial" w:hAnsi="Arial" w:cs="Arial"/>
          <w:sz w:val="18"/>
          <w:szCs w:val="18"/>
          <w:lang w:val="en-IE"/>
        </w:rPr>
        <w:t xml:space="preserve"> </w:t>
      </w:r>
    </w:p>
    <w:p w:rsidR="00E64DC4" w:rsidRDefault="00E64DC4" w:rsidP="006558DC">
      <w:pPr>
        <w:spacing w:after="0" w:line="240" w:lineRule="auto"/>
        <w:rPr>
          <w:rFonts w:ascii="Arial" w:hAnsi="Arial" w:cs="Arial"/>
          <w:sz w:val="18"/>
          <w:szCs w:val="18"/>
          <w:lang w:val="en-IE"/>
        </w:rPr>
      </w:pPr>
    </w:p>
    <w:p w:rsidR="00E64DC4" w:rsidRPr="006010C1" w:rsidRDefault="00E64DC4" w:rsidP="006558DC">
      <w:pPr>
        <w:spacing w:after="0" w:line="240" w:lineRule="auto"/>
        <w:rPr>
          <w:rFonts w:ascii="Arial" w:hAnsi="Arial" w:cs="Arial"/>
          <w:sz w:val="18"/>
          <w:szCs w:val="18"/>
          <w:lang w:val="en-IE"/>
        </w:rPr>
      </w:pPr>
      <w:r w:rsidRPr="002F4D4A">
        <w:rPr>
          <w:rFonts w:ascii="Arial" w:hAnsi="Arial" w:cs="Arial"/>
          <w:sz w:val="18"/>
          <w:szCs w:val="18"/>
          <w:lang w:val="en-IE"/>
        </w:rPr>
        <w:t>The preliminary accounts are prepared to provide shareholders and investors with reliable and timely information on the performance of the Group for the year.</w:t>
      </w:r>
    </w:p>
    <w:p w:rsidR="00C07AC9" w:rsidRPr="006010C1" w:rsidRDefault="00C07AC9" w:rsidP="006558DC">
      <w:pPr>
        <w:spacing w:after="0" w:line="240" w:lineRule="auto"/>
        <w:ind w:left="709"/>
        <w:rPr>
          <w:rFonts w:ascii="Arial" w:hAnsi="Arial" w:cs="Arial"/>
          <w:sz w:val="18"/>
          <w:szCs w:val="18"/>
          <w:lang w:val="en-IE"/>
        </w:rPr>
      </w:pPr>
    </w:p>
    <w:p w:rsidR="007662EA" w:rsidRPr="006010C1" w:rsidRDefault="007662EA" w:rsidP="007662EA">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The Group financial statements have been prepared on a basis consistent with that reported for the year ended 31 December 201</w:t>
      </w:r>
      <w:r w:rsidR="002E572E">
        <w:rPr>
          <w:rFonts w:ascii="Arial" w:hAnsi="Arial" w:cs="Arial"/>
          <w:sz w:val="18"/>
          <w:szCs w:val="18"/>
          <w:lang w:val="en-IE"/>
        </w:rPr>
        <w:t>6.</w:t>
      </w:r>
      <w:r w:rsidRPr="006010C1">
        <w:rPr>
          <w:rFonts w:ascii="Arial" w:hAnsi="Arial" w:cs="Arial"/>
          <w:sz w:val="18"/>
          <w:szCs w:val="18"/>
          <w:lang w:val="en-IE"/>
        </w:rPr>
        <w:t xml:space="preserve"> No new standards, amendments or interpretations, which became effective in 201</w:t>
      </w:r>
      <w:r w:rsidR="00C43661">
        <w:rPr>
          <w:rFonts w:ascii="Arial" w:hAnsi="Arial" w:cs="Arial"/>
          <w:sz w:val="18"/>
          <w:szCs w:val="18"/>
          <w:lang w:val="en-IE"/>
        </w:rPr>
        <w:t>7</w:t>
      </w:r>
      <w:r w:rsidRPr="006010C1">
        <w:rPr>
          <w:rFonts w:ascii="Arial" w:hAnsi="Arial" w:cs="Arial"/>
          <w:sz w:val="18"/>
          <w:szCs w:val="18"/>
          <w:lang w:val="en-IE"/>
        </w:rPr>
        <w:t>, have had a material effect on the Group financial statements.</w:t>
      </w:r>
    </w:p>
    <w:p w:rsidR="00C07AC9" w:rsidRPr="006010C1" w:rsidRDefault="00C07AC9" w:rsidP="006558DC">
      <w:pPr>
        <w:spacing w:after="0" w:line="240" w:lineRule="auto"/>
        <w:rPr>
          <w:rFonts w:ascii="Arial" w:hAnsi="Arial" w:cs="Arial"/>
          <w:sz w:val="18"/>
          <w:szCs w:val="18"/>
          <w:lang w:val="en-IE"/>
        </w:rPr>
      </w:pPr>
      <w:r w:rsidRPr="006010C1">
        <w:rPr>
          <w:rFonts w:ascii="Arial" w:hAnsi="Arial" w:cs="Arial"/>
          <w:sz w:val="18"/>
          <w:szCs w:val="18"/>
          <w:lang w:val="en-IE"/>
        </w:rPr>
        <w:t xml:space="preserve">The financial information presented in this preliminary release does not constitute “full group accounts” under Regulation 40(1) of the European Communities (Companies: Group Accounts) Regulations, 1992. The preliminary release was approved by the Board of Directors. The annual report and accounts have also been approved by the Board of Directors </w:t>
      </w:r>
      <w:r w:rsidR="00706E5D" w:rsidRPr="006010C1">
        <w:rPr>
          <w:rFonts w:ascii="Arial" w:hAnsi="Arial" w:cs="Arial"/>
          <w:sz w:val="18"/>
          <w:szCs w:val="18"/>
          <w:lang w:val="en-IE"/>
        </w:rPr>
        <w:t>with an unqualified report from</w:t>
      </w:r>
      <w:r w:rsidRPr="006010C1">
        <w:rPr>
          <w:rFonts w:ascii="Arial" w:hAnsi="Arial" w:cs="Arial"/>
          <w:sz w:val="18"/>
          <w:szCs w:val="18"/>
          <w:lang w:val="en-IE"/>
        </w:rPr>
        <w:t xml:space="preserve"> the external auditors. The financial information has been extracted from the audited annual report and accounts. The full Group accounts will be</w:t>
      </w:r>
      <w:r w:rsidR="00070688" w:rsidRPr="006010C1">
        <w:rPr>
          <w:rFonts w:ascii="Arial" w:hAnsi="Arial" w:cs="Arial"/>
          <w:sz w:val="18"/>
          <w:szCs w:val="18"/>
          <w:lang w:val="en-IE"/>
        </w:rPr>
        <w:t xml:space="preserve"> laid before the AGM on </w:t>
      </w:r>
      <w:r w:rsidR="007662EA" w:rsidRPr="006010C1">
        <w:rPr>
          <w:rFonts w:ascii="Arial" w:hAnsi="Arial" w:cs="Arial"/>
          <w:sz w:val="18"/>
          <w:szCs w:val="18"/>
          <w:lang w:val="en-IE"/>
        </w:rPr>
        <w:t>9</w:t>
      </w:r>
      <w:r w:rsidRPr="006010C1">
        <w:rPr>
          <w:rFonts w:ascii="Arial" w:hAnsi="Arial" w:cs="Arial"/>
          <w:sz w:val="18"/>
          <w:szCs w:val="18"/>
          <w:lang w:val="en-IE"/>
        </w:rPr>
        <w:t xml:space="preserve"> May </w:t>
      </w:r>
      <w:r w:rsidR="002E572E" w:rsidRPr="006010C1">
        <w:rPr>
          <w:rFonts w:ascii="Arial" w:hAnsi="Arial" w:cs="Arial"/>
          <w:sz w:val="18"/>
          <w:szCs w:val="18"/>
          <w:lang w:val="en-IE"/>
        </w:rPr>
        <w:t>201</w:t>
      </w:r>
      <w:r w:rsidR="002E572E">
        <w:rPr>
          <w:rFonts w:ascii="Arial" w:hAnsi="Arial" w:cs="Arial"/>
          <w:sz w:val="18"/>
          <w:szCs w:val="18"/>
          <w:lang w:val="en-IE"/>
        </w:rPr>
        <w:t>8</w:t>
      </w:r>
      <w:r w:rsidR="002E572E" w:rsidRPr="006010C1">
        <w:rPr>
          <w:rFonts w:ascii="Arial" w:hAnsi="Arial" w:cs="Arial"/>
          <w:sz w:val="18"/>
          <w:szCs w:val="18"/>
          <w:lang w:val="en-IE"/>
        </w:rPr>
        <w:t xml:space="preserve"> </w:t>
      </w:r>
      <w:r w:rsidRPr="006010C1">
        <w:rPr>
          <w:rFonts w:ascii="Arial" w:hAnsi="Arial" w:cs="Arial"/>
          <w:sz w:val="18"/>
          <w:szCs w:val="18"/>
          <w:lang w:val="en-IE"/>
        </w:rPr>
        <w:t>and distributed to Shareholders in advance. They will be filed with the Irish Registrar of Companies following the AGM.</w:t>
      </w:r>
    </w:p>
    <w:p w:rsidR="00C07AC9" w:rsidRPr="006010C1" w:rsidRDefault="00C07AC9" w:rsidP="006558DC">
      <w:pPr>
        <w:spacing w:after="0" w:line="240" w:lineRule="auto"/>
        <w:ind w:left="709"/>
        <w:rPr>
          <w:rFonts w:ascii="Arial" w:hAnsi="Arial" w:cs="Arial"/>
          <w:sz w:val="18"/>
          <w:szCs w:val="18"/>
          <w:lang w:val="en-IE"/>
        </w:rPr>
      </w:pPr>
    </w:p>
    <w:p w:rsidR="00C07AC9" w:rsidRPr="006010C1" w:rsidRDefault="00C07AC9" w:rsidP="00C721AD">
      <w:pPr>
        <w:spacing w:after="0" w:line="240" w:lineRule="auto"/>
        <w:rPr>
          <w:rFonts w:ascii="Arial" w:eastAsia="MS Mincho" w:hAnsi="Arial" w:cs="Arial"/>
          <w:sz w:val="18"/>
          <w:szCs w:val="18"/>
          <w:lang w:val="en-IE" w:eastAsia="ja-JP"/>
        </w:rPr>
      </w:pPr>
      <w:r w:rsidRPr="006010C1">
        <w:rPr>
          <w:rFonts w:ascii="Arial" w:hAnsi="Arial" w:cs="Arial"/>
          <w:sz w:val="18"/>
          <w:szCs w:val="18"/>
          <w:lang w:val="en-IE"/>
        </w:rPr>
        <w:t>Full Group accounts for</w:t>
      </w:r>
      <w:r w:rsidR="00070688" w:rsidRPr="006010C1">
        <w:rPr>
          <w:rFonts w:ascii="Arial" w:hAnsi="Arial" w:cs="Arial"/>
          <w:sz w:val="18"/>
          <w:szCs w:val="18"/>
          <w:lang w:val="en-IE"/>
        </w:rPr>
        <w:t xml:space="preserve"> the year ended 31 December 201</w:t>
      </w:r>
      <w:r w:rsidR="002E572E">
        <w:rPr>
          <w:rFonts w:ascii="Arial" w:hAnsi="Arial" w:cs="Arial"/>
          <w:sz w:val="18"/>
          <w:szCs w:val="18"/>
          <w:lang w:val="en-IE"/>
        </w:rPr>
        <w:t>6</w:t>
      </w:r>
      <w:r w:rsidRPr="006010C1">
        <w:rPr>
          <w:rFonts w:ascii="Arial" w:hAnsi="Arial" w:cs="Arial"/>
          <w:sz w:val="18"/>
          <w:szCs w:val="18"/>
          <w:lang w:val="en-IE"/>
        </w:rPr>
        <w:t xml:space="preserve"> received an unqualified audit report and have been filed with the Irish Registrar of Companies.</w:t>
      </w:r>
    </w:p>
    <w:p w:rsidR="00C07AC9" w:rsidRPr="006C3343" w:rsidRDefault="00C07AC9" w:rsidP="00C721AD">
      <w:pPr>
        <w:spacing w:after="0" w:line="240" w:lineRule="auto"/>
        <w:rPr>
          <w:rFonts w:ascii="Arial" w:eastAsia="MS Mincho" w:hAnsi="Arial" w:cs="Arial"/>
          <w:sz w:val="20"/>
          <w:szCs w:val="20"/>
          <w:lang w:val="en-IE" w:eastAsia="ja-JP"/>
        </w:rPr>
      </w:pPr>
    </w:p>
    <w:p w:rsidR="00DC25F1" w:rsidRPr="006010C1" w:rsidRDefault="00A95934" w:rsidP="00C721AD">
      <w:pPr>
        <w:autoSpaceDE w:val="0"/>
        <w:autoSpaceDN w:val="0"/>
        <w:adjustRightInd w:val="0"/>
        <w:spacing w:after="0" w:line="240" w:lineRule="auto"/>
        <w:ind w:right="20"/>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 xml:space="preserve">Use of </w:t>
      </w:r>
      <w:r w:rsidR="002E326C">
        <w:rPr>
          <w:rFonts w:ascii="Arial" w:hAnsi="Arial" w:cs="Arial"/>
          <w:b/>
          <w:color w:val="1F497D" w:themeColor="text2"/>
          <w:sz w:val="18"/>
          <w:szCs w:val="18"/>
          <w:lang w:val="en-IE"/>
        </w:rPr>
        <w:t>alternative performance</w:t>
      </w:r>
      <w:r w:rsidRPr="006010C1">
        <w:rPr>
          <w:rFonts w:ascii="Arial" w:hAnsi="Arial" w:cs="Arial"/>
          <w:b/>
          <w:color w:val="1F497D" w:themeColor="text2"/>
          <w:sz w:val="18"/>
          <w:szCs w:val="18"/>
          <w:lang w:val="en-IE"/>
        </w:rPr>
        <w:t xml:space="preserve"> measures in the Group financial statements</w:t>
      </w:r>
    </w:p>
    <w:p w:rsidR="00DC25F1" w:rsidRPr="006C3343" w:rsidRDefault="00DC25F1" w:rsidP="00C721AD">
      <w:pPr>
        <w:spacing w:after="0" w:line="240" w:lineRule="auto"/>
        <w:rPr>
          <w:rFonts w:ascii="Arial" w:hAnsi="Arial" w:cs="Arial"/>
          <w:sz w:val="20"/>
          <w:szCs w:val="20"/>
          <w:lang w:val="en-IE"/>
        </w:rPr>
      </w:pP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The Group has identified certain measures that it believes will assist in the understanding of the performance of the business.</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These measures are not defined under IFRS and they may not be directly comparable with other companies’ adjusted measures.</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These alternative performance measures are not intended to be a substitute for, or superior to, any IFRS measures of performance but</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management have included them as they consider them to be important comparables and key measures used within the</w:t>
      </w:r>
    </w:p>
    <w:p w:rsidR="00A336EC"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business for assessing performance.</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The following are key alternative performance measures identified by the Group and used in the Group financial statements and</w:t>
      </w:r>
    </w:p>
    <w:p w:rsidR="00A336EC" w:rsidRPr="00B61833" w:rsidRDefault="00A336EC" w:rsidP="00B61833">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in the financial information presented herein.</w:t>
      </w:r>
    </w:p>
    <w:p w:rsidR="00507F2E" w:rsidRPr="006C3343" w:rsidRDefault="00507F2E" w:rsidP="00C721AD">
      <w:pPr>
        <w:spacing w:after="0" w:line="240" w:lineRule="auto"/>
        <w:rPr>
          <w:rFonts w:ascii="Arial" w:hAnsi="Arial" w:cs="Arial"/>
          <w:i/>
          <w:color w:val="1F497D" w:themeColor="text2"/>
          <w:sz w:val="20"/>
          <w:szCs w:val="20"/>
          <w:lang w:val="en-IE"/>
        </w:rPr>
      </w:pPr>
    </w:p>
    <w:p w:rsidR="00DC25F1" w:rsidRPr="006010C1" w:rsidRDefault="00DC25F1" w:rsidP="00C721AD">
      <w:pPr>
        <w:rPr>
          <w:rFonts w:ascii="Arial" w:hAnsi="Arial" w:cs="Arial"/>
          <w:i/>
          <w:color w:val="1F497D" w:themeColor="text2"/>
          <w:sz w:val="18"/>
          <w:szCs w:val="18"/>
          <w:lang w:val="en-IE"/>
        </w:rPr>
      </w:pPr>
      <w:r w:rsidRPr="006010C1">
        <w:rPr>
          <w:rFonts w:ascii="Arial" w:hAnsi="Arial" w:cs="Arial"/>
          <w:i/>
          <w:color w:val="1F497D" w:themeColor="text2"/>
          <w:sz w:val="18"/>
          <w:szCs w:val="18"/>
          <w:lang w:val="en-IE"/>
        </w:rPr>
        <w:t xml:space="preserve">Adjusted operating profit </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Adjusted operating profit is defined as operating profit, excluding acquisition-related amortisation, exceptional items and</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 xml:space="preserve">discontinued operations. Management believes excluding these items from the </w:t>
      </w:r>
      <w:r w:rsidR="00A85424" w:rsidRPr="00B61833">
        <w:rPr>
          <w:rFonts w:ascii="Arial" w:hAnsi="Arial" w:cs="Arial"/>
          <w:sz w:val="18"/>
          <w:szCs w:val="18"/>
          <w:lang w:val="en-IE"/>
        </w:rPr>
        <w:t>calculation of operating profit</w:t>
      </w:r>
      <w:r w:rsidRPr="00B61833">
        <w:rPr>
          <w:rFonts w:ascii="Arial" w:hAnsi="Arial" w:cs="Arial"/>
          <w:sz w:val="18"/>
          <w:szCs w:val="18"/>
          <w:lang w:val="en-IE"/>
        </w:rPr>
        <w:t xml:space="preserve"> is useful because</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management excludes items that are not comparable when measuring operating profitability, evaluating performance trends and</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setting performance objectives. It allows investors to evaluate the Group’s performance for different periods on a more</w:t>
      </w:r>
    </w:p>
    <w:p w:rsidR="00DD255C" w:rsidRDefault="00A336EC" w:rsidP="00A336EC">
      <w:pPr>
        <w:spacing w:after="0" w:line="240" w:lineRule="auto"/>
        <w:rPr>
          <w:rFonts w:ascii="Arial" w:hAnsi="Arial" w:cs="Arial"/>
          <w:sz w:val="18"/>
          <w:szCs w:val="18"/>
          <w:lang w:val="en-IE"/>
        </w:rPr>
      </w:pPr>
      <w:r w:rsidRPr="00B61833">
        <w:rPr>
          <w:rFonts w:ascii="Arial" w:hAnsi="Arial" w:cs="Arial"/>
          <w:sz w:val="18"/>
          <w:szCs w:val="18"/>
          <w:lang w:val="en-IE"/>
        </w:rPr>
        <w:t>comparable basis.</w:t>
      </w:r>
      <w:r w:rsidR="00DC25F1" w:rsidRPr="006010C1">
        <w:rPr>
          <w:rFonts w:ascii="Arial" w:hAnsi="Arial" w:cs="Arial"/>
          <w:sz w:val="18"/>
          <w:szCs w:val="18"/>
          <w:lang w:val="en-IE"/>
        </w:rPr>
        <w:t xml:space="preserve"> </w:t>
      </w:r>
    </w:p>
    <w:p w:rsidR="009C230F" w:rsidRDefault="009C230F" w:rsidP="00C721AD">
      <w:pPr>
        <w:spacing w:after="0" w:line="240" w:lineRule="auto"/>
        <w:rPr>
          <w:rFonts w:ascii="Arial" w:hAnsi="Arial" w:cs="Arial"/>
          <w:sz w:val="18"/>
          <w:szCs w:val="18"/>
          <w:lang w:val="en-IE"/>
        </w:rPr>
      </w:pPr>
    </w:p>
    <w:p w:rsidR="009C230F" w:rsidRPr="006010C1" w:rsidRDefault="009C230F" w:rsidP="00C721AD">
      <w:pPr>
        <w:spacing w:after="0" w:line="240" w:lineRule="auto"/>
        <w:rPr>
          <w:rFonts w:ascii="Arial" w:hAnsi="Arial" w:cs="Arial"/>
          <w:sz w:val="18"/>
          <w:szCs w:val="18"/>
          <w:lang w:val="en-IE"/>
        </w:rPr>
      </w:pPr>
      <w:r w:rsidRPr="00B61833">
        <w:rPr>
          <w:rFonts w:ascii="Arial" w:hAnsi="Arial" w:cs="Arial"/>
          <w:sz w:val="18"/>
          <w:szCs w:val="18"/>
          <w:lang w:val="en-IE"/>
        </w:rPr>
        <w:t>The reconciliation of adjusted operating profit to profit before income tax is disclosed in note 3.</w:t>
      </w:r>
    </w:p>
    <w:p w:rsidR="00341B79" w:rsidRPr="006010C1" w:rsidRDefault="00341B79" w:rsidP="006010C1">
      <w:pPr>
        <w:spacing w:after="0" w:line="240" w:lineRule="auto"/>
        <w:rPr>
          <w:rFonts w:ascii="Arial" w:hAnsi="Arial" w:cs="Arial"/>
          <w:i/>
          <w:color w:val="1F497D" w:themeColor="text2"/>
          <w:sz w:val="18"/>
          <w:szCs w:val="18"/>
          <w:lang w:val="en-IE"/>
        </w:rPr>
      </w:pPr>
    </w:p>
    <w:p w:rsidR="00DC25F1" w:rsidRPr="006010C1" w:rsidRDefault="00DC25F1" w:rsidP="00C721AD">
      <w:pPr>
        <w:rPr>
          <w:rFonts w:ascii="Arial" w:hAnsi="Arial" w:cs="Arial"/>
          <w:i/>
          <w:color w:val="1F497D" w:themeColor="text2"/>
          <w:sz w:val="18"/>
          <w:szCs w:val="18"/>
          <w:lang w:val="en-IE"/>
        </w:rPr>
      </w:pPr>
      <w:r w:rsidRPr="006010C1">
        <w:rPr>
          <w:rFonts w:ascii="Arial" w:hAnsi="Arial" w:cs="Arial"/>
          <w:i/>
          <w:color w:val="1F497D" w:themeColor="text2"/>
          <w:sz w:val="18"/>
          <w:szCs w:val="18"/>
          <w:lang w:val="en-IE"/>
        </w:rPr>
        <w:t>Adjusted earnings and adjusted earnings per share</w:t>
      </w:r>
    </w:p>
    <w:p w:rsidR="00DC25F1" w:rsidRPr="006010C1" w:rsidRDefault="00DC25F1" w:rsidP="00C721AD">
      <w:pPr>
        <w:spacing w:after="0" w:line="240" w:lineRule="auto"/>
        <w:rPr>
          <w:rFonts w:ascii="Arial" w:hAnsi="Arial" w:cs="Arial"/>
          <w:sz w:val="18"/>
          <w:szCs w:val="18"/>
          <w:lang w:val="en-IE"/>
        </w:rPr>
      </w:pPr>
      <w:r w:rsidRPr="006010C1">
        <w:rPr>
          <w:rFonts w:ascii="Arial" w:hAnsi="Arial" w:cs="Arial"/>
          <w:sz w:val="18"/>
          <w:szCs w:val="18"/>
          <w:lang w:val="en-IE"/>
        </w:rPr>
        <w:t xml:space="preserve">Adjusted earnings is defined as profit attributable to owners of the </w:t>
      </w:r>
      <w:r w:rsidR="005D4CCD" w:rsidRPr="006010C1">
        <w:rPr>
          <w:rFonts w:ascii="Arial" w:hAnsi="Arial" w:cs="Arial"/>
          <w:sz w:val="18"/>
          <w:szCs w:val="18"/>
          <w:lang w:val="en-IE"/>
        </w:rPr>
        <w:t>P</w:t>
      </w:r>
      <w:r w:rsidRPr="006010C1">
        <w:rPr>
          <w:rFonts w:ascii="Arial" w:hAnsi="Arial" w:cs="Arial"/>
          <w:sz w:val="18"/>
          <w:szCs w:val="18"/>
          <w:lang w:val="en-IE"/>
        </w:rPr>
        <w:t xml:space="preserve">arent </w:t>
      </w:r>
      <w:r w:rsidR="005D4CCD" w:rsidRPr="006010C1">
        <w:rPr>
          <w:rFonts w:ascii="Arial" w:hAnsi="Arial" w:cs="Arial"/>
          <w:sz w:val="18"/>
          <w:szCs w:val="18"/>
          <w:lang w:val="en-IE"/>
        </w:rPr>
        <w:t>C</w:t>
      </w:r>
      <w:r w:rsidRPr="006010C1">
        <w:rPr>
          <w:rFonts w:ascii="Arial" w:hAnsi="Arial" w:cs="Arial"/>
          <w:sz w:val="18"/>
          <w:szCs w:val="18"/>
          <w:lang w:val="en-IE"/>
        </w:rPr>
        <w:t>ompany before amortisation of acquisition related intangible assets, exceptional items</w:t>
      </w:r>
      <w:r w:rsidR="00565836" w:rsidRPr="006010C1">
        <w:rPr>
          <w:rFonts w:ascii="Arial" w:hAnsi="Arial" w:cs="Arial"/>
          <w:sz w:val="18"/>
          <w:szCs w:val="18"/>
          <w:lang w:val="en-IE"/>
        </w:rPr>
        <w:t>, discontinued operations and unwinding of discount applicable to contingent consideration</w:t>
      </w:r>
      <w:r w:rsidR="0052655A" w:rsidRPr="006010C1">
        <w:rPr>
          <w:rFonts w:ascii="Arial" w:hAnsi="Arial" w:cs="Arial"/>
          <w:sz w:val="18"/>
          <w:szCs w:val="18"/>
          <w:lang w:val="en-IE"/>
        </w:rPr>
        <w:t>, net of tax where applicable.</w:t>
      </w:r>
    </w:p>
    <w:p w:rsidR="00DC25F1" w:rsidRPr="006010C1" w:rsidRDefault="00DC25F1" w:rsidP="00C721AD">
      <w:pPr>
        <w:spacing w:after="0" w:line="240" w:lineRule="auto"/>
        <w:rPr>
          <w:rFonts w:ascii="Arial" w:hAnsi="Arial" w:cs="Arial"/>
          <w:sz w:val="18"/>
          <w:szCs w:val="18"/>
          <w:lang w:val="en-IE"/>
        </w:rPr>
      </w:pP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Adjusted EPS is defined as the continuing basic earnings per ordinary share adjusted for amortisation of acquired intangibles,</w:t>
      </w:r>
    </w:p>
    <w:p w:rsidR="00A336EC" w:rsidRPr="00B61833" w:rsidRDefault="00A336EC" w:rsidP="00A336EC">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exceptional items, discontinued operations and unwinding of discount applicable to contingent consideration, net of tax</w:t>
      </w:r>
    </w:p>
    <w:p w:rsidR="00DC25F1" w:rsidRPr="006010C1" w:rsidRDefault="00A336EC" w:rsidP="00A336EC">
      <w:pPr>
        <w:spacing w:after="0" w:line="240" w:lineRule="auto"/>
        <w:rPr>
          <w:rFonts w:ascii="Arial" w:hAnsi="Arial" w:cs="Arial"/>
          <w:sz w:val="18"/>
          <w:szCs w:val="18"/>
          <w:lang w:val="en-IE"/>
        </w:rPr>
      </w:pPr>
      <w:r w:rsidRPr="00B61833">
        <w:rPr>
          <w:rFonts w:ascii="Arial" w:hAnsi="Arial" w:cs="Arial"/>
          <w:sz w:val="18"/>
          <w:szCs w:val="18"/>
          <w:lang w:val="en-IE"/>
        </w:rPr>
        <w:t>where applicable.</w:t>
      </w:r>
      <w:r w:rsidR="00DC25F1" w:rsidRPr="006010C1">
        <w:rPr>
          <w:rFonts w:ascii="Arial" w:hAnsi="Arial" w:cs="Arial"/>
          <w:sz w:val="18"/>
          <w:szCs w:val="18"/>
          <w:lang w:val="en-IE"/>
        </w:rPr>
        <w:t xml:space="preserve"> </w:t>
      </w:r>
    </w:p>
    <w:p w:rsidR="00866368" w:rsidRPr="006010C1" w:rsidRDefault="00866368" w:rsidP="00C721AD">
      <w:pPr>
        <w:spacing w:after="0" w:line="240" w:lineRule="auto"/>
        <w:rPr>
          <w:rFonts w:ascii="Arial" w:hAnsi="Arial" w:cs="Arial"/>
          <w:sz w:val="18"/>
          <w:szCs w:val="18"/>
          <w:lang w:val="en-IE"/>
        </w:rPr>
      </w:pPr>
    </w:p>
    <w:p w:rsidR="00A04D68" w:rsidRDefault="00DC25F1" w:rsidP="006C3343">
      <w:pPr>
        <w:spacing w:after="0" w:line="240" w:lineRule="auto"/>
        <w:rPr>
          <w:rFonts w:ascii="Arial" w:hAnsi="Arial" w:cs="Arial"/>
          <w:sz w:val="18"/>
          <w:szCs w:val="18"/>
          <w:lang w:val="en-IE"/>
        </w:rPr>
      </w:pPr>
      <w:r w:rsidRPr="006010C1">
        <w:rPr>
          <w:rFonts w:ascii="Arial" w:hAnsi="Arial" w:cs="Arial"/>
          <w:sz w:val="18"/>
          <w:szCs w:val="18"/>
          <w:lang w:val="en-IE"/>
        </w:rPr>
        <w:lastRenderedPageBreak/>
        <w:t>T</w:t>
      </w:r>
      <w:r w:rsidR="0072513C" w:rsidRPr="006010C1">
        <w:rPr>
          <w:rFonts w:ascii="Arial" w:hAnsi="Arial" w:cs="Arial"/>
          <w:sz w:val="18"/>
          <w:szCs w:val="18"/>
          <w:lang w:val="en-IE"/>
        </w:rPr>
        <w:t>he Group</w:t>
      </w:r>
      <w:r w:rsidRPr="006010C1">
        <w:rPr>
          <w:rFonts w:ascii="Arial" w:hAnsi="Arial" w:cs="Arial"/>
          <w:sz w:val="18"/>
          <w:szCs w:val="18"/>
          <w:lang w:val="en-IE"/>
        </w:rPr>
        <w:t xml:space="preserve"> uses adjusted operating profit</w:t>
      </w:r>
      <w:r w:rsidR="0052655A" w:rsidRPr="006010C1">
        <w:rPr>
          <w:rFonts w:ascii="Arial" w:hAnsi="Arial" w:cs="Arial"/>
          <w:sz w:val="18"/>
          <w:szCs w:val="18"/>
          <w:lang w:val="en-IE"/>
        </w:rPr>
        <w:t xml:space="preserve">, adjusted earnings and adjusted </w:t>
      </w:r>
      <w:r w:rsidR="00A336EC">
        <w:rPr>
          <w:rFonts w:ascii="Arial" w:hAnsi="Arial" w:cs="Arial"/>
          <w:sz w:val="18"/>
          <w:szCs w:val="18"/>
          <w:lang w:val="en-IE"/>
        </w:rPr>
        <w:t>EPS</w:t>
      </w:r>
      <w:r w:rsidR="0052655A" w:rsidRPr="006010C1">
        <w:rPr>
          <w:rFonts w:ascii="Arial" w:hAnsi="Arial" w:cs="Arial"/>
          <w:sz w:val="18"/>
          <w:szCs w:val="18"/>
          <w:lang w:val="en-IE"/>
        </w:rPr>
        <w:t xml:space="preserve"> as </w:t>
      </w:r>
      <w:r w:rsidRPr="006010C1">
        <w:rPr>
          <w:rFonts w:ascii="Arial" w:hAnsi="Arial" w:cs="Arial"/>
          <w:sz w:val="18"/>
          <w:szCs w:val="18"/>
          <w:lang w:val="en-IE"/>
        </w:rPr>
        <w:t xml:space="preserve">measures of performance to eliminate the impact of items it does not consider indicative of ongoing operating performance due to their inherent unusual, </w:t>
      </w:r>
      <w:r w:rsidR="00B307ED" w:rsidRPr="006010C1">
        <w:rPr>
          <w:rFonts w:ascii="Arial" w:hAnsi="Arial" w:cs="Arial"/>
          <w:sz w:val="18"/>
          <w:szCs w:val="18"/>
          <w:lang w:val="en-IE"/>
        </w:rPr>
        <w:t>exceptional</w:t>
      </w:r>
      <w:r w:rsidRPr="006010C1">
        <w:rPr>
          <w:rFonts w:ascii="Arial" w:hAnsi="Arial" w:cs="Arial"/>
          <w:sz w:val="18"/>
          <w:szCs w:val="18"/>
          <w:lang w:val="en-IE"/>
        </w:rPr>
        <w:t>, or non-recurring nature or because they result from an event of a similar nature.</w:t>
      </w:r>
    </w:p>
    <w:p w:rsidR="009C230F" w:rsidRDefault="009C230F" w:rsidP="006C3343">
      <w:pPr>
        <w:spacing w:after="0" w:line="240" w:lineRule="auto"/>
        <w:rPr>
          <w:rFonts w:ascii="Arial" w:hAnsi="Arial" w:cs="Arial"/>
          <w:sz w:val="18"/>
          <w:szCs w:val="18"/>
          <w:lang w:val="en-IE"/>
        </w:rPr>
      </w:pPr>
    </w:p>
    <w:p w:rsidR="009C230F" w:rsidRPr="00B61833" w:rsidRDefault="009C230F" w:rsidP="009C230F">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A table showing the reconciliation from basic EPS to adjusted EPS and a reconciliation from profit attributable to owners of the</w:t>
      </w:r>
    </w:p>
    <w:p w:rsidR="009C230F" w:rsidRDefault="009C230F" w:rsidP="009C230F">
      <w:pPr>
        <w:spacing w:after="0" w:line="240" w:lineRule="auto"/>
        <w:rPr>
          <w:rFonts w:ascii="Arial" w:hAnsi="Arial" w:cs="Arial"/>
          <w:sz w:val="18"/>
          <w:szCs w:val="18"/>
          <w:lang w:val="en-IE"/>
        </w:rPr>
      </w:pPr>
      <w:r w:rsidRPr="00B61833">
        <w:rPr>
          <w:rFonts w:ascii="Arial" w:hAnsi="Arial" w:cs="Arial"/>
          <w:sz w:val="18"/>
          <w:szCs w:val="18"/>
          <w:lang w:val="en-IE"/>
        </w:rPr>
        <w:t>Parent Company to adjusted earnings is included in the financial review.</w:t>
      </w:r>
    </w:p>
    <w:p w:rsidR="009C230F" w:rsidRDefault="009C230F" w:rsidP="009C230F">
      <w:pPr>
        <w:spacing w:after="0" w:line="240" w:lineRule="auto"/>
        <w:rPr>
          <w:rFonts w:ascii="Arial" w:hAnsi="Arial" w:cs="Arial"/>
          <w:sz w:val="18"/>
          <w:szCs w:val="18"/>
          <w:lang w:val="en-IE"/>
        </w:rPr>
      </w:pPr>
    </w:p>
    <w:p w:rsidR="009C230F" w:rsidRDefault="009C230F" w:rsidP="009C230F">
      <w:pPr>
        <w:autoSpaceDE w:val="0"/>
        <w:autoSpaceDN w:val="0"/>
        <w:adjustRightInd w:val="0"/>
        <w:spacing w:after="0" w:line="240" w:lineRule="auto"/>
        <w:rPr>
          <w:rFonts w:ascii="Arial" w:hAnsi="Arial" w:cs="Arial"/>
          <w:i/>
          <w:color w:val="1F497D" w:themeColor="text2"/>
          <w:sz w:val="18"/>
          <w:szCs w:val="18"/>
          <w:lang w:val="en-IE"/>
        </w:rPr>
      </w:pPr>
      <w:r w:rsidRPr="00B61833">
        <w:rPr>
          <w:rFonts w:ascii="Arial" w:hAnsi="Arial" w:cs="Arial"/>
          <w:i/>
          <w:color w:val="1F497D" w:themeColor="text2"/>
          <w:sz w:val="18"/>
          <w:szCs w:val="18"/>
          <w:lang w:val="en-IE"/>
        </w:rPr>
        <w:t>Free Cash Flow</w:t>
      </w:r>
    </w:p>
    <w:p w:rsidR="009C230F" w:rsidRPr="00B61833" w:rsidRDefault="009C230F" w:rsidP="009C230F">
      <w:pPr>
        <w:autoSpaceDE w:val="0"/>
        <w:autoSpaceDN w:val="0"/>
        <w:adjustRightInd w:val="0"/>
        <w:spacing w:after="0" w:line="240" w:lineRule="auto"/>
        <w:rPr>
          <w:rFonts w:ascii="Arial" w:hAnsi="Arial" w:cs="Arial"/>
          <w:i/>
          <w:color w:val="1F497D" w:themeColor="text2"/>
          <w:sz w:val="18"/>
          <w:szCs w:val="18"/>
          <w:lang w:val="en-IE"/>
        </w:rPr>
      </w:pPr>
    </w:p>
    <w:p w:rsidR="009C230F" w:rsidRPr="00B61833" w:rsidRDefault="009C230F" w:rsidP="009C230F">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Free cash flow represents the cash flow generated from</w:t>
      </w:r>
      <w:r w:rsidR="00D00CA9">
        <w:rPr>
          <w:rFonts w:ascii="Arial" w:hAnsi="Arial" w:cs="Arial"/>
          <w:sz w:val="18"/>
          <w:szCs w:val="18"/>
          <w:lang w:val="en-IE"/>
        </w:rPr>
        <w:t xml:space="preserve"> adjusted</w:t>
      </w:r>
      <w:r w:rsidRPr="00B61833">
        <w:rPr>
          <w:rFonts w:ascii="Arial" w:hAnsi="Arial" w:cs="Arial"/>
          <w:sz w:val="18"/>
          <w:szCs w:val="18"/>
          <w:lang w:val="en-IE"/>
        </w:rPr>
        <w:t xml:space="preserve"> operating activities less cash used in relation to capital expenditure.</w:t>
      </w:r>
    </w:p>
    <w:p w:rsidR="009C230F" w:rsidRPr="00B61833" w:rsidRDefault="009C230F" w:rsidP="009C230F">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Management considers free cash flow an important measure of the Group’s ability to generate cash and profits. It is an accurate</w:t>
      </w:r>
    </w:p>
    <w:p w:rsidR="009C230F" w:rsidRPr="00B61833" w:rsidRDefault="009C230F" w:rsidP="009C230F">
      <w:pPr>
        <w:autoSpaceDE w:val="0"/>
        <w:autoSpaceDN w:val="0"/>
        <w:adjustRightInd w:val="0"/>
        <w:spacing w:after="0" w:line="240" w:lineRule="auto"/>
        <w:rPr>
          <w:rFonts w:ascii="Arial" w:hAnsi="Arial" w:cs="Arial"/>
          <w:sz w:val="18"/>
          <w:szCs w:val="18"/>
          <w:lang w:val="en-IE"/>
        </w:rPr>
      </w:pPr>
      <w:r w:rsidRPr="00B61833">
        <w:rPr>
          <w:rFonts w:ascii="Arial" w:hAnsi="Arial" w:cs="Arial"/>
          <w:sz w:val="18"/>
          <w:szCs w:val="18"/>
          <w:lang w:val="en-IE"/>
        </w:rPr>
        <w:t>measure of how much cash the Group has generated to service its debts, pay dividends and further invest in its operations. The</w:t>
      </w:r>
    </w:p>
    <w:p w:rsidR="009C230F" w:rsidRDefault="009C230F" w:rsidP="009C230F">
      <w:pPr>
        <w:spacing w:after="0" w:line="240" w:lineRule="auto"/>
        <w:rPr>
          <w:rFonts w:ascii="Arial" w:hAnsi="Arial" w:cs="Arial"/>
          <w:sz w:val="18"/>
          <w:szCs w:val="18"/>
          <w:lang w:val="en-IE"/>
        </w:rPr>
      </w:pPr>
      <w:r w:rsidRPr="00B61833">
        <w:rPr>
          <w:rFonts w:ascii="Arial" w:hAnsi="Arial" w:cs="Arial"/>
          <w:sz w:val="18"/>
          <w:szCs w:val="18"/>
          <w:lang w:val="en-IE"/>
        </w:rPr>
        <w:t>financial review includes a reconciliation of free cash flow to the net cash flow in the period.</w:t>
      </w:r>
    </w:p>
    <w:p w:rsidR="000252E9" w:rsidRDefault="000252E9" w:rsidP="009C230F">
      <w:pPr>
        <w:spacing w:after="0" w:line="240" w:lineRule="auto"/>
        <w:rPr>
          <w:rFonts w:ascii="Arial" w:hAnsi="Arial" w:cs="Arial"/>
          <w:sz w:val="18"/>
          <w:szCs w:val="18"/>
          <w:lang w:val="en-IE"/>
        </w:rPr>
      </w:pPr>
    </w:p>
    <w:p w:rsidR="000252E9" w:rsidRPr="005B1DE1" w:rsidRDefault="000252E9" w:rsidP="005B1DE1">
      <w:pPr>
        <w:autoSpaceDE w:val="0"/>
        <w:autoSpaceDN w:val="0"/>
        <w:adjustRightInd w:val="0"/>
        <w:spacing w:after="0" w:line="240" w:lineRule="auto"/>
        <w:rPr>
          <w:rFonts w:ascii="Arial" w:hAnsi="Arial" w:cs="Arial"/>
          <w:i/>
          <w:color w:val="1F497D" w:themeColor="text2"/>
          <w:sz w:val="18"/>
          <w:szCs w:val="18"/>
          <w:lang w:val="en-IE"/>
        </w:rPr>
      </w:pPr>
      <w:r w:rsidRPr="005B1DE1">
        <w:rPr>
          <w:rFonts w:ascii="Arial" w:hAnsi="Arial" w:cs="Arial"/>
          <w:i/>
          <w:color w:val="1F497D" w:themeColor="text2"/>
          <w:sz w:val="18"/>
          <w:szCs w:val="18"/>
          <w:lang w:val="en-IE"/>
        </w:rPr>
        <w:t>Return on capital employed</w:t>
      </w:r>
    </w:p>
    <w:p w:rsidR="000252E9" w:rsidRPr="005B1DE1" w:rsidRDefault="000252E9" w:rsidP="005B1DE1">
      <w:pPr>
        <w:autoSpaceDE w:val="0"/>
        <w:autoSpaceDN w:val="0"/>
        <w:adjustRightInd w:val="0"/>
        <w:spacing w:after="0" w:line="240" w:lineRule="auto"/>
        <w:rPr>
          <w:rFonts w:ascii="Arial" w:hAnsi="Arial" w:cs="Arial"/>
          <w:sz w:val="18"/>
          <w:szCs w:val="18"/>
          <w:lang w:val="en-IE"/>
        </w:rPr>
      </w:pPr>
      <w:r w:rsidRPr="005B1DE1">
        <w:rPr>
          <w:rFonts w:ascii="Arial" w:hAnsi="Arial" w:cs="Arial"/>
          <w:sz w:val="18"/>
          <w:szCs w:val="18"/>
          <w:lang w:val="en-IE"/>
        </w:rPr>
        <w:t xml:space="preserve">Return on capital employed is calculated as earnings before interest and tax divided by capital employed.  It measures how efficiently the Group generates profits from its capital employed by comparing it to net profit. </w:t>
      </w:r>
    </w:p>
    <w:p w:rsidR="000252E9" w:rsidRPr="005B1DE1" w:rsidRDefault="000252E9" w:rsidP="005B1DE1">
      <w:pPr>
        <w:autoSpaceDE w:val="0"/>
        <w:autoSpaceDN w:val="0"/>
        <w:adjustRightInd w:val="0"/>
        <w:spacing w:after="0" w:line="240" w:lineRule="auto"/>
        <w:rPr>
          <w:rFonts w:ascii="Arial" w:hAnsi="Arial" w:cs="Arial"/>
          <w:sz w:val="18"/>
          <w:szCs w:val="18"/>
          <w:lang w:val="en-IE"/>
        </w:rPr>
      </w:pPr>
    </w:p>
    <w:p w:rsidR="000252E9" w:rsidRPr="005B1DE1" w:rsidRDefault="000252E9" w:rsidP="005B1DE1">
      <w:pPr>
        <w:autoSpaceDE w:val="0"/>
        <w:autoSpaceDN w:val="0"/>
        <w:adjustRightInd w:val="0"/>
        <w:spacing w:after="0" w:line="240" w:lineRule="auto"/>
        <w:rPr>
          <w:rFonts w:ascii="Arial" w:hAnsi="Arial" w:cs="Arial"/>
          <w:sz w:val="18"/>
          <w:szCs w:val="18"/>
          <w:lang w:val="en-IE"/>
        </w:rPr>
      </w:pPr>
      <w:r w:rsidRPr="005B1DE1">
        <w:rPr>
          <w:rFonts w:ascii="Arial" w:hAnsi="Arial" w:cs="Arial"/>
          <w:sz w:val="18"/>
          <w:szCs w:val="18"/>
          <w:lang w:val="en-IE"/>
        </w:rPr>
        <w:t xml:space="preserve">The Group financial statements have been prepared on a basis consistent with that reported for the year ended 31 December 2016. </w:t>
      </w:r>
    </w:p>
    <w:p w:rsidR="000252E9" w:rsidRDefault="000252E9" w:rsidP="009C230F">
      <w:pPr>
        <w:spacing w:after="0" w:line="240" w:lineRule="auto"/>
        <w:rPr>
          <w:rFonts w:ascii="Arial" w:hAnsi="Arial" w:cs="Arial"/>
          <w:sz w:val="18"/>
          <w:szCs w:val="18"/>
          <w:lang w:val="en-IE"/>
        </w:rPr>
      </w:pPr>
    </w:p>
    <w:p w:rsidR="00A04D68" w:rsidRPr="006C3343" w:rsidRDefault="00A04D68" w:rsidP="00C721AD">
      <w:pPr>
        <w:pStyle w:val="ListParagraph"/>
        <w:tabs>
          <w:tab w:val="left" w:pos="567"/>
          <w:tab w:val="left" w:pos="5400"/>
        </w:tabs>
        <w:ind w:left="0"/>
        <w:rPr>
          <w:rFonts w:ascii="Arial" w:hAnsi="Arial" w:cs="Arial"/>
          <w:b/>
          <w:color w:val="1F497D" w:themeColor="text2"/>
          <w:lang w:val="en-IE"/>
        </w:rPr>
      </w:pPr>
    </w:p>
    <w:p w:rsidR="0035333C" w:rsidRPr="00A95934" w:rsidRDefault="00662C62" w:rsidP="00C721AD">
      <w:pPr>
        <w:pStyle w:val="ListParagraph"/>
        <w:numPr>
          <w:ilvl w:val="0"/>
          <w:numId w:val="49"/>
        </w:numPr>
        <w:ind w:left="0" w:firstLine="0"/>
        <w:rPr>
          <w:rFonts w:ascii="Arial" w:hAnsi="Arial" w:cs="Arial"/>
          <w:b/>
          <w:color w:val="1F497D" w:themeColor="text2"/>
          <w:lang w:val="en-IE"/>
        </w:rPr>
      </w:pPr>
      <w:r w:rsidRPr="00A95934">
        <w:rPr>
          <w:rFonts w:ascii="Arial" w:hAnsi="Arial" w:cs="Arial"/>
          <w:b/>
          <w:color w:val="1F497D" w:themeColor="text2"/>
          <w:lang w:val="en-IE"/>
        </w:rPr>
        <w:t>Segmental information</w:t>
      </w:r>
    </w:p>
    <w:p w:rsidR="00F12CAA" w:rsidRPr="006C3343" w:rsidRDefault="00F12CAA" w:rsidP="00C721AD">
      <w:pPr>
        <w:pStyle w:val="ListParagraph"/>
        <w:tabs>
          <w:tab w:val="left" w:pos="709"/>
        </w:tabs>
        <w:ind w:left="0"/>
        <w:rPr>
          <w:rFonts w:ascii="Arial" w:hAnsi="Arial" w:cs="Arial"/>
          <w:b/>
          <w:color w:val="1F497D" w:themeColor="text2"/>
          <w:lang w:val="en-IE"/>
        </w:rPr>
      </w:pPr>
    </w:p>
    <w:p w:rsidR="007662EA" w:rsidRPr="006010C1" w:rsidRDefault="007662EA" w:rsidP="007662EA">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 xml:space="preserve">In line with the requirements of IFRS 8, ‘Operating segments’, the Group has identified the Group Chief Executive of the Company as its </w:t>
      </w:r>
      <w:r w:rsidR="00300BF1" w:rsidRPr="006010C1">
        <w:rPr>
          <w:rFonts w:ascii="Arial" w:hAnsi="Arial" w:cs="Arial"/>
          <w:sz w:val="18"/>
          <w:szCs w:val="18"/>
          <w:lang w:val="en-IE"/>
        </w:rPr>
        <w:t>Chief Operating Decision Maker (</w:t>
      </w:r>
      <w:r w:rsidRPr="006010C1">
        <w:rPr>
          <w:rFonts w:ascii="Arial" w:hAnsi="Arial" w:cs="Arial"/>
          <w:sz w:val="18"/>
          <w:szCs w:val="18"/>
          <w:lang w:val="en-IE"/>
        </w:rPr>
        <w:t>CODM</w:t>
      </w:r>
      <w:r w:rsidR="00300BF1" w:rsidRPr="006010C1">
        <w:rPr>
          <w:rFonts w:ascii="Arial" w:hAnsi="Arial" w:cs="Arial"/>
          <w:sz w:val="18"/>
          <w:szCs w:val="18"/>
          <w:lang w:val="en-IE"/>
        </w:rPr>
        <w:t>)</w:t>
      </w:r>
      <w:r w:rsidRPr="006010C1">
        <w:rPr>
          <w:rFonts w:ascii="Arial" w:hAnsi="Arial" w:cs="Arial"/>
          <w:sz w:val="18"/>
          <w:szCs w:val="18"/>
          <w:lang w:val="en-IE"/>
        </w:rPr>
        <w:t xml:space="preserve">. The Group Chief Executive reviews the Group’s internal reporting in order to assess the performance of the Group and allocate resources. The operating segments have been identified based on these reports. </w:t>
      </w:r>
    </w:p>
    <w:p w:rsidR="007662EA" w:rsidRPr="006010C1" w:rsidRDefault="007662EA" w:rsidP="007662EA">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 xml:space="preserve">Throughout the year, the Group Chief Executive considered the business line perspective, based on two reporting segments: platform and independent wealth management. The segments were managed by senior executives who reported to The Group Chief Executive and the Board of Directors. </w:t>
      </w:r>
    </w:p>
    <w:p w:rsidR="007662EA" w:rsidRPr="006010C1" w:rsidRDefault="007662EA" w:rsidP="007662EA">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The Group Chief Executive assesses the performance of the segments based on a measure of adjusted earnings. He reviews working capital and overall balance sheet performance on a Group wide basis but also receives reports on all measures at an individual business level.</w:t>
      </w:r>
    </w:p>
    <w:p w:rsidR="007662EA" w:rsidRPr="006010C1" w:rsidRDefault="007662EA" w:rsidP="007662EA">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The Group earns its revenues in these segments by way of fees from the provision of services and commissions earned in the intermediation of financial service products.</w:t>
      </w:r>
    </w:p>
    <w:p w:rsidR="007662EA" w:rsidRPr="006010C1" w:rsidRDefault="007662EA" w:rsidP="007662EA">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 xml:space="preserve">Goodwill is allocated to cash-generating units on a reporting segment level and that is the level at which it is assessed for impairment. </w:t>
      </w:r>
    </w:p>
    <w:p w:rsidR="007662EA" w:rsidRPr="006010C1" w:rsidRDefault="007662EA" w:rsidP="007662EA">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Income tax is managed on a centralised basis and therefore the item is not allocated between operating segments for the purpose of presenting information to the CODM and accordingly is not included in the detailed segmental analysis below.</w:t>
      </w:r>
    </w:p>
    <w:p w:rsidR="00DB3027" w:rsidRDefault="007662EA" w:rsidP="003E5A10">
      <w:pPr>
        <w:widowControl w:val="0"/>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Intersegment revenue is not material and thus not subject to separate disclosure.</w:t>
      </w:r>
    </w:p>
    <w:p w:rsidR="00DB3027" w:rsidRDefault="00DB3027" w:rsidP="005F086E">
      <w:pPr>
        <w:rPr>
          <w:rFonts w:ascii="Arial" w:hAnsi="Arial" w:cs="Arial"/>
          <w:sz w:val="18"/>
          <w:szCs w:val="18"/>
          <w:lang w:val="en-IE"/>
        </w:rPr>
      </w:pPr>
    </w:p>
    <w:p w:rsidR="0008600D" w:rsidRPr="006010C1" w:rsidRDefault="00E00494" w:rsidP="005F086E">
      <w:pPr>
        <w:rPr>
          <w:rFonts w:ascii="Arial" w:hAnsi="Arial" w:cs="Arial"/>
          <w:sz w:val="18"/>
          <w:szCs w:val="18"/>
          <w:lang w:val="en-IE"/>
        </w:rPr>
      </w:pPr>
      <w:r w:rsidRPr="006010C1">
        <w:rPr>
          <w:rFonts w:ascii="Arial" w:hAnsi="Arial" w:cs="Arial"/>
          <w:sz w:val="18"/>
          <w:szCs w:val="18"/>
          <w:lang w:val="en-IE"/>
        </w:rPr>
        <w:t>The information provided to t</w:t>
      </w:r>
      <w:r w:rsidR="0072513C" w:rsidRPr="006010C1">
        <w:rPr>
          <w:rFonts w:ascii="Arial" w:hAnsi="Arial" w:cs="Arial"/>
          <w:sz w:val="18"/>
          <w:szCs w:val="18"/>
          <w:lang w:val="en-IE"/>
        </w:rPr>
        <w:t>he Group</w:t>
      </w:r>
      <w:r w:rsidR="00BF0DFD" w:rsidRPr="006010C1">
        <w:rPr>
          <w:rFonts w:ascii="Arial" w:hAnsi="Arial" w:cs="Arial"/>
          <w:sz w:val="18"/>
          <w:szCs w:val="18"/>
          <w:lang w:val="en-IE"/>
        </w:rPr>
        <w:t xml:space="preserve"> </w:t>
      </w:r>
      <w:r w:rsidRPr="006010C1">
        <w:rPr>
          <w:rFonts w:ascii="Arial" w:hAnsi="Arial" w:cs="Arial"/>
          <w:sz w:val="18"/>
          <w:szCs w:val="18"/>
          <w:lang w:val="en-IE"/>
        </w:rPr>
        <w:t>C</w:t>
      </w:r>
      <w:r w:rsidR="003F718F" w:rsidRPr="006010C1">
        <w:rPr>
          <w:rFonts w:ascii="Arial" w:hAnsi="Arial" w:cs="Arial"/>
          <w:sz w:val="18"/>
          <w:szCs w:val="18"/>
          <w:lang w:val="en-IE"/>
        </w:rPr>
        <w:t xml:space="preserve">hief </w:t>
      </w:r>
      <w:r w:rsidRPr="006010C1">
        <w:rPr>
          <w:rFonts w:ascii="Arial" w:hAnsi="Arial" w:cs="Arial"/>
          <w:sz w:val="18"/>
          <w:szCs w:val="18"/>
          <w:lang w:val="en-IE"/>
        </w:rPr>
        <w:t>E</w:t>
      </w:r>
      <w:r w:rsidR="003F718F" w:rsidRPr="006010C1">
        <w:rPr>
          <w:rFonts w:ascii="Arial" w:hAnsi="Arial" w:cs="Arial"/>
          <w:sz w:val="18"/>
          <w:szCs w:val="18"/>
          <w:lang w:val="en-IE"/>
        </w:rPr>
        <w:t xml:space="preserve">xecutive </w:t>
      </w:r>
      <w:r w:rsidRPr="006010C1">
        <w:rPr>
          <w:rFonts w:ascii="Arial" w:hAnsi="Arial" w:cs="Arial"/>
          <w:sz w:val="18"/>
          <w:szCs w:val="18"/>
          <w:lang w:val="en-IE"/>
        </w:rPr>
        <w:t xml:space="preserve">for the reportable </w:t>
      </w:r>
      <w:r w:rsidR="00313688" w:rsidRPr="006010C1">
        <w:rPr>
          <w:rFonts w:ascii="Arial" w:hAnsi="Arial" w:cs="Arial"/>
          <w:sz w:val="18"/>
          <w:szCs w:val="18"/>
          <w:lang w:val="en-IE"/>
        </w:rPr>
        <w:t>s</w:t>
      </w:r>
      <w:r w:rsidRPr="006010C1">
        <w:rPr>
          <w:rFonts w:ascii="Arial" w:hAnsi="Arial" w:cs="Arial"/>
          <w:sz w:val="18"/>
          <w:szCs w:val="18"/>
          <w:lang w:val="en-IE"/>
        </w:rPr>
        <w:t>egments</w:t>
      </w:r>
      <w:r w:rsidR="001D62EC" w:rsidRPr="006010C1">
        <w:rPr>
          <w:rFonts w:ascii="Arial" w:hAnsi="Arial" w:cs="Arial"/>
          <w:sz w:val="18"/>
          <w:szCs w:val="18"/>
          <w:lang w:val="en-IE"/>
        </w:rPr>
        <w:t>,</w:t>
      </w:r>
      <w:r w:rsidRPr="006010C1">
        <w:rPr>
          <w:rFonts w:ascii="Arial" w:hAnsi="Arial" w:cs="Arial"/>
          <w:sz w:val="18"/>
          <w:szCs w:val="18"/>
          <w:lang w:val="en-IE"/>
        </w:rPr>
        <w:t xml:space="preserve"> for the </w:t>
      </w:r>
      <w:r w:rsidR="004A108E" w:rsidRPr="006010C1">
        <w:rPr>
          <w:rFonts w:ascii="Arial" w:hAnsi="Arial" w:cs="Arial"/>
          <w:sz w:val="18"/>
          <w:szCs w:val="18"/>
          <w:lang w:val="en-IE"/>
        </w:rPr>
        <w:t>year</w:t>
      </w:r>
      <w:r w:rsidRPr="006010C1">
        <w:rPr>
          <w:rFonts w:ascii="Arial" w:hAnsi="Arial" w:cs="Arial"/>
          <w:sz w:val="18"/>
          <w:szCs w:val="18"/>
          <w:lang w:val="en-IE"/>
        </w:rPr>
        <w:t xml:space="preserve"> ended 31 </w:t>
      </w:r>
      <w:r w:rsidR="00DF6141" w:rsidRPr="006010C1">
        <w:rPr>
          <w:rFonts w:ascii="Arial" w:hAnsi="Arial" w:cs="Arial"/>
          <w:sz w:val="18"/>
          <w:szCs w:val="18"/>
          <w:lang w:val="en-IE"/>
        </w:rPr>
        <w:t>D</w:t>
      </w:r>
      <w:r w:rsidRPr="006010C1">
        <w:rPr>
          <w:rFonts w:ascii="Arial" w:hAnsi="Arial" w:cs="Arial"/>
          <w:sz w:val="18"/>
          <w:szCs w:val="18"/>
          <w:lang w:val="en-IE"/>
        </w:rPr>
        <w:t xml:space="preserve">ecember </w:t>
      </w:r>
      <w:r w:rsidR="005E11D6" w:rsidRPr="006010C1">
        <w:rPr>
          <w:rFonts w:ascii="Arial" w:hAnsi="Arial" w:cs="Arial"/>
          <w:sz w:val="18"/>
          <w:szCs w:val="18"/>
          <w:lang w:val="en-IE"/>
        </w:rPr>
        <w:t>201</w:t>
      </w:r>
      <w:r w:rsidR="000252E9">
        <w:rPr>
          <w:rFonts w:ascii="Arial" w:hAnsi="Arial" w:cs="Arial"/>
          <w:sz w:val="18"/>
          <w:szCs w:val="18"/>
          <w:lang w:val="en-IE"/>
        </w:rPr>
        <w:t>7</w:t>
      </w:r>
      <w:r w:rsidR="001D62EC" w:rsidRPr="006010C1">
        <w:rPr>
          <w:rFonts w:ascii="Arial" w:hAnsi="Arial" w:cs="Arial"/>
          <w:sz w:val="18"/>
          <w:szCs w:val="18"/>
          <w:lang w:val="en-IE"/>
        </w:rPr>
        <w:t>,</w:t>
      </w:r>
      <w:r w:rsidRPr="006010C1">
        <w:rPr>
          <w:rFonts w:ascii="Arial" w:hAnsi="Arial" w:cs="Arial"/>
          <w:sz w:val="18"/>
          <w:szCs w:val="18"/>
          <w:lang w:val="en-IE"/>
        </w:rPr>
        <w:t xml:space="preserve"> is as follows:</w:t>
      </w:r>
    </w:p>
    <w:p w:rsidR="00F30400" w:rsidRPr="006C3343" w:rsidRDefault="00F30400" w:rsidP="00C721AD">
      <w:pPr>
        <w:tabs>
          <w:tab w:val="right" w:pos="4536"/>
          <w:tab w:val="right" w:pos="6237"/>
          <w:tab w:val="right" w:pos="6804"/>
          <w:tab w:val="right" w:pos="7938"/>
          <w:tab w:val="right" w:pos="9356"/>
          <w:tab w:val="right" w:pos="10206"/>
        </w:tabs>
        <w:spacing w:after="0"/>
        <w:rPr>
          <w:rFonts w:ascii="Arial" w:hAnsi="Arial" w:cs="Arial"/>
          <w:sz w:val="20"/>
          <w:szCs w:val="20"/>
          <w:lang w:val="en-IE"/>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1134"/>
        <w:gridCol w:w="1559"/>
        <w:gridCol w:w="1418"/>
        <w:gridCol w:w="1134"/>
      </w:tblGrid>
      <w:tr w:rsidR="00B72997" w:rsidRPr="00040E7D" w:rsidTr="00027DF8">
        <w:trPr>
          <w:trHeight w:hRule="exact" w:val="284"/>
        </w:trPr>
        <w:tc>
          <w:tcPr>
            <w:tcW w:w="5387" w:type="dxa"/>
          </w:tcPr>
          <w:p w:rsidR="00B72997" w:rsidRPr="006010C1" w:rsidRDefault="00B72997" w:rsidP="00C721AD">
            <w:pPr>
              <w:tabs>
                <w:tab w:val="left" w:pos="0"/>
                <w:tab w:val="right" w:pos="5760"/>
                <w:tab w:val="right" w:pos="7200"/>
                <w:tab w:val="right" w:pos="8640"/>
              </w:tabs>
              <w:jc w:val="both"/>
              <w:rPr>
                <w:rFonts w:ascii="Arial" w:hAnsi="Arial" w:cs="Arial"/>
                <w:b/>
                <w:sz w:val="18"/>
                <w:szCs w:val="18"/>
                <w:lang w:val="en-IE"/>
              </w:rPr>
            </w:pPr>
          </w:p>
        </w:tc>
        <w:tc>
          <w:tcPr>
            <w:tcW w:w="1134" w:type="dxa"/>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559" w:type="dxa"/>
          </w:tcPr>
          <w:p w:rsidR="00B72997" w:rsidRPr="006010C1" w:rsidRDefault="00B72997" w:rsidP="00B72997">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Independent</w:t>
            </w:r>
          </w:p>
        </w:tc>
        <w:tc>
          <w:tcPr>
            <w:tcW w:w="1418" w:type="dxa"/>
            <w:shd w:val="clear" w:color="auto" w:fill="auto"/>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134" w:type="dxa"/>
            <w:shd w:val="clear" w:color="auto" w:fill="auto"/>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B72997" w:rsidRPr="00040E7D" w:rsidTr="00027DF8">
        <w:trPr>
          <w:trHeight w:hRule="exact" w:val="284"/>
        </w:trPr>
        <w:tc>
          <w:tcPr>
            <w:tcW w:w="5387" w:type="dxa"/>
          </w:tcPr>
          <w:p w:rsidR="00B72997" w:rsidRPr="006010C1" w:rsidRDefault="00B72997" w:rsidP="00C721AD">
            <w:pPr>
              <w:tabs>
                <w:tab w:val="left" w:pos="0"/>
                <w:tab w:val="right" w:pos="5760"/>
                <w:tab w:val="right" w:pos="7200"/>
                <w:tab w:val="right" w:pos="8640"/>
              </w:tabs>
              <w:jc w:val="both"/>
              <w:rPr>
                <w:rFonts w:ascii="Arial" w:hAnsi="Arial" w:cs="Arial"/>
                <w:b/>
                <w:sz w:val="18"/>
                <w:szCs w:val="18"/>
                <w:lang w:val="en-IE"/>
              </w:rPr>
            </w:pPr>
          </w:p>
        </w:tc>
        <w:tc>
          <w:tcPr>
            <w:tcW w:w="1134" w:type="dxa"/>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559" w:type="dxa"/>
          </w:tcPr>
          <w:p w:rsidR="00B72997" w:rsidRPr="006010C1" w:rsidRDefault="00B72997" w:rsidP="00B72997">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wealth</w:t>
            </w:r>
          </w:p>
        </w:tc>
        <w:tc>
          <w:tcPr>
            <w:tcW w:w="1418" w:type="dxa"/>
            <w:shd w:val="clear" w:color="auto" w:fill="auto"/>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Group /</w:t>
            </w:r>
            <w:r w:rsidRPr="006010C1">
              <w:rPr>
                <w:rFonts w:ascii="Arial" w:hAnsi="Arial" w:cs="Arial"/>
                <w:b/>
                <w:sz w:val="18"/>
                <w:szCs w:val="18"/>
              </w:rPr>
              <w:t xml:space="preserve"> </w:t>
            </w:r>
          </w:p>
        </w:tc>
        <w:tc>
          <w:tcPr>
            <w:tcW w:w="1134" w:type="dxa"/>
            <w:shd w:val="clear" w:color="auto" w:fill="auto"/>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B72997" w:rsidRPr="00040E7D" w:rsidTr="00027DF8">
        <w:trPr>
          <w:trHeight w:hRule="exact" w:val="284"/>
        </w:trPr>
        <w:tc>
          <w:tcPr>
            <w:tcW w:w="5387" w:type="dxa"/>
          </w:tcPr>
          <w:p w:rsidR="00B72997" w:rsidRPr="006010C1" w:rsidRDefault="00B72997" w:rsidP="00C721AD">
            <w:pPr>
              <w:tabs>
                <w:tab w:val="left" w:pos="0"/>
                <w:tab w:val="right" w:pos="5760"/>
                <w:tab w:val="right" w:pos="7200"/>
                <w:tab w:val="right" w:pos="8640"/>
              </w:tabs>
              <w:spacing w:after="200"/>
              <w:jc w:val="both"/>
              <w:rPr>
                <w:rFonts w:ascii="Arial" w:hAnsi="Arial" w:cs="Arial"/>
                <w:b/>
                <w:sz w:val="18"/>
                <w:szCs w:val="18"/>
                <w:lang w:val="en-IE"/>
              </w:rPr>
            </w:pPr>
          </w:p>
        </w:tc>
        <w:tc>
          <w:tcPr>
            <w:tcW w:w="1134" w:type="dxa"/>
          </w:tcPr>
          <w:p w:rsidR="00B72997" w:rsidRPr="006010C1" w:rsidRDefault="00B72997" w:rsidP="00C721AD">
            <w:pPr>
              <w:tabs>
                <w:tab w:val="left" w:pos="0"/>
                <w:tab w:val="right" w:pos="5760"/>
                <w:tab w:val="right" w:pos="7200"/>
                <w:tab w:val="right" w:pos="8640"/>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 xml:space="preserve">Platform </w:t>
            </w:r>
          </w:p>
        </w:tc>
        <w:tc>
          <w:tcPr>
            <w:tcW w:w="1559" w:type="dxa"/>
          </w:tcPr>
          <w:p w:rsidR="00B72997" w:rsidRPr="006010C1" w:rsidRDefault="00B72997" w:rsidP="00B72997">
            <w:pPr>
              <w:tabs>
                <w:tab w:val="left" w:pos="0"/>
                <w:tab w:val="right" w:pos="5760"/>
                <w:tab w:val="right" w:pos="7200"/>
                <w:tab w:val="right" w:pos="8640"/>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management</w:t>
            </w:r>
          </w:p>
        </w:tc>
        <w:tc>
          <w:tcPr>
            <w:tcW w:w="1418" w:type="dxa"/>
            <w:shd w:val="clear" w:color="auto" w:fill="auto"/>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other</w:t>
            </w:r>
          </w:p>
        </w:tc>
        <w:tc>
          <w:tcPr>
            <w:tcW w:w="1134" w:type="dxa"/>
            <w:shd w:val="clear" w:color="auto" w:fill="auto"/>
          </w:tcPr>
          <w:p w:rsidR="00B72997" w:rsidRPr="006010C1" w:rsidRDefault="00B72997" w:rsidP="00C721AD">
            <w:pPr>
              <w:tabs>
                <w:tab w:val="left" w:pos="0"/>
                <w:tab w:val="right" w:pos="5760"/>
                <w:tab w:val="right" w:pos="7200"/>
                <w:tab w:val="right" w:pos="8640"/>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Total</w:t>
            </w:r>
          </w:p>
        </w:tc>
      </w:tr>
      <w:tr w:rsidR="00B72997" w:rsidRPr="00040E7D" w:rsidTr="00027DF8">
        <w:trPr>
          <w:trHeight w:hRule="exact" w:val="284"/>
        </w:trPr>
        <w:tc>
          <w:tcPr>
            <w:tcW w:w="5387" w:type="dxa"/>
          </w:tcPr>
          <w:p w:rsidR="00B72997" w:rsidRPr="006010C1" w:rsidRDefault="00B72997" w:rsidP="00C721AD">
            <w:pPr>
              <w:tabs>
                <w:tab w:val="left" w:pos="0"/>
                <w:tab w:val="right" w:pos="5760"/>
                <w:tab w:val="right" w:pos="7200"/>
                <w:tab w:val="right" w:pos="8640"/>
              </w:tabs>
              <w:spacing w:after="200"/>
              <w:jc w:val="both"/>
              <w:rPr>
                <w:rFonts w:ascii="Arial" w:hAnsi="Arial" w:cs="Arial"/>
                <w:b/>
                <w:sz w:val="18"/>
                <w:szCs w:val="18"/>
                <w:lang w:val="en-IE"/>
              </w:rPr>
            </w:pPr>
          </w:p>
        </w:tc>
        <w:tc>
          <w:tcPr>
            <w:tcW w:w="1134" w:type="dxa"/>
          </w:tcPr>
          <w:p w:rsidR="00B72997" w:rsidRPr="006010C1" w:rsidRDefault="00B72997" w:rsidP="00C721AD">
            <w:pPr>
              <w:tabs>
                <w:tab w:val="left" w:pos="0"/>
                <w:tab w:val="right" w:pos="5760"/>
                <w:tab w:val="right" w:pos="720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559" w:type="dxa"/>
          </w:tcPr>
          <w:p w:rsidR="00B72997" w:rsidRPr="006010C1" w:rsidRDefault="00B72997" w:rsidP="00B72997">
            <w:pPr>
              <w:tabs>
                <w:tab w:val="left" w:pos="0"/>
                <w:tab w:val="right" w:pos="5760"/>
                <w:tab w:val="right" w:pos="720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418" w:type="dxa"/>
            <w:shd w:val="clear" w:color="auto" w:fill="auto"/>
          </w:tcPr>
          <w:p w:rsidR="00B72997" w:rsidRPr="006010C1" w:rsidRDefault="00B72997" w:rsidP="00C721AD">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134" w:type="dxa"/>
            <w:shd w:val="clear" w:color="auto" w:fill="auto"/>
          </w:tcPr>
          <w:p w:rsidR="00B72997" w:rsidRPr="006010C1" w:rsidRDefault="00B72997" w:rsidP="00C721AD">
            <w:pPr>
              <w:tabs>
                <w:tab w:val="left" w:pos="0"/>
                <w:tab w:val="right" w:pos="5760"/>
                <w:tab w:val="right" w:pos="720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r>
      <w:tr w:rsidR="00B72997" w:rsidRPr="00040E7D" w:rsidTr="00027DF8">
        <w:trPr>
          <w:trHeight w:hRule="exact" w:val="284"/>
        </w:trPr>
        <w:tc>
          <w:tcPr>
            <w:tcW w:w="5387" w:type="dxa"/>
          </w:tcPr>
          <w:p w:rsidR="00B72997" w:rsidRPr="006010C1" w:rsidRDefault="00B72997" w:rsidP="00C721AD">
            <w:pPr>
              <w:tabs>
                <w:tab w:val="left" w:pos="0"/>
                <w:tab w:val="right" w:pos="5760"/>
                <w:tab w:val="right" w:pos="7200"/>
                <w:tab w:val="right" w:pos="8640"/>
              </w:tabs>
              <w:spacing w:after="200"/>
              <w:jc w:val="both"/>
              <w:rPr>
                <w:rFonts w:ascii="Arial" w:hAnsi="Arial" w:cs="Arial"/>
                <w:b/>
                <w:sz w:val="18"/>
                <w:szCs w:val="18"/>
                <w:lang w:val="en-IE"/>
              </w:rPr>
            </w:pPr>
          </w:p>
        </w:tc>
        <w:tc>
          <w:tcPr>
            <w:tcW w:w="1134" w:type="dxa"/>
          </w:tcPr>
          <w:p w:rsidR="00B72997" w:rsidRPr="006010C1" w:rsidRDefault="00B72997" w:rsidP="00C721AD">
            <w:pPr>
              <w:tabs>
                <w:tab w:val="left" w:pos="0"/>
                <w:tab w:val="right" w:pos="5760"/>
                <w:tab w:val="right" w:pos="7200"/>
                <w:tab w:val="right" w:pos="8640"/>
              </w:tabs>
              <w:spacing w:after="200"/>
              <w:jc w:val="right"/>
              <w:rPr>
                <w:rFonts w:ascii="Arial" w:hAnsi="Arial" w:cs="Arial"/>
                <w:b/>
                <w:sz w:val="18"/>
                <w:szCs w:val="18"/>
                <w:lang w:val="en-IE"/>
              </w:rPr>
            </w:pPr>
          </w:p>
        </w:tc>
        <w:tc>
          <w:tcPr>
            <w:tcW w:w="1559" w:type="dxa"/>
          </w:tcPr>
          <w:p w:rsidR="00B72997" w:rsidRPr="006010C1" w:rsidRDefault="00B72997" w:rsidP="00B72997">
            <w:pPr>
              <w:tabs>
                <w:tab w:val="left" w:pos="0"/>
                <w:tab w:val="right" w:pos="5760"/>
                <w:tab w:val="right" w:pos="7200"/>
                <w:tab w:val="right" w:pos="8640"/>
              </w:tabs>
              <w:spacing w:after="200"/>
              <w:jc w:val="right"/>
              <w:rPr>
                <w:rFonts w:ascii="Arial" w:hAnsi="Arial" w:cs="Arial"/>
                <w:b/>
                <w:sz w:val="18"/>
                <w:szCs w:val="18"/>
                <w:lang w:val="en-IE"/>
              </w:rPr>
            </w:pPr>
          </w:p>
        </w:tc>
        <w:tc>
          <w:tcPr>
            <w:tcW w:w="1418" w:type="dxa"/>
            <w:shd w:val="clear" w:color="auto" w:fill="auto"/>
          </w:tcPr>
          <w:p w:rsidR="00B72997" w:rsidRPr="006010C1" w:rsidRDefault="00B72997" w:rsidP="00C721AD">
            <w:pPr>
              <w:tabs>
                <w:tab w:val="left" w:pos="0"/>
                <w:tab w:val="right" w:pos="5760"/>
                <w:tab w:val="right" w:pos="7200"/>
                <w:tab w:val="right" w:pos="8640"/>
              </w:tabs>
              <w:jc w:val="right"/>
              <w:rPr>
                <w:rFonts w:ascii="Arial" w:hAnsi="Arial" w:cs="Arial"/>
                <w:b/>
                <w:sz w:val="18"/>
                <w:szCs w:val="18"/>
                <w:lang w:val="en-IE"/>
              </w:rPr>
            </w:pPr>
          </w:p>
        </w:tc>
        <w:tc>
          <w:tcPr>
            <w:tcW w:w="1134" w:type="dxa"/>
            <w:shd w:val="clear" w:color="auto" w:fill="auto"/>
          </w:tcPr>
          <w:p w:rsidR="00B72997" w:rsidRPr="006010C1" w:rsidRDefault="00B72997" w:rsidP="00C721AD">
            <w:pPr>
              <w:tabs>
                <w:tab w:val="left" w:pos="0"/>
                <w:tab w:val="right" w:pos="5760"/>
                <w:tab w:val="right" w:pos="7200"/>
                <w:tab w:val="right" w:pos="8640"/>
              </w:tabs>
              <w:spacing w:after="200"/>
              <w:jc w:val="right"/>
              <w:rPr>
                <w:rFonts w:ascii="Arial" w:hAnsi="Arial" w:cs="Arial"/>
                <w:b/>
                <w:sz w:val="18"/>
                <w:szCs w:val="18"/>
                <w:lang w:val="en-IE"/>
              </w:rPr>
            </w:pPr>
          </w:p>
        </w:tc>
      </w:tr>
      <w:tr w:rsidR="000252E9" w:rsidRPr="00040E7D" w:rsidTr="00027DF8">
        <w:trPr>
          <w:trHeight w:hRule="exact" w:val="284"/>
        </w:trPr>
        <w:tc>
          <w:tcPr>
            <w:tcW w:w="5387" w:type="dxa"/>
            <w:tcBorders>
              <w:bottom w:val="single" w:sz="4" w:space="0" w:color="auto"/>
            </w:tcBorders>
          </w:tcPr>
          <w:p w:rsidR="000252E9" w:rsidRPr="006010C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Revenue</w:t>
            </w:r>
          </w:p>
        </w:tc>
        <w:tc>
          <w:tcPr>
            <w:tcW w:w="1134" w:type="dxa"/>
            <w:tcBorders>
              <w:bottom w:val="single" w:sz="4" w:space="0" w:color="auto"/>
            </w:tcBorders>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46,169</w:t>
            </w:r>
          </w:p>
        </w:tc>
        <w:tc>
          <w:tcPr>
            <w:tcW w:w="1559" w:type="dxa"/>
            <w:tcBorders>
              <w:bottom w:val="single" w:sz="4" w:space="0" w:color="auto"/>
            </w:tcBorders>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32,225</w:t>
            </w:r>
          </w:p>
        </w:tc>
        <w:tc>
          <w:tcPr>
            <w:tcW w:w="1418" w:type="dxa"/>
            <w:tcBorders>
              <w:bottom w:val="single" w:sz="4" w:space="0" w:color="auto"/>
            </w:tcBorders>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tcBorders>
              <w:bottom w:val="single" w:sz="4" w:space="0" w:color="auto"/>
            </w:tcBorders>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78,394</w:t>
            </w:r>
          </w:p>
        </w:tc>
      </w:tr>
      <w:tr w:rsidR="008B7718" w:rsidRPr="00040E7D" w:rsidTr="00027DF8">
        <w:trPr>
          <w:trHeight w:hRule="exact" w:val="284"/>
        </w:trPr>
        <w:tc>
          <w:tcPr>
            <w:tcW w:w="5387" w:type="dxa"/>
            <w:tcBorders>
              <w:top w:val="single" w:sz="4" w:space="0" w:color="auto"/>
            </w:tcBorders>
          </w:tcPr>
          <w:p w:rsidR="008B7718" w:rsidRPr="006010C1" w:rsidRDefault="008B7718" w:rsidP="008B7718">
            <w:pPr>
              <w:tabs>
                <w:tab w:val="left" w:pos="0"/>
                <w:tab w:val="right" w:pos="5760"/>
                <w:tab w:val="right" w:pos="7200"/>
                <w:tab w:val="right" w:pos="8640"/>
              </w:tabs>
              <w:spacing w:after="200"/>
              <w:jc w:val="both"/>
              <w:rPr>
                <w:rFonts w:ascii="Arial" w:hAnsi="Arial" w:cs="Arial"/>
                <w:b/>
                <w:sz w:val="18"/>
                <w:szCs w:val="18"/>
                <w:lang w:val="en-IE"/>
              </w:rPr>
            </w:pPr>
          </w:p>
        </w:tc>
        <w:tc>
          <w:tcPr>
            <w:tcW w:w="1134" w:type="dxa"/>
            <w:tcBorders>
              <w:top w:val="single" w:sz="4" w:space="0" w:color="auto"/>
            </w:tcBorders>
          </w:tcPr>
          <w:p w:rsidR="008B7718" w:rsidRPr="001972EA" w:rsidRDefault="008B7718" w:rsidP="008B7718">
            <w:pPr>
              <w:tabs>
                <w:tab w:val="left" w:pos="0"/>
                <w:tab w:val="right" w:pos="5760"/>
                <w:tab w:val="right" w:pos="7200"/>
                <w:tab w:val="right" w:pos="8640"/>
              </w:tabs>
              <w:spacing w:after="200"/>
              <w:jc w:val="right"/>
              <w:rPr>
                <w:rFonts w:ascii="Arial" w:hAnsi="Arial" w:cs="Arial"/>
                <w:b/>
                <w:sz w:val="18"/>
                <w:szCs w:val="18"/>
                <w:lang w:val="en-IE"/>
              </w:rPr>
            </w:pPr>
          </w:p>
        </w:tc>
        <w:tc>
          <w:tcPr>
            <w:tcW w:w="1559" w:type="dxa"/>
            <w:tcBorders>
              <w:top w:val="single" w:sz="4" w:space="0" w:color="auto"/>
            </w:tcBorders>
          </w:tcPr>
          <w:p w:rsidR="008B7718" w:rsidRPr="005B1DE1" w:rsidRDefault="008B7718" w:rsidP="008B7718">
            <w:pPr>
              <w:tabs>
                <w:tab w:val="left" w:pos="0"/>
                <w:tab w:val="right" w:pos="5760"/>
                <w:tab w:val="right" w:pos="7200"/>
                <w:tab w:val="right" w:pos="8640"/>
              </w:tabs>
              <w:spacing w:after="200"/>
              <w:jc w:val="right"/>
              <w:rPr>
                <w:rFonts w:ascii="Arial" w:hAnsi="Arial" w:cs="Arial"/>
                <w:b/>
                <w:sz w:val="18"/>
                <w:szCs w:val="18"/>
                <w:lang w:val="en-IE"/>
              </w:rPr>
            </w:pPr>
          </w:p>
        </w:tc>
        <w:tc>
          <w:tcPr>
            <w:tcW w:w="1418" w:type="dxa"/>
            <w:tcBorders>
              <w:top w:val="single" w:sz="4" w:space="0" w:color="auto"/>
            </w:tcBorders>
            <w:shd w:val="clear" w:color="auto" w:fill="auto"/>
          </w:tcPr>
          <w:p w:rsidR="008B7718" w:rsidRPr="005B1DE1" w:rsidRDefault="008B7718" w:rsidP="008B7718">
            <w:pPr>
              <w:tabs>
                <w:tab w:val="left" w:pos="0"/>
                <w:tab w:val="right" w:pos="5760"/>
                <w:tab w:val="right" w:pos="7200"/>
                <w:tab w:val="right" w:pos="8640"/>
              </w:tabs>
              <w:jc w:val="right"/>
              <w:rPr>
                <w:rFonts w:ascii="Arial" w:hAnsi="Arial" w:cs="Arial"/>
                <w:b/>
                <w:sz w:val="18"/>
                <w:szCs w:val="18"/>
                <w:lang w:val="en-IE"/>
              </w:rPr>
            </w:pPr>
          </w:p>
        </w:tc>
        <w:tc>
          <w:tcPr>
            <w:tcW w:w="1134" w:type="dxa"/>
            <w:tcBorders>
              <w:top w:val="single" w:sz="4" w:space="0" w:color="auto"/>
            </w:tcBorders>
            <w:shd w:val="clear" w:color="auto" w:fill="auto"/>
          </w:tcPr>
          <w:p w:rsidR="008B7718" w:rsidRPr="005B1DE1" w:rsidRDefault="008B7718" w:rsidP="008B7718">
            <w:pPr>
              <w:tabs>
                <w:tab w:val="left" w:pos="0"/>
                <w:tab w:val="right" w:pos="5760"/>
                <w:tab w:val="right" w:pos="7200"/>
                <w:tab w:val="right" w:pos="8640"/>
              </w:tabs>
              <w:spacing w:after="200"/>
              <w:jc w:val="right"/>
              <w:rPr>
                <w:rFonts w:ascii="Arial" w:hAnsi="Arial" w:cs="Arial"/>
                <w:b/>
                <w:sz w:val="18"/>
                <w:szCs w:val="18"/>
                <w:lang w:val="en-IE"/>
              </w:rPr>
            </w:pPr>
          </w:p>
        </w:tc>
      </w:tr>
      <w:tr w:rsidR="008B7718" w:rsidRPr="00040E7D" w:rsidTr="00027DF8">
        <w:trPr>
          <w:trHeight w:hRule="exact" w:val="80"/>
        </w:trPr>
        <w:tc>
          <w:tcPr>
            <w:tcW w:w="5387" w:type="dxa"/>
          </w:tcPr>
          <w:p w:rsidR="008B7718" w:rsidRPr="006010C1" w:rsidRDefault="008B7718" w:rsidP="008B7718">
            <w:pPr>
              <w:tabs>
                <w:tab w:val="left" w:pos="0"/>
                <w:tab w:val="right" w:pos="5760"/>
                <w:tab w:val="right" w:pos="7200"/>
                <w:tab w:val="right" w:pos="8640"/>
              </w:tabs>
              <w:spacing w:after="200"/>
              <w:jc w:val="both"/>
              <w:rPr>
                <w:rFonts w:ascii="Arial" w:hAnsi="Arial" w:cs="Arial"/>
                <w:b/>
                <w:sz w:val="18"/>
                <w:szCs w:val="18"/>
                <w:lang w:val="en-IE"/>
              </w:rPr>
            </w:pPr>
          </w:p>
        </w:tc>
        <w:tc>
          <w:tcPr>
            <w:tcW w:w="1134" w:type="dxa"/>
          </w:tcPr>
          <w:p w:rsidR="008B7718" w:rsidRPr="001972EA" w:rsidRDefault="008B7718" w:rsidP="008B7718">
            <w:pPr>
              <w:tabs>
                <w:tab w:val="left" w:pos="0"/>
                <w:tab w:val="right" w:pos="5760"/>
                <w:tab w:val="right" w:pos="7200"/>
                <w:tab w:val="right" w:pos="8640"/>
              </w:tabs>
              <w:spacing w:after="200"/>
              <w:jc w:val="right"/>
              <w:rPr>
                <w:rFonts w:ascii="Arial" w:hAnsi="Arial" w:cs="Arial"/>
                <w:b/>
                <w:sz w:val="18"/>
                <w:szCs w:val="18"/>
                <w:lang w:val="en-IE"/>
              </w:rPr>
            </w:pPr>
          </w:p>
        </w:tc>
        <w:tc>
          <w:tcPr>
            <w:tcW w:w="1559" w:type="dxa"/>
          </w:tcPr>
          <w:p w:rsidR="008B7718" w:rsidRPr="005B1DE1" w:rsidRDefault="008B7718" w:rsidP="008B7718">
            <w:pPr>
              <w:tabs>
                <w:tab w:val="left" w:pos="0"/>
                <w:tab w:val="right" w:pos="5760"/>
                <w:tab w:val="right" w:pos="7200"/>
                <w:tab w:val="right" w:pos="8640"/>
              </w:tabs>
              <w:spacing w:after="200"/>
              <w:jc w:val="right"/>
              <w:rPr>
                <w:rFonts w:ascii="Arial" w:hAnsi="Arial" w:cs="Arial"/>
                <w:b/>
                <w:sz w:val="18"/>
                <w:szCs w:val="18"/>
                <w:lang w:val="en-IE"/>
              </w:rPr>
            </w:pPr>
          </w:p>
        </w:tc>
        <w:tc>
          <w:tcPr>
            <w:tcW w:w="1418" w:type="dxa"/>
            <w:shd w:val="clear" w:color="auto" w:fill="auto"/>
          </w:tcPr>
          <w:p w:rsidR="008B7718" w:rsidRPr="005B1DE1" w:rsidRDefault="008B7718" w:rsidP="008B7718">
            <w:pPr>
              <w:tabs>
                <w:tab w:val="left" w:pos="0"/>
                <w:tab w:val="right" w:pos="5760"/>
                <w:tab w:val="right" w:pos="7200"/>
                <w:tab w:val="right" w:pos="8640"/>
              </w:tabs>
              <w:jc w:val="both"/>
              <w:rPr>
                <w:rFonts w:ascii="Arial" w:hAnsi="Arial" w:cs="Arial"/>
                <w:b/>
                <w:sz w:val="18"/>
                <w:szCs w:val="18"/>
                <w:lang w:val="en-IE"/>
              </w:rPr>
            </w:pPr>
          </w:p>
        </w:tc>
        <w:tc>
          <w:tcPr>
            <w:tcW w:w="1134" w:type="dxa"/>
            <w:shd w:val="clear" w:color="auto" w:fill="auto"/>
          </w:tcPr>
          <w:p w:rsidR="008B7718" w:rsidRPr="005B1DE1" w:rsidRDefault="008B7718" w:rsidP="008B7718">
            <w:pPr>
              <w:tabs>
                <w:tab w:val="left" w:pos="0"/>
                <w:tab w:val="right" w:pos="5760"/>
                <w:tab w:val="right" w:pos="7200"/>
                <w:tab w:val="right" w:pos="8640"/>
              </w:tabs>
              <w:spacing w:after="200"/>
              <w:jc w:val="both"/>
              <w:rPr>
                <w:rFonts w:ascii="Arial" w:hAnsi="Arial" w:cs="Arial"/>
                <w:b/>
                <w:sz w:val="18"/>
                <w:szCs w:val="18"/>
                <w:lang w:val="en-IE"/>
              </w:rPr>
            </w:pPr>
          </w:p>
        </w:tc>
      </w:tr>
      <w:tr w:rsidR="000252E9" w:rsidRPr="00040E7D" w:rsidTr="00027DF8">
        <w:trPr>
          <w:trHeight w:hRule="exact" w:val="284"/>
        </w:trPr>
        <w:tc>
          <w:tcPr>
            <w:tcW w:w="5387" w:type="dxa"/>
          </w:tcPr>
          <w:p w:rsidR="000252E9" w:rsidRPr="006010C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Pr>
                <w:rFonts w:ascii="Arial" w:hAnsi="Arial" w:cs="Arial"/>
                <w:b/>
                <w:sz w:val="18"/>
                <w:szCs w:val="18"/>
                <w:lang w:val="en-IE"/>
              </w:rPr>
              <w:t>Adjusted operating profit</w:t>
            </w:r>
            <w:r w:rsidR="00C43661">
              <w:rPr>
                <w:rFonts w:ascii="Arial" w:hAnsi="Arial" w:cs="Arial"/>
                <w:b/>
                <w:sz w:val="18"/>
                <w:szCs w:val="18"/>
                <w:lang w:val="en-IE"/>
              </w:rPr>
              <w:t>/(loss)</w:t>
            </w:r>
          </w:p>
        </w:tc>
        <w:tc>
          <w:tcPr>
            <w:tcW w:w="1134"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6,079</w:t>
            </w:r>
          </w:p>
        </w:tc>
        <w:tc>
          <w:tcPr>
            <w:tcW w:w="1559"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8,599</w:t>
            </w:r>
          </w:p>
        </w:tc>
        <w:tc>
          <w:tcPr>
            <w:tcW w:w="1418"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(4,179)</w:t>
            </w:r>
          </w:p>
        </w:tc>
        <w:tc>
          <w:tcPr>
            <w:tcW w:w="1134"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10,499</w:t>
            </w:r>
          </w:p>
        </w:tc>
      </w:tr>
      <w:tr w:rsidR="000252E9" w:rsidRPr="00040E7D" w:rsidTr="00027DF8">
        <w:trPr>
          <w:trHeight w:hRule="exact" w:val="284"/>
        </w:trPr>
        <w:tc>
          <w:tcPr>
            <w:tcW w:w="5387" w:type="dxa"/>
          </w:tcPr>
          <w:p w:rsidR="000252E9" w:rsidRPr="00040E7D" w:rsidRDefault="000252E9" w:rsidP="000252E9">
            <w:pPr>
              <w:tabs>
                <w:tab w:val="left" w:pos="0"/>
                <w:tab w:val="right" w:pos="5760"/>
                <w:tab w:val="right" w:pos="7200"/>
                <w:tab w:val="right" w:pos="8640"/>
              </w:tabs>
              <w:autoSpaceDE w:val="0"/>
              <w:autoSpaceDN w:val="0"/>
              <w:adjustRightInd w:val="0"/>
              <w:jc w:val="both"/>
              <w:rPr>
                <w:rFonts w:ascii="Arial" w:hAnsi="Arial" w:cs="Arial"/>
                <w:b/>
                <w:sz w:val="18"/>
                <w:szCs w:val="18"/>
                <w:lang w:val="en-IE"/>
              </w:rPr>
            </w:pPr>
            <w:r>
              <w:rPr>
                <w:rFonts w:ascii="Arial" w:hAnsi="Arial" w:cs="Arial"/>
                <w:b/>
                <w:sz w:val="18"/>
                <w:szCs w:val="18"/>
                <w:lang w:val="en-IE"/>
              </w:rPr>
              <w:t>Amortisation of acquired intangibles</w:t>
            </w:r>
          </w:p>
        </w:tc>
        <w:tc>
          <w:tcPr>
            <w:tcW w:w="1134"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(2,137)</w:t>
            </w:r>
          </w:p>
        </w:tc>
        <w:tc>
          <w:tcPr>
            <w:tcW w:w="1559"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418"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(2,137)</w:t>
            </w:r>
          </w:p>
        </w:tc>
      </w:tr>
      <w:tr w:rsidR="000252E9" w:rsidRPr="00040E7D" w:rsidTr="00027DF8">
        <w:trPr>
          <w:trHeight w:hRule="exact" w:val="284"/>
        </w:trPr>
        <w:tc>
          <w:tcPr>
            <w:tcW w:w="5387" w:type="dxa"/>
          </w:tcPr>
          <w:p w:rsidR="000252E9" w:rsidRPr="00040E7D" w:rsidRDefault="000252E9" w:rsidP="000252E9">
            <w:pPr>
              <w:tabs>
                <w:tab w:val="left" w:pos="0"/>
                <w:tab w:val="right" w:pos="5760"/>
                <w:tab w:val="right" w:pos="7200"/>
                <w:tab w:val="right" w:pos="8640"/>
              </w:tabs>
              <w:autoSpaceDE w:val="0"/>
              <w:autoSpaceDN w:val="0"/>
              <w:adjustRightInd w:val="0"/>
              <w:jc w:val="both"/>
              <w:rPr>
                <w:rFonts w:ascii="Arial" w:hAnsi="Arial" w:cs="Arial"/>
                <w:b/>
                <w:sz w:val="18"/>
                <w:szCs w:val="18"/>
                <w:lang w:val="en-IE"/>
              </w:rPr>
            </w:pPr>
            <w:r w:rsidRPr="009D404B">
              <w:rPr>
                <w:rFonts w:ascii="Arial" w:hAnsi="Arial" w:cs="Arial"/>
                <w:b/>
                <w:sz w:val="18"/>
                <w:szCs w:val="18"/>
                <w:lang w:val="en-IE"/>
              </w:rPr>
              <w:t>Exceptional items</w:t>
            </w:r>
          </w:p>
        </w:tc>
        <w:tc>
          <w:tcPr>
            <w:tcW w:w="1134"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(6,262)</w:t>
            </w:r>
          </w:p>
        </w:tc>
        <w:tc>
          <w:tcPr>
            <w:tcW w:w="1559"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(1,425)</w:t>
            </w:r>
          </w:p>
        </w:tc>
        <w:tc>
          <w:tcPr>
            <w:tcW w:w="1418"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(1,108)</w:t>
            </w:r>
          </w:p>
        </w:tc>
        <w:tc>
          <w:tcPr>
            <w:tcW w:w="1134"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(8,795)</w:t>
            </w:r>
          </w:p>
        </w:tc>
      </w:tr>
      <w:tr w:rsidR="000252E9" w:rsidRPr="00040E7D" w:rsidTr="00027DF8">
        <w:trPr>
          <w:trHeight w:hRule="exact" w:val="284"/>
        </w:trPr>
        <w:tc>
          <w:tcPr>
            <w:tcW w:w="5387" w:type="dxa"/>
            <w:tcBorders>
              <w:top w:val="single" w:sz="4" w:space="0" w:color="000000" w:themeColor="text1"/>
            </w:tcBorders>
          </w:tcPr>
          <w:p w:rsidR="000252E9" w:rsidRPr="006010C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 xml:space="preserve">Operating </w:t>
            </w:r>
            <w:r w:rsidR="00C43661">
              <w:rPr>
                <w:rFonts w:ascii="Arial" w:hAnsi="Arial" w:cs="Arial"/>
                <w:b/>
                <w:sz w:val="18"/>
                <w:szCs w:val="18"/>
                <w:lang w:val="en-IE"/>
              </w:rPr>
              <w:t>(loss)/</w:t>
            </w:r>
            <w:r w:rsidRPr="006010C1">
              <w:rPr>
                <w:rFonts w:ascii="Arial" w:hAnsi="Arial" w:cs="Arial"/>
                <w:b/>
                <w:sz w:val="18"/>
                <w:szCs w:val="18"/>
                <w:lang w:val="en-IE"/>
              </w:rPr>
              <w:t>profit</w:t>
            </w:r>
          </w:p>
        </w:tc>
        <w:tc>
          <w:tcPr>
            <w:tcW w:w="1134" w:type="dxa"/>
            <w:tcBorders>
              <w:top w:val="single" w:sz="4" w:space="0" w:color="000000" w:themeColor="text1"/>
            </w:tcBorders>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(2,320)</w:t>
            </w:r>
          </w:p>
        </w:tc>
        <w:tc>
          <w:tcPr>
            <w:tcW w:w="1559" w:type="dxa"/>
            <w:tcBorders>
              <w:top w:val="single" w:sz="4" w:space="0" w:color="000000" w:themeColor="text1"/>
            </w:tcBorders>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7,174</w:t>
            </w:r>
          </w:p>
        </w:tc>
        <w:tc>
          <w:tcPr>
            <w:tcW w:w="1418" w:type="dxa"/>
            <w:tcBorders>
              <w:top w:val="single" w:sz="4" w:space="0" w:color="000000" w:themeColor="text1"/>
            </w:tcBorders>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(5,287)</w:t>
            </w:r>
          </w:p>
        </w:tc>
        <w:tc>
          <w:tcPr>
            <w:tcW w:w="1134" w:type="dxa"/>
            <w:tcBorders>
              <w:top w:val="single" w:sz="4" w:space="0" w:color="000000" w:themeColor="text1"/>
            </w:tcBorders>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(433)</w:t>
            </w:r>
          </w:p>
        </w:tc>
      </w:tr>
      <w:tr w:rsidR="00E815DE" w:rsidRPr="00040E7D" w:rsidTr="00027DF8">
        <w:trPr>
          <w:trHeight w:hRule="exact" w:val="189"/>
        </w:trPr>
        <w:tc>
          <w:tcPr>
            <w:tcW w:w="5387" w:type="dxa"/>
          </w:tcPr>
          <w:p w:rsidR="00E815DE" w:rsidRPr="006010C1" w:rsidRDefault="00E815DE" w:rsidP="00E815DE">
            <w:pPr>
              <w:tabs>
                <w:tab w:val="left" w:pos="0"/>
                <w:tab w:val="right" w:pos="5760"/>
                <w:tab w:val="right" w:pos="7200"/>
                <w:tab w:val="right" w:pos="8640"/>
              </w:tabs>
              <w:spacing w:after="200"/>
              <w:jc w:val="both"/>
              <w:rPr>
                <w:rFonts w:ascii="Arial" w:hAnsi="Arial" w:cs="Arial"/>
                <w:b/>
                <w:sz w:val="18"/>
                <w:szCs w:val="18"/>
                <w:lang w:val="en-IE"/>
              </w:rPr>
            </w:pPr>
          </w:p>
        </w:tc>
        <w:tc>
          <w:tcPr>
            <w:tcW w:w="1134" w:type="dxa"/>
          </w:tcPr>
          <w:p w:rsidR="00E815DE" w:rsidRPr="001972EA" w:rsidRDefault="00E815DE" w:rsidP="00E815DE">
            <w:pPr>
              <w:tabs>
                <w:tab w:val="left" w:pos="0"/>
                <w:tab w:val="right" w:pos="5760"/>
                <w:tab w:val="right" w:pos="7200"/>
                <w:tab w:val="right" w:pos="8640"/>
              </w:tabs>
              <w:spacing w:after="200"/>
              <w:jc w:val="right"/>
              <w:rPr>
                <w:rFonts w:ascii="Arial" w:hAnsi="Arial" w:cs="Arial"/>
                <w:b/>
                <w:sz w:val="18"/>
                <w:szCs w:val="18"/>
                <w:lang w:val="en-IE"/>
              </w:rPr>
            </w:pPr>
          </w:p>
        </w:tc>
        <w:tc>
          <w:tcPr>
            <w:tcW w:w="1559" w:type="dxa"/>
          </w:tcPr>
          <w:p w:rsidR="00E815DE" w:rsidRPr="005B1DE1" w:rsidRDefault="00E815DE" w:rsidP="00E815DE">
            <w:pPr>
              <w:tabs>
                <w:tab w:val="left" w:pos="0"/>
                <w:tab w:val="right" w:pos="5760"/>
                <w:tab w:val="right" w:pos="7200"/>
                <w:tab w:val="right" w:pos="8640"/>
              </w:tabs>
              <w:spacing w:after="200"/>
              <w:jc w:val="right"/>
              <w:rPr>
                <w:rFonts w:ascii="Arial" w:hAnsi="Arial" w:cs="Arial"/>
                <w:b/>
                <w:sz w:val="18"/>
                <w:szCs w:val="18"/>
                <w:lang w:val="en-IE"/>
              </w:rPr>
            </w:pPr>
          </w:p>
        </w:tc>
        <w:tc>
          <w:tcPr>
            <w:tcW w:w="1418" w:type="dxa"/>
            <w:shd w:val="clear" w:color="auto" w:fill="auto"/>
          </w:tcPr>
          <w:p w:rsidR="00E815DE" w:rsidRPr="005B1DE1" w:rsidRDefault="00E815DE" w:rsidP="00E815DE">
            <w:pPr>
              <w:tabs>
                <w:tab w:val="left" w:pos="0"/>
                <w:tab w:val="right" w:pos="5760"/>
                <w:tab w:val="right" w:pos="7200"/>
                <w:tab w:val="right" w:pos="8640"/>
              </w:tabs>
              <w:jc w:val="both"/>
              <w:rPr>
                <w:rFonts w:ascii="Arial" w:hAnsi="Arial" w:cs="Arial"/>
                <w:b/>
                <w:sz w:val="18"/>
                <w:szCs w:val="18"/>
                <w:lang w:val="en-IE"/>
              </w:rPr>
            </w:pPr>
          </w:p>
        </w:tc>
        <w:tc>
          <w:tcPr>
            <w:tcW w:w="1134" w:type="dxa"/>
            <w:shd w:val="clear" w:color="auto" w:fill="auto"/>
          </w:tcPr>
          <w:p w:rsidR="00E815DE" w:rsidRPr="005B1DE1" w:rsidRDefault="00E815DE" w:rsidP="00E815DE">
            <w:pPr>
              <w:tabs>
                <w:tab w:val="left" w:pos="0"/>
                <w:tab w:val="right" w:pos="5760"/>
                <w:tab w:val="right" w:pos="7200"/>
                <w:tab w:val="right" w:pos="8640"/>
              </w:tabs>
              <w:spacing w:after="200"/>
              <w:jc w:val="both"/>
              <w:rPr>
                <w:rFonts w:ascii="Arial" w:hAnsi="Arial" w:cs="Arial"/>
                <w:b/>
                <w:sz w:val="18"/>
                <w:szCs w:val="18"/>
                <w:lang w:val="en-IE"/>
              </w:rPr>
            </w:pPr>
          </w:p>
        </w:tc>
      </w:tr>
      <w:tr w:rsidR="000252E9" w:rsidRPr="00040E7D" w:rsidTr="00027DF8">
        <w:trPr>
          <w:trHeight w:hRule="exact" w:val="284"/>
        </w:trPr>
        <w:tc>
          <w:tcPr>
            <w:tcW w:w="5387" w:type="dxa"/>
          </w:tcPr>
          <w:p w:rsidR="000252E9" w:rsidRPr="006010C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Finance income</w:t>
            </w:r>
          </w:p>
        </w:tc>
        <w:tc>
          <w:tcPr>
            <w:tcW w:w="1134"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35</w:t>
            </w:r>
          </w:p>
        </w:tc>
        <w:tc>
          <w:tcPr>
            <w:tcW w:w="1559" w:type="dxa"/>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17</w:t>
            </w:r>
          </w:p>
        </w:tc>
        <w:tc>
          <w:tcPr>
            <w:tcW w:w="1418"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52</w:t>
            </w:r>
          </w:p>
        </w:tc>
      </w:tr>
      <w:tr w:rsidR="000252E9" w:rsidRPr="00040E7D" w:rsidTr="00027DF8">
        <w:trPr>
          <w:trHeight w:hRule="exact" w:val="284"/>
        </w:trPr>
        <w:tc>
          <w:tcPr>
            <w:tcW w:w="5387" w:type="dxa"/>
          </w:tcPr>
          <w:p w:rsidR="000252E9" w:rsidRPr="006010C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 xml:space="preserve">Finance costs </w:t>
            </w:r>
          </w:p>
        </w:tc>
        <w:tc>
          <w:tcPr>
            <w:tcW w:w="1134" w:type="dxa"/>
          </w:tcPr>
          <w:p w:rsidR="000252E9" w:rsidRPr="001972EA"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1972EA">
              <w:rPr>
                <w:rFonts w:ascii="Arial" w:hAnsi="Arial" w:cs="Arial"/>
                <w:b/>
                <w:color w:val="000000"/>
                <w:spacing w:val="-5"/>
                <w:sz w:val="18"/>
                <w:szCs w:val="18"/>
              </w:rPr>
              <w:t>-</w:t>
            </w:r>
          </w:p>
        </w:tc>
        <w:tc>
          <w:tcPr>
            <w:tcW w:w="1559" w:type="dxa"/>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418" w:type="dxa"/>
            <w:shd w:val="clear" w:color="auto" w:fill="auto"/>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shd w:val="clear" w:color="auto" w:fill="auto"/>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r>
      <w:tr w:rsidR="000252E9" w:rsidRPr="00040E7D" w:rsidTr="00027DF8">
        <w:trPr>
          <w:trHeight w:hRule="exact" w:val="284"/>
        </w:trPr>
        <w:tc>
          <w:tcPr>
            <w:tcW w:w="5387" w:type="dxa"/>
          </w:tcPr>
          <w:p w:rsidR="000252E9" w:rsidRPr="006010C1" w:rsidRDefault="000252E9" w:rsidP="000252E9">
            <w:pPr>
              <w:tabs>
                <w:tab w:val="left" w:pos="0"/>
                <w:tab w:val="right" w:pos="5760"/>
                <w:tab w:val="right" w:pos="7200"/>
                <w:tab w:val="right" w:pos="8640"/>
              </w:tabs>
              <w:autoSpaceDE w:val="0"/>
              <w:autoSpaceDN w:val="0"/>
              <w:adjustRightInd w:val="0"/>
              <w:jc w:val="both"/>
              <w:rPr>
                <w:rFonts w:ascii="Arial" w:hAnsi="Arial" w:cs="Arial"/>
                <w:b/>
                <w:sz w:val="18"/>
                <w:szCs w:val="18"/>
                <w:lang w:val="en-IE"/>
              </w:rPr>
            </w:pPr>
            <w:r w:rsidRPr="006010C1">
              <w:rPr>
                <w:rFonts w:ascii="Arial" w:hAnsi="Arial" w:cs="Arial"/>
                <w:b/>
                <w:sz w:val="18"/>
                <w:szCs w:val="18"/>
                <w:lang w:val="en-IE"/>
              </w:rPr>
              <w:t>Dividend from associate</w:t>
            </w:r>
          </w:p>
        </w:tc>
        <w:tc>
          <w:tcPr>
            <w:tcW w:w="1134" w:type="dxa"/>
          </w:tcPr>
          <w:p w:rsidR="000252E9" w:rsidRPr="001972EA"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1972EA">
              <w:rPr>
                <w:rFonts w:ascii="Arial" w:hAnsi="Arial" w:cs="Arial"/>
                <w:b/>
                <w:color w:val="000000"/>
                <w:spacing w:val="-5"/>
                <w:sz w:val="18"/>
                <w:szCs w:val="18"/>
              </w:rPr>
              <w:t>-</w:t>
            </w:r>
          </w:p>
        </w:tc>
        <w:tc>
          <w:tcPr>
            <w:tcW w:w="1559" w:type="dxa"/>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418" w:type="dxa"/>
            <w:shd w:val="clear" w:color="auto" w:fill="auto"/>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4" w:type="dxa"/>
            <w:shd w:val="clear" w:color="auto" w:fill="auto"/>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r>
      <w:tr w:rsidR="000252E9" w:rsidRPr="00040E7D" w:rsidTr="00027DF8">
        <w:trPr>
          <w:trHeight w:hRule="exact" w:val="284"/>
        </w:trPr>
        <w:tc>
          <w:tcPr>
            <w:tcW w:w="5387" w:type="dxa"/>
            <w:tcBorders>
              <w:top w:val="single" w:sz="4" w:space="0" w:color="auto"/>
            </w:tcBorders>
          </w:tcPr>
          <w:p w:rsidR="000252E9" w:rsidRPr="006010C1" w:rsidRDefault="00C43661"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Pr>
                <w:rFonts w:ascii="Arial" w:hAnsi="Arial" w:cs="Arial"/>
                <w:b/>
                <w:sz w:val="18"/>
                <w:szCs w:val="18"/>
                <w:lang w:val="en-IE"/>
              </w:rPr>
              <w:t>(Loss)/p</w:t>
            </w:r>
            <w:r w:rsidR="000252E9" w:rsidRPr="006010C1">
              <w:rPr>
                <w:rFonts w:ascii="Arial" w:hAnsi="Arial" w:cs="Arial"/>
                <w:b/>
                <w:sz w:val="18"/>
                <w:szCs w:val="18"/>
                <w:lang w:val="en-IE"/>
              </w:rPr>
              <w:t>rofit before income tax</w:t>
            </w:r>
          </w:p>
        </w:tc>
        <w:tc>
          <w:tcPr>
            <w:tcW w:w="1134" w:type="dxa"/>
            <w:tcBorders>
              <w:top w:val="single" w:sz="4" w:space="0" w:color="auto"/>
            </w:tcBorders>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(2,285)</w:t>
            </w:r>
          </w:p>
        </w:tc>
        <w:tc>
          <w:tcPr>
            <w:tcW w:w="1559" w:type="dxa"/>
            <w:tcBorders>
              <w:top w:val="single" w:sz="4" w:space="0" w:color="auto"/>
            </w:tcBorders>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7,191</w:t>
            </w:r>
          </w:p>
        </w:tc>
        <w:tc>
          <w:tcPr>
            <w:tcW w:w="1418" w:type="dxa"/>
            <w:tcBorders>
              <w:top w:val="single" w:sz="4" w:space="0" w:color="auto"/>
            </w:tcBorders>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(5,287)</w:t>
            </w:r>
          </w:p>
        </w:tc>
        <w:tc>
          <w:tcPr>
            <w:tcW w:w="1134" w:type="dxa"/>
            <w:tcBorders>
              <w:top w:val="single" w:sz="4" w:space="0" w:color="auto"/>
            </w:tcBorders>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(381)</w:t>
            </w:r>
          </w:p>
        </w:tc>
      </w:tr>
      <w:tr w:rsidR="000252E9" w:rsidRPr="00040E7D" w:rsidTr="00027DF8">
        <w:trPr>
          <w:trHeight w:hRule="exact" w:val="284"/>
        </w:trPr>
        <w:tc>
          <w:tcPr>
            <w:tcW w:w="5387" w:type="dxa"/>
            <w:tcBorders>
              <w:bottom w:val="single" w:sz="6" w:space="0" w:color="000000" w:themeColor="text1"/>
            </w:tcBorders>
          </w:tcPr>
          <w:p w:rsidR="000252E9" w:rsidRPr="006010C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 xml:space="preserve">Income tax </w:t>
            </w:r>
            <w:r w:rsidR="00481FE8">
              <w:rPr>
                <w:rFonts w:ascii="Arial" w:hAnsi="Arial" w:cs="Arial"/>
                <w:b/>
                <w:sz w:val="18"/>
                <w:szCs w:val="18"/>
                <w:lang w:val="en-IE"/>
              </w:rPr>
              <w:t>credit</w:t>
            </w:r>
          </w:p>
        </w:tc>
        <w:tc>
          <w:tcPr>
            <w:tcW w:w="1134" w:type="dxa"/>
            <w:tcBorders>
              <w:bottom w:val="single" w:sz="6" w:space="0" w:color="000000" w:themeColor="text1"/>
            </w:tcBorders>
          </w:tcPr>
          <w:p w:rsidR="000252E9" w:rsidRPr="001972EA"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559" w:type="dxa"/>
            <w:tcBorders>
              <w:bottom w:val="single" w:sz="6" w:space="0" w:color="000000" w:themeColor="text1"/>
            </w:tcBorders>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418" w:type="dxa"/>
            <w:tcBorders>
              <w:bottom w:val="single" w:sz="6" w:space="0" w:color="000000" w:themeColor="text1"/>
            </w:tcBorders>
            <w:shd w:val="clear" w:color="auto" w:fill="auto"/>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134" w:type="dxa"/>
            <w:tcBorders>
              <w:bottom w:val="single" w:sz="6" w:space="0" w:color="000000" w:themeColor="text1"/>
            </w:tcBorders>
            <w:shd w:val="clear" w:color="auto" w:fill="auto"/>
            <w:vAlign w:val="bottom"/>
          </w:tcPr>
          <w:p w:rsidR="000252E9" w:rsidRPr="005B1DE1" w:rsidRDefault="000252E9" w:rsidP="000252E9">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43</w:t>
            </w:r>
          </w:p>
        </w:tc>
      </w:tr>
      <w:tr w:rsidR="000252E9" w:rsidRPr="00040E7D" w:rsidTr="00027DF8">
        <w:trPr>
          <w:trHeight w:hRule="exact" w:val="284"/>
        </w:trPr>
        <w:tc>
          <w:tcPr>
            <w:tcW w:w="5387" w:type="dxa"/>
            <w:tcBorders>
              <w:top w:val="single" w:sz="4" w:space="0" w:color="000000" w:themeColor="text1"/>
              <w:bottom w:val="single" w:sz="12" w:space="0" w:color="000000" w:themeColor="text1"/>
            </w:tcBorders>
          </w:tcPr>
          <w:p w:rsidR="000252E9" w:rsidRPr="006010C1" w:rsidRDefault="00C43661" w:rsidP="000252E9">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Pr>
                <w:rFonts w:ascii="Arial" w:hAnsi="Arial" w:cs="Arial"/>
                <w:b/>
                <w:sz w:val="18"/>
                <w:szCs w:val="18"/>
                <w:lang w:val="en-IE"/>
              </w:rPr>
              <w:t xml:space="preserve">Loss </w:t>
            </w:r>
            <w:r w:rsidR="000252E9" w:rsidRPr="006010C1">
              <w:rPr>
                <w:rFonts w:ascii="Arial" w:hAnsi="Arial" w:cs="Arial"/>
                <w:b/>
                <w:sz w:val="18"/>
                <w:szCs w:val="18"/>
                <w:lang w:val="en-IE"/>
              </w:rPr>
              <w:t>for the year from operations</w:t>
            </w:r>
          </w:p>
        </w:tc>
        <w:tc>
          <w:tcPr>
            <w:tcW w:w="1134" w:type="dxa"/>
            <w:tcBorders>
              <w:top w:val="single" w:sz="4" w:space="0" w:color="000000" w:themeColor="text1"/>
              <w:bottom w:val="single" w:sz="12" w:space="0" w:color="000000" w:themeColor="text1"/>
            </w:tcBorders>
          </w:tcPr>
          <w:p w:rsidR="000252E9" w:rsidRPr="001972EA" w:rsidRDefault="000252E9" w:rsidP="000252E9">
            <w:pPr>
              <w:tabs>
                <w:tab w:val="left" w:pos="0"/>
                <w:tab w:val="right" w:pos="5760"/>
                <w:tab w:val="right" w:pos="7200"/>
                <w:tab w:val="right" w:pos="8640"/>
              </w:tabs>
              <w:spacing w:after="200"/>
              <w:jc w:val="right"/>
              <w:rPr>
                <w:rFonts w:ascii="Arial" w:hAnsi="Arial" w:cs="Arial"/>
                <w:b/>
                <w:sz w:val="18"/>
                <w:szCs w:val="18"/>
                <w:lang w:val="en-IE"/>
              </w:rPr>
            </w:pPr>
          </w:p>
        </w:tc>
        <w:tc>
          <w:tcPr>
            <w:tcW w:w="1559" w:type="dxa"/>
            <w:tcBorders>
              <w:top w:val="single" w:sz="4" w:space="0" w:color="000000" w:themeColor="text1"/>
              <w:bottom w:val="single" w:sz="12" w:space="0" w:color="000000" w:themeColor="text1"/>
            </w:tcBorders>
          </w:tcPr>
          <w:p w:rsidR="000252E9" w:rsidRPr="005B1DE1" w:rsidRDefault="000252E9" w:rsidP="000252E9">
            <w:pPr>
              <w:tabs>
                <w:tab w:val="left" w:pos="0"/>
                <w:tab w:val="right" w:pos="5760"/>
                <w:tab w:val="right" w:pos="7200"/>
                <w:tab w:val="right" w:pos="8640"/>
              </w:tabs>
              <w:spacing w:after="200"/>
              <w:jc w:val="right"/>
              <w:rPr>
                <w:rFonts w:ascii="Arial" w:hAnsi="Arial" w:cs="Arial"/>
                <w:b/>
                <w:sz w:val="18"/>
                <w:szCs w:val="18"/>
                <w:lang w:val="en-IE"/>
              </w:rPr>
            </w:pPr>
          </w:p>
        </w:tc>
        <w:tc>
          <w:tcPr>
            <w:tcW w:w="1418" w:type="dxa"/>
            <w:tcBorders>
              <w:top w:val="single" w:sz="4" w:space="0" w:color="000000" w:themeColor="text1"/>
              <w:bottom w:val="single" w:sz="12" w:space="0" w:color="000000" w:themeColor="text1"/>
            </w:tcBorders>
            <w:shd w:val="clear" w:color="auto" w:fill="auto"/>
          </w:tcPr>
          <w:p w:rsidR="000252E9" w:rsidRPr="005B1DE1" w:rsidRDefault="000252E9" w:rsidP="000252E9">
            <w:pPr>
              <w:tabs>
                <w:tab w:val="left" w:pos="0"/>
                <w:tab w:val="right" w:pos="5760"/>
                <w:tab w:val="right" w:pos="7200"/>
                <w:tab w:val="right" w:pos="8640"/>
              </w:tabs>
              <w:autoSpaceDE w:val="0"/>
              <w:autoSpaceDN w:val="0"/>
              <w:adjustRightInd w:val="0"/>
              <w:jc w:val="right"/>
              <w:rPr>
                <w:rFonts w:ascii="Arial" w:hAnsi="Arial" w:cs="Arial"/>
                <w:b/>
                <w:sz w:val="18"/>
                <w:szCs w:val="18"/>
                <w:lang w:val="en-IE"/>
              </w:rPr>
            </w:pPr>
          </w:p>
        </w:tc>
        <w:tc>
          <w:tcPr>
            <w:tcW w:w="1134" w:type="dxa"/>
            <w:tcBorders>
              <w:top w:val="single" w:sz="4" w:space="0" w:color="000000" w:themeColor="text1"/>
              <w:bottom w:val="single" w:sz="12" w:space="0" w:color="000000" w:themeColor="text1"/>
            </w:tcBorders>
            <w:shd w:val="clear" w:color="auto" w:fill="auto"/>
            <w:vAlign w:val="bottom"/>
          </w:tcPr>
          <w:p w:rsidR="000252E9" w:rsidRPr="005B1DE1" w:rsidRDefault="000252E9" w:rsidP="000252E9">
            <w:pPr>
              <w:tabs>
                <w:tab w:val="left" w:pos="0"/>
                <w:tab w:val="right" w:pos="5760"/>
                <w:tab w:val="right" w:pos="7200"/>
                <w:tab w:val="right" w:pos="8640"/>
              </w:tabs>
              <w:autoSpaceDE w:val="0"/>
              <w:autoSpaceDN w:val="0"/>
              <w:adjustRightInd w:val="0"/>
              <w:spacing w:after="200"/>
              <w:jc w:val="right"/>
              <w:rPr>
                <w:rFonts w:ascii="Arial" w:hAnsi="Arial" w:cs="Arial"/>
                <w:b/>
                <w:sz w:val="18"/>
                <w:szCs w:val="18"/>
                <w:lang w:val="en-IE"/>
              </w:rPr>
            </w:pPr>
            <w:r w:rsidRPr="005B1DE1">
              <w:rPr>
                <w:rFonts w:ascii="Arial" w:hAnsi="Arial" w:cs="Arial"/>
                <w:b/>
                <w:color w:val="000000"/>
                <w:spacing w:val="-5"/>
                <w:sz w:val="18"/>
                <w:szCs w:val="18"/>
              </w:rPr>
              <w:t>(338)</w:t>
            </w:r>
          </w:p>
        </w:tc>
      </w:tr>
    </w:tbl>
    <w:p w:rsidR="00DB3027" w:rsidRDefault="00DB3027" w:rsidP="00C721AD">
      <w:pPr>
        <w:tabs>
          <w:tab w:val="right" w:pos="4536"/>
          <w:tab w:val="right" w:pos="6237"/>
          <w:tab w:val="right" w:pos="6804"/>
          <w:tab w:val="right" w:pos="7938"/>
          <w:tab w:val="right" w:pos="9356"/>
          <w:tab w:val="right" w:pos="10206"/>
        </w:tabs>
        <w:spacing w:after="0" w:line="240" w:lineRule="auto"/>
        <w:rPr>
          <w:rFonts w:ascii="Arial" w:hAnsi="Arial" w:cs="Arial"/>
          <w:sz w:val="18"/>
          <w:szCs w:val="18"/>
          <w:lang w:val="en-IE"/>
        </w:rPr>
      </w:pPr>
    </w:p>
    <w:p w:rsidR="00DB3027" w:rsidRDefault="00DB3027" w:rsidP="00C721AD">
      <w:pPr>
        <w:tabs>
          <w:tab w:val="right" w:pos="4536"/>
          <w:tab w:val="right" w:pos="6237"/>
          <w:tab w:val="right" w:pos="6804"/>
          <w:tab w:val="right" w:pos="7938"/>
          <w:tab w:val="right" w:pos="9356"/>
          <w:tab w:val="right" w:pos="10206"/>
        </w:tabs>
        <w:spacing w:after="0" w:line="240" w:lineRule="auto"/>
        <w:rPr>
          <w:rFonts w:ascii="Arial" w:hAnsi="Arial" w:cs="Arial"/>
          <w:sz w:val="18"/>
          <w:szCs w:val="18"/>
          <w:lang w:val="en-IE"/>
        </w:rPr>
      </w:pPr>
    </w:p>
    <w:p w:rsidR="00DB3027" w:rsidRDefault="00DB3027" w:rsidP="00C721AD">
      <w:pPr>
        <w:tabs>
          <w:tab w:val="right" w:pos="4536"/>
          <w:tab w:val="right" w:pos="6237"/>
          <w:tab w:val="right" w:pos="6804"/>
          <w:tab w:val="right" w:pos="7938"/>
          <w:tab w:val="right" w:pos="9356"/>
          <w:tab w:val="right" w:pos="10206"/>
        </w:tabs>
        <w:spacing w:after="0" w:line="240" w:lineRule="auto"/>
        <w:rPr>
          <w:rFonts w:ascii="Arial" w:hAnsi="Arial" w:cs="Arial"/>
          <w:sz w:val="18"/>
          <w:szCs w:val="18"/>
          <w:lang w:val="en-IE"/>
        </w:rPr>
      </w:pPr>
    </w:p>
    <w:p w:rsidR="00ED6B92" w:rsidRPr="006010C1" w:rsidRDefault="00E00494" w:rsidP="00C721AD">
      <w:pPr>
        <w:tabs>
          <w:tab w:val="right" w:pos="4536"/>
          <w:tab w:val="right" w:pos="6237"/>
          <w:tab w:val="right" w:pos="6804"/>
          <w:tab w:val="right" w:pos="7938"/>
          <w:tab w:val="right" w:pos="9356"/>
          <w:tab w:val="right" w:pos="10206"/>
        </w:tabs>
        <w:spacing w:after="0" w:line="240" w:lineRule="auto"/>
        <w:rPr>
          <w:rFonts w:ascii="Arial" w:hAnsi="Arial" w:cs="Arial"/>
          <w:sz w:val="18"/>
          <w:szCs w:val="18"/>
          <w:lang w:val="en-IE"/>
        </w:rPr>
      </w:pPr>
      <w:r w:rsidRPr="006010C1">
        <w:rPr>
          <w:rFonts w:ascii="Arial" w:hAnsi="Arial" w:cs="Arial"/>
          <w:sz w:val="18"/>
          <w:szCs w:val="18"/>
          <w:lang w:val="en-IE"/>
        </w:rPr>
        <w:t xml:space="preserve">The </w:t>
      </w:r>
      <w:r w:rsidR="005E11D6" w:rsidRPr="006010C1">
        <w:rPr>
          <w:rFonts w:ascii="Arial" w:hAnsi="Arial" w:cs="Arial"/>
          <w:sz w:val="18"/>
          <w:szCs w:val="18"/>
          <w:lang w:val="en-IE"/>
        </w:rPr>
        <w:t>201</w:t>
      </w:r>
      <w:r w:rsidR="000252E9">
        <w:rPr>
          <w:rFonts w:ascii="Arial" w:hAnsi="Arial" w:cs="Arial"/>
          <w:sz w:val="18"/>
          <w:szCs w:val="18"/>
          <w:lang w:val="en-IE"/>
        </w:rPr>
        <w:t>6</w:t>
      </w:r>
      <w:r w:rsidR="00DF6141" w:rsidRPr="006010C1">
        <w:rPr>
          <w:rFonts w:ascii="Arial" w:hAnsi="Arial" w:cs="Arial"/>
          <w:sz w:val="18"/>
          <w:szCs w:val="18"/>
          <w:lang w:val="en-IE"/>
        </w:rPr>
        <w:t xml:space="preserve"> </w:t>
      </w:r>
      <w:r w:rsidRPr="006010C1">
        <w:rPr>
          <w:rFonts w:ascii="Arial" w:hAnsi="Arial" w:cs="Arial"/>
          <w:sz w:val="18"/>
          <w:szCs w:val="18"/>
          <w:lang w:val="en-IE"/>
        </w:rPr>
        <w:t>comparatives</w:t>
      </w:r>
      <w:r w:rsidR="00723C0B" w:rsidRPr="006010C1">
        <w:rPr>
          <w:rFonts w:ascii="Arial" w:hAnsi="Arial" w:cs="Arial"/>
          <w:sz w:val="18"/>
          <w:szCs w:val="18"/>
          <w:lang w:val="en-IE"/>
        </w:rPr>
        <w:t xml:space="preserve">, </w:t>
      </w:r>
      <w:r w:rsidR="00074A60" w:rsidRPr="006010C1">
        <w:rPr>
          <w:rFonts w:ascii="Arial" w:hAnsi="Arial" w:cs="Arial"/>
          <w:sz w:val="18"/>
          <w:szCs w:val="18"/>
          <w:lang w:val="en-IE"/>
        </w:rPr>
        <w:t>excluding discontinued operations</w:t>
      </w:r>
      <w:r w:rsidR="00723C0B" w:rsidRPr="006010C1">
        <w:rPr>
          <w:rFonts w:ascii="Arial" w:hAnsi="Arial" w:cs="Arial"/>
          <w:sz w:val="18"/>
          <w:szCs w:val="18"/>
          <w:lang w:val="en-IE"/>
        </w:rPr>
        <w:t>,</w:t>
      </w:r>
      <w:r w:rsidRPr="006010C1">
        <w:rPr>
          <w:rFonts w:ascii="Arial" w:hAnsi="Arial" w:cs="Arial"/>
          <w:sz w:val="18"/>
          <w:szCs w:val="18"/>
          <w:lang w:val="en-IE"/>
        </w:rPr>
        <w:t xml:space="preserve"> are as follows:</w:t>
      </w:r>
    </w:p>
    <w:p w:rsidR="00F30400" w:rsidRPr="006C3343" w:rsidRDefault="00F30400" w:rsidP="00C721AD">
      <w:pPr>
        <w:tabs>
          <w:tab w:val="right" w:pos="4536"/>
          <w:tab w:val="right" w:pos="6237"/>
          <w:tab w:val="right" w:pos="6804"/>
          <w:tab w:val="right" w:pos="7938"/>
          <w:tab w:val="right" w:pos="9356"/>
          <w:tab w:val="right" w:pos="10206"/>
        </w:tabs>
        <w:spacing w:after="0" w:line="240" w:lineRule="auto"/>
        <w:rPr>
          <w:rFonts w:ascii="Arial" w:hAnsi="Arial" w:cs="Arial"/>
          <w:sz w:val="20"/>
          <w:szCs w:val="20"/>
          <w:lang w:val="en-IE"/>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993"/>
        <w:gridCol w:w="1417"/>
        <w:gridCol w:w="1418"/>
        <w:gridCol w:w="1134"/>
      </w:tblGrid>
      <w:tr w:rsidR="00A43997" w:rsidRPr="00040E7D" w:rsidTr="005F086E">
        <w:trPr>
          <w:trHeight w:hRule="exact" w:val="284"/>
        </w:trPr>
        <w:tc>
          <w:tcPr>
            <w:tcW w:w="5670" w:type="dxa"/>
          </w:tcPr>
          <w:p w:rsidR="00A43997" w:rsidRPr="006010C1" w:rsidRDefault="00A43997" w:rsidP="00C721AD">
            <w:pPr>
              <w:tabs>
                <w:tab w:val="left" w:pos="0"/>
                <w:tab w:val="right" w:pos="5760"/>
                <w:tab w:val="right" w:pos="7200"/>
                <w:tab w:val="right" w:pos="8640"/>
              </w:tabs>
              <w:jc w:val="both"/>
              <w:rPr>
                <w:rFonts w:ascii="Arial" w:hAnsi="Arial" w:cs="Arial"/>
                <w:sz w:val="18"/>
                <w:szCs w:val="18"/>
                <w:lang w:val="en-IE"/>
              </w:rPr>
            </w:pPr>
          </w:p>
        </w:tc>
        <w:tc>
          <w:tcPr>
            <w:tcW w:w="993" w:type="dxa"/>
          </w:tcPr>
          <w:p w:rsidR="00A43997" w:rsidRPr="006010C1" w:rsidRDefault="00A43997" w:rsidP="00C721AD">
            <w:pPr>
              <w:tabs>
                <w:tab w:val="left" w:pos="0"/>
                <w:tab w:val="right" w:pos="5760"/>
                <w:tab w:val="right" w:pos="7200"/>
                <w:tab w:val="right" w:pos="8640"/>
              </w:tabs>
              <w:jc w:val="right"/>
              <w:rPr>
                <w:rFonts w:ascii="Arial" w:hAnsi="Arial" w:cs="Arial"/>
                <w:color w:val="1F497D" w:themeColor="text2"/>
                <w:sz w:val="18"/>
                <w:szCs w:val="18"/>
                <w:lang w:val="en-IE"/>
              </w:rPr>
            </w:pPr>
          </w:p>
        </w:tc>
        <w:tc>
          <w:tcPr>
            <w:tcW w:w="1417" w:type="dxa"/>
          </w:tcPr>
          <w:p w:rsidR="00A43997" w:rsidRPr="006010C1" w:rsidRDefault="00A43997" w:rsidP="00B72997">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Independent</w:t>
            </w:r>
          </w:p>
        </w:tc>
        <w:tc>
          <w:tcPr>
            <w:tcW w:w="1418" w:type="dxa"/>
            <w:shd w:val="clear" w:color="auto" w:fill="auto"/>
          </w:tcPr>
          <w:p w:rsidR="00A43997" w:rsidRPr="006010C1" w:rsidRDefault="00A43997" w:rsidP="00B72997">
            <w:pPr>
              <w:tabs>
                <w:tab w:val="left" w:pos="0"/>
                <w:tab w:val="right" w:pos="5760"/>
                <w:tab w:val="right" w:pos="7200"/>
                <w:tab w:val="right" w:pos="8640"/>
              </w:tabs>
              <w:jc w:val="right"/>
              <w:rPr>
                <w:rFonts w:ascii="Arial" w:hAnsi="Arial" w:cs="Arial"/>
                <w:color w:val="1F497D" w:themeColor="text2"/>
                <w:sz w:val="18"/>
                <w:szCs w:val="18"/>
                <w:lang w:val="en-IE"/>
              </w:rPr>
            </w:pPr>
          </w:p>
        </w:tc>
        <w:tc>
          <w:tcPr>
            <w:tcW w:w="1134" w:type="dxa"/>
            <w:shd w:val="clear" w:color="auto" w:fill="auto"/>
          </w:tcPr>
          <w:p w:rsidR="00A43997" w:rsidRPr="006010C1" w:rsidRDefault="00A43997" w:rsidP="00C721AD">
            <w:pPr>
              <w:tabs>
                <w:tab w:val="left" w:pos="0"/>
                <w:tab w:val="right" w:pos="5760"/>
                <w:tab w:val="right" w:pos="7200"/>
                <w:tab w:val="right" w:pos="8640"/>
              </w:tabs>
              <w:jc w:val="right"/>
              <w:rPr>
                <w:rFonts w:ascii="Arial" w:hAnsi="Arial" w:cs="Arial"/>
                <w:color w:val="1F497D" w:themeColor="text2"/>
                <w:sz w:val="18"/>
                <w:szCs w:val="18"/>
                <w:lang w:val="en-IE"/>
              </w:rPr>
            </w:pPr>
          </w:p>
        </w:tc>
      </w:tr>
      <w:tr w:rsidR="00B72997" w:rsidRPr="00040E7D" w:rsidTr="005F086E">
        <w:trPr>
          <w:trHeight w:hRule="exact" w:val="284"/>
        </w:trPr>
        <w:tc>
          <w:tcPr>
            <w:tcW w:w="5670" w:type="dxa"/>
          </w:tcPr>
          <w:p w:rsidR="00B72997" w:rsidRPr="006010C1" w:rsidRDefault="00B72997" w:rsidP="00B72997">
            <w:pPr>
              <w:tabs>
                <w:tab w:val="left" w:pos="0"/>
                <w:tab w:val="right" w:pos="5760"/>
                <w:tab w:val="right" w:pos="7200"/>
                <w:tab w:val="right" w:pos="8640"/>
              </w:tabs>
              <w:jc w:val="both"/>
              <w:rPr>
                <w:rFonts w:ascii="Arial" w:hAnsi="Arial" w:cs="Arial"/>
                <w:sz w:val="18"/>
                <w:szCs w:val="18"/>
                <w:lang w:val="en-IE"/>
              </w:rPr>
            </w:pPr>
          </w:p>
        </w:tc>
        <w:tc>
          <w:tcPr>
            <w:tcW w:w="993" w:type="dxa"/>
          </w:tcPr>
          <w:p w:rsidR="00B72997" w:rsidRPr="006010C1" w:rsidRDefault="00B72997" w:rsidP="00B72997">
            <w:pPr>
              <w:tabs>
                <w:tab w:val="left" w:pos="0"/>
                <w:tab w:val="right" w:pos="5760"/>
                <w:tab w:val="right" w:pos="7200"/>
                <w:tab w:val="right" w:pos="8640"/>
              </w:tabs>
              <w:jc w:val="right"/>
              <w:rPr>
                <w:rFonts w:ascii="Arial" w:hAnsi="Arial" w:cs="Arial"/>
                <w:color w:val="1F497D" w:themeColor="text2"/>
                <w:sz w:val="18"/>
                <w:szCs w:val="18"/>
                <w:lang w:val="en-IE"/>
              </w:rPr>
            </w:pPr>
          </w:p>
        </w:tc>
        <w:tc>
          <w:tcPr>
            <w:tcW w:w="1417" w:type="dxa"/>
          </w:tcPr>
          <w:p w:rsidR="00B72997" w:rsidRPr="006010C1" w:rsidRDefault="00B72997" w:rsidP="00B72997">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wealth</w:t>
            </w:r>
          </w:p>
        </w:tc>
        <w:tc>
          <w:tcPr>
            <w:tcW w:w="1418" w:type="dxa"/>
            <w:shd w:val="clear" w:color="auto" w:fill="auto"/>
          </w:tcPr>
          <w:p w:rsidR="00B72997" w:rsidRPr="006010C1" w:rsidRDefault="00B72997" w:rsidP="00B72997">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 xml:space="preserve">Group / </w:t>
            </w:r>
          </w:p>
        </w:tc>
        <w:tc>
          <w:tcPr>
            <w:tcW w:w="1134" w:type="dxa"/>
            <w:shd w:val="clear" w:color="auto" w:fill="auto"/>
          </w:tcPr>
          <w:p w:rsidR="00B72997" w:rsidRPr="006010C1" w:rsidRDefault="00B72997" w:rsidP="00B72997">
            <w:pPr>
              <w:tabs>
                <w:tab w:val="left" w:pos="0"/>
                <w:tab w:val="right" w:pos="5760"/>
                <w:tab w:val="right" w:pos="7200"/>
                <w:tab w:val="right" w:pos="8640"/>
              </w:tabs>
              <w:jc w:val="right"/>
              <w:rPr>
                <w:rFonts w:ascii="Arial" w:hAnsi="Arial" w:cs="Arial"/>
                <w:color w:val="1F497D" w:themeColor="text2"/>
                <w:sz w:val="18"/>
                <w:szCs w:val="18"/>
                <w:lang w:val="en-IE"/>
              </w:rPr>
            </w:pPr>
          </w:p>
        </w:tc>
      </w:tr>
      <w:tr w:rsidR="00B72997" w:rsidRPr="00040E7D" w:rsidTr="005F086E">
        <w:trPr>
          <w:trHeight w:hRule="exact" w:val="284"/>
        </w:trPr>
        <w:tc>
          <w:tcPr>
            <w:tcW w:w="5670" w:type="dxa"/>
          </w:tcPr>
          <w:p w:rsidR="00B72997" w:rsidRPr="006010C1" w:rsidRDefault="00B72997" w:rsidP="00B72997">
            <w:pPr>
              <w:tabs>
                <w:tab w:val="left" w:pos="0"/>
                <w:tab w:val="right" w:pos="5760"/>
                <w:tab w:val="right" w:pos="7200"/>
                <w:tab w:val="right" w:pos="8640"/>
              </w:tabs>
              <w:spacing w:after="200"/>
              <w:jc w:val="both"/>
              <w:rPr>
                <w:rFonts w:ascii="Arial" w:hAnsi="Arial" w:cs="Arial"/>
                <w:sz w:val="18"/>
                <w:szCs w:val="18"/>
                <w:lang w:val="en-IE"/>
              </w:rPr>
            </w:pPr>
          </w:p>
        </w:tc>
        <w:tc>
          <w:tcPr>
            <w:tcW w:w="993" w:type="dxa"/>
          </w:tcPr>
          <w:p w:rsidR="00B72997" w:rsidRPr="006010C1" w:rsidRDefault="00B72997" w:rsidP="00B72997">
            <w:pPr>
              <w:tabs>
                <w:tab w:val="left" w:pos="0"/>
                <w:tab w:val="right" w:pos="5760"/>
                <w:tab w:val="right" w:pos="7200"/>
                <w:tab w:val="right" w:pos="8640"/>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 xml:space="preserve">Platform </w:t>
            </w:r>
          </w:p>
        </w:tc>
        <w:tc>
          <w:tcPr>
            <w:tcW w:w="1417" w:type="dxa"/>
          </w:tcPr>
          <w:p w:rsidR="00B72997" w:rsidRPr="006010C1" w:rsidRDefault="00B72997" w:rsidP="00B72997">
            <w:pPr>
              <w:tabs>
                <w:tab w:val="left" w:pos="0"/>
                <w:tab w:val="right" w:pos="5760"/>
                <w:tab w:val="right" w:pos="7200"/>
                <w:tab w:val="right" w:pos="8640"/>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management</w:t>
            </w:r>
          </w:p>
        </w:tc>
        <w:tc>
          <w:tcPr>
            <w:tcW w:w="1418" w:type="dxa"/>
            <w:shd w:val="clear" w:color="auto" w:fill="auto"/>
          </w:tcPr>
          <w:p w:rsidR="00B72997" w:rsidRPr="006010C1" w:rsidRDefault="00B72997" w:rsidP="00B72997">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other</w:t>
            </w:r>
          </w:p>
        </w:tc>
        <w:tc>
          <w:tcPr>
            <w:tcW w:w="1134" w:type="dxa"/>
            <w:shd w:val="clear" w:color="auto" w:fill="auto"/>
          </w:tcPr>
          <w:p w:rsidR="00B72997" w:rsidRPr="006010C1" w:rsidRDefault="00B72997" w:rsidP="006558DC">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Total</w:t>
            </w:r>
          </w:p>
        </w:tc>
      </w:tr>
      <w:tr w:rsidR="00B72997" w:rsidRPr="00040E7D" w:rsidTr="005F086E">
        <w:trPr>
          <w:trHeight w:hRule="exact" w:val="284"/>
        </w:trPr>
        <w:tc>
          <w:tcPr>
            <w:tcW w:w="5670" w:type="dxa"/>
          </w:tcPr>
          <w:p w:rsidR="00B72997" w:rsidRPr="006010C1" w:rsidRDefault="00B72997" w:rsidP="00B72997">
            <w:pPr>
              <w:tabs>
                <w:tab w:val="left" w:pos="0"/>
                <w:tab w:val="right" w:pos="5760"/>
                <w:tab w:val="right" w:pos="7200"/>
                <w:tab w:val="right" w:pos="8640"/>
              </w:tabs>
              <w:spacing w:after="200"/>
              <w:jc w:val="both"/>
              <w:rPr>
                <w:rFonts w:ascii="Arial" w:hAnsi="Arial" w:cs="Arial"/>
                <w:sz w:val="18"/>
                <w:szCs w:val="18"/>
                <w:lang w:val="en-IE"/>
              </w:rPr>
            </w:pPr>
          </w:p>
        </w:tc>
        <w:tc>
          <w:tcPr>
            <w:tcW w:w="993" w:type="dxa"/>
          </w:tcPr>
          <w:p w:rsidR="00B72997" w:rsidRPr="006010C1" w:rsidRDefault="00B72997" w:rsidP="00B72997">
            <w:pPr>
              <w:tabs>
                <w:tab w:val="left" w:pos="0"/>
                <w:tab w:val="right" w:pos="5760"/>
                <w:tab w:val="right" w:pos="7200"/>
                <w:tab w:val="right" w:pos="8640"/>
              </w:tabs>
              <w:autoSpaceDE w:val="0"/>
              <w:autoSpaceDN w:val="0"/>
              <w:adjustRightInd w:val="0"/>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c>
          <w:tcPr>
            <w:tcW w:w="1417" w:type="dxa"/>
          </w:tcPr>
          <w:p w:rsidR="00B72997" w:rsidRPr="006010C1" w:rsidRDefault="00B72997" w:rsidP="00B72997">
            <w:pPr>
              <w:tabs>
                <w:tab w:val="left" w:pos="0"/>
                <w:tab w:val="right" w:pos="5760"/>
                <w:tab w:val="right" w:pos="7200"/>
                <w:tab w:val="right" w:pos="8640"/>
              </w:tabs>
              <w:autoSpaceDE w:val="0"/>
              <w:autoSpaceDN w:val="0"/>
              <w:adjustRightInd w:val="0"/>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c>
          <w:tcPr>
            <w:tcW w:w="1418" w:type="dxa"/>
            <w:shd w:val="clear" w:color="auto" w:fill="auto"/>
          </w:tcPr>
          <w:p w:rsidR="00B72997" w:rsidRPr="006010C1" w:rsidRDefault="00B72997" w:rsidP="00B72997">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c>
          <w:tcPr>
            <w:tcW w:w="1134" w:type="dxa"/>
            <w:shd w:val="clear" w:color="auto" w:fill="auto"/>
          </w:tcPr>
          <w:p w:rsidR="00B72997" w:rsidRPr="006010C1" w:rsidRDefault="00B72997" w:rsidP="006558DC">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B72997" w:rsidRPr="00040E7D" w:rsidTr="005F086E">
        <w:trPr>
          <w:trHeight w:hRule="exact" w:val="284"/>
        </w:trPr>
        <w:tc>
          <w:tcPr>
            <w:tcW w:w="5670" w:type="dxa"/>
          </w:tcPr>
          <w:p w:rsidR="00B72997" w:rsidRPr="006010C1" w:rsidRDefault="00B72997" w:rsidP="00B72997">
            <w:pPr>
              <w:tabs>
                <w:tab w:val="left" w:pos="0"/>
                <w:tab w:val="right" w:pos="5760"/>
                <w:tab w:val="right" w:pos="7200"/>
                <w:tab w:val="right" w:pos="8640"/>
              </w:tabs>
              <w:spacing w:after="200"/>
              <w:jc w:val="both"/>
              <w:rPr>
                <w:rFonts w:ascii="Arial" w:hAnsi="Arial" w:cs="Arial"/>
                <w:sz w:val="18"/>
                <w:szCs w:val="18"/>
                <w:lang w:val="en-IE"/>
              </w:rPr>
            </w:pPr>
          </w:p>
        </w:tc>
        <w:tc>
          <w:tcPr>
            <w:tcW w:w="993" w:type="dxa"/>
          </w:tcPr>
          <w:p w:rsidR="00B72997" w:rsidRPr="006010C1" w:rsidRDefault="00B72997" w:rsidP="00B72997">
            <w:pPr>
              <w:tabs>
                <w:tab w:val="left" w:pos="0"/>
                <w:tab w:val="right" w:pos="5760"/>
                <w:tab w:val="right" w:pos="7200"/>
                <w:tab w:val="right" w:pos="8640"/>
              </w:tabs>
              <w:spacing w:after="200"/>
              <w:jc w:val="right"/>
              <w:rPr>
                <w:rFonts w:ascii="Arial" w:hAnsi="Arial" w:cs="Arial"/>
                <w:sz w:val="18"/>
                <w:szCs w:val="18"/>
                <w:lang w:val="en-IE"/>
              </w:rPr>
            </w:pPr>
          </w:p>
        </w:tc>
        <w:tc>
          <w:tcPr>
            <w:tcW w:w="1417" w:type="dxa"/>
          </w:tcPr>
          <w:p w:rsidR="00B72997" w:rsidRPr="006010C1" w:rsidRDefault="00B72997" w:rsidP="00B72997">
            <w:pPr>
              <w:tabs>
                <w:tab w:val="left" w:pos="0"/>
                <w:tab w:val="right" w:pos="5760"/>
                <w:tab w:val="right" w:pos="7200"/>
                <w:tab w:val="right" w:pos="8640"/>
              </w:tabs>
              <w:spacing w:after="200"/>
              <w:jc w:val="right"/>
              <w:rPr>
                <w:rFonts w:ascii="Arial" w:hAnsi="Arial" w:cs="Arial"/>
                <w:sz w:val="18"/>
                <w:szCs w:val="18"/>
                <w:lang w:val="en-IE"/>
              </w:rPr>
            </w:pPr>
          </w:p>
        </w:tc>
        <w:tc>
          <w:tcPr>
            <w:tcW w:w="1418" w:type="dxa"/>
            <w:shd w:val="clear" w:color="auto" w:fill="auto"/>
          </w:tcPr>
          <w:p w:rsidR="00B72997" w:rsidRPr="006010C1" w:rsidRDefault="00B72997" w:rsidP="00B72997">
            <w:pPr>
              <w:tabs>
                <w:tab w:val="left" w:pos="0"/>
                <w:tab w:val="right" w:pos="5760"/>
                <w:tab w:val="right" w:pos="7200"/>
                <w:tab w:val="right" w:pos="8640"/>
              </w:tabs>
              <w:jc w:val="right"/>
              <w:rPr>
                <w:rFonts w:ascii="Arial" w:hAnsi="Arial" w:cs="Arial"/>
                <w:color w:val="1F497D" w:themeColor="text2"/>
                <w:sz w:val="18"/>
                <w:szCs w:val="18"/>
                <w:lang w:val="en-IE"/>
              </w:rPr>
            </w:pPr>
          </w:p>
        </w:tc>
        <w:tc>
          <w:tcPr>
            <w:tcW w:w="1134" w:type="dxa"/>
            <w:shd w:val="clear" w:color="auto" w:fill="auto"/>
          </w:tcPr>
          <w:p w:rsidR="00B72997" w:rsidRPr="006010C1" w:rsidRDefault="00B72997" w:rsidP="006558DC">
            <w:pPr>
              <w:tabs>
                <w:tab w:val="left" w:pos="0"/>
                <w:tab w:val="right" w:pos="5760"/>
                <w:tab w:val="right" w:pos="7200"/>
                <w:tab w:val="right" w:pos="8640"/>
              </w:tabs>
              <w:jc w:val="right"/>
              <w:rPr>
                <w:rFonts w:ascii="Arial" w:hAnsi="Arial" w:cs="Arial"/>
                <w:color w:val="1F497D" w:themeColor="text2"/>
                <w:sz w:val="18"/>
                <w:szCs w:val="18"/>
                <w:lang w:val="en-IE"/>
              </w:rPr>
            </w:pPr>
          </w:p>
        </w:tc>
      </w:tr>
      <w:tr w:rsidR="000252E9" w:rsidRPr="00040E7D" w:rsidTr="005F086E">
        <w:trPr>
          <w:trHeight w:hRule="exact" w:val="284"/>
        </w:trPr>
        <w:tc>
          <w:tcPr>
            <w:tcW w:w="5670" w:type="dxa"/>
            <w:tcBorders>
              <w:bottom w:val="single" w:sz="4" w:space="0" w:color="auto"/>
            </w:tcBorders>
          </w:tcPr>
          <w:p w:rsidR="000252E9" w:rsidRPr="005B1DE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5B1DE1">
              <w:rPr>
                <w:rFonts w:ascii="Arial" w:hAnsi="Arial" w:cs="Arial"/>
                <w:sz w:val="18"/>
                <w:szCs w:val="18"/>
                <w:lang w:val="en-IE"/>
              </w:rPr>
              <w:t>Revenue</w:t>
            </w:r>
          </w:p>
        </w:tc>
        <w:tc>
          <w:tcPr>
            <w:tcW w:w="993" w:type="dxa"/>
            <w:tcBorders>
              <w:bottom w:val="single" w:sz="4" w:space="0" w:color="auto"/>
            </w:tcBorders>
          </w:tcPr>
          <w:p w:rsidR="000252E9" w:rsidRPr="005B1DE1" w:rsidRDefault="000252E9" w:rsidP="000252E9">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color w:val="000000"/>
                <w:spacing w:val="-5"/>
                <w:sz w:val="18"/>
                <w:szCs w:val="18"/>
              </w:rPr>
              <w:t>47,478</w:t>
            </w:r>
          </w:p>
        </w:tc>
        <w:tc>
          <w:tcPr>
            <w:tcW w:w="1417" w:type="dxa"/>
            <w:tcBorders>
              <w:bottom w:val="single" w:sz="4" w:space="0" w:color="auto"/>
            </w:tcBorders>
          </w:tcPr>
          <w:p w:rsidR="000252E9" w:rsidRPr="005B1DE1" w:rsidRDefault="000252E9" w:rsidP="000252E9">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color w:val="000000"/>
                <w:spacing w:val="-5"/>
                <w:sz w:val="18"/>
                <w:szCs w:val="18"/>
              </w:rPr>
              <w:t>30,987</w:t>
            </w:r>
          </w:p>
        </w:tc>
        <w:tc>
          <w:tcPr>
            <w:tcW w:w="1418" w:type="dxa"/>
            <w:tcBorders>
              <w:bottom w:val="single" w:sz="4" w:space="0" w:color="auto"/>
            </w:tcBorders>
            <w:shd w:val="clear" w:color="auto" w:fill="auto"/>
          </w:tcPr>
          <w:p w:rsidR="000252E9" w:rsidRPr="005B1DE1" w:rsidRDefault="000252E9" w:rsidP="000252E9">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w:t>
            </w:r>
          </w:p>
        </w:tc>
        <w:tc>
          <w:tcPr>
            <w:tcW w:w="1134" w:type="dxa"/>
            <w:tcBorders>
              <w:bottom w:val="single" w:sz="4" w:space="0" w:color="auto"/>
            </w:tcBorders>
            <w:shd w:val="clear" w:color="auto" w:fill="auto"/>
          </w:tcPr>
          <w:p w:rsidR="000252E9" w:rsidRPr="005B1DE1" w:rsidRDefault="000252E9" w:rsidP="000252E9">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color w:val="000000"/>
                <w:spacing w:val="-5"/>
                <w:sz w:val="18"/>
                <w:szCs w:val="18"/>
              </w:rPr>
              <w:t>78,465</w:t>
            </w:r>
          </w:p>
        </w:tc>
      </w:tr>
      <w:tr w:rsidR="000252E9" w:rsidRPr="00040E7D" w:rsidTr="005F086E">
        <w:trPr>
          <w:trHeight w:hRule="exact" w:val="284"/>
        </w:trPr>
        <w:tc>
          <w:tcPr>
            <w:tcW w:w="5670" w:type="dxa"/>
            <w:tcBorders>
              <w:top w:val="single" w:sz="4" w:space="0" w:color="auto"/>
            </w:tcBorders>
          </w:tcPr>
          <w:p w:rsidR="000252E9" w:rsidRPr="001972EA" w:rsidRDefault="000252E9" w:rsidP="000252E9">
            <w:pPr>
              <w:tabs>
                <w:tab w:val="left" w:pos="0"/>
                <w:tab w:val="right" w:pos="5760"/>
                <w:tab w:val="right" w:pos="7200"/>
                <w:tab w:val="right" w:pos="8640"/>
              </w:tabs>
              <w:spacing w:after="200"/>
              <w:jc w:val="both"/>
              <w:rPr>
                <w:rFonts w:ascii="Arial" w:hAnsi="Arial" w:cs="Arial"/>
                <w:sz w:val="18"/>
                <w:szCs w:val="18"/>
                <w:lang w:val="en-IE"/>
              </w:rPr>
            </w:pPr>
          </w:p>
        </w:tc>
        <w:tc>
          <w:tcPr>
            <w:tcW w:w="993" w:type="dxa"/>
            <w:tcBorders>
              <w:top w:val="single" w:sz="4" w:space="0" w:color="auto"/>
            </w:tcBorders>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p>
        </w:tc>
        <w:tc>
          <w:tcPr>
            <w:tcW w:w="1417" w:type="dxa"/>
            <w:tcBorders>
              <w:top w:val="single" w:sz="4" w:space="0" w:color="auto"/>
            </w:tcBorders>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p>
        </w:tc>
        <w:tc>
          <w:tcPr>
            <w:tcW w:w="1418" w:type="dxa"/>
            <w:tcBorders>
              <w:top w:val="single" w:sz="4" w:space="0" w:color="auto"/>
            </w:tcBorders>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color w:val="1F497D" w:themeColor="text2"/>
                <w:sz w:val="18"/>
                <w:szCs w:val="18"/>
                <w:lang w:val="en-IE"/>
              </w:rPr>
            </w:pPr>
          </w:p>
        </w:tc>
        <w:tc>
          <w:tcPr>
            <w:tcW w:w="1134" w:type="dxa"/>
            <w:tcBorders>
              <w:top w:val="single" w:sz="4" w:space="0" w:color="auto"/>
            </w:tcBorders>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p>
        </w:tc>
      </w:tr>
      <w:tr w:rsidR="000252E9" w:rsidRPr="00040E7D" w:rsidTr="005F086E">
        <w:trPr>
          <w:trHeight w:hRule="exact" w:val="284"/>
        </w:trPr>
        <w:tc>
          <w:tcPr>
            <w:tcW w:w="5670" w:type="dxa"/>
          </w:tcPr>
          <w:p w:rsidR="000252E9" w:rsidRPr="005B1DE1" w:rsidRDefault="000252E9" w:rsidP="000252E9">
            <w:pPr>
              <w:tabs>
                <w:tab w:val="left" w:pos="0"/>
                <w:tab w:val="right" w:pos="5760"/>
                <w:tab w:val="right" w:pos="7200"/>
                <w:tab w:val="right" w:pos="8640"/>
              </w:tabs>
              <w:autoSpaceDE w:val="0"/>
              <w:autoSpaceDN w:val="0"/>
              <w:adjustRightInd w:val="0"/>
              <w:spacing w:after="200"/>
              <w:rPr>
                <w:rFonts w:ascii="Arial" w:hAnsi="Arial" w:cs="Arial"/>
                <w:sz w:val="18"/>
                <w:szCs w:val="18"/>
                <w:lang w:val="en-IE"/>
              </w:rPr>
            </w:pPr>
          </w:p>
        </w:tc>
        <w:tc>
          <w:tcPr>
            <w:tcW w:w="993" w:type="dxa"/>
          </w:tcPr>
          <w:p w:rsidR="000252E9" w:rsidRPr="005B1DE1" w:rsidRDefault="000252E9" w:rsidP="000252E9">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p>
        </w:tc>
        <w:tc>
          <w:tcPr>
            <w:tcW w:w="1417" w:type="dxa"/>
          </w:tcPr>
          <w:p w:rsidR="000252E9" w:rsidRPr="005B1DE1" w:rsidRDefault="000252E9" w:rsidP="000252E9">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p>
        </w:tc>
        <w:tc>
          <w:tcPr>
            <w:tcW w:w="1418" w:type="dxa"/>
            <w:shd w:val="clear" w:color="auto" w:fill="auto"/>
          </w:tcPr>
          <w:p w:rsidR="000252E9" w:rsidRPr="005B1DE1" w:rsidRDefault="000252E9" w:rsidP="000252E9">
            <w:pPr>
              <w:tabs>
                <w:tab w:val="left" w:pos="0"/>
                <w:tab w:val="right" w:pos="5760"/>
                <w:tab w:val="right" w:pos="7200"/>
                <w:tab w:val="right" w:pos="8640"/>
              </w:tabs>
              <w:autoSpaceDE w:val="0"/>
              <w:autoSpaceDN w:val="0"/>
              <w:adjustRightInd w:val="0"/>
              <w:spacing w:after="200"/>
              <w:jc w:val="right"/>
              <w:rPr>
                <w:rFonts w:ascii="Arial" w:hAnsi="Arial" w:cs="Arial"/>
                <w:color w:val="1F497D" w:themeColor="text2"/>
                <w:sz w:val="18"/>
                <w:szCs w:val="18"/>
                <w:lang w:val="en-IE"/>
              </w:rPr>
            </w:pPr>
          </w:p>
        </w:tc>
        <w:tc>
          <w:tcPr>
            <w:tcW w:w="1134"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p>
        </w:tc>
      </w:tr>
      <w:tr w:rsidR="000252E9" w:rsidRPr="00040E7D" w:rsidTr="005F086E">
        <w:trPr>
          <w:trHeight w:hRule="exact" w:val="284"/>
        </w:trPr>
        <w:tc>
          <w:tcPr>
            <w:tcW w:w="5670" w:type="dxa"/>
          </w:tcPr>
          <w:p w:rsidR="000252E9" w:rsidRPr="005B1DE1" w:rsidRDefault="000252E9" w:rsidP="000252E9">
            <w:pPr>
              <w:tabs>
                <w:tab w:val="left" w:pos="0"/>
                <w:tab w:val="right" w:pos="5760"/>
                <w:tab w:val="right" w:pos="7200"/>
                <w:tab w:val="right" w:pos="8640"/>
              </w:tabs>
              <w:jc w:val="both"/>
              <w:rPr>
                <w:rFonts w:ascii="Arial" w:hAnsi="Arial" w:cs="Arial"/>
                <w:sz w:val="18"/>
                <w:szCs w:val="18"/>
                <w:lang w:val="en-IE"/>
              </w:rPr>
            </w:pPr>
            <w:r w:rsidRPr="005B1DE1">
              <w:rPr>
                <w:rFonts w:ascii="Arial" w:hAnsi="Arial" w:cs="Arial"/>
                <w:sz w:val="18"/>
                <w:szCs w:val="18"/>
                <w:lang w:val="en-IE"/>
              </w:rPr>
              <w:t>Adjusted operating profit</w:t>
            </w:r>
          </w:p>
        </w:tc>
        <w:tc>
          <w:tcPr>
            <w:tcW w:w="993" w:type="dxa"/>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7,085</w:t>
            </w:r>
          </w:p>
        </w:tc>
        <w:tc>
          <w:tcPr>
            <w:tcW w:w="1417" w:type="dxa"/>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7,058</w:t>
            </w:r>
          </w:p>
        </w:tc>
        <w:tc>
          <w:tcPr>
            <w:tcW w:w="1418"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(4,176)</w:t>
            </w:r>
          </w:p>
        </w:tc>
        <w:tc>
          <w:tcPr>
            <w:tcW w:w="1134"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9,967</w:t>
            </w:r>
          </w:p>
        </w:tc>
      </w:tr>
      <w:tr w:rsidR="000252E9" w:rsidRPr="00040E7D" w:rsidTr="005707A8">
        <w:trPr>
          <w:trHeight w:hRule="exact" w:val="284"/>
        </w:trPr>
        <w:tc>
          <w:tcPr>
            <w:tcW w:w="5670" w:type="dxa"/>
          </w:tcPr>
          <w:p w:rsidR="000252E9" w:rsidRPr="005B1DE1" w:rsidRDefault="000252E9" w:rsidP="000252E9">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5B1DE1">
              <w:rPr>
                <w:rFonts w:ascii="Arial" w:hAnsi="Arial" w:cs="Arial"/>
                <w:sz w:val="18"/>
                <w:szCs w:val="18"/>
                <w:lang w:val="en-IE"/>
              </w:rPr>
              <w:t>Amortisation of acquired intangibles</w:t>
            </w:r>
          </w:p>
        </w:tc>
        <w:tc>
          <w:tcPr>
            <w:tcW w:w="993" w:type="dxa"/>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(2,014)</w:t>
            </w:r>
          </w:p>
        </w:tc>
        <w:tc>
          <w:tcPr>
            <w:tcW w:w="1417" w:type="dxa"/>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w:t>
            </w:r>
          </w:p>
        </w:tc>
        <w:tc>
          <w:tcPr>
            <w:tcW w:w="1418"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color w:val="1F497D" w:themeColor="text2"/>
                <w:sz w:val="18"/>
                <w:szCs w:val="18"/>
                <w:lang w:val="en-IE"/>
              </w:rPr>
            </w:pPr>
            <w:r w:rsidRPr="005B1DE1">
              <w:rPr>
                <w:rFonts w:ascii="Arial" w:hAnsi="Arial" w:cs="Arial"/>
                <w:color w:val="000000"/>
                <w:spacing w:val="-5"/>
                <w:sz w:val="18"/>
                <w:szCs w:val="18"/>
              </w:rPr>
              <w:t>-</w:t>
            </w:r>
          </w:p>
        </w:tc>
        <w:tc>
          <w:tcPr>
            <w:tcW w:w="1134"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(2,014)</w:t>
            </w:r>
          </w:p>
        </w:tc>
      </w:tr>
      <w:tr w:rsidR="000252E9" w:rsidRPr="00040E7D" w:rsidTr="005707A8">
        <w:trPr>
          <w:trHeight w:hRule="exact" w:val="284"/>
        </w:trPr>
        <w:tc>
          <w:tcPr>
            <w:tcW w:w="5670" w:type="dxa"/>
            <w:tcBorders>
              <w:bottom w:val="single" w:sz="4" w:space="0" w:color="auto"/>
            </w:tcBorders>
          </w:tcPr>
          <w:p w:rsidR="000252E9" w:rsidRPr="005B1DE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5B1DE1">
              <w:rPr>
                <w:rFonts w:ascii="Arial" w:hAnsi="Arial" w:cs="Arial"/>
                <w:sz w:val="18"/>
                <w:szCs w:val="18"/>
                <w:lang w:val="en-IE"/>
              </w:rPr>
              <w:t>Exceptional items</w:t>
            </w:r>
          </w:p>
        </w:tc>
        <w:tc>
          <w:tcPr>
            <w:tcW w:w="993" w:type="dxa"/>
            <w:tcBorders>
              <w:bottom w:val="single" w:sz="4" w:space="0" w:color="auto"/>
            </w:tcBorders>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w:t>
            </w:r>
          </w:p>
        </w:tc>
        <w:tc>
          <w:tcPr>
            <w:tcW w:w="1417" w:type="dxa"/>
            <w:tcBorders>
              <w:bottom w:val="single" w:sz="4" w:space="0" w:color="auto"/>
            </w:tcBorders>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979</w:t>
            </w:r>
          </w:p>
        </w:tc>
        <w:tc>
          <w:tcPr>
            <w:tcW w:w="1418" w:type="dxa"/>
            <w:tcBorders>
              <w:bottom w:val="single" w:sz="4" w:space="0" w:color="auto"/>
            </w:tcBorders>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(2,706)</w:t>
            </w:r>
          </w:p>
        </w:tc>
        <w:tc>
          <w:tcPr>
            <w:tcW w:w="1134" w:type="dxa"/>
            <w:tcBorders>
              <w:bottom w:val="single" w:sz="4" w:space="0" w:color="auto"/>
            </w:tcBorders>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(1,727)</w:t>
            </w:r>
          </w:p>
        </w:tc>
      </w:tr>
      <w:tr w:rsidR="000252E9" w:rsidRPr="00040E7D" w:rsidTr="005707A8">
        <w:trPr>
          <w:trHeight w:hRule="exact" w:val="284"/>
        </w:trPr>
        <w:tc>
          <w:tcPr>
            <w:tcW w:w="5670" w:type="dxa"/>
            <w:tcBorders>
              <w:top w:val="single" w:sz="4" w:space="0" w:color="auto"/>
            </w:tcBorders>
          </w:tcPr>
          <w:p w:rsidR="000252E9" w:rsidRPr="001972EA" w:rsidRDefault="000252E9" w:rsidP="000252E9">
            <w:pPr>
              <w:tabs>
                <w:tab w:val="left" w:pos="0"/>
                <w:tab w:val="right" w:pos="5760"/>
                <w:tab w:val="right" w:pos="7200"/>
                <w:tab w:val="right" w:pos="8640"/>
              </w:tabs>
              <w:spacing w:after="200"/>
              <w:jc w:val="both"/>
              <w:rPr>
                <w:rFonts w:ascii="Arial" w:hAnsi="Arial" w:cs="Arial"/>
                <w:sz w:val="18"/>
                <w:szCs w:val="18"/>
                <w:lang w:val="en-IE"/>
              </w:rPr>
            </w:pPr>
            <w:r w:rsidRPr="005B1DE1">
              <w:rPr>
                <w:rFonts w:ascii="Arial" w:hAnsi="Arial" w:cs="Arial"/>
                <w:sz w:val="18"/>
                <w:szCs w:val="18"/>
                <w:lang w:val="en-IE"/>
              </w:rPr>
              <w:t>Operating profit</w:t>
            </w:r>
          </w:p>
        </w:tc>
        <w:tc>
          <w:tcPr>
            <w:tcW w:w="993" w:type="dxa"/>
            <w:tcBorders>
              <w:top w:val="single" w:sz="4" w:space="0" w:color="auto"/>
            </w:tcBorders>
          </w:tcPr>
          <w:p w:rsidR="000252E9" w:rsidRPr="001972EA"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5,071</w:t>
            </w:r>
          </w:p>
        </w:tc>
        <w:tc>
          <w:tcPr>
            <w:tcW w:w="1417" w:type="dxa"/>
            <w:tcBorders>
              <w:top w:val="single" w:sz="4" w:space="0" w:color="auto"/>
            </w:tcBorders>
          </w:tcPr>
          <w:p w:rsidR="000252E9" w:rsidRPr="001972EA"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8,037</w:t>
            </w:r>
          </w:p>
        </w:tc>
        <w:tc>
          <w:tcPr>
            <w:tcW w:w="1418" w:type="dxa"/>
            <w:tcBorders>
              <w:top w:val="single" w:sz="4" w:space="0" w:color="auto"/>
            </w:tcBorders>
            <w:shd w:val="clear" w:color="auto" w:fill="auto"/>
          </w:tcPr>
          <w:p w:rsidR="000252E9" w:rsidRPr="001972EA"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(6,882)</w:t>
            </w:r>
          </w:p>
        </w:tc>
        <w:tc>
          <w:tcPr>
            <w:tcW w:w="1134" w:type="dxa"/>
            <w:tcBorders>
              <w:top w:val="single" w:sz="4" w:space="0" w:color="auto"/>
            </w:tcBorders>
            <w:shd w:val="clear" w:color="auto" w:fill="auto"/>
          </w:tcPr>
          <w:p w:rsidR="000252E9" w:rsidRPr="001972EA"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6,226</w:t>
            </w:r>
          </w:p>
        </w:tc>
      </w:tr>
      <w:tr w:rsidR="000252E9" w:rsidRPr="00040E7D" w:rsidTr="005707A8">
        <w:trPr>
          <w:trHeight w:hRule="exact" w:val="284"/>
        </w:trPr>
        <w:tc>
          <w:tcPr>
            <w:tcW w:w="5670" w:type="dxa"/>
          </w:tcPr>
          <w:p w:rsidR="000252E9" w:rsidRPr="005B1DE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p>
        </w:tc>
        <w:tc>
          <w:tcPr>
            <w:tcW w:w="993" w:type="dxa"/>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p>
        </w:tc>
        <w:tc>
          <w:tcPr>
            <w:tcW w:w="1417" w:type="dxa"/>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p>
        </w:tc>
        <w:tc>
          <w:tcPr>
            <w:tcW w:w="1418"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p>
        </w:tc>
        <w:tc>
          <w:tcPr>
            <w:tcW w:w="1134"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p>
        </w:tc>
      </w:tr>
      <w:tr w:rsidR="000252E9" w:rsidRPr="00040E7D" w:rsidTr="005707A8">
        <w:trPr>
          <w:trHeight w:hRule="exact" w:val="284"/>
        </w:trPr>
        <w:tc>
          <w:tcPr>
            <w:tcW w:w="5670" w:type="dxa"/>
          </w:tcPr>
          <w:p w:rsidR="000252E9" w:rsidRPr="005B1DE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5B1DE1">
              <w:rPr>
                <w:rFonts w:ascii="Arial" w:hAnsi="Arial" w:cs="Arial"/>
                <w:sz w:val="18"/>
                <w:szCs w:val="18"/>
                <w:lang w:val="en-IE"/>
              </w:rPr>
              <w:t>Finance income</w:t>
            </w:r>
          </w:p>
        </w:tc>
        <w:tc>
          <w:tcPr>
            <w:tcW w:w="993" w:type="dxa"/>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135</w:t>
            </w:r>
          </w:p>
        </w:tc>
        <w:tc>
          <w:tcPr>
            <w:tcW w:w="1417" w:type="dxa"/>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113</w:t>
            </w:r>
          </w:p>
        </w:tc>
        <w:tc>
          <w:tcPr>
            <w:tcW w:w="1418"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166</w:t>
            </w:r>
          </w:p>
        </w:tc>
        <w:tc>
          <w:tcPr>
            <w:tcW w:w="1134"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414</w:t>
            </w:r>
          </w:p>
        </w:tc>
      </w:tr>
      <w:tr w:rsidR="000252E9" w:rsidRPr="00040E7D" w:rsidTr="005707A8">
        <w:trPr>
          <w:trHeight w:hRule="exact" w:val="284"/>
        </w:trPr>
        <w:tc>
          <w:tcPr>
            <w:tcW w:w="5670" w:type="dxa"/>
          </w:tcPr>
          <w:p w:rsidR="000252E9" w:rsidRPr="005B1DE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5B1DE1">
              <w:rPr>
                <w:rFonts w:ascii="Arial" w:hAnsi="Arial" w:cs="Arial"/>
                <w:sz w:val="18"/>
                <w:szCs w:val="18"/>
                <w:lang w:val="en-IE"/>
              </w:rPr>
              <w:t xml:space="preserve">Finance costs </w:t>
            </w:r>
          </w:p>
        </w:tc>
        <w:tc>
          <w:tcPr>
            <w:tcW w:w="993" w:type="dxa"/>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w:t>
            </w:r>
          </w:p>
        </w:tc>
        <w:tc>
          <w:tcPr>
            <w:tcW w:w="1417" w:type="dxa"/>
          </w:tcPr>
          <w:p w:rsidR="000252E9" w:rsidRPr="005B1DE1"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w:t>
            </w:r>
          </w:p>
        </w:tc>
        <w:tc>
          <w:tcPr>
            <w:tcW w:w="1418"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(437)</w:t>
            </w:r>
          </w:p>
        </w:tc>
        <w:tc>
          <w:tcPr>
            <w:tcW w:w="1134" w:type="dxa"/>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(437)</w:t>
            </w:r>
          </w:p>
        </w:tc>
      </w:tr>
      <w:tr w:rsidR="000252E9" w:rsidRPr="00040E7D" w:rsidTr="005F086E">
        <w:trPr>
          <w:trHeight w:hRule="exact" w:val="284"/>
        </w:trPr>
        <w:tc>
          <w:tcPr>
            <w:tcW w:w="5670" w:type="dxa"/>
            <w:tcBorders>
              <w:bottom w:val="single" w:sz="6" w:space="0" w:color="000000" w:themeColor="text1"/>
            </w:tcBorders>
          </w:tcPr>
          <w:p w:rsidR="000252E9" w:rsidRPr="005B1DE1" w:rsidRDefault="000252E9" w:rsidP="000252E9">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5B1DE1">
              <w:rPr>
                <w:rFonts w:ascii="Arial" w:hAnsi="Arial" w:cs="Arial"/>
                <w:sz w:val="18"/>
                <w:szCs w:val="18"/>
                <w:lang w:val="en-IE"/>
              </w:rPr>
              <w:t>Dividend from associate</w:t>
            </w:r>
          </w:p>
        </w:tc>
        <w:tc>
          <w:tcPr>
            <w:tcW w:w="993" w:type="dxa"/>
            <w:tcBorders>
              <w:bottom w:val="single" w:sz="6" w:space="0" w:color="000000" w:themeColor="text1"/>
            </w:tcBorders>
          </w:tcPr>
          <w:p w:rsidR="000252E9" w:rsidRPr="001972EA"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w:t>
            </w:r>
          </w:p>
        </w:tc>
        <w:tc>
          <w:tcPr>
            <w:tcW w:w="1417" w:type="dxa"/>
            <w:tcBorders>
              <w:bottom w:val="single" w:sz="6" w:space="0" w:color="000000" w:themeColor="text1"/>
            </w:tcBorders>
          </w:tcPr>
          <w:p w:rsidR="000252E9" w:rsidRPr="001972EA"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w:t>
            </w:r>
          </w:p>
        </w:tc>
        <w:tc>
          <w:tcPr>
            <w:tcW w:w="1418" w:type="dxa"/>
            <w:tcBorders>
              <w:bottom w:val="single" w:sz="6" w:space="0" w:color="000000" w:themeColor="text1"/>
            </w:tcBorders>
            <w:shd w:val="clear" w:color="auto" w:fill="auto"/>
          </w:tcPr>
          <w:p w:rsidR="000252E9" w:rsidRPr="001972EA"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242</w:t>
            </w:r>
          </w:p>
        </w:tc>
        <w:tc>
          <w:tcPr>
            <w:tcW w:w="1134" w:type="dxa"/>
            <w:tcBorders>
              <w:bottom w:val="single" w:sz="6" w:space="0" w:color="000000" w:themeColor="text1"/>
            </w:tcBorders>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242</w:t>
            </w:r>
          </w:p>
        </w:tc>
      </w:tr>
      <w:tr w:rsidR="000252E9" w:rsidRPr="00040E7D" w:rsidTr="005707A8">
        <w:trPr>
          <w:trHeight w:hRule="exact" w:val="284"/>
        </w:trPr>
        <w:tc>
          <w:tcPr>
            <w:tcW w:w="5670" w:type="dxa"/>
            <w:tcBorders>
              <w:top w:val="single" w:sz="4" w:space="0" w:color="000000" w:themeColor="text1"/>
            </w:tcBorders>
          </w:tcPr>
          <w:p w:rsidR="000252E9" w:rsidRPr="005B1DE1" w:rsidRDefault="00C43661" w:rsidP="000252E9">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5B1DE1">
              <w:rPr>
                <w:rFonts w:ascii="Arial" w:hAnsi="Arial" w:cs="Arial"/>
                <w:sz w:val="18"/>
                <w:szCs w:val="18"/>
                <w:lang w:val="en-IE"/>
              </w:rPr>
              <w:t>Profit</w:t>
            </w:r>
            <w:r>
              <w:rPr>
                <w:rFonts w:ascii="Arial" w:hAnsi="Arial" w:cs="Arial"/>
                <w:sz w:val="18"/>
                <w:szCs w:val="18"/>
                <w:lang w:val="en-IE"/>
              </w:rPr>
              <w:t xml:space="preserve">/(loss) </w:t>
            </w:r>
            <w:r w:rsidR="000252E9" w:rsidRPr="005B1DE1">
              <w:rPr>
                <w:rFonts w:ascii="Arial" w:hAnsi="Arial" w:cs="Arial"/>
                <w:sz w:val="18"/>
                <w:szCs w:val="18"/>
                <w:lang w:val="en-IE"/>
              </w:rPr>
              <w:t>before income tax</w:t>
            </w:r>
          </w:p>
        </w:tc>
        <w:tc>
          <w:tcPr>
            <w:tcW w:w="993" w:type="dxa"/>
            <w:tcBorders>
              <w:top w:val="single" w:sz="4" w:space="0" w:color="000000" w:themeColor="text1"/>
            </w:tcBorders>
          </w:tcPr>
          <w:p w:rsidR="000252E9" w:rsidRPr="001972EA"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5,206</w:t>
            </w:r>
          </w:p>
        </w:tc>
        <w:tc>
          <w:tcPr>
            <w:tcW w:w="1417" w:type="dxa"/>
            <w:tcBorders>
              <w:top w:val="single" w:sz="4" w:space="0" w:color="000000" w:themeColor="text1"/>
            </w:tcBorders>
          </w:tcPr>
          <w:p w:rsidR="000252E9" w:rsidRPr="001972EA" w:rsidRDefault="000252E9" w:rsidP="000252E9">
            <w:pPr>
              <w:tabs>
                <w:tab w:val="left" w:pos="0"/>
                <w:tab w:val="right" w:pos="5760"/>
                <w:tab w:val="right" w:pos="7200"/>
                <w:tab w:val="right" w:pos="8640"/>
              </w:tabs>
              <w:spacing w:after="200"/>
              <w:jc w:val="right"/>
              <w:rPr>
                <w:rFonts w:ascii="Arial" w:hAnsi="Arial" w:cs="Arial"/>
                <w:sz w:val="18"/>
                <w:szCs w:val="18"/>
                <w:lang w:val="en-IE"/>
              </w:rPr>
            </w:pPr>
            <w:r w:rsidRPr="005B1DE1">
              <w:rPr>
                <w:rFonts w:ascii="Arial" w:hAnsi="Arial" w:cs="Arial"/>
                <w:color w:val="000000"/>
                <w:spacing w:val="-5"/>
                <w:sz w:val="18"/>
                <w:szCs w:val="18"/>
              </w:rPr>
              <w:t>8,150</w:t>
            </w:r>
          </w:p>
        </w:tc>
        <w:tc>
          <w:tcPr>
            <w:tcW w:w="1418" w:type="dxa"/>
            <w:tcBorders>
              <w:top w:val="single" w:sz="4" w:space="0" w:color="000000" w:themeColor="text1"/>
            </w:tcBorders>
            <w:shd w:val="clear" w:color="auto" w:fill="auto"/>
          </w:tcPr>
          <w:p w:rsidR="000252E9" w:rsidRPr="001972EA"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(6,911)</w:t>
            </w:r>
          </w:p>
        </w:tc>
        <w:tc>
          <w:tcPr>
            <w:tcW w:w="1134" w:type="dxa"/>
            <w:tcBorders>
              <w:top w:val="single" w:sz="4" w:space="0" w:color="000000" w:themeColor="text1"/>
            </w:tcBorders>
            <w:shd w:val="clear" w:color="auto" w:fill="auto"/>
          </w:tcPr>
          <w:p w:rsidR="000252E9" w:rsidRPr="005B1DE1" w:rsidRDefault="000252E9" w:rsidP="000252E9">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6,445</w:t>
            </w:r>
          </w:p>
        </w:tc>
      </w:tr>
      <w:tr w:rsidR="00C43661" w:rsidRPr="00040E7D" w:rsidTr="005707A8">
        <w:trPr>
          <w:trHeight w:hRule="exact" w:val="284"/>
        </w:trPr>
        <w:tc>
          <w:tcPr>
            <w:tcW w:w="5670" w:type="dxa"/>
            <w:tcBorders>
              <w:bottom w:val="single" w:sz="4" w:space="0" w:color="auto"/>
            </w:tcBorders>
          </w:tcPr>
          <w:p w:rsidR="00C43661" w:rsidRPr="008E44ED" w:rsidRDefault="00C43661" w:rsidP="00C43661">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8E44ED">
              <w:rPr>
                <w:rFonts w:ascii="Arial" w:hAnsi="Arial" w:cs="Arial"/>
                <w:sz w:val="18"/>
                <w:szCs w:val="18"/>
                <w:lang w:val="en-IE"/>
              </w:rPr>
              <w:t>Income tax expense</w:t>
            </w:r>
          </w:p>
          <w:p w:rsidR="00C43661" w:rsidRPr="005B1DE1" w:rsidDel="00C43661" w:rsidRDefault="00C43661" w:rsidP="000252E9">
            <w:pPr>
              <w:tabs>
                <w:tab w:val="left" w:pos="0"/>
                <w:tab w:val="right" w:pos="5760"/>
                <w:tab w:val="right" w:pos="7200"/>
                <w:tab w:val="right" w:pos="8640"/>
              </w:tabs>
              <w:autoSpaceDE w:val="0"/>
              <w:autoSpaceDN w:val="0"/>
              <w:adjustRightInd w:val="0"/>
              <w:jc w:val="both"/>
              <w:rPr>
                <w:rFonts w:ascii="Arial" w:hAnsi="Arial" w:cs="Arial"/>
                <w:sz w:val="18"/>
                <w:szCs w:val="18"/>
                <w:lang w:val="en-IE"/>
              </w:rPr>
            </w:pPr>
          </w:p>
        </w:tc>
        <w:tc>
          <w:tcPr>
            <w:tcW w:w="993" w:type="dxa"/>
            <w:tcBorders>
              <w:bottom w:val="single" w:sz="4" w:space="0" w:color="auto"/>
            </w:tcBorders>
          </w:tcPr>
          <w:p w:rsidR="00C43661" w:rsidRPr="005B1DE1" w:rsidRDefault="00C43661" w:rsidP="000252E9">
            <w:pPr>
              <w:tabs>
                <w:tab w:val="left" w:pos="0"/>
                <w:tab w:val="right" w:pos="5760"/>
                <w:tab w:val="right" w:pos="7200"/>
                <w:tab w:val="right" w:pos="8640"/>
              </w:tabs>
              <w:jc w:val="right"/>
              <w:rPr>
                <w:rFonts w:ascii="Arial" w:hAnsi="Arial" w:cs="Arial"/>
                <w:color w:val="000000"/>
                <w:spacing w:val="-5"/>
                <w:sz w:val="18"/>
                <w:szCs w:val="18"/>
              </w:rPr>
            </w:pPr>
          </w:p>
        </w:tc>
        <w:tc>
          <w:tcPr>
            <w:tcW w:w="1417" w:type="dxa"/>
            <w:tcBorders>
              <w:bottom w:val="single" w:sz="4" w:space="0" w:color="auto"/>
            </w:tcBorders>
          </w:tcPr>
          <w:p w:rsidR="00C43661" w:rsidRPr="005B1DE1" w:rsidRDefault="00C43661" w:rsidP="000252E9">
            <w:pPr>
              <w:tabs>
                <w:tab w:val="left" w:pos="0"/>
                <w:tab w:val="right" w:pos="5760"/>
                <w:tab w:val="right" w:pos="7200"/>
                <w:tab w:val="right" w:pos="8640"/>
              </w:tabs>
              <w:jc w:val="right"/>
              <w:rPr>
                <w:rFonts w:ascii="Arial" w:hAnsi="Arial" w:cs="Arial"/>
                <w:color w:val="000000"/>
                <w:spacing w:val="-5"/>
                <w:sz w:val="18"/>
                <w:szCs w:val="18"/>
              </w:rPr>
            </w:pPr>
          </w:p>
        </w:tc>
        <w:tc>
          <w:tcPr>
            <w:tcW w:w="1418" w:type="dxa"/>
            <w:tcBorders>
              <w:bottom w:val="single" w:sz="4" w:space="0" w:color="auto"/>
            </w:tcBorders>
            <w:shd w:val="clear" w:color="auto" w:fill="auto"/>
          </w:tcPr>
          <w:p w:rsidR="00C43661" w:rsidRPr="005B1DE1" w:rsidRDefault="00C43661" w:rsidP="000252E9">
            <w:pPr>
              <w:tabs>
                <w:tab w:val="left" w:pos="0"/>
                <w:tab w:val="right" w:pos="5760"/>
                <w:tab w:val="right" w:pos="7200"/>
                <w:tab w:val="right" w:pos="8640"/>
              </w:tabs>
              <w:jc w:val="right"/>
              <w:rPr>
                <w:rFonts w:ascii="Arial" w:hAnsi="Arial" w:cs="Arial"/>
                <w:color w:val="000000"/>
                <w:spacing w:val="-5"/>
                <w:sz w:val="18"/>
                <w:szCs w:val="18"/>
              </w:rPr>
            </w:pPr>
          </w:p>
        </w:tc>
        <w:tc>
          <w:tcPr>
            <w:tcW w:w="1134" w:type="dxa"/>
            <w:tcBorders>
              <w:bottom w:val="single" w:sz="4" w:space="0" w:color="auto"/>
            </w:tcBorders>
            <w:shd w:val="clear" w:color="auto" w:fill="auto"/>
          </w:tcPr>
          <w:p w:rsidR="00C43661" w:rsidRPr="005B1DE1" w:rsidRDefault="00481FE8" w:rsidP="000252E9">
            <w:pPr>
              <w:tabs>
                <w:tab w:val="left" w:pos="0"/>
                <w:tab w:val="right" w:pos="5760"/>
                <w:tab w:val="right" w:pos="7200"/>
                <w:tab w:val="right" w:pos="8640"/>
              </w:tabs>
              <w:jc w:val="right"/>
              <w:rPr>
                <w:rFonts w:ascii="Arial" w:hAnsi="Arial" w:cs="Arial"/>
                <w:color w:val="000000"/>
                <w:spacing w:val="-5"/>
                <w:sz w:val="18"/>
                <w:szCs w:val="18"/>
              </w:rPr>
            </w:pPr>
            <w:r>
              <w:rPr>
                <w:rFonts w:ascii="Arial" w:hAnsi="Arial" w:cs="Arial"/>
                <w:color w:val="000000"/>
                <w:spacing w:val="-5"/>
                <w:sz w:val="18"/>
                <w:szCs w:val="18"/>
              </w:rPr>
              <w:t>(1,195)</w:t>
            </w:r>
          </w:p>
        </w:tc>
      </w:tr>
      <w:tr w:rsidR="00C43661" w:rsidRPr="00040E7D" w:rsidTr="005707A8">
        <w:trPr>
          <w:trHeight w:hRule="exact" w:val="284"/>
        </w:trPr>
        <w:tc>
          <w:tcPr>
            <w:tcW w:w="5670" w:type="dxa"/>
            <w:tcBorders>
              <w:top w:val="single" w:sz="4" w:space="0" w:color="auto"/>
              <w:bottom w:val="single" w:sz="12" w:space="0" w:color="000000" w:themeColor="text1"/>
            </w:tcBorders>
          </w:tcPr>
          <w:p w:rsidR="00C43661" w:rsidRPr="008E44ED" w:rsidRDefault="00481FE8" w:rsidP="00C43661">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Pr>
                <w:rFonts w:ascii="Arial" w:hAnsi="Arial" w:cs="Arial"/>
                <w:sz w:val="18"/>
                <w:szCs w:val="18"/>
                <w:lang w:val="en-IE"/>
              </w:rPr>
              <w:t>Profit for the year from operations</w:t>
            </w:r>
          </w:p>
        </w:tc>
        <w:tc>
          <w:tcPr>
            <w:tcW w:w="993" w:type="dxa"/>
            <w:tcBorders>
              <w:top w:val="single" w:sz="4" w:space="0" w:color="auto"/>
              <w:bottom w:val="single" w:sz="12" w:space="0" w:color="000000" w:themeColor="text1"/>
            </w:tcBorders>
          </w:tcPr>
          <w:p w:rsidR="00C43661" w:rsidRPr="005B1DE1" w:rsidRDefault="00C43661" w:rsidP="000252E9">
            <w:pPr>
              <w:tabs>
                <w:tab w:val="left" w:pos="0"/>
                <w:tab w:val="right" w:pos="5760"/>
                <w:tab w:val="right" w:pos="7200"/>
                <w:tab w:val="right" w:pos="8640"/>
              </w:tabs>
              <w:jc w:val="right"/>
              <w:rPr>
                <w:rFonts w:ascii="Arial" w:hAnsi="Arial" w:cs="Arial"/>
                <w:color w:val="000000"/>
                <w:spacing w:val="-5"/>
                <w:sz w:val="18"/>
                <w:szCs w:val="18"/>
              </w:rPr>
            </w:pPr>
          </w:p>
        </w:tc>
        <w:tc>
          <w:tcPr>
            <w:tcW w:w="1417" w:type="dxa"/>
            <w:tcBorders>
              <w:top w:val="single" w:sz="4" w:space="0" w:color="auto"/>
              <w:bottom w:val="single" w:sz="12" w:space="0" w:color="000000" w:themeColor="text1"/>
            </w:tcBorders>
          </w:tcPr>
          <w:p w:rsidR="00C43661" w:rsidRPr="005B1DE1" w:rsidRDefault="00C43661" w:rsidP="000252E9">
            <w:pPr>
              <w:tabs>
                <w:tab w:val="left" w:pos="0"/>
                <w:tab w:val="right" w:pos="5760"/>
                <w:tab w:val="right" w:pos="7200"/>
                <w:tab w:val="right" w:pos="8640"/>
              </w:tabs>
              <w:jc w:val="right"/>
              <w:rPr>
                <w:rFonts w:ascii="Arial" w:hAnsi="Arial" w:cs="Arial"/>
                <w:color w:val="000000"/>
                <w:spacing w:val="-5"/>
                <w:sz w:val="18"/>
                <w:szCs w:val="18"/>
              </w:rPr>
            </w:pPr>
          </w:p>
        </w:tc>
        <w:tc>
          <w:tcPr>
            <w:tcW w:w="1418" w:type="dxa"/>
            <w:tcBorders>
              <w:top w:val="single" w:sz="4" w:space="0" w:color="auto"/>
              <w:bottom w:val="single" w:sz="12" w:space="0" w:color="000000" w:themeColor="text1"/>
            </w:tcBorders>
            <w:shd w:val="clear" w:color="auto" w:fill="auto"/>
          </w:tcPr>
          <w:p w:rsidR="00C43661" w:rsidRPr="005B1DE1" w:rsidRDefault="00C43661" w:rsidP="000252E9">
            <w:pPr>
              <w:tabs>
                <w:tab w:val="left" w:pos="0"/>
                <w:tab w:val="right" w:pos="5760"/>
                <w:tab w:val="right" w:pos="7200"/>
                <w:tab w:val="right" w:pos="8640"/>
              </w:tabs>
              <w:jc w:val="right"/>
              <w:rPr>
                <w:rFonts w:ascii="Arial" w:hAnsi="Arial" w:cs="Arial"/>
                <w:color w:val="000000"/>
                <w:spacing w:val="-5"/>
                <w:sz w:val="18"/>
                <w:szCs w:val="18"/>
              </w:rPr>
            </w:pPr>
          </w:p>
        </w:tc>
        <w:tc>
          <w:tcPr>
            <w:tcW w:w="1134" w:type="dxa"/>
            <w:tcBorders>
              <w:top w:val="single" w:sz="4" w:space="0" w:color="auto"/>
              <w:bottom w:val="single" w:sz="12" w:space="0" w:color="000000" w:themeColor="text1"/>
            </w:tcBorders>
            <w:shd w:val="clear" w:color="auto" w:fill="auto"/>
          </w:tcPr>
          <w:p w:rsidR="00C43661" w:rsidRPr="005B1DE1" w:rsidRDefault="00481FE8" w:rsidP="000252E9">
            <w:pPr>
              <w:tabs>
                <w:tab w:val="left" w:pos="0"/>
                <w:tab w:val="right" w:pos="5760"/>
                <w:tab w:val="right" w:pos="7200"/>
                <w:tab w:val="right" w:pos="8640"/>
              </w:tabs>
              <w:jc w:val="right"/>
              <w:rPr>
                <w:rFonts w:ascii="Arial" w:hAnsi="Arial" w:cs="Arial"/>
                <w:color w:val="000000"/>
                <w:spacing w:val="-5"/>
                <w:sz w:val="18"/>
                <w:szCs w:val="18"/>
              </w:rPr>
            </w:pPr>
            <w:r>
              <w:rPr>
                <w:rFonts w:ascii="Arial" w:hAnsi="Arial" w:cs="Arial"/>
                <w:color w:val="000000"/>
                <w:spacing w:val="-5"/>
                <w:sz w:val="18"/>
                <w:szCs w:val="18"/>
              </w:rPr>
              <w:t>5,250</w:t>
            </w:r>
          </w:p>
        </w:tc>
      </w:tr>
    </w:tbl>
    <w:p w:rsidR="00DB3027" w:rsidRDefault="00DB3027" w:rsidP="00C721AD">
      <w:pPr>
        <w:tabs>
          <w:tab w:val="left" w:pos="142"/>
        </w:tabs>
        <w:autoSpaceDE w:val="0"/>
        <w:autoSpaceDN w:val="0"/>
        <w:adjustRightInd w:val="0"/>
        <w:spacing w:after="0" w:line="240" w:lineRule="auto"/>
        <w:rPr>
          <w:rFonts w:ascii="Arial" w:hAnsi="Arial" w:cs="Arial"/>
          <w:b/>
          <w:bCs/>
          <w:color w:val="1F497D" w:themeColor="text2"/>
          <w:sz w:val="20"/>
          <w:szCs w:val="20"/>
          <w:lang w:val="en-IE"/>
        </w:rPr>
      </w:pPr>
    </w:p>
    <w:p w:rsidR="00DB3027" w:rsidRDefault="00DB3027" w:rsidP="00C721AD">
      <w:pPr>
        <w:tabs>
          <w:tab w:val="left" w:pos="142"/>
        </w:tabs>
        <w:autoSpaceDE w:val="0"/>
        <w:autoSpaceDN w:val="0"/>
        <w:adjustRightInd w:val="0"/>
        <w:spacing w:after="0" w:line="240" w:lineRule="auto"/>
        <w:rPr>
          <w:rFonts w:ascii="Arial" w:hAnsi="Arial" w:cs="Arial"/>
          <w:b/>
          <w:bCs/>
          <w:color w:val="1F497D" w:themeColor="text2"/>
          <w:sz w:val="20"/>
          <w:szCs w:val="20"/>
          <w:lang w:val="en-IE"/>
        </w:rPr>
      </w:pPr>
    </w:p>
    <w:p w:rsidR="00DB3027" w:rsidRDefault="00DB3027" w:rsidP="00C721AD">
      <w:pPr>
        <w:tabs>
          <w:tab w:val="left" w:pos="142"/>
        </w:tabs>
        <w:autoSpaceDE w:val="0"/>
        <w:autoSpaceDN w:val="0"/>
        <w:adjustRightInd w:val="0"/>
        <w:spacing w:after="0" w:line="240" w:lineRule="auto"/>
        <w:rPr>
          <w:rFonts w:ascii="Arial" w:hAnsi="Arial" w:cs="Arial"/>
          <w:b/>
          <w:bCs/>
          <w:color w:val="1F497D" w:themeColor="text2"/>
          <w:sz w:val="20"/>
          <w:szCs w:val="20"/>
          <w:lang w:val="en-IE"/>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134"/>
        <w:gridCol w:w="1559"/>
        <w:gridCol w:w="993"/>
        <w:gridCol w:w="992"/>
      </w:tblGrid>
      <w:tr w:rsidR="00E626DB" w:rsidRPr="00040E7D" w:rsidTr="00027DF8">
        <w:trPr>
          <w:trHeight w:hRule="exact" w:val="310"/>
        </w:trPr>
        <w:tc>
          <w:tcPr>
            <w:tcW w:w="5812" w:type="dxa"/>
          </w:tcPr>
          <w:p w:rsidR="00E626DB" w:rsidRPr="006010C1" w:rsidRDefault="002919F7" w:rsidP="00356724">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b/>
                <w:bCs/>
                <w:i/>
                <w:color w:val="1F497D" w:themeColor="text2"/>
                <w:sz w:val="18"/>
                <w:szCs w:val="18"/>
                <w:lang w:val="en-IE"/>
              </w:rPr>
              <w:t xml:space="preserve">Assets and liabilities </w:t>
            </w:r>
            <w:r w:rsidR="006844EE">
              <w:rPr>
                <w:rFonts w:ascii="Arial" w:hAnsi="Arial" w:cs="Arial"/>
                <w:b/>
                <w:bCs/>
                <w:i/>
                <w:color w:val="1F497D" w:themeColor="text2"/>
                <w:sz w:val="18"/>
                <w:szCs w:val="18"/>
                <w:lang w:val="en-IE"/>
              </w:rPr>
              <w:t>-</w:t>
            </w:r>
            <w:r w:rsidRPr="006010C1">
              <w:rPr>
                <w:rFonts w:ascii="Arial" w:hAnsi="Arial" w:cs="Arial"/>
                <w:b/>
                <w:bCs/>
                <w:i/>
                <w:color w:val="1F497D" w:themeColor="text2"/>
                <w:sz w:val="18"/>
                <w:szCs w:val="18"/>
                <w:lang w:val="en-IE"/>
              </w:rPr>
              <w:t xml:space="preserve"> </w:t>
            </w:r>
            <w:r w:rsidR="00872019" w:rsidRPr="006010C1">
              <w:rPr>
                <w:rFonts w:ascii="Arial" w:hAnsi="Arial" w:cs="Arial"/>
                <w:b/>
                <w:bCs/>
                <w:i/>
                <w:color w:val="1F497D" w:themeColor="text2"/>
                <w:sz w:val="18"/>
                <w:szCs w:val="18"/>
                <w:lang w:val="en-IE"/>
              </w:rPr>
              <w:t>201</w:t>
            </w:r>
            <w:r w:rsidR="00115023">
              <w:rPr>
                <w:rFonts w:ascii="Arial" w:hAnsi="Arial" w:cs="Arial"/>
                <w:b/>
                <w:bCs/>
                <w:i/>
                <w:color w:val="1F497D" w:themeColor="text2"/>
                <w:sz w:val="18"/>
                <w:szCs w:val="18"/>
                <w:lang w:val="en-IE"/>
              </w:rPr>
              <w:t>7</w:t>
            </w:r>
          </w:p>
        </w:tc>
        <w:tc>
          <w:tcPr>
            <w:tcW w:w="1134"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p>
        </w:tc>
        <w:tc>
          <w:tcPr>
            <w:tcW w:w="1559"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Independent</w:t>
            </w:r>
          </w:p>
        </w:tc>
        <w:tc>
          <w:tcPr>
            <w:tcW w:w="993"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E626DB" w:rsidRPr="006010C1" w:rsidRDefault="00E626DB" w:rsidP="00B72997">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E626DB" w:rsidRPr="00040E7D" w:rsidTr="00027DF8">
        <w:trPr>
          <w:trHeight w:hRule="exact" w:val="310"/>
        </w:trPr>
        <w:tc>
          <w:tcPr>
            <w:tcW w:w="5812" w:type="dxa"/>
          </w:tcPr>
          <w:p w:rsidR="00E626DB" w:rsidRPr="006010C1" w:rsidRDefault="00E626DB" w:rsidP="00B72997">
            <w:pPr>
              <w:tabs>
                <w:tab w:val="left" w:pos="0"/>
                <w:tab w:val="right" w:pos="5760"/>
                <w:tab w:val="right" w:pos="7200"/>
                <w:tab w:val="right" w:pos="8640"/>
              </w:tabs>
              <w:jc w:val="both"/>
              <w:rPr>
                <w:rFonts w:ascii="Arial" w:hAnsi="Arial" w:cs="Arial"/>
                <w:sz w:val="18"/>
                <w:szCs w:val="18"/>
                <w:lang w:val="en-IE"/>
              </w:rPr>
            </w:pPr>
          </w:p>
        </w:tc>
        <w:tc>
          <w:tcPr>
            <w:tcW w:w="1134"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p>
        </w:tc>
        <w:tc>
          <w:tcPr>
            <w:tcW w:w="1559"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wealth</w:t>
            </w:r>
          </w:p>
        </w:tc>
        <w:tc>
          <w:tcPr>
            <w:tcW w:w="993"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Group /</w:t>
            </w:r>
            <w:r w:rsidRPr="006010C1">
              <w:rPr>
                <w:rFonts w:ascii="Arial" w:hAnsi="Arial" w:cs="Arial"/>
                <w:b/>
                <w:sz w:val="18"/>
                <w:szCs w:val="18"/>
              </w:rPr>
              <w:t xml:space="preserve"> </w:t>
            </w:r>
          </w:p>
        </w:tc>
        <w:tc>
          <w:tcPr>
            <w:tcW w:w="992" w:type="dxa"/>
            <w:shd w:val="clear" w:color="auto" w:fill="auto"/>
          </w:tcPr>
          <w:p w:rsidR="00E626DB" w:rsidRPr="006010C1" w:rsidRDefault="00E626DB" w:rsidP="00B72997">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E626DB" w:rsidRPr="00040E7D" w:rsidTr="00027DF8">
        <w:trPr>
          <w:trHeight w:hRule="exact" w:val="310"/>
        </w:trPr>
        <w:tc>
          <w:tcPr>
            <w:tcW w:w="5812" w:type="dxa"/>
          </w:tcPr>
          <w:p w:rsidR="00E626DB" w:rsidRPr="006010C1" w:rsidRDefault="00E626DB" w:rsidP="00B72997">
            <w:pPr>
              <w:tabs>
                <w:tab w:val="left" w:pos="0"/>
                <w:tab w:val="right" w:pos="5760"/>
                <w:tab w:val="right" w:pos="7200"/>
                <w:tab w:val="right" w:pos="8640"/>
              </w:tabs>
              <w:jc w:val="both"/>
              <w:rPr>
                <w:rFonts w:ascii="Arial" w:hAnsi="Arial" w:cs="Arial"/>
                <w:sz w:val="18"/>
                <w:szCs w:val="18"/>
                <w:lang w:val="en-IE"/>
              </w:rPr>
            </w:pPr>
          </w:p>
        </w:tc>
        <w:tc>
          <w:tcPr>
            <w:tcW w:w="1134"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Platform</w:t>
            </w:r>
          </w:p>
        </w:tc>
        <w:tc>
          <w:tcPr>
            <w:tcW w:w="1559"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management</w:t>
            </w:r>
          </w:p>
        </w:tc>
        <w:tc>
          <w:tcPr>
            <w:tcW w:w="993"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other</w:t>
            </w:r>
          </w:p>
        </w:tc>
        <w:tc>
          <w:tcPr>
            <w:tcW w:w="992" w:type="dxa"/>
            <w:shd w:val="clear" w:color="auto" w:fill="auto"/>
          </w:tcPr>
          <w:p w:rsidR="00E626DB" w:rsidRPr="006010C1" w:rsidRDefault="00E626DB" w:rsidP="00B72997">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Total</w:t>
            </w:r>
          </w:p>
        </w:tc>
      </w:tr>
      <w:tr w:rsidR="00E626DB" w:rsidRPr="00040E7D" w:rsidTr="00027DF8">
        <w:trPr>
          <w:trHeight w:hRule="exact" w:val="310"/>
        </w:trPr>
        <w:tc>
          <w:tcPr>
            <w:tcW w:w="5812" w:type="dxa"/>
          </w:tcPr>
          <w:p w:rsidR="00E626DB" w:rsidRPr="006010C1" w:rsidRDefault="00E626DB" w:rsidP="00B72997">
            <w:pPr>
              <w:tabs>
                <w:tab w:val="left" w:pos="0"/>
                <w:tab w:val="right" w:pos="5760"/>
                <w:tab w:val="right" w:pos="7200"/>
                <w:tab w:val="right" w:pos="8640"/>
              </w:tabs>
              <w:jc w:val="both"/>
              <w:rPr>
                <w:rFonts w:ascii="Arial" w:hAnsi="Arial" w:cs="Arial"/>
                <w:sz w:val="18"/>
                <w:szCs w:val="18"/>
                <w:lang w:val="en-IE"/>
              </w:rPr>
            </w:pPr>
          </w:p>
        </w:tc>
        <w:tc>
          <w:tcPr>
            <w:tcW w:w="1134"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£’000</w:t>
            </w:r>
          </w:p>
        </w:tc>
        <w:tc>
          <w:tcPr>
            <w:tcW w:w="1559"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£’000</w:t>
            </w:r>
          </w:p>
        </w:tc>
        <w:tc>
          <w:tcPr>
            <w:tcW w:w="993"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b/>
                <w:color w:val="1F497D" w:themeColor="text2"/>
                <w:sz w:val="18"/>
                <w:szCs w:val="18"/>
                <w:lang w:val="en-IE"/>
              </w:rPr>
              <w:t>£’000</w:t>
            </w:r>
          </w:p>
        </w:tc>
        <w:tc>
          <w:tcPr>
            <w:tcW w:w="992" w:type="dxa"/>
            <w:shd w:val="clear" w:color="auto" w:fill="auto"/>
          </w:tcPr>
          <w:p w:rsidR="00E626DB" w:rsidRPr="006010C1" w:rsidRDefault="00E626DB" w:rsidP="00B72997">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r>
      <w:tr w:rsidR="00E626DB" w:rsidRPr="00040E7D" w:rsidTr="00027DF8">
        <w:trPr>
          <w:trHeight w:hRule="exact" w:val="310"/>
        </w:trPr>
        <w:tc>
          <w:tcPr>
            <w:tcW w:w="5812" w:type="dxa"/>
          </w:tcPr>
          <w:p w:rsidR="00E626DB" w:rsidRPr="006010C1" w:rsidRDefault="00EA71C8" w:rsidP="00B72997">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b/>
                <w:color w:val="1F497D" w:themeColor="text2"/>
                <w:sz w:val="18"/>
                <w:szCs w:val="18"/>
                <w:lang w:val="en-IE"/>
              </w:rPr>
              <w:t>ASSETS</w:t>
            </w:r>
          </w:p>
        </w:tc>
        <w:tc>
          <w:tcPr>
            <w:tcW w:w="1134"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p>
        </w:tc>
        <w:tc>
          <w:tcPr>
            <w:tcW w:w="1559"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p>
        </w:tc>
        <w:tc>
          <w:tcPr>
            <w:tcW w:w="993" w:type="dxa"/>
          </w:tcPr>
          <w:p w:rsidR="00E626DB" w:rsidRPr="006010C1" w:rsidRDefault="00E626DB" w:rsidP="00B72997">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E626DB" w:rsidRPr="006010C1" w:rsidRDefault="00E626DB" w:rsidP="00B72997">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EA71C8" w:rsidRPr="00040E7D" w:rsidTr="00027DF8">
        <w:trPr>
          <w:trHeight w:hRule="exact" w:val="160"/>
        </w:trPr>
        <w:tc>
          <w:tcPr>
            <w:tcW w:w="5812" w:type="dxa"/>
          </w:tcPr>
          <w:p w:rsidR="00EA71C8" w:rsidRPr="006010C1" w:rsidRDefault="00EA71C8" w:rsidP="00B72997">
            <w:pPr>
              <w:tabs>
                <w:tab w:val="left" w:pos="0"/>
                <w:tab w:val="right" w:pos="5760"/>
                <w:tab w:val="right" w:pos="7200"/>
                <w:tab w:val="right" w:pos="8640"/>
              </w:tabs>
              <w:jc w:val="both"/>
              <w:rPr>
                <w:rFonts w:ascii="Arial" w:hAnsi="Arial" w:cs="Arial"/>
                <w:b/>
                <w:color w:val="1F497D" w:themeColor="text2"/>
                <w:sz w:val="18"/>
                <w:szCs w:val="18"/>
                <w:lang w:val="en-IE"/>
              </w:rPr>
            </w:pPr>
          </w:p>
        </w:tc>
        <w:tc>
          <w:tcPr>
            <w:tcW w:w="1134" w:type="dxa"/>
          </w:tcPr>
          <w:p w:rsidR="00EA71C8" w:rsidRPr="006010C1" w:rsidRDefault="00EA71C8" w:rsidP="00B72997">
            <w:pPr>
              <w:tabs>
                <w:tab w:val="left" w:pos="0"/>
                <w:tab w:val="right" w:pos="5760"/>
                <w:tab w:val="right" w:pos="7200"/>
                <w:tab w:val="right" w:pos="8640"/>
              </w:tabs>
              <w:jc w:val="right"/>
              <w:rPr>
                <w:rFonts w:ascii="Arial" w:hAnsi="Arial" w:cs="Arial"/>
                <w:sz w:val="18"/>
                <w:szCs w:val="18"/>
                <w:lang w:val="en-IE"/>
              </w:rPr>
            </w:pPr>
          </w:p>
        </w:tc>
        <w:tc>
          <w:tcPr>
            <w:tcW w:w="1559" w:type="dxa"/>
          </w:tcPr>
          <w:p w:rsidR="00EA71C8" w:rsidRPr="006010C1" w:rsidRDefault="00EA71C8" w:rsidP="00B72997">
            <w:pPr>
              <w:tabs>
                <w:tab w:val="left" w:pos="0"/>
                <w:tab w:val="right" w:pos="5760"/>
                <w:tab w:val="right" w:pos="7200"/>
                <w:tab w:val="right" w:pos="8640"/>
              </w:tabs>
              <w:jc w:val="right"/>
              <w:rPr>
                <w:rFonts w:ascii="Arial" w:hAnsi="Arial" w:cs="Arial"/>
                <w:sz w:val="18"/>
                <w:szCs w:val="18"/>
                <w:lang w:val="en-IE"/>
              </w:rPr>
            </w:pPr>
          </w:p>
        </w:tc>
        <w:tc>
          <w:tcPr>
            <w:tcW w:w="993" w:type="dxa"/>
          </w:tcPr>
          <w:p w:rsidR="00EA71C8" w:rsidRPr="006010C1" w:rsidRDefault="00EA71C8" w:rsidP="00B72997">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EA71C8" w:rsidRPr="006010C1" w:rsidRDefault="00EA71C8" w:rsidP="00B72997">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115023" w:rsidRPr="00040E7D" w:rsidTr="00027DF8">
        <w:trPr>
          <w:trHeight w:hRule="exact" w:val="310"/>
        </w:trPr>
        <w:tc>
          <w:tcPr>
            <w:tcW w:w="5812" w:type="dxa"/>
          </w:tcPr>
          <w:p w:rsidR="00115023" w:rsidRPr="006010C1" w:rsidRDefault="00115023" w:rsidP="00115023">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b/>
                <w:sz w:val="18"/>
                <w:szCs w:val="18"/>
                <w:lang w:val="en-IE"/>
              </w:rPr>
              <w:t>Segment assets</w:t>
            </w:r>
          </w:p>
        </w:tc>
        <w:tc>
          <w:tcPr>
            <w:tcW w:w="1134"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sz w:val="18"/>
                <w:szCs w:val="18"/>
                <w:lang w:val="en-US"/>
              </w:rPr>
              <w:t>69,812</w:t>
            </w:r>
          </w:p>
        </w:tc>
        <w:tc>
          <w:tcPr>
            <w:tcW w:w="1559"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sz w:val="18"/>
                <w:szCs w:val="18"/>
                <w:lang w:val="en-US"/>
              </w:rPr>
              <w:t>23,855</w:t>
            </w:r>
          </w:p>
        </w:tc>
        <w:tc>
          <w:tcPr>
            <w:tcW w:w="993"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sz w:val="18"/>
                <w:szCs w:val="18"/>
                <w:lang w:val="en-US"/>
              </w:rPr>
              <w:t>6,860</w:t>
            </w:r>
          </w:p>
        </w:tc>
        <w:tc>
          <w:tcPr>
            <w:tcW w:w="992" w:type="dxa"/>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sz w:val="18"/>
                <w:szCs w:val="18"/>
                <w:lang w:val="en-US"/>
              </w:rPr>
              <w:t>100,527</w:t>
            </w:r>
          </w:p>
        </w:tc>
      </w:tr>
      <w:tr w:rsidR="00115023" w:rsidRPr="00040E7D" w:rsidTr="00027DF8">
        <w:trPr>
          <w:trHeight w:hRule="exact" w:val="310"/>
        </w:trPr>
        <w:tc>
          <w:tcPr>
            <w:tcW w:w="5812" w:type="dxa"/>
          </w:tcPr>
          <w:p w:rsidR="00115023" w:rsidRPr="006010C1" w:rsidRDefault="00115023" w:rsidP="00115023">
            <w:pPr>
              <w:tabs>
                <w:tab w:val="left" w:pos="0"/>
                <w:tab w:val="right" w:pos="5760"/>
                <w:tab w:val="right" w:pos="7200"/>
                <w:tab w:val="right" w:pos="8640"/>
              </w:tabs>
              <w:jc w:val="both"/>
              <w:rPr>
                <w:rFonts w:ascii="Arial" w:hAnsi="Arial" w:cs="Arial"/>
                <w:b/>
                <w:sz w:val="18"/>
                <w:szCs w:val="18"/>
                <w:lang w:val="en-IE"/>
              </w:rPr>
            </w:pPr>
            <w:r w:rsidRPr="006010C1">
              <w:rPr>
                <w:rFonts w:ascii="Arial" w:hAnsi="Arial" w:cs="Arial"/>
                <w:b/>
                <w:sz w:val="18"/>
                <w:szCs w:val="18"/>
                <w:lang w:val="en-IE"/>
              </w:rPr>
              <w:t>Deferred income tax asset</w:t>
            </w:r>
          </w:p>
        </w:tc>
        <w:tc>
          <w:tcPr>
            <w:tcW w:w="1134" w:type="dxa"/>
            <w:vAlign w:val="bottom"/>
          </w:tcPr>
          <w:p w:rsidR="00115023" w:rsidRPr="001972EA"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559" w:type="dxa"/>
            <w:vAlign w:val="bottom"/>
          </w:tcPr>
          <w:p w:rsidR="00115023" w:rsidRPr="005B1DE1"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993" w:type="dxa"/>
            <w:vAlign w:val="bottom"/>
          </w:tcPr>
          <w:p w:rsidR="00115023" w:rsidRPr="005B1DE1"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992" w:type="dxa"/>
            <w:shd w:val="clear" w:color="auto" w:fill="auto"/>
            <w:vAlign w:val="bottom"/>
          </w:tcPr>
          <w:p w:rsidR="00115023" w:rsidRPr="005B1DE1" w:rsidRDefault="00115023" w:rsidP="00115023">
            <w:pPr>
              <w:tabs>
                <w:tab w:val="left" w:pos="0"/>
                <w:tab w:val="right" w:pos="5760"/>
                <w:tab w:val="right" w:pos="7200"/>
                <w:tab w:val="right" w:pos="8640"/>
              </w:tabs>
              <w:jc w:val="right"/>
              <w:rPr>
                <w:rFonts w:ascii="Arial" w:hAnsi="Arial" w:cs="Arial"/>
                <w:b/>
                <w:sz w:val="18"/>
                <w:szCs w:val="18"/>
                <w:lang w:val="en-IE"/>
              </w:rPr>
            </w:pPr>
            <w:r w:rsidRPr="005B1DE1">
              <w:rPr>
                <w:rFonts w:ascii="Arial" w:hAnsi="Arial" w:cs="Arial"/>
                <w:b/>
                <w:color w:val="000000"/>
                <w:spacing w:val="-5"/>
                <w:sz w:val="18"/>
                <w:szCs w:val="18"/>
              </w:rPr>
              <w:t>703</w:t>
            </w:r>
          </w:p>
        </w:tc>
      </w:tr>
      <w:tr w:rsidR="00115023" w:rsidRPr="00040E7D" w:rsidTr="00027DF8">
        <w:trPr>
          <w:trHeight w:hRule="exact" w:val="310"/>
        </w:trPr>
        <w:tc>
          <w:tcPr>
            <w:tcW w:w="5812" w:type="dxa"/>
            <w:tcBorders>
              <w:bottom w:val="single" w:sz="4" w:space="0" w:color="auto"/>
            </w:tcBorders>
          </w:tcPr>
          <w:p w:rsidR="00115023" w:rsidRPr="006010C1" w:rsidRDefault="00115023" w:rsidP="00115023">
            <w:pPr>
              <w:tabs>
                <w:tab w:val="left" w:pos="0"/>
                <w:tab w:val="right" w:pos="5760"/>
                <w:tab w:val="right" w:pos="7200"/>
                <w:tab w:val="right" w:pos="8640"/>
              </w:tabs>
              <w:jc w:val="both"/>
              <w:rPr>
                <w:rFonts w:ascii="Arial" w:hAnsi="Arial" w:cs="Arial"/>
                <w:b/>
                <w:sz w:val="18"/>
                <w:szCs w:val="18"/>
                <w:lang w:val="en-IE"/>
              </w:rPr>
            </w:pPr>
            <w:r w:rsidRPr="006010C1">
              <w:rPr>
                <w:rFonts w:ascii="Arial" w:hAnsi="Arial" w:cs="Arial"/>
                <w:b/>
                <w:sz w:val="18"/>
                <w:szCs w:val="18"/>
                <w:lang w:val="en-IE"/>
              </w:rPr>
              <w:t>Income tax asset</w:t>
            </w:r>
          </w:p>
        </w:tc>
        <w:tc>
          <w:tcPr>
            <w:tcW w:w="1134" w:type="dxa"/>
            <w:tcBorders>
              <w:bottom w:val="single" w:sz="4" w:space="0" w:color="auto"/>
            </w:tcBorders>
            <w:vAlign w:val="bottom"/>
          </w:tcPr>
          <w:p w:rsidR="00115023" w:rsidRPr="001972EA"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559" w:type="dxa"/>
            <w:tcBorders>
              <w:bottom w:val="single" w:sz="4" w:space="0" w:color="auto"/>
            </w:tcBorders>
            <w:vAlign w:val="bottom"/>
          </w:tcPr>
          <w:p w:rsidR="00115023" w:rsidRPr="005B1DE1"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993" w:type="dxa"/>
            <w:tcBorders>
              <w:bottom w:val="single" w:sz="4" w:space="0" w:color="auto"/>
            </w:tcBorders>
            <w:vAlign w:val="bottom"/>
          </w:tcPr>
          <w:p w:rsidR="00115023" w:rsidRPr="005B1DE1"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992" w:type="dxa"/>
            <w:tcBorders>
              <w:bottom w:val="single" w:sz="4" w:space="0" w:color="auto"/>
            </w:tcBorders>
            <w:shd w:val="clear" w:color="auto" w:fill="auto"/>
            <w:vAlign w:val="bottom"/>
          </w:tcPr>
          <w:p w:rsidR="00115023" w:rsidRPr="005B1DE1" w:rsidRDefault="00115023" w:rsidP="00115023">
            <w:pPr>
              <w:tabs>
                <w:tab w:val="left" w:pos="0"/>
                <w:tab w:val="right" w:pos="5760"/>
                <w:tab w:val="right" w:pos="7200"/>
                <w:tab w:val="right" w:pos="8640"/>
              </w:tabs>
              <w:jc w:val="right"/>
              <w:rPr>
                <w:rFonts w:ascii="Arial" w:hAnsi="Arial" w:cs="Arial"/>
                <w:b/>
                <w:sz w:val="18"/>
                <w:szCs w:val="18"/>
                <w:lang w:val="en-IE"/>
              </w:rPr>
            </w:pPr>
            <w:r w:rsidRPr="005B1DE1">
              <w:rPr>
                <w:rFonts w:ascii="Arial" w:hAnsi="Arial" w:cs="Arial"/>
                <w:b/>
                <w:color w:val="000000"/>
                <w:spacing w:val="-5"/>
                <w:sz w:val="18"/>
                <w:szCs w:val="18"/>
              </w:rPr>
              <w:t>133</w:t>
            </w:r>
          </w:p>
        </w:tc>
      </w:tr>
      <w:tr w:rsidR="00115023" w:rsidRPr="00040E7D" w:rsidTr="00027DF8">
        <w:trPr>
          <w:trHeight w:val="371"/>
        </w:trPr>
        <w:tc>
          <w:tcPr>
            <w:tcW w:w="5812" w:type="dxa"/>
            <w:tcBorders>
              <w:top w:val="single" w:sz="4" w:space="0" w:color="auto"/>
              <w:bottom w:val="single" w:sz="12" w:space="0" w:color="auto"/>
            </w:tcBorders>
          </w:tcPr>
          <w:p w:rsidR="00115023" w:rsidRPr="006010C1" w:rsidRDefault="00115023" w:rsidP="00115023">
            <w:pPr>
              <w:tabs>
                <w:tab w:val="left" w:pos="0"/>
                <w:tab w:val="right" w:pos="5760"/>
                <w:tab w:val="right" w:pos="7200"/>
                <w:tab w:val="right" w:pos="8640"/>
              </w:tabs>
              <w:jc w:val="both"/>
              <w:rPr>
                <w:rFonts w:ascii="Arial" w:hAnsi="Arial" w:cs="Arial"/>
                <w:b/>
                <w:sz w:val="18"/>
                <w:szCs w:val="18"/>
                <w:lang w:val="en-IE"/>
              </w:rPr>
            </w:pPr>
            <w:r w:rsidRPr="006010C1">
              <w:rPr>
                <w:rFonts w:ascii="Arial" w:hAnsi="Arial" w:cs="Arial"/>
                <w:b/>
                <w:sz w:val="18"/>
                <w:szCs w:val="18"/>
                <w:lang w:val="en-IE"/>
              </w:rPr>
              <w:t>Total assets as reported on the Consolidated Statement of Financial Position</w:t>
            </w:r>
          </w:p>
        </w:tc>
        <w:tc>
          <w:tcPr>
            <w:tcW w:w="1134" w:type="dxa"/>
            <w:tcBorders>
              <w:top w:val="single" w:sz="4" w:space="0" w:color="auto"/>
              <w:bottom w:val="single" w:sz="12" w:space="0" w:color="auto"/>
            </w:tcBorders>
            <w:vAlign w:val="bottom"/>
          </w:tcPr>
          <w:p w:rsidR="00115023" w:rsidRPr="001972EA"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559" w:type="dxa"/>
            <w:tcBorders>
              <w:top w:val="single" w:sz="4" w:space="0" w:color="auto"/>
              <w:bottom w:val="single" w:sz="12" w:space="0" w:color="auto"/>
            </w:tcBorders>
            <w:vAlign w:val="bottom"/>
          </w:tcPr>
          <w:p w:rsidR="00115023" w:rsidRPr="005B1DE1"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993" w:type="dxa"/>
            <w:tcBorders>
              <w:top w:val="single" w:sz="4" w:space="0" w:color="auto"/>
              <w:bottom w:val="single" w:sz="12" w:space="0" w:color="auto"/>
            </w:tcBorders>
            <w:vAlign w:val="bottom"/>
          </w:tcPr>
          <w:p w:rsidR="00115023" w:rsidRPr="005B1DE1" w:rsidRDefault="00115023" w:rsidP="00115023">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992" w:type="dxa"/>
            <w:tcBorders>
              <w:top w:val="single" w:sz="4" w:space="0" w:color="auto"/>
              <w:bottom w:val="single" w:sz="12" w:space="0" w:color="auto"/>
            </w:tcBorders>
            <w:shd w:val="clear" w:color="auto" w:fill="auto"/>
            <w:vAlign w:val="bottom"/>
          </w:tcPr>
          <w:p w:rsidR="00115023" w:rsidRPr="005B1DE1" w:rsidRDefault="00115023" w:rsidP="00115023">
            <w:pPr>
              <w:tabs>
                <w:tab w:val="left" w:pos="0"/>
                <w:tab w:val="right" w:pos="5760"/>
                <w:tab w:val="right" w:pos="7200"/>
                <w:tab w:val="right" w:pos="8640"/>
              </w:tabs>
              <w:jc w:val="right"/>
              <w:rPr>
                <w:rFonts w:ascii="Arial" w:hAnsi="Arial" w:cs="Arial"/>
                <w:b/>
                <w:sz w:val="18"/>
                <w:szCs w:val="18"/>
                <w:lang w:val="en-IE"/>
              </w:rPr>
            </w:pPr>
            <w:r w:rsidRPr="005B1DE1">
              <w:rPr>
                <w:rFonts w:ascii="Arial" w:hAnsi="Arial" w:cs="Arial"/>
                <w:b/>
                <w:color w:val="000000"/>
                <w:spacing w:val="-5"/>
                <w:sz w:val="18"/>
                <w:szCs w:val="18"/>
              </w:rPr>
              <w:t>101,363</w:t>
            </w:r>
          </w:p>
        </w:tc>
      </w:tr>
      <w:tr w:rsidR="00872019" w:rsidRPr="00040E7D" w:rsidTr="00027DF8">
        <w:trPr>
          <w:trHeight w:hRule="exact" w:val="310"/>
        </w:trPr>
        <w:tc>
          <w:tcPr>
            <w:tcW w:w="5812" w:type="dxa"/>
            <w:tcBorders>
              <w:top w:val="single" w:sz="12" w:space="0" w:color="auto"/>
            </w:tcBorders>
          </w:tcPr>
          <w:p w:rsidR="00872019" w:rsidRPr="006010C1" w:rsidRDefault="00872019" w:rsidP="00872019">
            <w:pPr>
              <w:tabs>
                <w:tab w:val="left" w:pos="0"/>
                <w:tab w:val="right" w:pos="5760"/>
                <w:tab w:val="right" w:pos="7200"/>
                <w:tab w:val="right" w:pos="8640"/>
              </w:tabs>
              <w:jc w:val="both"/>
              <w:rPr>
                <w:rFonts w:ascii="Arial" w:hAnsi="Arial" w:cs="Arial"/>
                <w:b/>
                <w:sz w:val="18"/>
                <w:szCs w:val="18"/>
                <w:lang w:val="en-IE"/>
              </w:rPr>
            </w:pPr>
          </w:p>
        </w:tc>
        <w:tc>
          <w:tcPr>
            <w:tcW w:w="1134" w:type="dxa"/>
            <w:tcBorders>
              <w:top w:val="single" w:sz="12" w:space="0" w:color="auto"/>
            </w:tcBorders>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b/>
                <w:color w:val="1F497D" w:themeColor="text2"/>
                <w:sz w:val="18"/>
                <w:szCs w:val="18"/>
                <w:lang w:val="en-IE"/>
              </w:rPr>
            </w:pPr>
          </w:p>
        </w:tc>
        <w:tc>
          <w:tcPr>
            <w:tcW w:w="1559" w:type="dxa"/>
            <w:tcBorders>
              <w:top w:val="single" w:sz="12" w:space="0" w:color="auto"/>
            </w:tcBorders>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b/>
                <w:color w:val="1F497D" w:themeColor="text2"/>
                <w:sz w:val="18"/>
                <w:szCs w:val="18"/>
                <w:lang w:val="en-IE"/>
              </w:rPr>
            </w:pPr>
          </w:p>
        </w:tc>
        <w:tc>
          <w:tcPr>
            <w:tcW w:w="993" w:type="dxa"/>
            <w:tcBorders>
              <w:top w:val="single" w:sz="12" w:space="0" w:color="auto"/>
            </w:tcBorders>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b/>
                <w:color w:val="1F497D" w:themeColor="text2"/>
                <w:sz w:val="18"/>
                <w:szCs w:val="18"/>
                <w:lang w:val="en-IE"/>
              </w:rPr>
            </w:pPr>
          </w:p>
        </w:tc>
        <w:tc>
          <w:tcPr>
            <w:tcW w:w="992" w:type="dxa"/>
            <w:tcBorders>
              <w:top w:val="single" w:sz="12" w:space="0" w:color="auto"/>
            </w:tcBorders>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r>
      <w:tr w:rsidR="00872019" w:rsidRPr="00040E7D" w:rsidTr="00027DF8">
        <w:trPr>
          <w:trHeight w:hRule="exact" w:val="310"/>
        </w:trPr>
        <w:tc>
          <w:tcPr>
            <w:tcW w:w="5812" w:type="dxa"/>
          </w:tcPr>
          <w:p w:rsidR="00872019" w:rsidRPr="006010C1" w:rsidRDefault="00872019" w:rsidP="00872019">
            <w:pPr>
              <w:tabs>
                <w:tab w:val="left" w:pos="0"/>
                <w:tab w:val="right" w:pos="5760"/>
                <w:tab w:val="right" w:pos="7200"/>
                <w:tab w:val="right" w:pos="8640"/>
              </w:tabs>
              <w:rPr>
                <w:rFonts w:ascii="Arial" w:hAnsi="Arial" w:cs="Arial"/>
                <w:b/>
                <w:sz w:val="18"/>
                <w:szCs w:val="18"/>
                <w:lang w:val="en-IE"/>
              </w:rPr>
            </w:pPr>
            <w:r w:rsidRPr="006010C1">
              <w:rPr>
                <w:rFonts w:ascii="Arial" w:hAnsi="Arial" w:cs="Arial"/>
                <w:b/>
                <w:color w:val="1F497D" w:themeColor="text2"/>
                <w:sz w:val="18"/>
                <w:szCs w:val="18"/>
                <w:lang w:val="en-IE"/>
              </w:rPr>
              <w:t>LIABILITIES</w:t>
            </w: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r>
      <w:tr w:rsidR="00872019" w:rsidRPr="00040E7D" w:rsidTr="00027DF8">
        <w:trPr>
          <w:trHeight w:hRule="exact" w:val="129"/>
        </w:trPr>
        <w:tc>
          <w:tcPr>
            <w:tcW w:w="5812" w:type="dxa"/>
          </w:tcPr>
          <w:p w:rsidR="00872019" w:rsidRPr="006010C1" w:rsidRDefault="00872019" w:rsidP="00872019">
            <w:pPr>
              <w:tabs>
                <w:tab w:val="left" w:pos="0"/>
                <w:tab w:val="right" w:pos="5760"/>
                <w:tab w:val="right" w:pos="7200"/>
                <w:tab w:val="right" w:pos="8640"/>
              </w:tabs>
              <w:rPr>
                <w:rFonts w:ascii="Arial" w:hAnsi="Arial" w:cs="Arial"/>
                <w:b/>
                <w:color w:val="1F497D" w:themeColor="text2"/>
                <w:sz w:val="18"/>
                <w:szCs w:val="18"/>
                <w:lang w:val="en-IE"/>
              </w:rPr>
            </w:pP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b/>
                <w:sz w:val="18"/>
                <w:szCs w:val="18"/>
                <w:lang w:val="en-IE"/>
              </w:rPr>
            </w:pPr>
          </w:p>
        </w:tc>
      </w:tr>
      <w:tr w:rsidR="00115023" w:rsidRPr="00040E7D" w:rsidTr="00027DF8">
        <w:trPr>
          <w:trHeight w:hRule="exact" w:val="310"/>
        </w:trPr>
        <w:tc>
          <w:tcPr>
            <w:tcW w:w="5812" w:type="dxa"/>
          </w:tcPr>
          <w:p w:rsidR="00115023" w:rsidRPr="006010C1" w:rsidRDefault="00115023" w:rsidP="00115023">
            <w:pPr>
              <w:tabs>
                <w:tab w:val="left" w:pos="0"/>
                <w:tab w:val="right" w:pos="5760"/>
                <w:tab w:val="right" w:pos="7200"/>
                <w:tab w:val="right" w:pos="8640"/>
              </w:tabs>
              <w:rPr>
                <w:rFonts w:ascii="Arial" w:hAnsi="Arial" w:cs="Arial"/>
                <w:b/>
                <w:sz w:val="18"/>
                <w:szCs w:val="18"/>
                <w:lang w:val="en-IE"/>
              </w:rPr>
            </w:pPr>
            <w:r w:rsidRPr="006010C1">
              <w:rPr>
                <w:rFonts w:ascii="Arial" w:hAnsi="Arial" w:cs="Arial"/>
                <w:b/>
                <w:sz w:val="18"/>
                <w:szCs w:val="18"/>
                <w:lang w:val="en-IE"/>
              </w:rPr>
              <w:t>Segment liabilities</w:t>
            </w:r>
          </w:p>
        </w:tc>
        <w:tc>
          <w:tcPr>
            <w:tcW w:w="1134"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(12,251)</w:t>
            </w:r>
          </w:p>
        </w:tc>
        <w:tc>
          <w:tcPr>
            <w:tcW w:w="1559"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(9,519)</w:t>
            </w:r>
          </w:p>
        </w:tc>
        <w:tc>
          <w:tcPr>
            <w:tcW w:w="993"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(2,457)</w:t>
            </w:r>
          </w:p>
        </w:tc>
        <w:tc>
          <w:tcPr>
            <w:tcW w:w="992" w:type="dxa"/>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(24,227)</w:t>
            </w:r>
          </w:p>
        </w:tc>
      </w:tr>
      <w:tr w:rsidR="00115023" w:rsidRPr="00040E7D" w:rsidTr="00027DF8">
        <w:trPr>
          <w:trHeight w:hRule="exact" w:val="310"/>
        </w:trPr>
        <w:tc>
          <w:tcPr>
            <w:tcW w:w="5812" w:type="dxa"/>
          </w:tcPr>
          <w:p w:rsidR="00115023" w:rsidRPr="006010C1" w:rsidRDefault="00115023" w:rsidP="00115023">
            <w:pPr>
              <w:tabs>
                <w:tab w:val="left" w:pos="0"/>
                <w:tab w:val="right" w:pos="5760"/>
                <w:tab w:val="right" w:pos="7200"/>
                <w:tab w:val="right" w:pos="8640"/>
              </w:tabs>
              <w:rPr>
                <w:rFonts w:ascii="Arial" w:hAnsi="Arial" w:cs="Arial"/>
                <w:b/>
                <w:sz w:val="18"/>
                <w:szCs w:val="18"/>
                <w:lang w:val="en-IE"/>
              </w:rPr>
            </w:pPr>
            <w:r w:rsidRPr="006010C1">
              <w:rPr>
                <w:rFonts w:ascii="Arial" w:hAnsi="Arial" w:cs="Arial"/>
                <w:b/>
                <w:sz w:val="18"/>
                <w:szCs w:val="18"/>
                <w:lang w:val="en-IE"/>
              </w:rPr>
              <w:t>Current income tax liabilities</w:t>
            </w:r>
          </w:p>
        </w:tc>
        <w:tc>
          <w:tcPr>
            <w:tcW w:w="1134" w:type="dxa"/>
            <w:vAlign w:val="bottom"/>
          </w:tcPr>
          <w:p w:rsidR="00115023" w:rsidRPr="001972EA"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1559"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993" w:type="dxa"/>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p>
        </w:tc>
        <w:tc>
          <w:tcPr>
            <w:tcW w:w="992" w:type="dxa"/>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r w:rsidR="00BF36CD">
              <w:rPr>
                <w:rFonts w:ascii="Arial" w:hAnsi="Arial" w:cs="Arial"/>
                <w:b/>
                <w:color w:val="000000"/>
                <w:spacing w:val="-5"/>
                <w:sz w:val="18"/>
                <w:szCs w:val="18"/>
              </w:rPr>
              <w:t>168</w:t>
            </w:r>
            <w:r w:rsidRPr="005B1DE1">
              <w:rPr>
                <w:rFonts w:ascii="Arial" w:hAnsi="Arial" w:cs="Arial"/>
                <w:b/>
                <w:color w:val="000000"/>
                <w:spacing w:val="-5"/>
                <w:sz w:val="18"/>
                <w:szCs w:val="18"/>
              </w:rPr>
              <w:t>)</w:t>
            </w:r>
          </w:p>
        </w:tc>
      </w:tr>
      <w:tr w:rsidR="00115023" w:rsidRPr="00040E7D" w:rsidTr="00027DF8">
        <w:trPr>
          <w:trHeight w:hRule="exact" w:val="310"/>
        </w:trPr>
        <w:tc>
          <w:tcPr>
            <w:tcW w:w="5812" w:type="dxa"/>
          </w:tcPr>
          <w:p w:rsidR="00115023" w:rsidRPr="006010C1" w:rsidRDefault="00115023" w:rsidP="00115023">
            <w:pPr>
              <w:tabs>
                <w:tab w:val="left" w:pos="0"/>
                <w:tab w:val="right" w:pos="5760"/>
                <w:tab w:val="right" w:pos="7200"/>
                <w:tab w:val="right" w:pos="8640"/>
              </w:tabs>
              <w:rPr>
                <w:rFonts w:ascii="Arial" w:hAnsi="Arial" w:cs="Arial"/>
                <w:b/>
                <w:sz w:val="18"/>
                <w:szCs w:val="18"/>
                <w:lang w:val="en-IE"/>
              </w:rPr>
            </w:pPr>
            <w:r w:rsidRPr="006010C1">
              <w:rPr>
                <w:rFonts w:ascii="Arial" w:hAnsi="Arial" w:cs="Arial"/>
                <w:b/>
                <w:sz w:val="18"/>
                <w:szCs w:val="18"/>
                <w:lang w:val="en-IE"/>
              </w:rPr>
              <w:t>Deferred income tax liabilities</w:t>
            </w:r>
          </w:p>
        </w:tc>
        <w:tc>
          <w:tcPr>
            <w:tcW w:w="1134" w:type="dxa"/>
            <w:vAlign w:val="bottom"/>
          </w:tcPr>
          <w:p w:rsidR="00115023" w:rsidRPr="001972EA" w:rsidRDefault="00115023" w:rsidP="00115023">
            <w:pPr>
              <w:tabs>
                <w:tab w:val="left" w:pos="0"/>
                <w:tab w:val="right" w:pos="5760"/>
                <w:tab w:val="right" w:pos="7200"/>
                <w:tab w:val="right" w:pos="8640"/>
              </w:tabs>
              <w:jc w:val="right"/>
              <w:rPr>
                <w:rFonts w:ascii="Arial" w:hAnsi="Arial" w:cs="Arial"/>
                <w:b/>
                <w:sz w:val="18"/>
                <w:szCs w:val="18"/>
                <w:lang w:val="en-IE"/>
              </w:rPr>
            </w:pPr>
          </w:p>
        </w:tc>
        <w:tc>
          <w:tcPr>
            <w:tcW w:w="1559" w:type="dxa"/>
            <w:vAlign w:val="bottom"/>
          </w:tcPr>
          <w:p w:rsidR="00115023" w:rsidRPr="005B1DE1" w:rsidRDefault="00115023" w:rsidP="00115023">
            <w:pPr>
              <w:tabs>
                <w:tab w:val="left" w:pos="0"/>
                <w:tab w:val="right" w:pos="5760"/>
                <w:tab w:val="right" w:pos="7200"/>
                <w:tab w:val="right" w:pos="8640"/>
              </w:tabs>
              <w:jc w:val="right"/>
              <w:rPr>
                <w:rFonts w:ascii="Arial" w:hAnsi="Arial" w:cs="Arial"/>
                <w:b/>
                <w:sz w:val="18"/>
                <w:szCs w:val="18"/>
                <w:lang w:val="en-IE"/>
              </w:rPr>
            </w:pPr>
          </w:p>
        </w:tc>
        <w:tc>
          <w:tcPr>
            <w:tcW w:w="993" w:type="dxa"/>
            <w:vAlign w:val="bottom"/>
          </w:tcPr>
          <w:p w:rsidR="00115023" w:rsidRPr="005B1DE1" w:rsidRDefault="00115023" w:rsidP="00115023">
            <w:pPr>
              <w:tabs>
                <w:tab w:val="left" w:pos="0"/>
                <w:tab w:val="right" w:pos="5760"/>
                <w:tab w:val="right" w:pos="7200"/>
                <w:tab w:val="right" w:pos="8640"/>
              </w:tabs>
              <w:jc w:val="right"/>
              <w:rPr>
                <w:rFonts w:ascii="Arial" w:hAnsi="Arial" w:cs="Arial"/>
                <w:b/>
                <w:sz w:val="18"/>
                <w:szCs w:val="18"/>
                <w:lang w:val="en-IE"/>
              </w:rPr>
            </w:pPr>
          </w:p>
        </w:tc>
        <w:tc>
          <w:tcPr>
            <w:tcW w:w="992" w:type="dxa"/>
            <w:shd w:val="clear" w:color="auto" w:fill="auto"/>
            <w:vAlign w:val="bottom"/>
          </w:tcPr>
          <w:p w:rsidR="00115023" w:rsidRPr="005B1DE1" w:rsidRDefault="00BF36CD" w:rsidP="00115023">
            <w:pPr>
              <w:tabs>
                <w:tab w:val="left" w:pos="0"/>
                <w:tab w:val="right" w:pos="5760"/>
                <w:tab w:val="right" w:pos="7200"/>
                <w:tab w:val="right" w:pos="8640"/>
              </w:tabs>
              <w:jc w:val="right"/>
              <w:rPr>
                <w:rFonts w:ascii="Arial" w:hAnsi="Arial" w:cs="Arial"/>
                <w:b/>
                <w:sz w:val="18"/>
                <w:szCs w:val="18"/>
                <w:lang w:val="en-IE"/>
              </w:rPr>
            </w:pPr>
            <w:r w:rsidRPr="005B1DE1">
              <w:rPr>
                <w:rFonts w:ascii="Arial" w:hAnsi="Arial" w:cs="Arial"/>
                <w:b/>
                <w:color w:val="000000"/>
                <w:spacing w:val="-5"/>
                <w:sz w:val="18"/>
                <w:szCs w:val="18"/>
              </w:rPr>
              <w:t>(2,252)</w:t>
            </w:r>
          </w:p>
        </w:tc>
      </w:tr>
      <w:tr w:rsidR="00115023" w:rsidRPr="00040E7D" w:rsidTr="00027DF8">
        <w:trPr>
          <w:trHeight w:val="428"/>
        </w:trPr>
        <w:tc>
          <w:tcPr>
            <w:tcW w:w="5812" w:type="dxa"/>
            <w:tcBorders>
              <w:top w:val="single" w:sz="4" w:space="0" w:color="auto"/>
              <w:bottom w:val="single" w:sz="12" w:space="0" w:color="auto"/>
            </w:tcBorders>
          </w:tcPr>
          <w:p w:rsidR="00115023" w:rsidRPr="006010C1" w:rsidRDefault="00115023" w:rsidP="00115023">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b/>
                <w:sz w:val="18"/>
                <w:szCs w:val="18"/>
                <w:lang w:val="en-IE"/>
              </w:rPr>
              <w:t>Total liabilities as reported on the Consolidated Statement of Financial Position</w:t>
            </w:r>
          </w:p>
        </w:tc>
        <w:tc>
          <w:tcPr>
            <w:tcW w:w="1134" w:type="dxa"/>
            <w:tcBorders>
              <w:top w:val="single" w:sz="4" w:space="0" w:color="auto"/>
              <w:bottom w:val="single" w:sz="12" w:space="0" w:color="auto"/>
            </w:tcBorders>
            <w:vAlign w:val="bottom"/>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Borders>
              <w:top w:val="single" w:sz="4" w:space="0" w:color="auto"/>
              <w:bottom w:val="single" w:sz="12" w:space="0" w:color="auto"/>
            </w:tcBorders>
            <w:vAlign w:val="bottom"/>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Borders>
              <w:top w:val="single" w:sz="4" w:space="0" w:color="auto"/>
              <w:bottom w:val="single" w:sz="12" w:space="0" w:color="auto"/>
            </w:tcBorders>
            <w:vAlign w:val="bottom"/>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tcBorders>
              <w:top w:val="single" w:sz="4" w:space="0" w:color="auto"/>
              <w:bottom w:val="single" w:sz="12" w:space="0" w:color="auto"/>
            </w:tcBorders>
            <w:shd w:val="clear" w:color="auto" w:fill="auto"/>
            <w:vAlign w:val="bottom"/>
          </w:tcPr>
          <w:p w:rsidR="00115023" w:rsidRPr="005B1DE1" w:rsidRDefault="00115023" w:rsidP="00115023">
            <w:pPr>
              <w:tabs>
                <w:tab w:val="left" w:pos="0"/>
                <w:tab w:val="right" w:pos="5760"/>
                <w:tab w:val="right" w:pos="7200"/>
                <w:tab w:val="right" w:pos="8640"/>
              </w:tabs>
              <w:jc w:val="right"/>
              <w:rPr>
                <w:rFonts w:ascii="Arial" w:hAnsi="Arial" w:cs="Arial"/>
                <w:b/>
                <w:sz w:val="18"/>
                <w:szCs w:val="18"/>
                <w:lang w:val="en-IE"/>
              </w:rPr>
            </w:pPr>
            <w:r w:rsidRPr="005B1DE1">
              <w:rPr>
                <w:rFonts w:ascii="Arial" w:hAnsi="Arial" w:cs="Arial"/>
                <w:b/>
                <w:color w:val="000000"/>
                <w:spacing w:val="-5"/>
                <w:sz w:val="18"/>
                <w:szCs w:val="18"/>
              </w:rPr>
              <w:t>(26,647)</w:t>
            </w:r>
          </w:p>
        </w:tc>
      </w:tr>
      <w:tr w:rsidR="00872019" w:rsidRPr="00040E7D" w:rsidTr="005F086E">
        <w:trPr>
          <w:trHeight w:hRule="exact" w:val="310"/>
        </w:trPr>
        <w:tc>
          <w:tcPr>
            <w:tcW w:w="5812" w:type="dxa"/>
            <w:tcBorders>
              <w:top w:val="single" w:sz="12" w:space="0" w:color="auto"/>
            </w:tcBorders>
          </w:tcPr>
          <w:p w:rsidR="00872019" w:rsidRDefault="00872019" w:rsidP="00872019">
            <w:pPr>
              <w:tabs>
                <w:tab w:val="left" w:pos="0"/>
                <w:tab w:val="right" w:pos="5760"/>
                <w:tab w:val="right" w:pos="7200"/>
                <w:tab w:val="right" w:pos="8640"/>
              </w:tabs>
              <w:jc w:val="both"/>
              <w:rPr>
                <w:rFonts w:ascii="Arial" w:hAnsi="Arial" w:cs="Arial"/>
                <w:sz w:val="18"/>
                <w:szCs w:val="18"/>
                <w:lang w:val="en-IE"/>
              </w:rPr>
            </w:pPr>
          </w:p>
          <w:p w:rsidR="00890B39" w:rsidRDefault="00890B39" w:rsidP="00872019">
            <w:pPr>
              <w:tabs>
                <w:tab w:val="left" w:pos="0"/>
                <w:tab w:val="right" w:pos="5760"/>
                <w:tab w:val="right" w:pos="7200"/>
                <w:tab w:val="right" w:pos="8640"/>
              </w:tabs>
              <w:jc w:val="both"/>
              <w:rPr>
                <w:rFonts w:ascii="Arial" w:hAnsi="Arial" w:cs="Arial"/>
                <w:sz w:val="18"/>
                <w:szCs w:val="18"/>
                <w:lang w:val="en-IE"/>
              </w:rPr>
            </w:pPr>
          </w:p>
          <w:p w:rsidR="00890B39" w:rsidRDefault="00890B39" w:rsidP="00872019">
            <w:pPr>
              <w:tabs>
                <w:tab w:val="left" w:pos="0"/>
                <w:tab w:val="right" w:pos="5760"/>
                <w:tab w:val="right" w:pos="7200"/>
                <w:tab w:val="right" w:pos="8640"/>
              </w:tabs>
              <w:jc w:val="both"/>
              <w:rPr>
                <w:rFonts w:ascii="Arial" w:hAnsi="Arial" w:cs="Arial"/>
                <w:sz w:val="18"/>
                <w:szCs w:val="18"/>
                <w:lang w:val="en-IE"/>
              </w:rPr>
            </w:pPr>
          </w:p>
          <w:p w:rsidR="00890B39" w:rsidRPr="006010C1" w:rsidRDefault="00890B39" w:rsidP="00872019">
            <w:pPr>
              <w:tabs>
                <w:tab w:val="left" w:pos="0"/>
                <w:tab w:val="right" w:pos="5760"/>
                <w:tab w:val="right" w:pos="7200"/>
                <w:tab w:val="right" w:pos="8640"/>
              </w:tabs>
              <w:jc w:val="both"/>
              <w:rPr>
                <w:rFonts w:ascii="Arial" w:hAnsi="Arial" w:cs="Arial"/>
                <w:sz w:val="18"/>
                <w:szCs w:val="18"/>
                <w:lang w:val="en-IE"/>
              </w:rPr>
            </w:pPr>
          </w:p>
        </w:tc>
        <w:tc>
          <w:tcPr>
            <w:tcW w:w="1134" w:type="dxa"/>
            <w:tcBorders>
              <w:top w:val="single" w:sz="12" w:space="0" w:color="auto"/>
            </w:tcBorders>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Borders>
              <w:top w:val="single" w:sz="12" w:space="0" w:color="auto"/>
            </w:tcBorders>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3" w:type="dxa"/>
            <w:tcBorders>
              <w:top w:val="single" w:sz="12" w:space="0" w:color="auto"/>
            </w:tcBorders>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2" w:type="dxa"/>
            <w:tcBorders>
              <w:top w:val="single" w:sz="12" w:space="0" w:color="auto"/>
            </w:tcBorders>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872019" w:rsidRPr="00040E7D" w:rsidTr="005F086E">
        <w:trPr>
          <w:trHeight w:hRule="exact" w:val="310"/>
        </w:trPr>
        <w:tc>
          <w:tcPr>
            <w:tcW w:w="5812" w:type="dxa"/>
          </w:tcPr>
          <w:p w:rsidR="00E26C98" w:rsidRPr="006010C1" w:rsidRDefault="00E26C98" w:rsidP="00872019">
            <w:pPr>
              <w:tabs>
                <w:tab w:val="left" w:pos="0"/>
                <w:tab w:val="right" w:pos="5760"/>
                <w:tab w:val="right" w:pos="7200"/>
                <w:tab w:val="right" w:pos="8640"/>
              </w:tabs>
              <w:jc w:val="both"/>
              <w:rPr>
                <w:rFonts w:ascii="Arial" w:hAnsi="Arial" w:cs="Arial"/>
                <w:sz w:val="18"/>
                <w:szCs w:val="18"/>
                <w:lang w:val="en-IE"/>
              </w:rPr>
            </w:pP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E26C98" w:rsidRPr="00040E7D" w:rsidTr="00990E8D">
        <w:trPr>
          <w:trHeight w:hRule="exact" w:val="310"/>
        </w:trPr>
        <w:tc>
          <w:tcPr>
            <w:tcW w:w="5812" w:type="dxa"/>
          </w:tcPr>
          <w:p w:rsidR="00E26C98" w:rsidRDefault="00E26C98" w:rsidP="00872019">
            <w:pPr>
              <w:tabs>
                <w:tab w:val="left" w:pos="0"/>
                <w:tab w:val="right" w:pos="5760"/>
                <w:tab w:val="right" w:pos="7200"/>
                <w:tab w:val="right" w:pos="8640"/>
              </w:tabs>
              <w:jc w:val="both"/>
              <w:rPr>
                <w:rFonts w:ascii="Arial" w:hAnsi="Arial" w:cs="Arial"/>
                <w:sz w:val="18"/>
                <w:szCs w:val="18"/>
                <w:lang w:val="en-IE"/>
              </w:rPr>
            </w:pPr>
          </w:p>
        </w:tc>
        <w:tc>
          <w:tcPr>
            <w:tcW w:w="1134" w:type="dxa"/>
          </w:tcPr>
          <w:p w:rsidR="00E26C98" w:rsidRPr="006010C1" w:rsidRDefault="00E26C98" w:rsidP="00872019">
            <w:pPr>
              <w:tabs>
                <w:tab w:val="left" w:pos="0"/>
                <w:tab w:val="right" w:pos="5760"/>
                <w:tab w:val="right" w:pos="7200"/>
                <w:tab w:val="right" w:pos="8640"/>
              </w:tabs>
              <w:jc w:val="right"/>
              <w:rPr>
                <w:rFonts w:ascii="Arial" w:hAnsi="Arial" w:cs="Arial"/>
                <w:sz w:val="18"/>
                <w:szCs w:val="18"/>
                <w:lang w:val="en-IE"/>
              </w:rPr>
            </w:pPr>
          </w:p>
        </w:tc>
        <w:tc>
          <w:tcPr>
            <w:tcW w:w="1559" w:type="dxa"/>
          </w:tcPr>
          <w:p w:rsidR="00E26C98" w:rsidRPr="006010C1" w:rsidRDefault="00E26C98" w:rsidP="00872019">
            <w:pPr>
              <w:tabs>
                <w:tab w:val="left" w:pos="0"/>
                <w:tab w:val="right" w:pos="5760"/>
                <w:tab w:val="right" w:pos="7200"/>
                <w:tab w:val="right" w:pos="8640"/>
              </w:tabs>
              <w:jc w:val="right"/>
              <w:rPr>
                <w:rFonts w:ascii="Arial" w:hAnsi="Arial" w:cs="Arial"/>
                <w:sz w:val="18"/>
                <w:szCs w:val="18"/>
                <w:lang w:val="en-IE"/>
              </w:rPr>
            </w:pPr>
          </w:p>
        </w:tc>
        <w:tc>
          <w:tcPr>
            <w:tcW w:w="993" w:type="dxa"/>
          </w:tcPr>
          <w:p w:rsidR="00E26C98" w:rsidRPr="006010C1" w:rsidRDefault="00E26C98" w:rsidP="00872019">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E26C98" w:rsidRPr="006010C1" w:rsidRDefault="00E26C98" w:rsidP="00872019">
            <w:pPr>
              <w:tabs>
                <w:tab w:val="left" w:pos="0"/>
                <w:tab w:val="right" w:pos="5760"/>
                <w:tab w:val="right" w:pos="7200"/>
                <w:tab w:val="right" w:pos="8640"/>
              </w:tabs>
              <w:jc w:val="right"/>
              <w:rPr>
                <w:rFonts w:ascii="Arial" w:hAnsi="Arial" w:cs="Arial"/>
                <w:sz w:val="18"/>
                <w:szCs w:val="18"/>
                <w:lang w:val="en-IE"/>
              </w:rPr>
            </w:pPr>
          </w:p>
        </w:tc>
      </w:tr>
      <w:tr w:rsidR="00872019" w:rsidRPr="00040E7D" w:rsidTr="005F086E">
        <w:trPr>
          <w:trHeight w:hRule="exact" w:val="310"/>
        </w:trPr>
        <w:tc>
          <w:tcPr>
            <w:tcW w:w="5812" w:type="dxa"/>
          </w:tcPr>
          <w:p w:rsidR="00872019" w:rsidRPr="006010C1" w:rsidRDefault="00872019" w:rsidP="00872019">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lang w:val="en-IE"/>
              </w:rPr>
              <w:t>The 201</w:t>
            </w:r>
            <w:r w:rsidR="00115023">
              <w:rPr>
                <w:rFonts w:ascii="Arial" w:hAnsi="Arial" w:cs="Arial"/>
                <w:sz w:val="18"/>
                <w:szCs w:val="18"/>
                <w:lang w:val="en-IE"/>
              </w:rPr>
              <w:t>6</w:t>
            </w:r>
            <w:r w:rsidRPr="006010C1">
              <w:rPr>
                <w:rFonts w:ascii="Arial" w:hAnsi="Arial" w:cs="Arial"/>
                <w:sz w:val="18"/>
                <w:szCs w:val="18"/>
                <w:lang w:val="en-IE"/>
              </w:rPr>
              <w:t xml:space="preserve"> comparatives are as follows:</w:t>
            </w: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Independent</w:t>
            </w: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872019" w:rsidRPr="00040E7D" w:rsidTr="005F086E">
        <w:trPr>
          <w:trHeight w:hRule="exact" w:val="310"/>
        </w:trPr>
        <w:tc>
          <w:tcPr>
            <w:tcW w:w="5812" w:type="dxa"/>
          </w:tcPr>
          <w:p w:rsidR="00872019" w:rsidRPr="006010C1" w:rsidRDefault="00872019" w:rsidP="00872019">
            <w:pPr>
              <w:tabs>
                <w:tab w:val="left" w:pos="0"/>
                <w:tab w:val="right" w:pos="5760"/>
                <w:tab w:val="right" w:pos="7200"/>
                <w:tab w:val="right" w:pos="8640"/>
              </w:tabs>
              <w:rPr>
                <w:rFonts w:ascii="Arial" w:hAnsi="Arial" w:cs="Arial"/>
                <w:sz w:val="18"/>
                <w:szCs w:val="18"/>
                <w:lang w:val="en-IE"/>
              </w:rPr>
            </w:pP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wealth</w:t>
            </w: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Group /</w:t>
            </w:r>
            <w:r w:rsidRPr="006010C1">
              <w:rPr>
                <w:rFonts w:ascii="Arial" w:hAnsi="Arial" w:cs="Arial"/>
                <w:sz w:val="18"/>
                <w:szCs w:val="18"/>
              </w:rPr>
              <w:t xml:space="preserve"> </w:t>
            </w: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872019" w:rsidRPr="00040E7D" w:rsidTr="005F086E">
        <w:trPr>
          <w:trHeight w:hRule="exact" w:val="310"/>
        </w:trPr>
        <w:tc>
          <w:tcPr>
            <w:tcW w:w="5812" w:type="dxa"/>
          </w:tcPr>
          <w:p w:rsidR="00872019" w:rsidRPr="006010C1" w:rsidRDefault="00872019" w:rsidP="00872019">
            <w:pPr>
              <w:tabs>
                <w:tab w:val="left" w:pos="0"/>
                <w:tab w:val="right" w:pos="5760"/>
                <w:tab w:val="right" w:pos="7200"/>
                <w:tab w:val="right" w:pos="8640"/>
              </w:tabs>
              <w:rPr>
                <w:rFonts w:ascii="Arial" w:hAnsi="Arial" w:cs="Arial"/>
                <w:sz w:val="18"/>
                <w:szCs w:val="18"/>
                <w:lang w:val="en-IE"/>
              </w:rPr>
            </w:pP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Platform</w:t>
            </w: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management</w:t>
            </w: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other</w:t>
            </w: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Total</w:t>
            </w:r>
          </w:p>
        </w:tc>
      </w:tr>
      <w:tr w:rsidR="00872019" w:rsidRPr="00040E7D" w:rsidTr="005F086E">
        <w:trPr>
          <w:trHeight w:hRule="exact" w:val="310"/>
        </w:trPr>
        <w:tc>
          <w:tcPr>
            <w:tcW w:w="5812" w:type="dxa"/>
          </w:tcPr>
          <w:p w:rsidR="00872019" w:rsidRPr="006010C1" w:rsidRDefault="00D80045" w:rsidP="00872019">
            <w:pPr>
              <w:tabs>
                <w:tab w:val="left" w:pos="0"/>
                <w:tab w:val="right" w:pos="5760"/>
                <w:tab w:val="right" w:pos="7200"/>
                <w:tab w:val="right" w:pos="8640"/>
              </w:tabs>
              <w:rPr>
                <w:rFonts w:ascii="Arial" w:hAnsi="Arial" w:cs="Arial"/>
                <w:sz w:val="18"/>
                <w:szCs w:val="18"/>
                <w:lang w:val="en-IE"/>
              </w:rPr>
            </w:pPr>
            <w:r w:rsidRPr="006010C1">
              <w:rPr>
                <w:rFonts w:ascii="Arial" w:hAnsi="Arial" w:cs="Arial"/>
                <w:color w:val="1F497D" w:themeColor="text2"/>
                <w:sz w:val="18"/>
                <w:szCs w:val="18"/>
                <w:lang w:val="en-IE"/>
              </w:rPr>
              <w:t>ASSETS</w:t>
            </w: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£’000</w:t>
            </w: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£’000</w:t>
            </w: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£’000</w:t>
            </w: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872019" w:rsidRPr="00040E7D" w:rsidTr="005F086E">
        <w:trPr>
          <w:trHeight w:hRule="exact" w:val="98"/>
        </w:trPr>
        <w:tc>
          <w:tcPr>
            <w:tcW w:w="5812" w:type="dxa"/>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p>
        </w:tc>
        <w:tc>
          <w:tcPr>
            <w:tcW w:w="1134"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3" w:type="dxa"/>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115023" w:rsidRPr="00040E7D" w:rsidTr="005F086E">
        <w:trPr>
          <w:trHeight w:hRule="exact" w:val="310"/>
        </w:trPr>
        <w:tc>
          <w:tcPr>
            <w:tcW w:w="5812" w:type="dxa"/>
          </w:tcPr>
          <w:p w:rsidR="00115023" w:rsidRPr="006010C1" w:rsidRDefault="00115023" w:rsidP="00115023">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sz w:val="18"/>
                <w:szCs w:val="18"/>
                <w:lang w:val="en-IE"/>
              </w:rPr>
              <w:t>Segment assets</w:t>
            </w:r>
          </w:p>
        </w:tc>
        <w:tc>
          <w:tcPr>
            <w:tcW w:w="1134"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77,237</w:t>
            </w:r>
          </w:p>
        </w:tc>
        <w:tc>
          <w:tcPr>
            <w:tcW w:w="1559"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25,716</w:t>
            </w:r>
          </w:p>
        </w:tc>
        <w:tc>
          <w:tcPr>
            <w:tcW w:w="993"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7,497</w:t>
            </w:r>
          </w:p>
        </w:tc>
        <w:tc>
          <w:tcPr>
            <w:tcW w:w="992" w:type="dxa"/>
            <w:shd w:val="clear" w:color="auto" w:fill="auto"/>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110,450</w:t>
            </w:r>
          </w:p>
        </w:tc>
      </w:tr>
      <w:tr w:rsidR="00115023" w:rsidRPr="00040E7D" w:rsidTr="005F086E">
        <w:trPr>
          <w:trHeight w:hRule="exact" w:val="310"/>
        </w:trPr>
        <w:tc>
          <w:tcPr>
            <w:tcW w:w="5812" w:type="dxa"/>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Deferred income tax asset</w:t>
            </w:r>
          </w:p>
        </w:tc>
        <w:tc>
          <w:tcPr>
            <w:tcW w:w="1134" w:type="dxa"/>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9</w:t>
            </w:r>
          </w:p>
        </w:tc>
      </w:tr>
      <w:tr w:rsidR="00115023" w:rsidRPr="00040E7D" w:rsidTr="005F086E">
        <w:trPr>
          <w:trHeight w:hRule="exact" w:val="310"/>
        </w:trPr>
        <w:tc>
          <w:tcPr>
            <w:tcW w:w="5812" w:type="dxa"/>
            <w:tcBorders>
              <w:bottom w:val="single" w:sz="4" w:space="0" w:color="auto"/>
            </w:tcBorders>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Income tax asset</w:t>
            </w:r>
          </w:p>
        </w:tc>
        <w:tc>
          <w:tcPr>
            <w:tcW w:w="1134" w:type="dxa"/>
            <w:tcBorders>
              <w:bottom w:val="single" w:sz="4" w:space="0" w:color="auto"/>
            </w:tcBorders>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Borders>
              <w:bottom w:val="single" w:sz="4"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Borders>
              <w:bottom w:val="single" w:sz="4"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tcBorders>
              <w:bottom w:val="single" w:sz="4" w:space="0" w:color="auto"/>
            </w:tcBorders>
            <w:shd w:val="clear" w:color="auto" w:fill="auto"/>
          </w:tcPr>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w:t>
            </w:r>
          </w:p>
        </w:tc>
      </w:tr>
      <w:tr w:rsidR="00115023" w:rsidRPr="00040E7D" w:rsidTr="005F086E">
        <w:trPr>
          <w:trHeight w:val="342"/>
        </w:trPr>
        <w:tc>
          <w:tcPr>
            <w:tcW w:w="5812" w:type="dxa"/>
            <w:tcBorders>
              <w:top w:val="single" w:sz="4" w:space="0" w:color="auto"/>
              <w:bottom w:val="single" w:sz="12" w:space="0" w:color="auto"/>
            </w:tcBorders>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 xml:space="preserve">Total assets as reported on the Consolidated Statement of </w:t>
            </w:r>
          </w:p>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Financial Position</w:t>
            </w:r>
          </w:p>
        </w:tc>
        <w:tc>
          <w:tcPr>
            <w:tcW w:w="1134" w:type="dxa"/>
            <w:tcBorders>
              <w:top w:val="single" w:sz="4" w:space="0" w:color="auto"/>
              <w:bottom w:val="single" w:sz="12" w:space="0" w:color="auto"/>
            </w:tcBorders>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Borders>
              <w:top w:val="single" w:sz="4" w:space="0" w:color="auto"/>
              <w:bottom w:val="single" w:sz="12"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Borders>
              <w:top w:val="single" w:sz="4" w:space="0" w:color="auto"/>
              <w:bottom w:val="single" w:sz="12"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tcBorders>
              <w:top w:val="single" w:sz="4" w:space="0" w:color="auto"/>
              <w:bottom w:val="single" w:sz="12" w:space="0" w:color="auto"/>
            </w:tcBorders>
            <w:shd w:val="clear" w:color="auto" w:fill="auto"/>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110,459</w:t>
            </w:r>
          </w:p>
        </w:tc>
      </w:tr>
      <w:tr w:rsidR="00115023" w:rsidRPr="00040E7D" w:rsidTr="007C673B">
        <w:trPr>
          <w:trHeight w:hRule="exact" w:val="310"/>
        </w:trPr>
        <w:tc>
          <w:tcPr>
            <w:tcW w:w="5812" w:type="dxa"/>
            <w:tcBorders>
              <w:top w:val="single" w:sz="12" w:space="0" w:color="auto"/>
            </w:tcBorders>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p>
        </w:tc>
        <w:tc>
          <w:tcPr>
            <w:tcW w:w="1134" w:type="dxa"/>
            <w:tcBorders>
              <w:top w:val="single" w:sz="12" w:space="0" w:color="auto"/>
            </w:tcBorders>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Borders>
              <w:top w:val="single" w:sz="12"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Borders>
              <w:top w:val="single" w:sz="12"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tcBorders>
              <w:top w:val="single" w:sz="12" w:space="0" w:color="auto"/>
            </w:tcBorders>
            <w:shd w:val="clear" w:color="auto" w:fill="auto"/>
          </w:tcPr>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p>
        </w:tc>
      </w:tr>
      <w:tr w:rsidR="00115023" w:rsidRPr="00040E7D" w:rsidTr="007C673B">
        <w:trPr>
          <w:trHeight w:hRule="exact" w:val="310"/>
        </w:trPr>
        <w:tc>
          <w:tcPr>
            <w:tcW w:w="5812" w:type="dxa"/>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6010C1">
              <w:rPr>
                <w:rFonts w:ascii="Arial" w:hAnsi="Arial" w:cs="Arial"/>
                <w:color w:val="1F497D" w:themeColor="text2"/>
                <w:sz w:val="18"/>
                <w:szCs w:val="18"/>
                <w:lang w:val="en-IE"/>
              </w:rPr>
              <w:t>LIABILITIES</w:t>
            </w:r>
          </w:p>
        </w:tc>
        <w:tc>
          <w:tcPr>
            <w:tcW w:w="1134" w:type="dxa"/>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p>
        </w:tc>
      </w:tr>
      <w:tr w:rsidR="00115023" w:rsidRPr="00040E7D" w:rsidTr="007C673B">
        <w:trPr>
          <w:trHeight w:hRule="exact" w:val="117"/>
        </w:trPr>
        <w:tc>
          <w:tcPr>
            <w:tcW w:w="5812" w:type="dxa"/>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p>
        </w:tc>
        <w:tc>
          <w:tcPr>
            <w:tcW w:w="1134" w:type="dxa"/>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p>
        </w:tc>
      </w:tr>
      <w:tr w:rsidR="00115023" w:rsidRPr="00040E7D" w:rsidTr="007C673B">
        <w:trPr>
          <w:trHeight w:hRule="exact" w:val="310"/>
        </w:trPr>
        <w:tc>
          <w:tcPr>
            <w:tcW w:w="5812" w:type="dxa"/>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u w:val="single"/>
                <w:lang w:val="en-IE"/>
              </w:rPr>
            </w:pPr>
            <w:r w:rsidRPr="006010C1">
              <w:rPr>
                <w:rFonts w:ascii="Arial" w:hAnsi="Arial" w:cs="Arial"/>
                <w:sz w:val="18"/>
                <w:szCs w:val="18"/>
                <w:lang w:val="en-IE"/>
              </w:rPr>
              <w:lastRenderedPageBreak/>
              <w:t>Segment liabilities</w:t>
            </w:r>
          </w:p>
        </w:tc>
        <w:tc>
          <w:tcPr>
            <w:tcW w:w="1134"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(10,177)</w:t>
            </w:r>
          </w:p>
        </w:tc>
        <w:tc>
          <w:tcPr>
            <w:tcW w:w="1559"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(11,417)</w:t>
            </w:r>
          </w:p>
        </w:tc>
        <w:tc>
          <w:tcPr>
            <w:tcW w:w="993"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(4,434)</w:t>
            </w:r>
          </w:p>
        </w:tc>
        <w:tc>
          <w:tcPr>
            <w:tcW w:w="992" w:type="dxa"/>
            <w:shd w:val="clear" w:color="auto" w:fill="auto"/>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(26,028)</w:t>
            </w:r>
          </w:p>
        </w:tc>
      </w:tr>
      <w:tr w:rsidR="00115023" w:rsidRPr="00040E7D" w:rsidTr="007C673B">
        <w:trPr>
          <w:trHeight w:hRule="exact" w:val="310"/>
        </w:trPr>
        <w:tc>
          <w:tcPr>
            <w:tcW w:w="5812" w:type="dxa"/>
          </w:tcPr>
          <w:p w:rsidR="00115023" w:rsidRPr="006010C1" w:rsidRDefault="00BF36CD"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Pr>
                <w:rFonts w:ascii="Arial" w:hAnsi="Arial" w:cs="Arial"/>
                <w:sz w:val="18"/>
                <w:szCs w:val="18"/>
                <w:lang w:val="en-IE"/>
              </w:rPr>
              <w:t>Current income tax liabilities</w:t>
            </w:r>
          </w:p>
        </w:tc>
        <w:tc>
          <w:tcPr>
            <w:tcW w:w="1134" w:type="dxa"/>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(1,902)</w:t>
            </w:r>
          </w:p>
        </w:tc>
      </w:tr>
      <w:tr w:rsidR="00115023" w:rsidRPr="00040E7D" w:rsidTr="007C673B">
        <w:trPr>
          <w:trHeight w:hRule="exact" w:val="310"/>
        </w:trPr>
        <w:tc>
          <w:tcPr>
            <w:tcW w:w="5812" w:type="dxa"/>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u w:val="single"/>
                <w:lang w:val="en-IE"/>
              </w:rPr>
            </w:pPr>
            <w:r w:rsidRPr="006010C1">
              <w:rPr>
                <w:rFonts w:ascii="Arial" w:hAnsi="Arial" w:cs="Arial"/>
                <w:sz w:val="18"/>
                <w:szCs w:val="18"/>
                <w:lang w:val="en-IE"/>
              </w:rPr>
              <w:t>Deferred income tax liabilities</w:t>
            </w:r>
          </w:p>
        </w:tc>
        <w:tc>
          <w:tcPr>
            <w:tcW w:w="1134" w:type="dxa"/>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shd w:val="clear" w:color="auto" w:fill="auto"/>
          </w:tcPr>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(2,323)</w:t>
            </w:r>
          </w:p>
        </w:tc>
      </w:tr>
      <w:tr w:rsidR="00115023" w:rsidRPr="00040E7D" w:rsidTr="007C673B">
        <w:trPr>
          <w:trHeight w:val="291"/>
        </w:trPr>
        <w:tc>
          <w:tcPr>
            <w:tcW w:w="5812" w:type="dxa"/>
            <w:tcBorders>
              <w:top w:val="single" w:sz="4" w:space="0" w:color="auto"/>
              <w:bottom w:val="single" w:sz="12" w:space="0" w:color="auto"/>
            </w:tcBorders>
          </w:tcPr>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 xml:space="preserve">Total liabilities as reported on the Consolidated Statement of </w:t>
            </w:r>
          </w:p>
          <w:p w:rsidR="00115023" w:rsidRPr="006010C1" w:rsidRDefault="00115023" w:rsidP="00115023">
            <w:pPr>
              <w:tabs>
                <w:tab w:val="left" w:pos="0"/>
                <w:tab w:val="right" w:pos="5760"/>
                <w:tab w:val="right" w:pos="7200"/>
                <w:tab w:val="right" w:pos="864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Financial Position</w:t>
            </w:r>
          </w:p>
        </w:tc>
        <w:tc>
          <w:tcPr>
            <w:tcW w:w="1134" w:type="dxa"/>
            <w:tcBorders>
              <w:top w:val="single" w:sz="4" w:space="0" w:color="auto"/>
              <w:bottom w:val="single" w:sz="12" w:space="0" w:color="auto"/>
            </w:tcBorders>
          </w:tcPr>
          <w:p w:rsidR="00115023" w:rsidRPr="001972EA"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1559" w:type="dxa"/>
            <w:tcBorders>
              <w:top w:val="single" w:sz="4" w:space="0" w:color="auto"/>
              <w:bottom w:val="single" w:sz="12"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3" w:type="dxa"/>
            <w:tcBorders>
              <w:top w:val="single" w:sz="4" w:space="0" w:color="auto"/>
              <w:bottom w:val="single" w:sz="12" w:space="0" w:color="auto"/>
            </w:tcBorders>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tc>
        <w:tc>
          <w:tcPr>
            <w:tcW w:w="992" w:type="dxa"/>
            <w:tcBorders>
              <w:top w:val="single" w:sz="4" w:space="0" w:color="auto"/>
              <w:bottom w:val="single" w:sz="12" w:space="0" w:color="auto"/>
            </w:tcBorders>
            <w:shd w:val="clear" w:color="auto" w:fill="auto"/>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p>
          <w:p w:rsidR="00115023" w:rsidRPr="005B1DE1" w:rsidRDefault="00115023" w:rsidP="00115023">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(30,253)</w:t>
            </w:r>
          </w:p>
        </w:tc>
      </w:tr>
      <w:tr w:rsidR="00872019" w:rsidRPr="00040E7D" w:rsidTr="00770B51">
        <w:trPr>
          <w:trHeight w:hRule="exact" w:val="310"/>
        </w:trPr>
        <w:tc>
          <w:tcPr>
            <w:tcW w:w="5812" w:type="dxa"/>
            <w:tcBorders>
              <w:top w:val="single" w:sz="12" w:space="0" w:color="auto"/>
            </w:tcBorders>
          </w:tcPr>
          <w:p w:rsidR="00872019" w:rsidRDefault="00872019" w:rsidP="00872019">
            <w:pPr>
              <w:tabs>
                <w:tab w:val="left" w:pos="0"/>
                <w:tab w:val="right" w:pos="5760"/>
                <w:tab w:val="right" w:pos="7200"/>
                <w:tab w:val="right" w:pos="8640"/>
              </w:tabs>
              <w:autoSpaceDE w:val="0"/>
              <w:autoSpaceDN w:val="0"/>
              <w:adjustRightInd w:val="0"/>
              <w:jc w:val="both"/>
              <w:rPr>
                <w:rFonts w:ascii="Arial" w:hAnsi="Arial" w:cs="Arial"/>
                <w:sz w:val="18"/>
                <w:szCs w:val="18"/>
                <w:lang w:val="en-IE"/>
              </w:rPr>
            </w:pPr>
          </w:p>
          <w:p w:rsidR="00890B39" w:rsidRDefault="00890B39" w:rsidP="00872019">
            <w:pPr>
              <w:tabs>
                <w:tab w:val="left" w:pos="0"/>
                <w:tab w:val="right" w:pos="5760"/>
                <w:tab w:val="right" w:pos="7200"/>
                <w:tab w:val="right" w:pos="8640"/>
              </w:tabs>
              <w:autoSpaceDE w:val="0"/>
              <w:autoSpaceDN w:val="0"/>
              <w:adjustRightInd w:val="0"/>
              <w:jc w:val="both"/>
              <w:rPr>
                <w:rFonts w:ascii="Arial" w:hAnsi="Arial" w:cs="Arial"/>
                <w:sz w:val="18"/>
                <w:szCs w:val="18"/>
                <w:lang w:val="en-IE"/>
              </w:rPr>
            </w:pPr>
          </w:p>
          <w:p w:rsidR="00890B39" w:rsidRPr="006010C1" w:rsidRDefault="00890B39" w:rsidP="00872019">
            <w:pPr>
              <w:tabs>
                <w:tab w:val="left" w:pos="0"/>
                <w:tab w:val="right" w:pos="5760"/>
                <w:tab w:val="right" w:pos="7200"/>
                <w:tab w:val="right" w:pos="8640"/>
              </w:tabs>
              <w:autoSpaceDE w:val="0"/>
              <w:autoSpaceDN w:val="0"/>
              <w:adjustRightInd w:val="0"/>
              <w:jc w:val="both"/>
              <w:rPr>
                <w:rFonts w:ascii="Arial" w:hAnsi="Arial" w:cs="Arial"/>
                <w:sz w:val="18"/>
                <w:szCs w:val="18"/>
                <w:lang w:val="en-IE"/>
              </w:rPr>
            </w:pPr>
          </w:p>
        </w:tc>
        <w:tc>
          <w:tcPr>
            <w:tcW w:w="1134" w:type="dxa"/>
            <w:tcBorders>
              <w:top w:val="single" w:sz="12" w:space="0" w:color="auto"/>
            </w:tcBorders>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Borders>
              <w:top w:val="single" w:sz="12" w:space="0" w:color="auto"/>
            </w:tcBorders>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3" w:type="dxa"/>
            <w:tcBorders>
              <w:top w:val="single" w:sz="12" w:space="0" w:color="auto"/>
            </w:tcBorders>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2" w:type="dxa"/>
            <w:tcBorders>
              <w:top w:val="single" w:sz="12" w:space="0" w:color="auto"/>
            </w:tcBorders>
            <w:shd w:val="clear" w:color="auto" w:fill="auto"/>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p>
        </w:tc>
      </w:tr>
    </w:tbl>
    <w:p w:rsidR="00DB3027" w:rsidRDefault="00DB3027"/>
    <w:p w:rsidR="00341B79" w:rsidRDefault="00341B79"/>
    <w:tbl>
      <w:tblPr>
        <w:tblStyle w:val="TableGrid"/>
        <w:tblW w:w="10490" w:type="dxa"/>
        <w:tblInd w:w="142" w:type="dxa"/>
        <w:tblLayout w:type="fixed"/>
        <w:tblLook w:val="04A0" w:firstRow="1" w:lastRow="0" w:firstColumn="1" w:lastColumn="0" w:noHBand="0" w:noVBand="1"/>
      </w:tblPr>
      <w:tblGrid>
        <w:gridCol w:w="5812"/>
        <w:gridCol w:w="1134"/>
        <w:gridCol w:w="1559"/>
        <w:gridCol w:w="993"/>
        <w:gridCol w:w="992"/>
      </w:tblGrid>
      <w:tr w:rsidR="00872019" w:rsidRPr="00040E7D" w:rsidTr="00027DF8">
        <w:trPr>
          <w:trHeight w:hRule="exact" w:val="310"/>
        </w:trPr>
        <w:tc>
          <w:tcPr>
            <w:tcW w:w="581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b/>
                <w:i/>
                <w:sz w:val="18"/>
                <w:szCs w:val="18"/>
                <w:lang w:val="en-IE"/>
              </w:rPr>
            </w:pPr>
            <w:r w:rsidRPr="006010C1">
              <w:rPr>
                <w:rFonts w:ascii="Arial" w:hAnsi="Arial" w:cs="Arial"/>
                <w:b/>
                <w:bCs/>
                <w:i/>
                <w:color w:val="1F497D" w:themeColor="text2"/>
                <w:sz w:val="18"/>
                <w:szCs w:val="18"/>
                <w:lang w:val="en-IE"/>
              </w:rPr>
              <w:t>Other segmental information - 201</w:t>
            </w:r>
            <w:r w:rsidR="00115023">
              <w:rPr>
                <w:rFonts w:ascii="Arial" w:hAnsi="Arial" w:cs="Arial"/>
                <w:b/>
                <w:bCs/>
                <w:i/>
                <w:color w:val="1F497D" w:themeColor="text2"/>
                <w:sz w:val="18"/>
                <w:szCs w:val="18"/>
                <w:lang w:val="en-IE"/>
              </w:rPr>
              <w:t>7</w:t>
            </w:r>
          </w:p>
        </w:tc>
        <w:tc>
          <w:tcPr>
            <w:tcW w:w="1134"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559"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Independent</w:t>
            </w:r>
          </w:p>
        </w:tc>
        <w:tc>
          <w:tcPr>
            <w:tcW w:w="993"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992" w:type="dxa"/>
            <w:tcBorders>
              <w:top w:val="nil"/>
              <w:left w:val="nil"/>
              <w:bottom w:val="nil"/>
              <w:right w:val="nil"/>
            </w:tcBorders>
            <w:shd w:val="clear" w:color="auto" w:fill="auto"/>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872019" w:rsidRPr="00040E7D" w:rsidTr="00027DF8">
        <w:trPr>
          <w:trHeight w:hRule="exact" w:val="310"/>
        </w:trPr>
        <w:tc>
          <w:tcPr>
            <w:tcW w:w="581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p>
        </w:tc>
        <w:tc>
          <w:tcPr>
            <w:tcW w:w="1134"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p>
        </w:tc>
        <w:tc>
          <w:tcPr>
            <w:tcW w:w="1559"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wealth</w:t>
            </w:r>
          </w:p>
        </w:tc>
        <w:tc>
          <w:tcPr>
            <w:tcW w:w="993"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Group/</w:t>
            </w:r>
          </w:p>
        </w:tc>
        <w:tc>
          <w:tcPr>
            <w:tcW w:w="992" w:type="dxa"/>
            <w:tcBorders>
              <w:top w:val="nil"/>
              <w:left w:val="nil"/>
              <w:bottom w:val="nil"/>
              <w:right w:val="nil"/>
            </w:tcBorders>
            <w:shd w:val="clear" w:color="auto" w:fill="auto"/>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p>
        </w:tc>
      </w:tr>
      <w:tr w:rsidR="00872019" w:rsidRPr="00040E7D" w:rsidTr="00027DF8">
        <w:trPr>
          <w:trHeight w:hRule="exact" w:val="310"/>
        </w:trPr>
        <w:tc>
          <w:tcPr>
            <w:tcW w:w="581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sz w:val="18"/>
                <w:szCs w:val="18"/>
                <w:lang w:val="en-IE"/>
              </w:rPr>
              <w:t xml:space="preserve">                                                                                     </w:t>
            </w:r>
          </w:p>
        </w:tc>
        <w:tc>
          <w:tcPr>
            <w:tcW w:w="1134"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Platform</w:t>
            </w:r>
          </w:p>
        </w:tc>
        <w:tc>
          <w:tcPr>
            <w:tcW w:w="1559"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management</w:t>
            </w:r>
          </w:p>
        </w:tc>
        <w:tc>
          <w:tcPr>
            <w:tcW w:w="993"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other</w:t>
            </w:r>
          </w:p>
        </w:tc>
        <w:tc>
          <w:tcPr>
            <w:tcW w:w="992" w:type="dxa"/>
            <w:tcBorders>
              <w:top w:val="nil"/>
              <w:left w:val="nil"/>
              <w:bottom w:val="nil"/>
              <w:right w:val="nil"/>
            </w:tcBorders>
            <w:shd w:val="clear" w:color="auto" w:fill="auto"/>
            <w:vAlign w:val="center"/>
          </w:tcPr>
          <w:p w:rsidR="00872019" w:rsidRPr="006010C1" w:rsidRDefault="00872019" w:rsidP="00872019">
            <w:pPr>
              <w:tabs>
                <w:tab w:val="left" w:pos="0"/>
                <w:tab w:val="right" w:pos="5760"/>
                <w:tab w:val="right" w:pos="7200"/>
                <w:tab w:val="right" w:pos="8640"/>
              </w:tabs>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Total</w:t>
            </w:r>
          </w:p>
        </w:tc>
      </w:tr>
      <w:tr w:rsidR="00872019" w:rsidRPr="00040E7D" w:rsidTr="00027DF8">
        <w:trPr>
          <w:trHeight w:hRule="exact" w:val="310"/>
        </w:trPr>
        <w:tc>
          <w:tcPr>
            <w:tcW w:w="5812"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p>
        </w:tc>
        <w:tc>
          <w:tcPr>
            <w:tcW w:w="1134"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559"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993"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992" w:type="dxa"/>
            <w:tcBorders>
              <w:top w:val="nil"/>
              <w:left w:val="nil"/>
              <w:bottom w:val="single" w:sz="4" w:space="0" w:color="auto"/>
              <w:right w:val="nil"/>
            </w:tcBorders>
            <w:shd w:val="clear" w:color="auto" w:fill="auto"/>
            <w:vAlign w:val="center"/>
          </w:tcPr>
          <w:p w:rsidR="00872019" w:rsidRPr="006010C1" w:rsidRDefault="00872019" w:rsidP="00872019">
            <w:pPr>
              <w:tabs>
                <w:tab w:val="left" w:pos="0"/>
                <w:tab w:val="right" w:pos="5760"/>
                <w:tab w:val="right" w:pos="7200"/>
                <w:tab w:val="right" w:pos="8640"/>
              </w:tabs>
              <w:autoSpaceDE w:val="0"/>
              <w:autoSpaceDN w:val="0"/>
              <w:adjustRightInd w:val="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r>
      <w:tr w:rsidR="00115023" w:rsidRPr="00040E7D" w:rsidTr="00027DF8">
        <w:trPr>
          <w:trHeight w:hRule="exact" w:val="310"/>
        </w:trPr>
        <w:tc>
          <w:tcPr>
            <w:tcW w:w="5812" w:type="dxa"/>
            <w:tcBorders>
              <w:top w:val="single" w:sz="4" w:space="0" w:color="auto"/>
              <w:left w:val="nil"/>
              <w:bottom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Property, plant and equipment - additions                     </w:t>
            </w:r>
          </w:p>
        </w:tc>
        <w:tc>
          <w:tcPr>
            <w:tcW w:w="1134" w:type="dxa"/>
            <w:tcBorders>
              <w:top w:val="single" w:sz="4" w:space="0" w:color="auto"/>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586</w:t>
            </w:r>
          </w:p>
        </w:tc>
        <w:tc>
          <w:tcPr>
            <w:tcW w:w="1559" w:type="dxa"/>
            <w:tcBorders>
              <w:top w:val="single" w:sz="4" w:space="0" w:color="auto"/>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1,011</w:t>
            </w:r>
          </w:p>
        </w:tc>
        <w:tc>
          <w:tcPr>
            <w:tcW w:w="993" w:type="dxa"/>
            <w:tcBorders>
              <w:top w:val="single" w:sz="4" w:space="0" w:color="auto"/>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25</w:t>
            </w:r>
          </w:p>
        </w:tc>
        <w:tc>
          <w:tcPr>
            <w:tcW w:w="992" w:type="dxa"/>
            <w:tcBorders>
              <w:top w:val="single" w:sz="4" w:space="0" w:color="auto"/>
              <w:left w:val="nil"/>
              <w:bottom w:val="nil"/>
              <w:right w:val="nil"/>
            </w:tcBorders>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1,622</w:t>
            </w:r>
          </w:p>
        </w:tc>
      </w:tr>
      <w:tr w:rsidR="00115023" w:rsidRPr="00040E7D" w:rsidTr="00027DF8">
        <w:trPr>
          <w:trHeight w:hRule="exact" w:val="310"/>
        </w:trPr>
        <w:tc>
          <w:tcPr>
            <w:tcW w:w="5812" w:type="dxa"/>
            <w:tcBorders>
              <w:top w:val="nil"/>
              <w:left w:val="nil"/>
              <w:bottom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Intangible assets - additions                                          </w:t>
            </w:r>
          </w:p>
        </w:tc>
        <w:tc>
          <w:tcPr>
            <w:tcW w:w="1134"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1,974</w:t>
            </w:r>
          </w:p>
        </w:tc>
        <w:tc>
          <w:tcPr>
            <w:tcW w:w="1559"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792</w:t>
            </w:r>
          </w:p>
        </w:tc>
        <w:tc>
          <w:tcPr>
            <w:tcW w:w="993"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992" w:type="dxa"/>
            <w:tcBorders>
              <w:top w:val="nil"/>
              <w:left w:val="nil"/>
              <w:bottom w:val="nil"/>
              <w:right w:val="nil"/>
            </w:tcBorders>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2,766</w:t>
            </w:r>
          </w:p>
        </w:tc>
      </w:tr>
      <w:tr w:rsidR="00115023" w:rsidRPr="00040E7D" w:rsidTr="00027DF8">
        <w:trPr>
          <w:trHeight w:hRule="exact" w:val="310"/>
        </w:trPr>
        <w:tc>
          <w:tcPr>
            <w:tcW w:w="5812" w:type="dxa"/>
            <w:tcBorders>
              <w:top w:val="nil"/>
              <w:left w:val="nil"/>
              <w:bottom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Property, plant and equipment - depreciation                </w:t>
            </w:r>
          </w:p>
        </w:tc>
        <w:tc>
          <w:tcPr>
            <w:tcW w:w="1134"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(819)</w:t>
            </w:r>
          </w:p>
        </w:tc>
        <w:tc>
          <w:tcPr>
            <w:tcW w:w="1559"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(327)</w:t>
            </w:r>
          </w:p>
        </w:tc>
        <w:tc>
          <w:tcPr>
            <w:tcW w:w="993"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(120)</w:t>
            </w:r>
          </w:p>
        </w:tc>
        <w:tc>
          <w:tcPr>
            <w:tcW w:w="992" w:type="dxa"/>
            <w:tcBorders>
              <w:top w:val="nil"/>
              <w:left w:val="nil"/>
              <w:bottom w:val="nil"/>
              <w:right w:val="nil"/>
            </w:tcBorders>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(1,266)</w:t>
            </w:r>
          </w:p>
        </w:tc>
      </w:tr>
      <w:tr w:rsidR="00115023" w:rsidRPr="00040E7D" w:rsidTr="00027DF8">
        <w:trPr>
          <w:trHeight w:hRule="exact" w:val="310"/>
        </w:trPr>
        <w:tc>
          <w:tcPr>
            <w:tcW w:w="5812" w:type="dxa"/>
            <w:tcBorders>
              <w:top w:val="nil"/>
              <w:left w:val="nil"/>
              <w:bottom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Intangible assets - amortisation                                     </w:t>
            </w:r>
          </w:p>
        </w:tc>
        <w:tc>
          <w:tcPr>
            <w:tcW w:w="1134"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(1,570)</w:t>
            </w:r>
          </w:p>
        </w:tc>
        <w:tc>
          <w:tcPr>
            <w:tcW w:w="1559"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(41</w:t>
            </w:r>
            <w:r w:rsidR="00617E9F">
              <w:rPr>
                <w:rFonts w:ascii="Arial" w:hAnsi="Arial" w:cs="Arial"/>
                <w:b/>
                <w:color w:val="000000"/>
                <w:spacing w:val="-5"/>
                <w:sz w:val="18"/>
                <w:szCs w:val="18"/>
              </w:rPr>
              <w:t>3</w:t>
            </w:r>
            <w:r w:rsidRPr="005B1DE1">
              <w:rPr>
                <w:rFonts w:ascii="Arial" w:hAnsi="Arial" w:cs="Arial"/>
                <w:b/>
                <w:color w:val="000000"/>
                <w:spacing w:val="-5"/>
                <w:sz w:val="18"/>
                <w:szCs w:val="18"/>
              </w:rPr>
              <w:t>)</w:t>
            </w:r>
          </w:p>
        </w:tc>
        <w:tc>
          <w:tcPr>
            <w:tcW w:w="993" w:type="dxa"/>
            <w:tcBorders>
              <w:top w:val="nil"/>
              <w:left w:val="nil"/>
              <w:bottom w:val="nil"/>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992" w:type="dxa"/>
            <w:tcBorders>
              <w:top w:val="nil"/>
              <w:left w:val="nil"/>
              <w:bottom w:val="nil"/>
              <w:right w:val="nil"/>
            </w:tcBorders>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(1,983)</w:t>
            </w:r>
          </w:p>
        </w:tc>
      </w:tr>
      <w:tr w:rsidR="00115023" w:rsidRPr="00040E7D" w:rsidTr="00027DF8">
        <w:trPr>
          <w:trHeight w:hRule="exact" w:val="310"/>
        </w:trPr>
        <w:tc>
          <w:tcPr>
            <w:tcW w:w="5812" w:type="dxa"/>
            <w:tcBorders>
              <w:top w:val="nil"/>
              <w:left w:val="nil"/>
              <w:bottom w:val="single" w:sz="4" w:space="0" w:color="auto"/>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rPr>
            </w:pPr>
            <w:r w:rsidRPr="006010C1">
              <w:rPr>
                <w:rFonts w:ascii="Arial" w:hAnsi="Arial" w:cs="Arial"/>
                <w:sz w:val="18"/>
                <w:szCs w:val="18"/>
              </w:rPr>
              <w:t>Acquired intangible assets – amortisation</w:t>
            </w:r>
          </w:p>
        </w:tc>
        <w:tc>
          <w:tcPr>
            <w:tcW w:w="1134" w:type="dxa"/>
            <w:tcBorders>
              <w:top w:val="nil"/>
              <w:left w:val="nil"/>
              <w:bottom w:val="single" w:sz="4" w:space="0" w:color="auto"/>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(2,137)</w:t>
            </w:r>
          </w:p>
        </w:tc>
        <w:tc>
          <w:tcPr>
            <w:tcW w:w="1559" w:type="dxa"/>
            <w:tcBorders>
              <w:top w:val="nil"/>
              <w:left w:val="nil"/>
              <w:bottom w:val="single" w:sz="4" w:space="0" w:color="auto"/>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993" w:type="dxa"/>
            <w:tcBorders>
              <w:top w:val="nil"/>
              <w:left w:val="nil"/>
              <w:bottom w:val="single" w:sz="4" w:space="0" w:color="auto"/>
              <w:right w:val="nil"/>
            </w:tcBorders>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992" w:type="dxa"/>
            <w:tcBorders>
              <w:top w:val="nil"/>
              <w:left w:val="nil"/>
              <w:bottom w:val="single" w:sz="4" w:space="0" w:color="auto"/>
              <w:right w:val="nil"/>
            </w:tcBorders>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(2,137)</w:t>
            </w:r>
          </w:p>
        </w:tc>
      </w:tr>
      <w:tr w:rsidR="00115023" w:rsidRPr="00040E7D" w:rsidTr="00115023">
        <w:trPr>
          <w:trHeight w:hRule="exact" w:val="665"/>
        </w:trPr>
        <w:tc>
          <w:tcPr>
            <w:tcW w:w="10490" w:type="dxa"/>
            <w:gridSpan w:val="5"/>
            <w:tcBorders>
              <w:top w:val="single" w:sz="4" w:space="0" w:color="auto"/>
              <w:left w:val="nil"/>
              <w:bottom w:val="nil"/>
              <w:right w:val="nil"/>
            </w:tcBorders>
            <w:vAlign w:val="center"/>
          </w:tcPr>
          <w:p w:rsidR="00115023" w:rsidRPr="001972EA" w:rsidRDefault="00115023" w:rsidP="005B1DE1">
            <w:pPr>
              <w:tabs>
                <w:tab w:val="left" w:pos="0"/>
                <w:tab w:val="right" w:pos="5760"/>
                <w:tab w:val="right" w:pos="7200"/>
                <w:tab w:val="right" w:pos="8640"/>
              </w:tabs>
              <w:rPr>
                <w:rFonts w:ascii="Arial" w:hAnsi="Arial" w:cs="Arial"/>
                <w:sz w:val="18"/>
                <w:szCs w:val="18"/>
                <w:lang w:val="en-IE"/>
              </w:rPr>
            </w:pPr>
          </w:p>
          <w:p w:rsidR="00115023" w:rsidRPr="001972EA" w:rsidRDefault="00115023" w:rsidP="005B1DE1">
            <w:pPr>
              <w:tabs>
                <w:tab w:val="left" w:pos="0"/>
                <w:tab w:val="right" w:pos="5760"/>
                <w:tab w:val="right" w:pos="7200"/>
                <w:tab w:val="right" w:pos="8640"/>
              </w:tabs>
              <w:rPr>
                <w:rFonts w:ascii="Arial" w:hAnsi="Arial" w:cs="Arial"/>
                <w:sz w:val="18"/>
                <w:szCs w:val="18"/>
                <w:lang w:val="en-IE"/>
              </w:rPr>
            </w:pPr>
            <w:r w:rsidRPr="005B1DE1">
              <w:rPr>
                <w:rFonts w:ascii="Arial" w:hAnsi="Arial" w:cs="Arial"/>
                <w:color w:val="000000"/>
                <w:spacing w:val="-2"/>
                <w:sz w:val="18"/>
                <w:szCs w:val="18"/>
              </w:rPr>
              <w:t>Included In depreciation for the year were £54,000 of costs relating to the Dublin head office closure which were treated as exceptional costs</w:t>
            </w:r>
          </w:p>
        </w:tc>
      </w:tr>
      <w:tr w:rsidR="00872019" w:rsidRPr="00040E7D" w:rsidTr="006010C1">
        <w:trPr>
          <w:trHeight w:hRule="exact" w:val="310"/>
        </w:trPr>
        <w:tc>
          <w:tcPr>
            <w:tcW w:w="581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p>
        </w:tc>
        <w:tc>
          <w:tcPr>
            <w:tcW w:w="1134"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3"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872019" w:rsidRPr="00040E7D" w:rsidTr="0060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sz w:val="18"/>
                <w:szCs w:val="18"/>
                <w:lang w:val="en-IE"/>
              </w:rPr>
              <w:t>The 201</w:t>
            </w:r>
            <w:r w:rsidR="00115023">
              <w:rPr>
                <w:rFonts w:ascii="Arial" w:hAnsi="Arial" w:cs="Arial"/>
                <w:sz w:val="18"/>
                <w:szCs w:val="18"/>
                <w:lang w:val="en-IE"/>
              </w:rPr>
              <w:t>6</w:t>
            </w:r>
            <w:r w:rsidRPr="006010C1">
              <w:rPr>
                <w:rFonts w:ascii="Arial" w:hAnsi="Arial" w:cs="Arial"/>
                <w:sz w:val="18"/>
                <w:szCs w:val="18"/>
                <w:lang w:val="en-IE"/>
              </w:rPr>
              <w:t xml:space="preserve"> comparatives are as follows:</w:t>
            </w:r>
          </w:p>
        </w:tc>
        <w:tc>
          <w:tcPr>
            <w:tcW w:w="1134"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Independent</w:t>
            </w:r>
          </w:p>
        </w:tc>
        <w:tc>
          <w:tcPr>
            <w:tcW w:w="993"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992" w:type="dxa"/>
            <w:tcBorders>
              <w:top w:val="nil"/>
              <w:left w:val="nil"/>
              <w:bottom w:val="nil"/>
              <w:right w:val="nil"/>
            </w:tcBorders>
            <w:shd w:val="clear" w:color="auto" w:fill="auto"/>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872019" w:rsidRPr="00040E7D" w:rsidTr="0060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p>
        </w:tc>
        <w:tc>
          <w:tcPr>
            <w:tcW w:w="1134"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c>
          <w:tcPr>
            <w:tcW w:w="1559"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wealth</w:t>
            </w:r>
          </w:p>
        </w:tc>
        <w:tc>
          <w:tcPr>
            <w:tcW w:w="993"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Group/</w:t>
            </w:r>
          </w:p>
        </w:tc>
        <w:tc>
          <w:tcPr>
            <w:tcW w:w="992" w:type="dxa"/>
            <w:tcBorders>
              <w:top w:val="nil"/>
              <w:left w:val="nil"/>
              <w:bottom w:val="nil"/>
              <w:right w:val="nil"/>
            </w:tcBorders>
            <w:shd w:val="clear" w:color="auto" w:fill="auto"/>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p>
        </w:tc>
      </w:tr>
      <w:tr w:rsidR="00872019" w:rsidRPr="00040E7D" w:rsidTr="0060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r w:rsidRPr="006010C1">
              <w:rPr>
                <w:rFonts w:ascii="Arial" w:hAnsi="Arial" w:cs="Arial"/>
                <w:sz w:val="18"/>
                <w:szCs w:val="18"/>
                <w:lang w:val="en-IE"/>
              </w:rPr>
              <w:t xml:space="preserve">                                                                                     </w:t>
            </w:r>
          </w:p>
        </w:tc>
        <w:tc>
          <w:tcPr>
            <w:tcW w:w="1134"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Platform</w:t>
            </w:r>
          </w:p>
        </w:tc>
        <w:tc>
          <w:tcPr>
            <w:tcW w:w="1559"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management</w:t>
            </w:r>
          </w:p>
        </w:tc>
        <w:tc>
          <w:tcPr>
            <w:tcW w:w="993" w:type="dxa"/>
            <w:tcBorders>
              <w:top w:val="nil"/>
              <w:left w:val="nil"/>
              <w:bottom w:val="nil"/>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other</w:t>
            </w:r>
          </w:p>
        </w:tc>
        <w:tc>
          <w:tcPr>
            <w:tcW w:w="992" w:type="dxa"/>
            <w:tcBorders>
              <w:top w:val="nil"/>
              <w:left w:val="nil"/>
              <w:bottom w:val="nil"/>
              <w:right w:val="nil"/>
            </w:tcBorders>
            <w:shd w:val="clear" w:color="auto" w:fill="auto"/>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Total</w:t>
            </w:r>
          </w:p>
        </w:tc>
      </w:tr>
      <w:tr w:rsidR="00872019" w:rsidRPr="00040E7D" w:rsidTr="005F0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jc w:val="both"/>
              <w:rPr>
                <w:rFonts w:ascii="Arial" w:hAnsi="Arial" w:cs="Arial"/>
                <w:sz w:val="18"/>
                <w:szCs w:val="18"/>
                <w:lang w:val="en-IE"/>
              </w:rPr>
            </w:pPr>
          </w:p>
        </w:tc>
        <w:tc>
          <w:tcPr>
            <w:tcW w:w="1134"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£’000</w:t>
            </w:r>
          </w:p>
        </w:tc>
        <w:tc>
          <w:tcPr>
            <w:tcW w:w="1559"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£’000</w:t>
            </w:r>
          </w:p>
        </w:tc>
        <w:tc>
          <w:tcPr>
            <w:tcW w:w="993" w:type="dxa"/>
            <w:tcBorders>
              <w:top w:val="nil"/>
              <w:left w:val="nil"/>
              <w:bottom w:val="single" w:sz="4" w:space="0" w:color="auto"/>
              <w:right w:val="nil"/>
            </w:tcBorders>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£’000</w:t>
            </w:r>
          </w:p>
        </w:tc>
        <w:tc>
          <w:tcPr>
            <w:tcW w:w="992" w:type="dxa"/>
            <w:tcBorders>
              <w:top w:val="nil"/>
              <w:left w:val="nil"/>
              <w:bottom w:val="single" w:sz="4" w:space="0" w:color="auto"/>
              <w:right w:val="nil"/>
            </w:tcBorders>
            <w:shd w:val="clear" w:color="auto" w:fill="auto"/>
            <w:vAlign w:val="center"/>
          </w:tcPr>
          <w:p w:rsidR="00872019" w:rsidRPr="006010C1" w:rsidRDefault="00872019" w:rsidP="00872019">
            <w:pPr>
              <w:tabs>
                <w:tab w:val="left" w:pos="0"/>
                <w:tab w:val="right" w:pos="5760"/>
                <w:tab w:val="right" w:pos="7200"/>
                <w:tab w:val="right" w:pos="8640"/>
              </w:tabs>
              <w:jc w:val="right"/>
              <w:rPr>
                <w:rFonts w:ascii="Arial" w:hAnsi="Arial" w:cs="Arial"/>
                <w:sz w:val="18"/>
                <w:szCs w:val="18"/>
                <w:lang w:val="en-IE"/>
              </w:rPr>
            </w:pPr>
            <w:r w:rsidRPr="006010C1">
              <w:rPr>
                <w:rFonts w:ascii="Arial" w:hAnsi="Arial" w:cs="Arial"/>
                <w:color w:val="1F497D" w:themeColor="text2"/>
                <w:sz w:val="18"/>
                <w:szCs w:val="18"/>
                <w:lang w:val="en-IE"/>
              </w:rPr>
              <w:t>£’000</w:t>
            </w:r>
          </w:p>
        </w:tc>
      </w:tr>
      <w:tr w:rsidR="00115023" w:rsidRPr="00040E7D" w:rsidTr="005F0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single" w:sz="4" w:space="0" w:color="auto"/>
              <w:left w:val="nil"/>
              <w:bottom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Property, plant and equipment - additions                     </w:t>
            </w:r>
          </w:p>
        </w:tc>
        <w:tc>
          <w:tcPr>
            <w:tcW w:w="1134" w:type="dxa"/>
            <w:tcBorders>
              <w:top w:val="single" w:sz="4" w:space="0" w:color="auto"/>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1,668</w:t>
            </w:r>
          </w:p>
        </w:tc>
        <w:tc>
          <w:tcPr>
            <w:tcW w:w="1559" w:type="dxa"/>
            <w:tcBorders>
              <w:top w:val="single" w:sz="4" w:space="0" w:color="auto"/>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561</w:t>
            </w:r>
          </w:p>
        </w:tc>
        <w:tc>
          <w:tcPr>
            <w:tcW w:w="993" w:type="dxa"/>
            <w:tcBorders>
              <w:top w:val="single" w:sz="4" w:space="0" w:color="auto"/>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522</w:t>
            </w:r>
          </w:p>
        </w:tc>
        <w:tc>
          <w:tcPr>
            <w:tcW w:w="992" w:type="dxa"/>
            <w:tcBorders>
              <w:top w:val="single" w:sz="4" w:space="0" w:color="auto"/>
              <w:left w:val="nil"/>
              <w:bottom w:val="nil"/>
              <w:right w:val="nil"/>
            </w:tcBorders>
            <w:shd w:val="clear" w:color="auto" w:fill="auto"/>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2,751</w:t>
            </w:r>
          </w:p>
        </w:tc>
      </w:tr>
      <w:tr w:rsidR="00115023" w:rsidRPr="00040E7D" w:rsidTr="0060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bottom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Intangible assets - additions                                          </w:t>
            </w:r>
          </w:p>
        </w:tc>
        <w:tc>
          <w:tcPr>
            <w:tcW w:w="1134" w:type="dxa"/>
            <w:tcBorders>
              <w:top w:val="nil"/>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2,600</w:t>
            </w:r>
          </w:p>
        </w:tc>
        <w:tc>
          <w:tcPr>
            <w:tcW w:w="1559" w:type="dxa"/>
            <w:tcBorders>
              <w:top w:val="nil"/>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885</w:t>
            </w:r>
          </w:p>
        </w:tc>
        <w:tc>
          <w:tcPr>
            <w:tcW w:w="993" w:type="dxa"/>
            <w:tcBorders>
              <w:top w:val="nil"/>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w:t>
            </w:r>
          </w:p>
        </w:tc>
        <w:tc>
          <w:tcPr>
            <w:tcW w:w="992" w:type="dxa"/>
            <w:tcBorders>
              <w:top w:val="nil"/>
              <w:left w:val="nil"/>
              <w:bottom w:val="nil"/>
              <w:right w:val="nil"/>
            </w:tcBorders>
            <w:shd w:val="clear" w:color="auto" w:fill="auto"/>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3,485</w:t>
            </w:r>
          </w:p>
        </w:tc>
      </w:tr>
      <w:tr w:rsidR="00115023" w:rsidRPr="00040E7D" w:rsidTr="00601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bottom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Property, plant and equipment - depreciation                </w:t>
            </w:r>
          </w:p>
        </w:tc>
        <w:tc>
          <w:tcPr>
            <w:tcW w:w="1134" w:type="dxa"/>
            <w:tcBorders>
              <w:top w:val="nil"/>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(593)</w:t>
            </w:r>
          </w:p>
        </w:tc>
        <w:tc>
          <w:tcPr>
            <w:tcW w:w="1559" w:type="dxa"/>
            <w:tcBorders>
              <w:top w:val="nil"/>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(390)</w:t>
            </w:r>
          </w:p>
        </w:tc>
        <w:tc>
          <w:tcPr>
            <w:tcW w:w="993" w:type="dxa"/>
            <w:tcBorders>
              <w:top w:val="nil"/>
              <w:left w:val="nil"/>
              <w:bottom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(56)</w:t>
            </w:r>
          </w:p>
        </w:tc>
        <w:tc>
          <w:tcPr>
            <w:tcW w:w="992" w:type="dxa"/>
            <w:tcBorders>
              <w:top w:val="nil"/>
              <w:left w:val="nil"/>
              <w:bottom w:val="nil"/>
              <w:right w:val="nil"/>
            </w:tcBorders>
            <w:shd w:val="clear" w:color="auto" w:fill="auto"/>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(1,039)</w:t>
            </w:r>
          </w:p>
        </w:tc>
      </w:tr>
      <w:tr w:rsidR="00115023" w:rsidRPr="00040E7D" w:rsidTr="005F0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lang w:val="en-IE"/>
              </w:rPr>
            </w:pPr>
            <w:r w:rsidRPr="006010C1">
              <w:rPr>
                <w:rFonts w:ascii="Arial" w:hAnsi="Arial" w:cs="Arial"/>
                <w:sz w:val="18"/>
                <w:szCs w:val="18"/>
              </w:rPr>
              <w:t xml:space="preserve">Intangible assets - amortisation                                     </w:t>
            </w:r>
          </w:p>
        </w:tc>
        <w:tc>
          <w:tcPr>
            <w:tcW w:w="1134" w:type="dxa"/>
            <w:tcBorders>
              <w:top w:val="nil"/>
              <w:left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(1,420)</w:t>
            </w:r>
          </w:p>
        </w:tc>
        <w:tc>
          <w:tcPr>
            <w:tcW w:w="1559" w:type="dxa"/>
            <w:tcBorders>
              <w:top w:val="nil"/>
              <w:left w:val="nil"/>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w:t>
            </w:r>
            <w:r w:rsidR="00481FE8">
              <w:rPr>
                <w:rFonts w:ascii="Arial" w:hAnsi="Arial" w:cs="Arial"/>
                <w:color w:val="000000"/>
                <w:spacing w:val="-5"/>
                <w:sz w:val="18"/>
                <w:szCs w:val="18"/>
              </w:rPr>
              <w:t>91</w:t>
            </w:r>
            <w:r w:rsidRPr="005B1DE1">
              <w:rPr>
                <w:rFonts w:ascii="Arial" w:hAnsi="Arial" w:cs="Arial"/>
                <w:color w:val="000000"/>
                <w:spacing w:val="-5"/>
                <w:sz w:val="18"/>
                <w:szCs w:val="18"/>
              </w:rPr>
              <w:t>)</w:t>
            </w:r>
          </w:p>
        </w:tc>
        <w:tc>
          <w:tcPr>
            <w:tcW w:w="993" w:type="dxa"/>
            <w:tcBorders>
              <w:top w:val="nil"/>
              <w:left w:val="nil"/>
              <w:right w:val="nil"/>
            </w:tcBorders>
            <w:vAlign w:val="center"/>
          </w:tcPr>
          <w:p w:rsidR="00115023" w:rsidRPr="005B1DE1" w:rsidRDefault="00481FE8" w:rsidP="00115023">
            <w:pPr>
              <w:tabs>
                <w:tab w:val="left" w:pos="0"/>
                <w:tab w:val="right" w:pos="5760"/>
                <w:tab w:val="right" w:pos="7200"/>
                <w:tab w:val="right" w:pos="8640"/>
              </w:tabs>
              <w:jc w:val="right"/>
              <w:rPr>
                <w:rFonts w:ascii="Arial" w:hAnsi="Arial" w:cs="Arial"/>
                <w:sz w:val="18"/>
                <w:szCs w:val="18"/>
                <w:lang w:val="en-IE"/>
              </w:rPr>
            </w:pPr>
            <w:r>
              <w:rPr>
                <w:rFonts w:ascii="Arial" w:hAnsi="Arial" w:cs="Arial"/>
                <w:color w:val="000000"/>
                <w:spacing w:val="-5"/>
                <w:sz w:val="18"/>
                <w:szCs w:val="18"/>
              </w:rPr>
              <w:t>-</w:t>
            </w:r>
          </w:p>
        </w:tc>
        <w:tc>
          <w:tcPr>
            <w:tcW w:w="992" w:type="dxa"/>
            <w:tcBorders>
              <w:top w:val="nil"/>
              <w:left w:val="nil"/>
              <w:right w:val="nil"/>
            </w:tcBorders>
            <w:shd w:val="clear" w:color="auto" w:fill="auto"/>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(1,711)</w:t>
            </w:r>
          </w:p>
        </w:tc>
      </w:tr>
      <w:tr w:rsidR="00115023" w:rsidRPr="00040E7D" w:rsidTr="005F0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0"/>
        </w:trPr>
        <w:tc>
          <w:tcPr>
            <w:tcW w:w="5812" w:type="dxa"/>
            <w:tcBorders>
              <w:top w:val="nil"/>
              <w:left w:val="nil"/>
              <w:bottom w:val="single" w:sz="4" w:space="0" w:color="auto"/>
              <w:right w:val="nil"/>
            </w:tcBorders>
            <w:vAlign w:val="center"/>
          </w:tcPr>
          <w:p w:rsidR="00115023" w:rsidRPr="006010C1" w:rsidRDefault="00115023" w:rsidP="00115023">
            <w:pPr>
              <w:tabs>
                <w:tab w:val="left" w:pos="0"/>
                <w:tab w:val="right" w:pos="5760"/>
                <w:tab w:val="right" w:pos="7200"/>
                <w:tab w:val="right" w:pos="8640"/>
              </w:tabs>
              <w:rPr>
                <w:rFonts w:ascii="Arial" w:hAnsi="Arial" w:cs="Arial"/>
                <w:sz w:val="18"/>
                <w:szCs w:val="18"/>
              </w:rPr>
            </w:pPr>
            <w:r w:rsidRPr="006010C1">
              <w:rPr>
                <w:rFonts w:ascii="Arial" w:hAnsi="Arial" w:cs="Arial"/>
                <w:sz w:val="18"/>
                <w:szCs w:val="18"/>
              </w:rPr>
              <w:t>Acquired intangible assets – amortisation</w:t>
            </w:r>
          </w:p>
        </w:tc>
        <w:tc>
          <w:tcPr>
            <w:tcW w:w="1134" w:type="dxa"/>
            <w:tcBorders>
              <w:top w:val="nil"/>
              <w:left w:val="nil"/>
              <w:bottom w:val="single" w:sz="4" w:space="0" w:color="auto"/>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(2,014)</w:t>
            </w:r>
          </w:p>
        </w:tc>
        <w:tc>
          <w:tcPr>
            <w:tcW w:w="1559" w:type="dxa"/>
            <w:tcBorders>
              <w:top w:val="nil"/>
              <w:left w:val="nil"/>
              <w:bottom w:val="single" w:sz="4" w:space="0" w:color="auto"/>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w:t>
            </w:r>
          </w:p>
        </w:tc>
        <w:tc>
          <w:tcPr>
            <w:tcW w:w="993" w:type="dxa"/>
            <w:tcBorders>
              <w:top w:val="nil"/>
              <w:left w:val="nil"/>
              <w:bottom w:val="single" w:sz="4" w:space="0" w:color="auto"/>
              <w:right w:val="nil"/>
            </w:tcBorders>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w:t>
            </w:r>
          </w:p>
        </w:tc>
        <w:tc>
          <w:tcPr>
            <w:tcW w:w="992" w:type="dxa"/>
            <w:tcBorders>
              <w:top w:val="nil"/>
              <w:left w:val="nil"/>
              <w:bottom w:val="single" w:sz="4" w:space="0" w:color="auto"/>
              <w:right w:val="nil"/>
            </w:tcBorders>
            <w:shd w:val="clear" w:color="auto" w:fill="auto"/>
            <w:vAlign w:val="center"/>
          </w:tcPr>
          <w:p w:rsidR="00115023" w:rsidRPr="005B1DE1" w:rsidRDefault="00115023" w:rsidP="00115023">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color w:val="000000"/>
                <w:spacing w:val="-5"/>
                <w:sz w:val="18"/>
                <w:szCs w:val="18"/>
              </w:rPr>
              <w:t>(2,014)</w:t>
            </w:r>
          </w:p>
        </w:tc>
      </w:tr>
    </w:tbl>
    <w:p w:rsidR="004578FE" w:rsidRDefault="004578FE" w:rsidP="00C721AD">
      <w:pPr>
        <w:tabs>
          <w:tab w:val="left" w:pos="142"/>
        </w:tabs>
        <w:autoSpaceDE w:val="0"/>
        <w:autoSpaceDN w:val="0"/>
        <w:adjustRightInd w:val="0"/>
        <w:spacing w:after="0" w:line="240" w:lineRule="auto"/>
        <w:rPr>
          <w:rFonts w:ascii="Arial" w:hAnsi="Arial" w:cs="Arial"/>
          <w:b/>
          <w:bCs/>
          <w:i/>
          <w:color w:val="1F497D" w:themeColor="text2"/>
          <w:sz w:val="20"/>
          <w:szCs w:val="20"/>
          <w:lang w:val="en-IE"/>
        </w:rPr>
      </w:pPr>
    </w:p>
    <w:p w:rsidR="004578FE" w:rsidRDefault="004578FE" w:rsidP="00C721AD">
      <w:pPr>
        <w:tabs>
          <w:tab w:val="left" w:pos="142"/>
        </w:tabs>
        <w:autoSpaceDE w:val="0"/>
        <w:autoSpaceDN w:val="0"/>
        <w:adjustRightInd w:val="0"/>
        <w:spacing w:after="0" w:line="240" w:lineRule="auto"/>
        <w:rPr>
          <w:rFonts w:ascii="Arial" w:hAnsi="Arial" w:cs="Arial"/>
          <w:b/>
          <w:bCs/>
          <w:i/>
          <w:color w:val="1F497D" w:themeColor="text2"/>
          <w:sz w:val="20"/>
          <w:szCs w:val="20"/>
          <w:lang w:val="en-IE"/>
        </w:rPr>
      </w:pPr>
    </w:p>
    <w:p w:rsidR="003E5A10" w:rsidRPr="006C3343" w:rsidRDefault="003E5A10" w:rsidP="00C721AD">
      <w:pPr>
        <w:tabs>
          <w:tab w:val="left" w:pos="142"/>
        </w:tabs>
        <w:autoSpaceDE w:val="0"/>
        <w:autoSpaceDN w:val="0"/>
        <w:adjustRightInd w:val="0"/>
        <w:spacing w:after="0" w:line="240" w:lineRule="auto"/>
        <w:rPr>
          <w:rFonts w:ascii="Arial" w:hAnsi="Arial" w:cs="Arial"/>
          <w:b/>
          <w:bCs/>
          <w:i/>
          <w:color w:val="1F497D" w:themeColor="text2"/>
          <w:sz w:val="20"/>
          <w:szCs w:val="20"/>
          <w:lang w:val="en-IE"/>
        </w:rPr>
      </w:pPr>
    </w:p>
    <w:p w:rsidR="00100505" w:rsidRPr="006010C1" w:rsidRDefault="00E00494" w:rsidP="00C721AD">
      <w:pPr>
        <w:tabs>
          <w:tab w:val="left" w:pos="142"/>
        </w:tabs>
        <w:autoSpaceDE w:val="0"/>
        <w:autoSpaceDN w:val="0"/>
        <w:adjustRightInd w:val="0"/>
        <w:spacing w:after="0" w:line="240" w:lineRule="auto"/>
        <w:rPr>
          <w:rFonts w:ascii="Arial" w:hAnsi="Arial" w:cs="Arial"/>
          <w:b/>
          <w:bCs/>
          <w:i/>
          <w:color w:val="1F497D" w:themeColor="text2"/>
          <w:sz w:val="18"/>
          <w:szCs w:val="18"/>
          <w:lang w:val="en-IE"/>
        </w:rPr>
      </w:pPr>
      <w:r w:rsidRPr="006010C1">
        <w:rPr>
          <w:rFonts w:ascii="Arial" w:hAnsi="Arial" w:cs="Arial"/>
          <w:b/>
          <w:bCs/>
          <w:i/>
          <w:color w:val="1F497D" w:themeColor="text2"/>
          <w:sz w:val="18"/>
          <w:szCs w:val="18"/>
          <w:lang w:val="en-IE"/>
        </w:rPr>
        <w:t>Breakdown of revenue by country of operation</w:t>
      </w:r>
    </w:p>
    <w:p w:rsidR="000A7CB7" w:rsidRPr="006C3343" w:rsidRDefault="000A7CB7" w:rsidP="00C721AD">
      <w:pPr>
        <w:tabs>
          <w:tab w:val="left" w:pos="142"/>
        </w:tabs>
        <w:autoSpaceDE w:val="0"/>
        <w:autoSpaceDN w:val="0"/>
        <w:adjustRightInd w:val="0"/>
        <w:spacing w:after="0" w:line="240" w:lineRule="auto"/>
        <w:rPr>
          <w:rFonts w:ascii="Arial" w:hAnsi="Arial" w:cs="Arial"/>
          <w:b/>
          <w:bCs/>
          <w:i/>
          <w:sz w:val="20"/>
          <w:szCs w:val="20"/>
          <w:lang w:val="en-IE"/>
        </w:rPr>
      </w:pPr>
    </w:p>
    <w:p w:rsidR="008567D4" w:rsidRPr="006010C1" w:rsidRDefault="00E00494" w:rsidP="00C721AD">
      <w:pPr>
        <w:tabs>
          <w:tab w:val="left" w:pos="142"/>
        </w:tabs>
        <w:autoSpaceDE w:val="0"/>
        <w:autoSpaceDN w:val="0"/>
        <w:adjustRightInd w:val="0"/>
        <w:spacing w:after="0" w:line="240" w:lineRule="auto"/>
        <w:rPr>
          <w:rFonts w:ascii="Arial" w:hAnsi="Arial" w:cs="Arial"/>
          <w:bCs/>
          <w:sz w:val="18"/>
          <w:szCs w:val="18"/>
          <w:lang w:val="en-IE"/>
        </w:rPr>
      </w:pPr>
      <w:r w:rsidRPr="006010C1">
        <w:rPr>
          <w:rFonts w:ascii="Arial" w:hAnsi="Arial" w:cs="Arial"/>
          <w:bCs/>
          <w:sz w:val="18"/>
          <w:szCs w:val="18"/>
          <w:lang w:val="en-IE"/>
        </w:rPr>
        <w:t xml:space="preserve">The </w:t>
      </w:r>
      <w:r w:rsidR="00983DE6" w:rsidRPr="006010C1">
        <w:rPr>
          <w:rFonts w:ascii="Arial" w:hAnsi="Arial" w:cs="Arial"/>
          <w:bCs/>
          <w:sz w:val="18"/>
          <w:szCs w:val="18"/>
          <w:lang w:val="en-IE"/>
        </w:rPr>
        <w:t>country of domicile</w:t>
      </w:r>
      <w:r w:rsidRPr="006010C1">
        <w:rPr>
          <w:rFonts w:ascii="Arial" w:hAnsi="Arial" w:cs="Arial"/>
          <w:bCs/>
          <w:sz w:val="18"/>
          <w:szCs w:val="18"/>
          <w:lang w:val="en-IE"/>
        </w:rPr>
        <w:t xml:space="preserve"> of IFG Group plc is </w:t>
      </w:r>
      <w:r w:rsidR="00F2265F" w:rsidRPr="006010C1">
        <w:rPr>
          <w:rFonts w:ascii="Arial" w:hAnsi="Arial" w:cs="Arial"/>
          <w:bCs/>
          <w:sz w:val="18"/>
          <w:szCs w:val="18"/>
          <w:lang w:val="en-IE"/>
        </w:rPr>
        <w:t xml:space="preserve">the Republic of </w:t>
      </w:r>
      <w:r w:rsidRPr="006010C1">
        <w:rPr>
          <w:rFonts w:ascii="Arial" w:hAnsi="Arial" w:cs="Arial"/>
          <w:bCs/>
          <w:sz w:val="18"/>
          <w:szCs w:val="18"/>
          <w:lang w:val="en-IE"/>
        </w:rPr>
        <w:t>Ireland. T</w:t>
      </w:r>
      <w:r w:rsidR="0072513C" w:rsidRPr="006010C1">
        <w:rPr>
          <w:rFonts w:ascii="Arial" w:hAnsi="Arial" w:cs="Arial"/>
          <w:bCs/>
          <w:sz w:val="18"/>
          <w:szCs w:val="18"/>
          <w:lang w:val="en-IE"/>
        </w:rPr>
        <w:t>he Group</w:t>
      </w:r>
      <w:r w:rsidRPr="006010C1">
        <w:rPr>
          <w:rFonts w:ascii="Arial" w:hAnsi="Arial" w:cs="Arial"/>
          <w:bCs/>
          <w:sz w:val="18"/>
          <w:szCs w:val="18"/>
          <w:lang w:val="en-IE"/>
        </w:rPr>
        <w:t xml:space="preserve">’s </w:t>
      </w:r>
      <w:r w:rsidR="0076068D" w:rsidRPr="006010C1">
        <w:rPr>
          <w:rFonts w:ascii="Arial" w:hAnsi="Arial" w:cs="Arial"/>
          <w:bCs/>
          <w:sz w:val="18"/>
          <w:szCs w:val="18"/>
          <w:lang w:val="en-IE"/>
        </w:rPr>
        <w:t xml:space="preserve">continuing </w:t>
      </w:r>
      <w:r w:rsidRPr="006010C1">
        <w:rPr>
          <w:rFonts w:ascii="Arial" w:hAnsi="Arial" w:cs="Arial"/>
          <w:bCs/>
          <w:sz w:val="18"/>
          <w:szCs w:val="18"/>
          <w:lang w:val="en-IE"/>
        </w:rPr>
        <w:t xml:space="preserve">revenues are derived from the </w:t>
      </w:r>
      <w:r w:rsidR="00983DE6" w:rsidRPr="006010C1">
        <w:rPr>
          <w:rFonts w:ascii="Arial" w:hAnsi="Arial" w:cs="Arial"/>
          <w:bCs/>
          <w:sz w:val="18"/>
          <w:szCs w:val="18"/>
          <w:lang w:val="en-IE"/>
        </w:rPr>
        <w:t>UK.</w:t>
      </w:r>
    </w:p>
    <w:p w:rsidR="00906192" w:rsidRPr="006C3343" w:rsidRDefault="00906192" w:rsidP="00C721AD">
      <w:pPr>
        <w:tabs>
          <w:tab w:val="left" w:pos="142"/>
        </w:tabs>
        <w:autoSpaceDE w:val="0"/>
        <w:autoSpaceDN w:val="0"/>
        <w:adjustRightInd w:val="0"/>
        <w:spacing w:after="0" w:line="240" w:lineRule="auto"/>
        <w:rPr>
          <w:rFonts w:ascii="Arial" w:hAnsi="Arial" w:cs="Arial"/>
          <w:sz w:val="20"/>
          <w:szCs w:val="20"/>
          <w:lang w:val="en-IE"/>
        </w:rPr>
      </w:pPr>
    </w:p>
    <w:p w:rsidR="00E26C98" w:rsidRDefault="00E26C98" w:rsidP="00C721AD">
      <w:pPr>
        <w:tabs>
          <w:tab w:val="left" w:pos="142"/>
        </w:tabs>
        <w:autoSpaceDE w:val="0"/>
        <w:autoSpaceDN w:val="0"/>
        <w:adjustRightInd w:val="0"/>
        <w:spacing w:after="0" w:line="240" w:lineRule="auto"/>
        <w:rPr>
          <w:rFonts w:ascii="Arial" w:hAnsi="Arial" w:cs="Arial"/>
          <w:b/>
          <w:bCs/>
          <w:i/>
          <w:color w:val="1F497D" w:themeColor="text2"/>
          <w:sz w:val="18"/>
          <w:szCs w:val="18"/>
          <w:lang w:val="en-IE"/>
        </w:rPr>
      </w:pPr>
    </w:p>
    <w:p w:rsidR="00E26C98" w:rsidRDefault="00E26C98" w:rsidP="00C721AD">
      <w:pPr>
        <w:tabs>
          <w:tab w:val="left" w:pos="142"/>
        </w:tabs>
        <w:autoSpaceDE w:val="0"/>
        <w:autoSpaceDN w:val="0"/>
        <w:adjustRightInd w:val="0"/>
        <w:spacing w:after="0" w:line="240" w:lineRule="auto"/>
        <w:rPr>
          <w:rFonts w:ascii="Arial" w:hAnsi="Arial" w:cs="Arial"/>
          <w:b/>
          <w:bCs/>
          <w:i/>
          <w:color w:val="1F497D" w:themeColor="text2"/>
          <w:sz w:val="18"/>
          <w:szCs w:val="18"/>
          <w:lang w:val="en-IE"/>
        </w:rPr>
      </w:pPr>
    </w:p>
    <w:p w:rsidR="008567D4" w:rsidRPr="006010C1" w:rsidRDefault="00E00494" w:rsidP="00C721AD">
      <w:pPr>
        <w:tabs>
          <w:tab w:val="left" w:pos="142"/>
        </w:tabs>
        <w:autoSpaceDE w:val="0"/>
        <w:autoSpaceDN w:val="0"/>
        <w:adjustRightInd w:val="0"/>
        <w:spacing w:after="0" w:line="240" w:lineRule="auto"/>
        <w:rPr>
          <w:rFonts w:ascii="Arial" w:hAnsi="Arial" w:cs="Arial"/>
          <w:b/>
          <w:bCs/>
          <w:i/>
          <w:color w:val="1F497D" w:themeColor="text2"/>
          <w:sz w:val="18"/>
          <w:szCs w:val="18"/>
          <w:lang w:val="en-IE"/>
        </w:rPr>
      </w:pPr>
      <w:r w:rsidRPr="006010C1">
        <w:rPr>
          <w:rFonts w:ascii="Arial" w:hAnsi="Arial" w:cs="Arial"/>
          <w:b/>
          <w:bCs/>
          <w:i/>
          <w:color w:val="1F497D" w:themeColor="text2"/>
          <w:sz w:val="18"/>
          <w:szCs w:val="18"/>
          <w:lang w:val="en-IE"/>
        </w:rPr>
        <w:t xml:space="preserve">Analysis of revenue by category </w:t>
      </w:r>
    </w:p>
    <w:tbl>
      <w:tblPr>
        <w:tblStyle w:val="TableGrid"/>
        <w:tblW w:w="11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276"/>
        <w:gridCol w:w="1275"/>
      </w:tblGrid>
      <w:tr w:rsidR="00414E1D" w:rsidRPr="00040E7D" w:rsidTr="00027DF8">
        <w:trPr>
          <w:trHeight w:hRule="exact" w:val="255"/>
          <w:jc w:val="center"/>
        </w:trPr>
        <w:tc>
          <w:tcPr>
            <w:tcW w:w="8505" w:type="dxa"/>
          </w:tcPr>
          <w:p w:rsidR="008567D4" w:rsidRPr="006010C1" w:rsidRDefault="008567D4" w:rsidP="00C721AD">
            <w:pPr>
              <w:tabs>
                <w:tab w:val="left" w:pos="0"/>
                <w:tab w:val="right" w:pos="5760"/>
                <w:tab w:val="right" w:pos="7200"/>
                <w:tab w:val="right" w:pos="8640"/>
              </w:tabs>
              <w:spacing w:after="200"/>
              <w:jc w:val="both"/>
              <w:rPr>
                <w:rFonts w:ascii="Arial" w:hAnsi="Arial" w:cs="Arial"/>
                <w:sz w:val="18"/>
                <w:szCs w:val="18"/>
                <w:lang w:val="en-IE"/>
              </w:rPr>
            </w:pPr>
          </w:p>
        </w:tc>
        <w:tc>
          <w:tcPr>
            <w:tcW w:w="1276" w:type="dxa"/>
            <w:shd w:val="clear" w:color="auto" w:fill="auto"/>
          </w:tcPr>
          <w:p w:rsidR="008567D4" w:rsidRPr="006010C1" w:rsidRDefault="005E11D6" w:rsidP="00983DE6">
            <w:pPr>
              <w:tabs>
                <w:tab w:val="left" w:pos="0"/>
                <w:tab w:val="right" w:pos="5760"/>
                <w:tab w:val="right" w:pos="7200"/>
                <w:tab w:val="right" w:pos="8640"/>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115023">
              <w:rPr>
                <w:rFonts w:ascii="Arial" w:hAnsi="Arial" w:cs="Arial"/>
                <w:b/>
                <w:color w:val="1F497D" w:themeColor="text2"/>
                <w:sz w:val="18"/>
                <w:szCs w:val="18"/>
                <w:lang w:val="en-IE"/>
              </w:rPr>
              <w:t>7</w:t>
            </w:r>
          </w:p>
        </w:tc>
        <w:tc>
          <w:tcPr>
            <w:tcW w:w="1275" w:type="dxa"/>
          </w:tcPr>
          <w:p w:rsidR="008567D4" w:rsidRPr="006010C1" w:rsidRDefault="00115023" w:rsidP="00983DE6">
            <w:pPr>
              <w:tabs>
                <w:tab w:val="left" w:pos="0"/>
                <w:tab w:val="right" w:pos="5760"/>
                <w:tab w:val="right" w:pos="7200"/>
                <w:tab w:val="right" w:pos="8640"/>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Pr>
                <w:rFonts w:ascii="Arial" w:hAnsi="Arial" w:cs="Arial"/>
                <w:color w:val="1F497D" w:themeColor="text2"/>
                <w:sz w:val="18"/>
                <w:szCs w:val="18"/>
                <w:lang w:val="en-IE"/>
              </w:rPr>
              <w:t>6</w:t>
            </w:r>
          </w:p>
        </w:tc>
      </w:tr>
      <w:tr w:rsidR="00414E1D" w:rsidRPr="00040E7D" w:rsidTr="00027DF8">
        <w:trPr>
          <w:trHeight w:hRule="exact" w:val="255"/>
          <w:jc w:val="center"/>
        </w:trPr>
        <w:tc>
          <w:tcPr>
            <w:tcW w:w="8505" w:type="dxa"/>
          </w:tcPr>
          <w:p w:rsidR="008567D4" w:rsidRPr="006010C1" w:rsidRDefault="008567D4" w:rsidP="00C721AD">
            <w:pPr>
              <w:tabs>
                <w:tab w:val="left" w:pos="0"/>
                <w:tab w:val="right" w:pos="5760"/>
                <w:tab w:val="right" w:pos="7200"/>
                <w:tab w:val="right" w:pos="8640"/>
              </w:tabs>
              <w:spacing w:after="200"/>
              <w:jc w:val="both"/>
              <w:rPr>
                <w:rFonts w:ascii="Arial" w:hAnsi="Arial" w:cs="Arial"/>
                <w:sz w:val="18"/>
                <w:szCs w:val="18"/>
                <w:lang w:val="en-IE"/>
              </w:rPr>
            </w:pPr>
          </w:p>
        </w:tc>
        <w:tc>
          <w:tcPr>
            <w:tcW w:w="1276" w:type="dxa"/>
            <w:shd w:val="clear" w:color="auto" w:fill="auto"/>
          </w:tcPr>
          <w:p w:rsidR="008567D4" w:rsidRPr="006010C1" w:rsidRDefault="00E00494" w:rsidP="00C721AD">
            <w:pPr>
              <w:tabs>
                <w:tab w:val="left" w:pos="0"/>
                <w:tab w:val="right" w:pos="5760"/>
                <w:tab w:val="right" w:pos="720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275" w:type="dxa"/>
          </w:tcPr>
          <w:p w:rsidR="008567D4" w:rsidRPr="006010C1" w:rsidRDefault="00E00494" w:rsidP="00C721AD">
            <w:pPr>
              <w:tabs>
                <w:tab w:val="left" w:pos="0"/>
                <w:tab w:val="right" w:pos="5760"/>
                <w:tab w:val="right" w:pos="7200"/>
                <w:tab w:val="right" w:pos="8640"/>
              </w:tabs>
              <w:autoSpaceDE w:val="0"/>
              <w:autoSpaceDN w:val="0"/>
              <w:adjustRightInd w:val="0"/>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115023" w:rsidRPr="00040E7D" w:rsidTr="00027DF8">
        <w:trPr>
          <w:trHeight w:hRule="exact" w:val="255"/>
          <w:jc w:val="center"/>
        </w:trPr>
        <w:tc>
          <w:tcPr>
            <w:tcW w:w="8505" w:type="dxa"/>
          </w:tcPr>
          <w:p w:rsidR="00115023" w:rsidRPr="006010C1" w:rsidRDefault="00115023" w:rsidP="00115023">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Platform</w:t>
            </w:r>
          </w:p>
        </w:tc>
        <w:tc>
          <w:tcPr>
            <w:tcW w:w="1276" w:type="dxa"/>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46,169</w:t>
            </w:r>
          </w:p>
        </w:tc>
        <w:tc>
          <w:tcPr>
            <w:tcW w:w="1275" w:type="dxa"/>
          </w:tcPr>
          <w:p w:rsidR="00115023" w:rsidRPr="005B1DE1" w:rsidRDefault="00115023" w:rsidP="00115023">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color w:val="000000"/>
                <w:spacing w:val="-5"/>
                <w:sz w:val="18"/>
                <w:szCs w:val="18"/>
              </w:rPr>
              <w:t>47,478</w:t>
            </w:r>
          </w:p>
        </w:tc>
      </w:tr>
      <w:tr w:rsidR="00115023" w:rsidRPr="00040E7D" w:rsidTr="00027DF8">
        <w:trPr>
          <w:trHeight w:hRule="exact" w:val="255"/>
          <w:jc w:val="center"/>
        </w:trPr>
        <w:tc>
          <w:tcPr>
            <w:tcW w:w="8505" w:type="dxa"/>
            <w:tcBorders>
              <w:bottom w:val="single" w:sz="4" w:space="0" w:color="auto"/>
            </w:tcBorders>
          </w:tcPr>
          <w:p w:rsidR="00115023" w:rsidRPr="006010C1" w:rsidRDefault="00115023" w:rsidP="00115023">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Independent wealth management</w:t>
            </w:r>
          </w:p>
        </w:tc>
        <w:tc>
          <w:tcPr>
            <w:tcW w:w="1276" w:type="dxa"/>
            <w:tcBorders>
              <w:bottom w:val="single" w:sz="4" w:space="0" w:color="auto"/>
            </w:tcBorders>
            <w:shd w:val="clear" w:color="auto" w:fill="auto"/>
            <w:vAlign w:val="bottom"/>
          </w:tcPr>
          <w:p w:rsidR="00115023" w:rsidRPr="005B1DE1" w:rsidRDefault="00115023" w:rsidP="00115023">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32,225</w:t>
            </w:r>
          </w:p>
        </w:tc>
        <w:tc>
          <w:tcPr>
            <w:tcW w:w="1275" w:type="dxa"/>
            <w:tcBorders>
              <w:bottom w:val="single" w:sz="4" w:space="0" w:color="auto"/>
            </w:tcBorders>
          </w:tcPr>
          <w:p w:rsidR="00115023" w:rsidRPr="005B1DE1" w:rsidRDefault="00115023" w:rsidP="00115023">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color w:val="000000"/>
                <w:spacing w:val="-5"/>
                <w:sz w:val="18"/>
                <w:szCs w:val="18"/>
              </w:rPr>
              <w:t>30,987</w:t>
            </w:r>
          </w:p>
        </w:tc>
      </w:tr>
      <w:tr w:rsidR="00115023" w:rsidRPr="00040E7D" w:rsidTr="00027DF8">
        <w:trPr>
          <w:trHeight w:hRule="exact" w:val="255"/>
          <w:jc w:val="center"/>
        </w:trPr>
        <w:tc>
          <w:tcPr>
            <w:tcW w:w="8505" w:type="dxa"/>
            <w:tcBorders>
              <w:top w:val="single" w:sz="4" w:space="0" w:color="auto"/>
              <w:bottom w:val="single" w:sz="12" w:space="0" w:color="auto"/>
            </w:tcBorders>
          </w:tcPr>
          <w:p w:rsidR="00115023" w:rsidRPr="006010C1" w:rsidRDefault="00115023" w:rsidP="00115023">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Total</w:t>
            </w:r>
          </w:p>
        </w:tc>
        <w:tc>
          <w:tcPr>
            <w:tcW w:w="1276" w:type="dxa"/>
            <w:tcBorders>
              <w:top w:val="single" w:sz="4" w:space="0" w:color="auto"/>
              <w:bottom w:val="single" w:sz="12" w:space="0" w:color="auto"/>
            </w:tcBorders>
            <w:shd w:val="clear" w:color="auto" w:fill="auto"/>
            <w:vAlign w:val="bottom"/>
          </w:tcPr>
          <w:p w:rsidR="00115023" w:rsidRPr="00E42013" w:rsidRDefault="00115023" w:rsidP="00E42013">
            <w:pPr>
              <w:tabs>
                <w:tab w:val="left" w:pos="0"/>
                <w:tab w:val="right" w:pos="5760"/>
                <w:tab w:val="right" w:pos="7200"/>
                <w:tab w:val="right" w:pos="8640"/>
              </w:tabs>
              <w:autoSpaceDE w:val="0"/>
              <w:autoSpaceDN w:val="0"/>
              <w:adjustRightInd w:val="0"/>
              <w:spacing w:after="200"/>
              <w:jc w:val="right"/>
              <w:rPr>
                <w:rFonts w:ascii="Arial" w:hAnsi="Arial" w:cs="Arial"/>
                <w:b/>
                <w:color w:val="000000"/>
                <w:spacing w:val="-5"/>
                <w:sz w:val="18"/>
                <w:szCs w:val="18"/>
              </w:rPr>
            </w:pPr>
            <w:r w:rsidRPr="00E42013">
              <w:rPr>
                <w:rFonts w:ascii="Arial" w:hAnsi="Arial" w:cs="Arial"/>
                <w:b/>
                <w:color w:val="000000"/>
                <w:spacing w:val="-5"/>
                <w:sz w:val="18"/>
                <w:szCs w:val="18"/>
              </w:rPr>
              <w:t>78,394</w:t>
            </w:r>
          </w:p>
        </w:tc>
        <w:tc>
          <w:tcPr>
            <w:tcW w:w="1275" w:type="dxa"/>
            <w:tcBorders>
              <w:top w:val="single" w:sz="4" w:space="0" w:color="auto"/>
              <w:bottom w:val="single" w:sz="12" w:space="0" w:color="auto"/>
            </w:tcBorders>
          </w:tcPr>
          <w:p w:rsidR="00115023" w:rsidRPr="005B1DE1" w:rsidRDefault="00115023" w:rsidP="00115023">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color w:val="000000"/>
                <w:spacing w:val="-5"/>
                <w:sz w:val="18"/>
                <w:szCs w:val="18"/>
              </w:rPr>
              <w:t>78,465</w:t>
            </w:r>
          </w:p>
        </w:tc>
      </w:tr>
    </w:tbl>
    <w:p w:rsidR="008567D4" w:rsidRPr="006C3343" w:rsidRDefault="008567D4" w:rsidP="00C721AD">
      <w:pPr>
        <w:tabs>
          <w:tab w:val="left" w:pos="142"/>
        </w:tabs>
        <w:spacing w:after="0"/>
        <w:rPr>
          <w:rFonts w:ascii="Arial" w:hAnsi="Arial" w:cs="Arial"/>
          <w:sz w:val="20"/>
          <w:szCs w:val="20"/>
          <w:lang w:val="en-IE"/>
        </w:rPr>
      </w:pPr>
    </w:p>
    <w:p w:rsidR="00ED6B92" w:rsidRPr="006010C1" w:rsidRDefault="00E00494" w:rsidP="00C721AD">
      <w:pPr>
        <w:tabs>
          <w:tab w:val="left" w:pos="142"/>
        </w:tabs>
        <w:spacing w:after="0" w:line="240" w:lineRule="auto"/>
        <w:rPr>
          <w:rFonts w:ascii="Arial" w:hAnsi="Arial" w:cs="Arial"/>
          <w:sz w:val="18"/>
          <w:szCs w:val="18"/>
          <w:lang w:val="en-IE"/>
        </w:rPr>
      </w:pPr>
      <w:r w:rsidRPr="006010C1">
        <w:rPr>
          <w:rFonts w:ascii="Arial" w:hAnsi="Arial" w:cs="Arial"/>
          <w:sz w:val="18"/>
          <w:szCs w:val="18"/>
          <w:lang w:val="en-IE"/>
        </w:rPr>
        <w:t xml:space="preserve">During the </w:t>
      </w:r>
      <w:r w:rsidR="005241E9" w:rsidRPr="006010C1">
        <w:rPr>
          <w:rFonts w:ascii="Arial" w:hAnsi="Arial" w:cs="Arial"/>
          <w:sz w:val="18"/>
          <w:szCs w:val="18"/>
          <w:lang w:val="en-IE"/>
        </w:rPr>
        <w:t>year,</w:t>
      </w:r>
      <w:r w:rsidRPr="006010C1">
        <w:rPr>
          <w:rFonts w:ascii="Arial" w:hAnsi="Arial" w:cs="Arial"/>
          <w:sz w:val="18"/>
          <w:szCs w:val="18"/>
          <w:lang w:val="en-IE"/>
        </w:rPr>
        <w:t xml:space="preserve"> there were no revenues derived from a single customer that represent 10% or more of total revenues</w:t>
      </w:r>
      <w:r w:rsidR="00AE2061">
        <w:rPr>
          <w:rFonts w:ascii="Arial" w:hAnsi="Arial" w:cs="Arial"/>
          <w:sz w:val="18"/>
          <w:szCs w:val="18"/>
          <w:lang w:val="en-IE"/>
        </w:rPr>
        <w:t>, in line with 2016</w:t>
      </w:r>
      <w:r w:rsidRPr="006010C1">
        <w:rPr>
          <w:rFonts w:ascii="Arial" w:hAnsi="Arial" w:cs="Arial"/>
          <w:sz w:val="18"/>
          <w:szCs w:val="18"/>
          <w:lang w:val="en-IE"/>
        </w:rPr>
        <w:t xml:space="preserve">. </w:t>
      </w:r>
    </w:p>
    <w:p w:rsidR="00213FB8" w:rsidRPr="006C3343" w:rsidRDefault="00213FB8" w:rsidP="00C721AD">
      <w:pPr>
        <w:tabs>
          <w:tab w:val="left" w:pos="142"/>
        </w:tabs>
        <w:spacing w:after="0"/>
        <w:rPr>
          <w:rFonts w:ascii="Arial" w:hAnsi="Arial" w:cs="Arial"/>
          <w:b/>
          <w:i/>
          <w:color w:val="1F497D" w:themeColor="text2"/>
          <w:sz w:val="20"/>
          <w:szCs w:val="20"/>
          <w:lang w:val="en-IE"/>
        </w:rPr>
      </w:pPr>
    </w:p>
    <w:p w:rsidR="00E26C98" w:rsidRDefault="00E26C98" w:rsidP="00C721AD">
      <w:pPr>
        <w:tabs>
          <w:tab w:val="left" w:pos="142"/>
        </w:tabs>
        <w:spacing w:after="0" w:line="240" w:lineRule="auto"/>
        <w:rPr>
          <w:rFonts w:ascii="Arial" w:hAnsi="Arial" w:cs="Arial"/>
          <w:b/>
          <w:i/>
          <w:color w:val="1F497D" w:themeColor="text2"/>
          <w:sz w:val="18"/>
          <w:szCs w:val="18"/>
          <w:lang w:val="en-IE"/>
        </w:rPr>
      </w:pPr>
    </w:p>
    <w:p w:rsidR="008567D4" w:rsidRPr="006010C1" w:rsidRDefault="00E00494" w:rsidP="00C721AD">
      <w:pPr>
        <w:tabs>
          <w:tab w:val="left" w:pos="142"/>
        </w:tabs>
        <w:spacing w:after="0" w:line="240" w:lineRule="auto"/>
        <w:rPr>
          <w:rFonts w:ascii="Arial" w:hAnsi="Arial" w:cs="Arial"/>
          <w:b/>
          <w:i/>
          <w:color w:val="1F497D" w:themeColor="text2"/>
          <w:sz w:val="18"/>
          <w:szCs w:val="18"/>
          <w:lang w:val="en-IE"/>
        </w:rPr>
      </w:pPr>
      <w:r w:rsidRPr="006010C1">
        <w:rPr>
          <w:rFonts w:ascii="Arial" w:hAnsi="Arial" w:cs="Arial"/>
          <w:b/>
          <w:i/>
          <w:color w:val="1F497D" w:themeColor="text2"/>
          <w:sz w:val="18"/>
          <w:szCs w:val="18"/>
          <w:lang w:val="en-IE"/>
        </w:rPr>
        <w:t>Analysis of total non-current assets</w:t>
      </w:r>
      <w:r w:rsidR="0035333C" w:rsidRPr="006010C1">
        <w:rPr>
          <w:rFonts w:ascii="Arial" w:hAnsi="Arial" w:cs="Arial"/>
          <w:b/>
          <w:i/>
          <w:color w:val="1F497D" w:themeColor="text2"/>
          <w:sz w:val="18"/>
          <w:szCs w:val="18"/>
          <w:lang w:val="en-IE"/>
        </w:rPr>
        <w:t>,</w:t>
      </w:r>
      <w:r w:rsidRPr="006010C1">
        <w:rPr>
          <w:rFonts w:ascii="Arial" w:hAnsi="Arial" w:cs="Arial"/>
          <w:b/>
          <w:i/>
          <w:color w:val="1F497D" w:themeColor="text2"/>
          <w:sz w:val="18"/>
          <w:szCs w:val="18"/>
          <w:lang w:val="en-IE"/>
        </w:rPr>
        <w:t xml:space="preserve"> at the </w:t>
      </w:r>
      <w:r w:rsidR="004A108E" w:rsidRPr="006010C1">
        <w:rPr>
          <w:rFonts w:ascii="Arial" w:hAnsi="Arial" w:cs="Arial"/>
          <w:b/>
          <w:i/>
          <w:color w:val="1F497D" w:themeColor="text2"/>
          <w:sz w:val="18"/>
          <w:szCs w:val="18"/>
          <w:lang w:val="en-IE"/>
        </w:rPr>
        <w:t>year</w:t>
      </w:r>
      <w:r w:rsidR="00384EDE" w:rsidRPr="006010C1">
        <w:rPr>
          <w:rFonts w:ascii="Arial" w:hAnsi="Arial" w:cs="Arial"/>
          <w:b/>
          <w:i/>
          <w:color w:val="1F497D" w:themeColor="text2"/>
          <w:sz w:val="18"/>
          <w:szCs w:val="18"/>
          <w:lang w:val="en-IE"/>
        </w:rPr>
        <w:t xml:space="preserve"> </w:t>
      </w:r>
      <w:r w:rsidRPr="006010C1">
        <w:rPr>
          <w:rFonts w:ascii="Arial" w:hAnsi="Arial" w:cs="Arial"/>
          <w:b/>
          <w:i/>
          <w:color w:val="1F497D" w:themeColor="text2"/>
          <w:sz w:val="18"/>
          <w:szCs w:val="18"/>
          <w:lang w:val="en-IE"/>
        </w:rPr>
        <w:t>end</w:t>
      </w:r>
      <w:r w:rsidR="0035333C" w:rsidRPr="006010C1">
        <w:rPr>
          <w:rFonts w:ascii="Arial" w:hAnsi="Arial" w:cs="Arial"/>
          <w:b/>
          <w:i/>
          <w:color w:val="1F497D" w:themeColor="text2"/>
          <w:sz w:val="18"/>
          <w:szCs w:val="18"/>
          <w:lang w:val="en-IE"/>
        </w:rPr>
        <w:t>,</w:t>
      </w:r>
      <w:r w:rsidRPr="006010C1">
        <w:rPr>
          <w:rFonts w:ascii="Arial" w:hAnsi="Arial" w:cs="Arial"/>
          <w:b/>
          <w:i/>
          <w:color w:val="1F497D" w:themeColor="text2"/>
          <w:sz w:val="18"/>
          <w:szCs w:val="18"/>
          <w:lang w:val="en-IE"/>
        </w:rPr>
        <w:t xml:space="preserve"> by geographical region</w:t>
      </w:r>
    </w:p>
    <w:p w:rsidR="00BC60E1" w:rsidRPr="006C3343" w:rsidRDefault="00BC60E1" w:rsidP="00C721AD">
      <w:pPr>
        <w:tabs>
          <w:tab w:val="left" w:pos="142"/>
        </w:tabs>
        <w:spacing w:after="0" w:line="240" w:lineRule="auto"/>
        <w:rPr>
          <w:rFonts w:ascii="Arial" w:hAnsi="Arial" w:cs="Arial"/>
          <w:sz w:val="20"/>
          <w:szCs w:val="20"/>
          <w:lang w:val="en-IE"/>
        </w:rPr>
      </w:pPr>
    </w:p>
    <w:p w:rsidR="008567D4" w:rsidRPr="006010C1" w:rsidRDefault="00E00494" w:rsidP="00C721AD">
      <w:pPr>
        <w:tabs>
          <w:tab w:val="left" w:pos="142"/>
        </w:tabs>
        <w:spacing w:after="0" w:line="240" w:lineRule="auto"/>
        <w:rPr>
          <w:rFonts w:ascii="Arial" w:hAnsi="Arial" w:cs="Arial"/>
          <w:sz w:val="18"/>
          <w:szCs w:val="18"/>
          <w:lang w:val="en-IE"/>
        </w:rPr>
      </w:pPr>
      <w:r w:rsidRPr="006010C1">
        <w:rPr>
          <w:rFonts w:ascii="Arial" w:hAnsi="Arial" w:cs="Arial"/>
          <w:sz w:val="18"/>
          <w:szCs w:val="18"/>
          <w:lang w:val="en-IE"/>
        </w:rPr>
        <w:t xml:space="preserve">The total non-current assets (excluding deferred </w:t>
      </w:r>
      <w:r w:rsidR="007E6350" w:rsidRPr="006010C1">
        <w:rPr>
          <w:rFonts w:ascii="Arial" w:hAnsi="Arial" w:cs="Arial"/>
          <w:sz w:val="18"/>
          <w:szCs w:val="18"/>
          <w:lang w:val="en-IE"/>
        </w:rPr>
        <w:t xml:space="preserve">income </w:t>
      </w:r>
      <w:r w:rsidRPr="006010C1">
        <w:rPr>
          <w:rFonts w:ascii="Arial" w:hAnsi="Arial" w:cs="Arial"/>
          <w:sz w:val="18"/>
          <w:szCs w:val="18"/>
          <w:lang w:val="en-IE"/>
        </w:rPr>
        <w:t xml:space="preserve">tax assets), at the </w:t>
      </w:r>
      <w:r w:rsidR="004A108E" w:rsidRPr="006010C1">
        <w:rPr>
          <w:rFonts w:ascii="Arial" w:hAnsi="Arial" w:cs="Arial"/>
          <w:sz w:val="18"/>
          <w:szCs w:val="18"/>
          <w:lang w:val="en-IE"/>
        </w:rPr>
        <w:t>year</w:t>
      </w:r>
      <w:r w:rsidR="00384EDE" w:rsidRPr="006010C1">
        <w:rPr>
          <w:rFonts w:ascii="Arial" w:hAnsi="Arial" w:cs="Arial"/>
          <w:sz w:val="18"/>
          <w:szCs w:val="18"/>
          <w:lang w:val="en-IE"/>
        </w:rPr>
        <w:t xml:space="preserve"> </w:t>
      </w:r>
      <w:r w:rsidRPr="006010C1">
        <w:rPr>
          <w:rFonts w:ascii="Arial" w:hAnsi="Arial" w:cs="Arial"/>
          <w:sz w:val="18"/>
          <w:szCs w:val="18"/>
          <w:lang w:val="en-IE"/>
        </w:rPr>
        <w:t>end</w:t>
      </w:r>
      <w:r w:rsidR="0035333C" w:rsidRPr="006010C1">
        <w:rPr>
          <w:rFonts w:ascii="Arial" w:hAnsi="Arial" w:cs="Arial"/>
          <w:sz w:val="18"/>
          <w:szCs w:val="18"/>
          <w:lang w:val="en-IE"/>
        </w:rPr>
        <w:t>,</w:t>
      </w:r>
      <w:r w:rsidRPr="006010C1">
        <w:rPr>
          <w:rFonts w:ascii="Arial" w:hAnsi="Arial" w:cs="Arial"/>
          <w:sz w:val="18"/>
          <w:szCs w:val="18"/>
          <w:lang w:val="en-IE"/>
        </w:rPr>
        <w:t xml:space="preserve"> split by geographical region are as follows:</w:t>
      </w:r>
    </w:p>
    <w:p w:rsidR="00906192" w:rsidRPr="006C3343" w:rsidRDefault="00906192" w:rsidP="00C721AD">
      <w:pPr>
        <w:tabs>
          <w:tab w:val="left" w:pos="142"/>
        </w:tabs>
        <w:spacing w:after="0" w:line="240" w:lineRule="auto"/>
        <w:rPr>
          <w:rFonts w:ascii="Arial" w:hAnsi="Arial" w:cs="Arial"/>
          <w:sz w:val="20"/>
          <w:szCs w:val="20"/>
          <w:lang w:val="en-IE"/>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1275"/>
        <w:gridCol w:w="1134"/>
      </w:tblGrid>
      <w:tr w:rsidR="002D257E" w:rsidRPr="00040E7D" w:rsidTr="00027DF8">
        <w:trPr>
          <w:trHeight w:hRule="exact" w:val="284"/>
          <w:jc w:val="center"/>
        </w:trPr>
        <w:tc>
          <w:tcPr>
            <w:tcW w:w="8364" w:type="dxa"/>
          </w:tcPr>
          <w:p w:rsidR="008567D4" w:rsidRPr="006010C1" w:rsidRDefault="008567D4" w:rsidP="00C721AD">
            <w:pPr>
              <w:tabs>
                <w:tab w:val="left" w:pos="0"/>
                <w:tab w:val="right" w:pos="5760"/>
                <w:tab w:val="right" w:pos="7200"/>
                <w:tab w:val="right" w:pos="8640"/>
              </w:tabs>
              <w:spacing w:after="200"/>
              <w:jc w:val="both"/>
              <w:rPr>
                <w:rFonts w:ascii="Arial" w:hAnsi="Arial" w:cs="Arial"/>
                <w:sz w:val="18"/>
                <w:szCs w:val="18"/>
                <w:lang w:val="en-IE"/>
              </w:rPr>
            </w:pPr>
          </w:p>
        </w:tc>
        <w:tc>
          <w:tcPr>
            <w:tcW w:w="1275" w:type="dxa"/>
            <w:shd w:val="clear" w:color="auto" w:fill="auto"/>
          </w:tcPr>
          <w:p w:rsidR="008567D4" w:rsidRPr="006010C1" w:rsidRDefault="005E11D6" w:rsidP="00983DE6">
            <w:pPr>
              <w:tabs>
                <w:tab w:val="left" w:pos="0"/>
                <w:tab w:val="right" w:pos="5760"/>
                <w:tab w:val="right" w:pos="7200"/>
                <w:tab w:val="right" w:pos="8640"/>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B82DD0">
              <w:rPr>
                <w:rFonts w:ascii="Arial" w:hAnsi="Arial" w:cs="Arial"/>
                <w:b/>
                <w:color w:val="1F497D" w:themeColor="text2"/>
                <w:sz w:val="18"/>
                <w:szCs w:val="18"/>
                <w:lang w:val="en-IE"/>
              </w:rPr>
              <w:t>7</w:t>
            </w:r>
          </w:p>
        </w:tc>
        <w:tc>
          <w:tcPr>
            <w:tcW w:w="1134" w:type="dxa"/>
          </w:tcPr>
          <w:p w:rsidR="008567D4" w:rsidRPr="006010C1" w:rsidRDefault="005E11D6" w:rsidP="00983DE6">
            <w:pPr>
              <w:tabs>
                <w:tab w:val="left" w:pos="0"/>
                <w:tab w:val="right" w:pos="5760"/>
                <w:tab w:val="right" w:pos="7200"/>
                <w:tab w:val="right" w:pos="8640"/>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B82DD0">
              <w:rPr>
                <w:rFonts w:ascii="Arial" w:hAnsi="Arial" w:cs="Arial"/>
                <w:color w:val="1F497D" w:themeColor="text2"/>
                <w:sz w:val="18"/>
                <w:szCs w:val="18"/>
                <w:lang w:val="en-IE"/>
              </w:rPr>
              <w:t>6</w:t>
            </w:r>
          </w:p>
        </w:tc>
      </w:tr>
      <w:tr w:rsidR="002D257E" w:rsidRPr="00040E7D" w:rsidTr="00027DF8">
        <w:trPr>
          <w:trHeight w:hRule="exact" w:val="284"/>
          <w:jc w:val="center"/>
        </w:trPr>
        <w:tc>
          <w:tcPr>
            <w:tcW w:w="8364" w:type="dxa"/>
          </w:tcPr>
          <w:p w:rsidR="008567D4" w:rsidRPr="006010C1" w:rsidRDefault="008567D4" w:rsidP="00C721AD">
            <w:pPr>
              <w:tabs>
                <w:tab w:val="left" w:pos="0"/>
                <w:tab w:val="right" w:pos="5760"/>
                <w:tab w:val="right" w:pos="7200"/>
                <w:tab w:val="right" w:pos="8640"/>
              </w:tabs>
              <w:spacing w:after="200"/>
              <w:jc w:val="both"/>
              <w:rPr>
                <w:rFonts w:ascii="Arial" w:hAnsi="Arial" w:cs="Arial"/>
                <w:sz w:val="18"/>
                <w:szCs w:val="18"/>
                <w:lang w:val="en-IE"/>
              </w:rPr>
            </w:pPr>
          </w:p>
        </w:tc>
        <w:tc>
          <w:tcPr>
            <w:tcW w:w="1275" w:type="dxa"/>
            <w:shd w:val="clear" w:color="auto" w:fill="auto"/>
          </w:tcPr>
          <w:p w:rsidR="008567D4" w:rsidRPr="006010C1" w:rsidRDefault="00E00494" w:rsidP="00C721AD">
            <w:pPr>
              <w:tabs>
                <w:tab w:val="left" w:pos="0"/>
                <w:tab w:val="right" w:pos="5760"/>
                <w:tab w:val="right" w:pos="720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134" w:type="dxa"/>
          </w:tcPr>
          <w:p w:rsidR="008567D4" w:rsidRPr="006010C1" w:rsidRDefault="00E00494" w:rsidP="00C721AD">
            <w:pPr>
              <w:tabs>
                <w:tab w:val="left" w:pos="0"/>
                <w:tab w:val="right" w:pos="5760"/>
                <w:tab w:val="right" w:pos="7200"/>
                <w:tab w:val="right" w:pos="8640"/>
              </w:tabs>
              <w:autoSpaceDE w:val="0"/>
              <w:autoSpaceDN w:val="0"/>
              <w:adjustRightInd w:val="0"/>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B82DD0" w:rsidRPr="00040E7D" w:rsidTr="00027DF8">
        <w:trPr>
          <w:trHeight w:hRule="exact" w:val="284"/>
          <w:jc w:val="center"/>
        </w:trPr>
        <w:tc>
          <w:tcPr>
            <w:tcW w:w="8364" w:type="dxa"/>
          </w:tcPr>
          <w:p w:rsidR="00B82DD0" w:rsidRPr="006010C1" w:rsidRDefault="00B82DD0" w:rsidP="00B82DD0">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Ireland</w:t>
            </w:r>
          </w:p>
        </w:tc>
        <w:tc>
          <w:tcPr>
            <w:tcW w:w="1275" w:type="dxa"/>
            <w:shd w:val="clear" w:color="auto" w:fill="auto"/>
            <w:vAlign w:val="bottom"/>
          </w:tcPr>
          <w:p w:rsidR="00B82DD0" w:rsidRPr="005B1DE1" w:rsidRDefault="00B82DD0" w:rsidP="00B82DD0">
            <w:pPr>
              <w:tabs>
                <w:tab w:val="left" w:pos="0"/>
                <w:tab w:val="right" w:pos="5760"/>
                <w:tab w:val="right" w:pos="7200"/>
                <w:tab w:val="right" w:pos="8640"/>
              </w:tabs>
              <w:autoSpaceDE w:val="0"/>
              <w:autoSpaceDN w:val="0"/>
              <w:adjustRightInd w:val="0"/>
              <w:spacing w:after="200"/>
              <w:jc w:val="right"/>
              <w:rPr>
                <w:rFonts w:ascii="Arial" w:hAnsi="Arial" w:cs="Arial"/>
                <w:b/>
                <w:sz w:val="18"/>
                <w:szCs w:val="18"/>
                <w:lang w:val="en-IE"/>
              </w:rPr>
            </w:pPr>
            <w:r w:rsidRPr="005B1DE1">
              <w:rPr>
                <w:rFonts w:ascii="Arial" w:hAnsi="Arial" w:cs="Arial"/>
                <w:b/>
                <w:color w:val="000000"/>
                <w:spacing w:val="-5"/>
                <w:sz w:val="18"/>
                <w:szCs w:val="18"/>
              </w:rPr>
              <w:t>-</w:t>
            </w:r>
          </w:p>
        </w:tc>
        <w:tc>
          <w:tcPr>
            <w:tcW w:w="1134" w:type="dxa"/>
          </w:tcPr>
          <w:p w:rsidR="00B82DD0" w:rsidRPr="005B1DE1" w:rsidRDefault="00B82DD0" w:rsidP="00B82DD0">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55</w:t>
            </w:r>
          </w:p>
        </w:tc>
      </w:tr>
      <w:tr w:rsidR="00B82DD0" w:rsidRPr="00040E7D" w:rsidTr="00027DF8">
        <w:trPr>
          <w:trHeight w:hRule="exact" w:val="284"/>
          <w:jc w:val="center"/>
        </w:trPr>
        <w:tc>
          <w:tcPr>
            <w:tcW w:w="8364" w:type="dxa"/>
          </w:tcPr>
          <w:p w:rsidR="00B82DD0" w:rsidRPr="006010C1" w:rsidRDefault="00B82DD0" w:rsidP="00B82DD0">
            <w:pPr>
              <w:tabs>
                <w:tab w:val="left" w:pos="0"/>
                <w:tab w:val="right" w:pos="5760"/>
                <w:tab w:val="right" w:pos="7200"/>
                <w:tab w:val="right" w:pos="864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United Kingdom</w:t>
            </w:r>
          </w:p>
        </w:tc>
        <w:tc>
          <w:tcPr>
            <w:tcW w:w="1275" w:type="dxa"/>
            <w:shd w:val="clear" w:color="auto" w:fill="auto"/>
            <w:vAlign w:val="bottom"/>
          </w:tcPr>
          <w:p w:rsidR="00B82DD0" w:rsidRPr="005B1DE1" w:rsidRDefault="00B82DD0" w:rsidP="00B82DD0">
            <w:pPr>
              <w:tabs>
                <w:tab w:val="left" w:pos="0"/>
                <w:tab w:val="right" w:pos="5760"/>
                <w:tab w:val="right" w:pos="7200"/>
                <w:tab w:val="right" w:pos="8640"/>
              </w:tabs>
              <w:autoSpaceDE w:val="0"/>
              <w:autoSpaceDN w:val="0"/>
              <w:adjustRightInd w:val="0"/>
              <w:spacing w:after="200"/>
              <w:jc w:val="right"/>
              <w:rPr>
                <w:rFonts w:ascii="Arial" w:hAnsi="Arial" w:cs="Arial"/>
                <w:b/>
                <w:sz w:val="18"/>
                <w:szCs w:val="18"/>
                <w:lang w:val="en-IE"/>
              </w:rPr>
            </w:pPr>
            <w:r w:rsidRPr="005B1DE1">
              <w:rPr>
                <w:rFonts w:ascii="Arial" w:hAnsi="Arial" w:cs="Arial"/>
                <w:b/>
                <w:color w:val="000000"/>
                <w:spacing w:val="-5"/>
                <w:sz w:val="18"/>
                <w:szCs w:val="18"/>
              </w:rPr>
              <w:t>57,90</w:t>
            </w:r>
            <w:r w:rsidR="00617E9F">
              <w:rPr>
                <w:rFonts w:ascii="Arial" w:hAnsi="Arial" w:cs="Arial"/>
                <w:b/>
                <w:color w:val="000000"/>
                <w:spacing w:val="-5"/>
                <w:sz w:val="18"/>
                <w:szCs w:val="18"/>
              </w:rPr>
              <w:t>1</w:t>
            </w:r>
          </w:p>
        </w:tc>
        <w:tc>
          <w:tcPr>
            <w:tcW w:w="1134" w:type="dxa"/>
          </w:tcPr>
          <w:p w:rsidR="00B82DD0" w:rsidRPr="005B1DE1" w:rsidRDefault="00B82DD0" w:rsidP="00B82DD0">
            <w:pPr>
              <w:tabs>
                <w:tab w:val="left" w:pos="0"/>
                <w:tab w:val="right" w:pos="5760"/>
                <w:tab w:val="right" w:pos="720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59,341</w:t>
            </w:r>
          </w:p>
        </w:tc>
      </w:tr>
      <w:tr w:rsidR="00B82DD0" w:rsidRPr="00040E7D" w:rsidTr="00027DF8">
        <w:trPr>
          <w:trHeight w:hRule="exact" w:val="284"/>
          <w:jc w:val="center"/>
        </w:trPr>
        <w:tc>
          <w:tcPr>
            <w:tcW w:w="8364" w:type="dxa"/>
            <w:tcBorders>
              <w:top w:val="single" w:sz="4" w:space="0" w:color="auto"/>
              <w:bottom w:val="single" w:sz="12" w:space="0" w:color="auto"/>
            </w:tcBorders>
            <w:vAlign w:val="center"/>
          </w:tcPr>
          <w:p w:rsidR="00B82DD0" w:rsidRPr="006010C1" w:rsidRDefault="00B82DD0" w:rsidP="00B82DD0">
            <w:pPr>
              <w:tabs>
                <w:tab w:val="left" w:pos="0"/>
                <w:tab w:val="right" w:pos="5760"/>
                <w:tab w:val="right" w:pos="7200"/>
                <w:tab w:val="right" w:pos="8640"/>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Total</w:t>
            </w:r>
          </w:p>
        </w:tc>
        <w:tc>
          <w:tcPr>
            <w:tcW w:w="1275" w:type="dxa"/>
            <w:tcBorders>
              <w:top w:val="single" w:sz="4" w:space="0" w:color="auto"/>
              <w:bottom w:val="single" w:sz="12" w:space="0" w:color="auto"/>
            </w:tcBorders>
            <w:shd w:val="clear" w:color="auto" w:fill="auto"/>
            <w:vAlign w:val="bottom"/>
          </w:tcPr>
          <w:p w:rsidR="00B82DD0" w:rsidRPr="005800E8" w:rsidRDefault="00B82DD0" w:rsidP="00B82DD0">
            <w:pPr>
              <w:tabs>
                <w:tab w:val="left" w:pos="0"/>
                <w:tab w:val="right" w:pos="5760"/>
                <w:tab w:val="right" w:pos="7200"/>
                <w:tab w:val="right" w:pos="8640"/>
              </w:tabs>
              <w:autoSpaceDE w:val="0"/>
              <w:autoSpaceDN w:val="0"/>
              <w:adjustRightInd w:val="0"/>
              <w:jc w:val="right"/>
              <w:rPr>
                <w:rFonts w:ascii="Arial" w:hAnsi="Arial" w:cs="Arial"/>
                <w:b/>
                <w:sz w:val="18"/>
                <w:szCs w:val="18"/>
                <w:lang w:val="en-IE"/>
              </w:rPr>
            </w:pPr>
            <w:r w:rsidRPr="005800E8">
              <w:rPr>
                <w:rFonts w:ascii="Arial" w:hAnsi="Arial" w:cs="Arial"/>
                <w:b/>
                <w:sz w:val="18"/>
                <w:szCs w:val="18"/>
                <w:lang w:val="en-IE"/>
              </w:rPr>
              <w:t>57,90</w:t>
            </w:r>
            <w:r w:rsidR="00617E9F" w:rsidRPr="005800E8">
              <w:rPr>
                <w:rFonts w:ascii="Arial" w:hAnsi="Arial" w:cs="Arial"/>
                <w:b/>
                <w:sz w:val="18"/>
                <w:szCs w:val="18"/>
                <w:lang w:val="en-IE"/>
              </w:rPr>
              <w:t>1</w:t>
            </w:r>
          </w:p>
        </w:tc>
        <w:tc>
          <w:tcPr>
            <w:tcW w:w="1134" w:type="dxa"/>
            <w:tcBorders>
              <w:top w:val="single" w:sz="4" w:space="0" w:color="auto"/>
              <w:bottom w:val="single" w:sz="12" w:space="0" w:color="auto"/>
            </w:tcBorders>
            <w:vAlign w:val="center"/>
          </w:tcPr>
          <w:p w:rsidR="00B82DD0" w:rsidRPr="005B1DE1" w:rsidRDefault="00B82DD0" w:rsidP="00B82DD0">
            <w:pPr>
              <w:tabs>
                <w:tab w:val="left" w:pos="0"/>
                <w:tab w:val="right" w:pos="5760"/>
                <w:tab w:val="right" w:pos="7200"/>
                <w:tab w:val="right" w:pos="864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59,396</w:t>
            </w:r>
          </w:p>
        </w:tc>
      </w:tr>
    </w:tbl>
    <w:p w:rsidR="00890B39" w:rsidRDefault="00890B39" w:rsidP="005F086E">
      <w:pPr>
        <w:pStyle w:val="ListParagraph"/>
        <w:ind w:left="0"/>
        <w:rPr>
          <w:rFonts w:ascii="Arial" w:hAnsi="Arial" w:cs="Arial"/>
          <w:b/>
          <w:color w:val="1F497D" w:themeColor="text2"/>
          <w:lang w:val="en-IE"/>
        </w:rPr>
      </w:pPr>
    </w:p>
    <w:p w:rsidR="00890B39" w:rsidRDefault="00890B39" w:rsidP="005F086E">
      <w:pPr>
        <w:pStyle w:val="ListParagraph"/>
        <w:ind w:left="0"/>
        <w:rPr>
          <w:rFonts w:ascii="Arial" w:hAnsi="Arial" w:cs="Arial"/>
          <w:b/>
          <w:color w:val="1F497D" w:themeColor="text2"/>
          <w:lang w:val="en-IE"/>
        </w:rPr>
      </w:pPr>
    </w:p>
    <w:p w:rsidR="00513786" w:rsidRDefault="00513786" w:rsidP="005F086E">
      <w:pPr>
        <w:pStyle w:val="ListParagraph"/>
        <w:ind w:left="0"/>
        <w:rPr>
          <w:rFonts w:ascii="Arial" w:hAnsi="Arial" w:cs="Arial"/>
          <w:b/>
          <w:color w:val="1F497D" w:themeColor="text2"/>
          <w:lang w:val="en-IE"/>
        </w:rPr>
      </w:pPr>
    </w:p>
    <w:p w:rsidR="00513786" w:rsidRDefault="00513786" w:rsidP="005F086E">
      <w:pPr>
        <w:pStyle w:val="ListParagraph"/>
        <w:ind w:left="0"/>
        <w:rPr>
          <w:rFonts w:ascii="Arial" w:hAnsi="Arial" w:cs="Arial"/>
          <w:b/>
          <w:color w:val="1F497D" w:themeColor="text2"/>
          <w:lang w:val="en-IE"/>
        </w:rPr>
      </w:pPr>
    </w:p>
    <w:p w:rsidR="00890B39" w:rsidRDefault="00EB7C4B" w:rsidP="005F086E">
      <w:pPr>
        <w:pStyle w:val="ListParagraph"/>
        <w:numPr>
          <w:ilvl w:val="0"/>
          <w:numId w:val="49"/>
        </w:numPr>
        <w:rPr>
          <w:rFonts w:ascii="Arial" w:hAnsi="Arial" w:cs="Arial"/>
          <w:b/>
          <w:color w:val="1F497D" w:themeColor="text2"/>
          <w:lang w:val="en-IE"/>
        </w:rPr>
      </w:pPr>
      <w:r>
        <w:rPr>
          <w:rFonts w:ascii="Arial" w:hAnsi="Arial" w:cs="Arial"/>
          <w:b/>
          <w:color w:val="1F497D" w:themeColor="text2"/>
          <w:lang w:val="en-IE"/>
        </w:rPr>
        <w:t xml:space="preserve">      </w:t>
      </w:r>
      <w:r w:rsidR="00513786">
        <w:rPr>
          <w:rFonts w:ascii="Arial" w:hAnsi="Arial" w:cs="Arial"/>
          <w:b/>
          <w:color w:val="1F497D" w:themeColor="text2"/>
          <w:lang w:val="en-IE"/>
        </w:rPr>
        <w:t>Exceptional items</w:t>
      </w:r>
    </w:p>
    <w:p w:rsidR="00890B39" w:rsidRDefault="00890B39" w:rsidP="005F086E">
      <w:pPr>
        <w:pStyle w:val="ListParagraph"/>
        <w:ind w:left="0"/>
        <w:rPr>
          <w:rFonts w:ascii="Arial" w:hAnsi="Arial" w:cs="Arial"/>
          <w:b/>
          <w:color w:val="1F497D" w:themeColor="text2"/>
          <w:lang w:val="en-IE"/>
        </w:rPr>
      </w:pPr>
    </w:p>
    <w:p w:rsidR="00890B39" w:rsidRDefault="00890B39" w:rsidP="005F086E">
      <w:pPr>
        <w:pStyle w:val="ListParagraph"/>
        <w:ind w:left="0"/>
        <w:rPr>
          <w:rFonts w:ascii="Arial" w:hAnsi="Arial" w:cs="Arial"/>
          <w:b/>
          <w:color w:val="1F497D" w:themeColor="text2"/>
          <w:lang w:val="en-IE"/>
        </w:rPr>
      </w:pPr>
    </w:p>
    <w:tbl>
      <w:tblPr>
        <w:tblStyle w:val="TableGrid"/>
        <w:tblW w:w="109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276"/>
        <w:gridCol w:w="1133"/>
      </w:tblGrid>
      <w:tr w:rsidR="00E765F4" w:rsidRPr="00040E7D" w:rsidTr="00027DF8">
        <w:trPr>
          <w:trHeight w:hRule="exact" w:val="284"/>
          <w:jc w:val="center"/>
        </w:trPr>
        <w:tc>
          <w:tcPr>
            <w:tcW w:w="8505" w:type="dxa"/>
          </w:tcPr>
          <w:p w:rsidR="00E765F4" w:rsidRPr="005F086E" w:rsidRDefault="002804D4" w:rsidP="005F086E">
            <w:pPr>
              <w:rPr>
                <w:rFonts w:ascii="Arial" w:hAnsi="Arial" w:cs="Arial"/>
                <w:b/>
                <w:sz w:val="18"/>
                <w:szCs w:val="18"/>
                <w:lang w:val="en-IE"/>
              </w:rPr>
            </w:pPr>
            <w:r w:rsidRPr="005F086E">
              <w:rPr>
                <w:rFonts w:ascii="Arial" w:hAnsi="Arial" w:cs="Arial"/>
                <w:b/>
                <w:color w:val="1F497D" w:themeColor="text2"/>
                <w:sz w:val="18"/>
                <w:szCs w:val="18"/>
                <w:lang w:val="en-IE"/>
              </w:rPr>
              <w:t>Exceptional items charged against operating profit</w:t>
            </w:r>
          </w:p>
        </w:tc>
        <w:tc>
          <w:tcPr>
            <w:tcW w:w="1276" w:type="dxa"/>
            <w:shd w:val="clear" w:color="auto" w:fill="auto"/>
          </w:tcPr>
          <w:p w:rsidR="00E765F4" w:rsidRPr="006010C1" w:rsidRDefault="005E11D6" w:rsidP="00744459">
            <w:pPr>
              <w:tabs>
                <w:tab w:val="left" w:pos="0"/>
                <w:tab w:val="right" w:pos="5760"/>
                <w:tab w:val="right" w:pos="7200"/>
                <w:tab w:val="right" w:pos="8640"/>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B82DD0">
              <w:rPr>
                <w:rFonts w:ascii="Arial" w:hAnsi="Arial" w:cs="Arial"/>
                <w:b/>
                <w:color w:val="1F497D" w:themeColor="text2"/>
                <w:sz w:val="18"/>
                <w:szCs w:val="18"/>
                <w:lang w:val="en-IE"/>
              </w:rPr>
              <w:t>7</w:t>
            </w:r>
          </w:p>
        </w:tc>
        <w:tc>
          <w:tcPr>
            <w:tcW w:w="1133" w:type="dxa"/>
          </w:tcPr>
          <w:p w:rsidR="00E765F4" w:rsidRPr="006010C1" w:rsidRDefault="005E11D6" w:rsidP="00744459">
            <w:pPr>
              <w:tabs>
                <w:tab w:val="left" w:pos="0"/>
                <w:tab w:val="right" w:pos="5760"/>
                <w:tab w:val="right" w:pos="7200"/>
                <w:tab w:val="right" w:pos="8640"/>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B82DD0">
              <w:rPr>
                <w:rFonts w:ascii="Arial" w:hAnsi="Arial" w:cs="Arial"/>
                <w:color w:val="1F497D" w:themeColor="text2"/>
                <w:sz w:val="18"/>
                <w:szCs w:val="18"/>
                <w:lang w:val="en-IE"/>
              </w:rPr>
              <w:t>6</w:t>
            </w:r>
          </w:p>
        </w:tc>
      </w:tr>
      <w:tr w:rsidR="00E765F4" w:rsidRPr="00040E7D" w:rsidTr="00027DF8">
        <w:trPr>
          <w:trHeight w:hRule="exact" w:val="284"/>
          <w:jc w:val="center"/>
        </w:trPr>
        <w:tc>
          <w:tcPr>
            <w:tcW w:w="8505" w:type="dxa"/>
          </w:tcPr>
          <w:p w:rsidR="00E765F4" w:rsidRPr="006010C1" w:rsidRDefault="00E765F4" w:rsidP="00C721AD">
            <w:pPr>
              <w:tabs>
                <w:tab w:val="left" w:pos="0"/>
                <w:tab w:val="right" w:pos="5760"/>
                <w:tab w:val="right" w:pos="7200"/>
                <w:tab w:val="right" w:pos="8640"/>
              </w:tabs>
              <w:spacing w:after="200"/>
              <w:jc w:val="both"/>
              <w:rPr>
                <w:rFonts w:ascii="Arial" w:hAnsi="Arial" w:cs="Arial"/>
                <w:sz w:val="18"/>
                <w:szCs w:val="18"/>
                <w:lang w:val="en-IE"/>
              </w:rPr>
            </w:pPr>
          </w:p>
        </w:tc>
        <w:tc>
          <w:tcPr>
            <w:tcW w:w="1276" w:type="dxa"/>
            <w:shd w:val="clear" w:color="auto" w:fill="auto"/>
          </w:tcPr>
          <w:p w:rsidR="00E765F4" w:rsidRPr="006010C1" w:rsidRDefault="00E765F4" w:rsidP="00C721AD">
            <w:pPr>
              <w:tabs>
                <w:tab w:val="left" w:pos="0"/>
                <w:tab w:val="right" w:pos="5760"/>
                <w:tab w:val="right" w:pos="7200"/>
                <w:tab w:val="right" w:pos="8640"/>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133" w:type="dxa"/>
          </w:tcPr>
          <w:p w:rsidR="00E765F4" w:rsidRPr="006010C1" w:rsidRDefault="00E765F4" w:rsidP="00C721AD">
            <w:pPr>
              <w:tabs>
                <w:tab w:val="left" w:pos="0"/>
                <w:tab w:val="right" w:pos="5760"/>
                <w:tab w:val="right" w:pos="7200"/>
                <w:tab w:val="right" w:pos="8640"/>
              </w:tabs>
              <w:autoSpaceDE w:val="0"/>
              <w:autoSpaceDN w:val="0"/>
              <w:adjustRightInd w:val="0"/>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B82DD0" w:rsidRPr="005C6091" w:rsidTr="00027DF8">
        <w:trPr>
          <w:trHeight w:hRule="exact" w:val="284"/>
          <w:jc w:val="center"/>
        </w:trPr>
        <w:tc>
          <w:tcPr>
            <w:tcW w:w="8505" w:type="dxa"/>
            <w:vAlign w:val="bottom"/>
          </w:tcPr>
          <w:p w:rsidR="00B82DD0" w:rsidRPr="005B1DE1" w:rsidRDefault="00B82DD0" w:rsidP="00B82DD0">
            <w:pPr>
              <w:widowControl w:val="0"/>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color w:val="000000"/>
                <w:spacing w:val="-5"/>
                <w:sz w:val="18"/>
                <w:szCs w:val="18"/>
              </w:rPr>
              <w:t>Redundancy and restructuring costs</w:t>
            </w:r>
          </w:p>
        </w:tc>
        <w:tc>
          <w:tcPr>
            <w:tcW w:w="1276" w:type="dxa"/>
            <w:shd w:val="clear" w:color="auto" w:fill="auto"/>
            <w:vAlign w:val="bottom"/>
          </w:tcPr>
          <w:p w:rsidR="00B82DD0" w:rsidRPr="005B1DE1" w:rsidRDefault="00B82DD0" w:rsidP="00B82DD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(1,385)</w:t>
            </w:r>
          </w:p>
        </w:tc>
        <w:tc>
          <w:tcPr>
            <w:tcW w:w="1133" w:type="dxa"/>
            <w:vAlign w:val="bottom"/>
          </w:tcPr>
          <w:p w:rsidR="00B82DD0" w:rsidRPr="005C6091" w:rsidRDefault="00B82DD0" w:rsidP="005C6091">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(2,694)</w:t>
            </w:r>
          </w:p>
        </w:tc>
      </w:tr>
      <w:tr w:rsidR="00B82DD0" w:rsidRPr="00040E7D" w:rsidTr="00027DF8">
        <w:trPr>
          <w:trHeight w:hRule="exact" w:val="284"/>
          <w:jc w:val="center"/>
        </w:trPr>
        <w:tc>
          <w:tcPr>
            <w:tcW w:w="8505" w:type="dxa"/>
            <w:vAlign w:val="bottom"/>
          </w:tcPr>
          <w:p w:rsidR="00B82DD0" w:rsidRPr="001972EA" w:rsidRDefault="00B82DD0" w:rsidP="00B82DD0">
            <w:pPr>
              <w:widowControl w:val="0"/>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color w:val="000000"/>
                <w:spacing w:val="-5"/>
                <w:sz w:val="18"/>
                <w:szCs w:val="18"/>
              </w:rPr>
              <w:t>Legal, Remediation and governance fees</w:t>
            </w:r>
          </w:p>
        </w:tc>
        <w:tc>
          <w:tcPr>
            <w:tcW w:w="1276" w:type="dxa"/>
            <w:shd w:val="clear" w:color="auto" w:fill="auto"/>
            <w:vAlign w:val="bottom"/>
          </w:tcPr>
          <w:p w:rsidR="00B82DD0" w:rsidRPr="001972EA" w:rsidRDefault="00B82DD0" w:rsidP="00B82DD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(5,375)</w:t>
            </w:r>
          </w:p>
        </w:tc>
        <w:tc>
          <w:tcPr>
            <w:tcW w:w="1133" w:type="dxa"/>
            <w:vAlign w:val="bottom"/>
          </w:tcPr>
          <w:p w:rsidR="00B82DD0" w:rsidRPr="001972EA" w:rsidRDefault="00B82DD0" w:rsidP="00B82DD0">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b/>
                <w:color w:val="000000"/>
                <w:spacing w:val="-5"/>
                <w:sz w:val="18"/>
                <w:szCs w:val="18"/>
              </w:rPr>
              <w:t>(528)</w:t>
            </w:r>
          </w:p>
        </w:tc>
      </w:tr>
      <w:tr w:rsidR="00B82DD0" w:rsidRPr="00040E7D" w:rsidTr="00027DF8">
        <w:trPr>
          <w:trHeight w:hRule="exact" w:val="284"/>
          <w:jc w:val="center"/>
        </w:trPr>
        <w:tc>
          <w:tcPr>
            <w:tcW w:w="8505" w:type="dxa"/>
            <w:vAlign w:val="bottom"/>
          </w:tcPr>
          <w:p w:rsidR="00B82DD0" w:rsidRPr="001972EA" w:rsidRDefault="00B82DD0" w:rsidP="00B82DD0">
            <w:pPr>
              <w:widowControl w:val="0"/>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color w:val="000000"/>
                <w:spacing w:val="-5"/>
                <w:sz w:val="18"/>
                <w:szCs w:val="18"/>
              </w:rPr>
              <w:t xml:space="preserve">Consultancy costs </w:t>
            </w:r>
          </w:p>
        </w:tc>
        <w:tc>
          <w:tcPr>
            <w:tcW w:w="1276" w:type="dxa"/>
            <w:shd w:val="clear" w:color="auto" w:fill="auto"/>
            <w:vAlign w:val="bottom"/>
          </w:tcPr>
          <w:p w:rsidR="00B82DD0" w:rsidRPr="001972EA" w:rsidRDefault="00B82DD0" w:rsidP="00B82DD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(1,566)</w:t>
            </w:r>
          </w:p>
        </w:tc>
        <w:tc>
          <w:tcPr>
            <w:tcW w:w="1133" w:type="dxa"/>
            <w:vAlign w:val="bottom"/>
          </w:tcPr>
          <w:p w:rsidR="00B82DD0" w:rsidRPr="001972EA" w:rsidRDefault="00B82DD0" w:rsidP="00B82DD0">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b/>
                <w:color w:val="000000"/>
                <w:spacing w:val="-5"/>
                <w:sz w:val="18"/>
                <w:szCs w:val="18"/>
              </w:rPr>
              <w:t>-</w:t>
            </w:r>
          </w:p>
        </w:tc>
      </w:tr>
      <w:tr w:rsidR="00B82DD0" w:rsidRPr="00040E7D" w:rsidTr="00027DF8">
        <w:trPr>
          <w:trHeight w:hRule="exact" w:val="284"/>
          <w:jc w:val="center"/>
        </w:trPr>
        <w:tc>
          <w:tcPr>
            <w:tcW w:w="8505" w:type="dxa"/>
            <w:vAlign w:val="bottom"/>
          </w:tcPr>
          <w:p w:rsidR="00B82DD0" w:rsidRPr="005B1DE1" w:rsidRDefault="00B82DD0" w:rsidP="00B82DD0">
            <w:pPr>
              <w:widowControl w:val="0"/>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color w:val="000000"/>
                <w:spacing w:val="-5"/>
                <w:sz w:val="18"/>
                <w:szCs w:val="18"/>
              </w:rPr>
              <w:t>Release of provision against receivable from associate</w:t>
            </w:r>
          </w:p>
        </w:tc>
        <w:tc>
          <w:tcPr>
            <w:tcW w:w="1276" w:type="dxa"/>
            <w:shd w:val="clear" w:color="auto" w:fill="auto"/>
            <w:vAlign w:val="bottom"/>
          </w:tcPr>
          <w:p w:rsidR="00B82DD0" w:rsidRPr="005B1DE1" w:rsidRDefault="00B82DD0" w:rsidP="00B82DD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w:t>
            </w:r>
          </w:p>
        </w:tc>
        <w:tc>
          <w:tcPr>
            <w:tcW w:w="1133" w:type="dxa"/>
            <w:vAlign w:val="bottom"/>
          </w:tcPr>
          <w:p w:rsidR="00B82DD0" w:rsidRPr="005B1DE1" w:rsidRDefault="00B82DD0" w:rsidP="00B82DD0">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b/>
                <w:color w:val="000000"/>
                <w:spacing w:val="-5"/>
                <w:sz w:val="18"/>
                <w:szCs w:val="18"/>
              </w:rPr>
              <w:t>516</w:t>
            </w:r>
          </w:p>
        </w:tc>
      </w:tr>
      <w:tr w:rsidR="00B82DD0" w:rsidRPr="00040E7D" w:rsidTr="00027DF8">
        <w:trPr>
          <w:trHeight w:hRule="exact" w:val="284"/>
          <w:jc w:val="center"/>
        </w:trPr>
        <w:tc>
          <w:tcPr>
            <w:tcW w:w="8505" w:type="dxa"/>
            <w:vAlign w:val="bottom"/>
          </w:tcPr>
          <w:p w:rsidR="00B82DD0" w:rsidRPr="005B1DE1" w:rsidRDefault="00B82DD0" w:rsidP="00B82DD0">
            <w:pPr>
              <w:widowControl w:val="0"/>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color w:val="000000"/>
                <w:spacing w:val="-5"/>
                <w:sz w:val="18"/>
                <w:szCs w:val="18"/>
              </w:rPr>
              <w:t>Loss on disposal of International division</w:t>
            </w:r>
          </w:p>
        </w:tc>
        <w:tc>
          <w:tcPr>
            <w:tcW w:w="1276" w:type="dxa"/>
            <w:shd w:val="clear" w:color="auto" w:fill="auto"/>
            <w:vAlign w:val="bottom"/>
          </w:tcPr>
          <w:p w:rsidR="00B82DD0" w:rsidRPr="005B1DE1" w:rsidRDefault="00B82DD0" w:rsidP="00B82DD0">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(469)</w:t>
            </w:r>
          </w:p>
        </w:tc>
        <w:tc>
          <w:tcPr>
            <w:tcW w:w="1133" w:type="dxa"/>
            <w:vAlign w:val="bottom"/>
          </w:tcPr>
          <w:p w:rsidR="00B82DD0" w:rsidRPr="005B1DE1" w:rsidRDefault="00B82DD0" w:rsidP="00B82DD0">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b/>
                <w:color w:val="000000"/>
                <w:spacing w:val="-5"/>
                <w:sz w:val="18"/>
                <w:szCs w:val="18"/>
              </w:rPr>
              <w:t>-</w:t>
            </w:r>
          </w:p>
        </w:tc>
      </w:tr>
      <w:tr w:rsidR="00B82DD0" w:rsidRPr="00040E7D" w:rsidTr="00027DF8">
        <w:trPr>
          <w:trHeight w:hRule="exact" w:val="284"/>
          <w:jc w:val="center"/>
        </w:trPr>
        <w:tc>
          <w:tcPr>
            <w:tcW w:w="8505" w:type="dxa"/>
            <w:tcBorders>
              <w:bottom w:val="single" w:sz="4" w:space="0" w:color="auto"/>
            </w:tcBorders>
            <w:vAlign w:val="bottom"/>
          </w:tcPr>
          <w:p w:rsidR="00B82DD0" w:rsidRPr="005B1DE1" w:rsidRDefault="00B82DD0" w:rsidP="00B82DD0">
            <w:pPr>
              <w:tabs>
                <w:tab w:val="left" w:pos="0"/>
                <w:tab w:val="right" w:pos="5760"/>
                <w:tab w:val="right" w:pos="7200"/>
                <w:tab w:val="right" w:pos="8640"/>
              </w:tabs>
              <w:jc w:val="both"/>
              <w:rPr>
                <w:rFonts w:ascii="Arial" w:hAnsi="Arial" w:cs="Arial"/>
                <w:sz w:val="18"/>
                <w:szCs w:val="18"/>
                <w:lang w:val="en-IE"/>
              </w:rPr>
            </w:pPr>
            <w:r w:rsidRPr="005B1DE1">
              <w:rPr>
                <w:rFonts w:ascii="Arial" w:hAnsi="Arial" w:cs="Arial"/>
                <w:color w:val="000000"/>
                <w:spacing w:val="-5"/>
                <w:sz w:val="18"/>
                <w:szCs w:val="18"/>
              </w:rPr>
              <w:t>Gain on disposal of IFG UK Financial Services</w:t>
            </w:r>
          </w:p>
        </w:tc>
        <w:tc>
          <w:tcPr>
            <w:tcW w:w="1276" w:type="dxa"/>
            <w:tcBorders>
              <w:bottom w:val="single" w:sz="4" w:space="0" w:color="auto"/>
            </w:tcBorders>
            <w:shd w:val="clear" w:color="auto" w:fill="auto"/>
            <w:vAlign w:val="bottom"/>
          </w:tcPr>
          <w:p w:rsidR="00B82DD0" w:rsidRPr="005B1DE1" w:rsidRDefault="00B82DD0" w:rsidP="00B82DD0">
            <w:pPr>
              <w:tabs>
                <w:tab w:val="left" w:pos="0"/>
                <w:tab w:val="right" w:pos="5760"/>
                <w:tab w:val="right" w:pos="7200"/>
                <w:tab w:val="right" w:pos="8640"/>
              </w:tabs>
              <w:jc w:val="right"/>
              <w:rPr>
                <w:rFonts w:ascii="Arial" w:hAnsi="Arial" w:cs="Arial"/>
                <w:b/>
                <w:sz w:val="18"/>
                <w:szCs w:val="18"/>
                <w:lang w:val="en-IE"/>
              </w:rPr>
            </w:pPr>
            <w:r w:rsidRPr="005B1DE1">
              <w:rPr>
                <w:rFonts w:ascii="Arial" w:hAnsi="Arial" w:cs="Arial"/>
                <w:b/>
                <w:color w:val="000000"/>
                <w:spacing w:val="-5"/>
                <w:sz w:val="18"/>
                <w:szCs w:val="18"/>
              </w:rPr>
              <w:t>-</w:t>
            </w:r>
          </w:p>
        </w:tc>
        <w:tc>
          <w:tcPr>
            <w:tcW w:w="1133" w:type="dxa"/>
            <w:tcBorders>
              <w:bottom w:val="single" w:sz="4" w:space="0" w:color="auto"/>
            </w:tcBorders>
            <w:vAlign w:val="bottom"/>
          </w:tcPr>
          <w:p w:rsidR="00B82DD0" w:rsidRPr="005B1DE1" w:rsidRDefault="00B82DD0" w:rsidP="00B82DD0">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b/>
                <w:color w:val="000000"/>
                <w:spacing w:val="-5"/>
                <w:sz w:val="18"/>
                <w:szCs w:val="18"/>
              </w:rPr>
              <w:t>979</w:t>
            </w:r>
          </w:p>
        </w:tc>
      </w:tr>
      <w:tr w:rsidR="00B82DD0" w:rsidRPr="00040E7D" w:rsidTr="00027DF8">
        <w:trPr>
          <w:trHeight w:hRule="exact" w:val="284"/>
          <w:jc w:val="center"/>
        </w:trPr>
        <w:tc>
          <w:tcPr>
            <w:tcW w:w="8505" w:type="dxa"/>
            <w:tcBorders>
              <w:top w:val="single" w:sz="4" w:space="0" w:color="auto"/>
              <w:bottom w:val="single" w:sz="12" w:space="0" w:color="auto"/>
            </w:tcBorders>
            <w:vAlign w:val="bottom"/>
          </w:tcPr>
          <w:p w:rsidR="00B82DD0" w:rsidRPr="005B1DE1" w:rsidRDefault="00B82DD0" w:rsidP="00B82DD0">
            <w:pPr>
              <w:tabs>
                <w:tab w:val="left" w:pos="0"/>
                <w:tab w:val="right" w:pos="5760"/>
                <w:tab w:val="right" w:pos="7200"/>
                <w:tab w:val="right" w:pos="8640"/>
              </w:tabs>
              <w:jc w:val="both"/>
              <w:rPr>
                <w:rFonts w:ascii="Arial" w:hAnsi="Arial" w:cs="Arial"/>
                <w:b/>
                <w:sz w:val="18"/>
                <w:szCs w:val="18"/>
                <w:lang w:val="en-IE"/>
              </w:rPr>
            </w:pPr>
            <w:r w:rsidRPr="005B1DE1">
              <w:rPr>
                <w:rFonts w:ascii="Arial" w:hAnsi="Arial" w:cs="Arial"/>
                <w:b/>
                <w:bCs/>
                <w:color w:val="000000"/>
                <w:spacing w:val="-5"/>
                <w:sz w:val="18"/>
                <w:szCs w:val="18"/>
              </w:rPr>
              <w:t>Total</w:t>
            </w:r>
          </w:p>
        </w:tc>
        <w:tc>
          <w:tcPr>
            <w:tcW w:w="1276" w:type="dxa"/>
            <w:tcBorders>
              <w:top w:val="single" w:sz="4" w:space="0" w:color="auto"/>
              <w:bottom w:val="single" w:sz="12" w:space="0" w:color="auto"/>
            </w:tcBorders>
            <w:shd w:val="clear" w:color="auto" w:fill="auto"/>
            <w:vAlign w:val="bottom"/>
          </w:tcPr>
          <w:p w:rsidR="00B82DD0" w:rsidRPr="005B1DE1" w:rsidRDefault="00B82DD0" w:rsidP="00B82DD0">
            <w:pPr>
              <w:tabs>
                <w:tab w:val="left" w:pos="0"/>
                <w:tab w:val="right" w:pos="5760"/>
                <w:tab w:val="right" w:pos="7200"/>
                <w:tab w:val="right" w:pos="8640"/>
              </w:tabs>
              <w:jc w:val="right"/>
              <w:rPr>
                <w:rFonts w:ascii="Arial" w:hAnsi="Arial" w:cs="Arial"/>
                <w:b/>
                <w:sz w:val="18"/>
                <w:szCs w:val="18"/>
                <w:lang w:val="en-IE"/>
              </w:rPr>
            </w:pPr>
            <w:r w:rsidRPr="005B1DE1">
              <w:rPr>
                <w:rFonts w:ascii="Arial" w:hAnsi="Arial" w:cs="Arial"/>
                <w:b/>
                <w:color w:val="000000"/>
                <w:spacing w:val="-5"/>
                <w:sz w:val="18"/>
                <w:szCs w:val="18"/>
              </w:rPr>
              <w:t>(8,795)</w:t>
            </w:r>
          </w:p>
        </w:tc>
        <w:tc>
          <w:tcPr>
            <w:tcW w:w="1133" w:type="dxa"/>
            <w:tcBorders>
              <w:top w:val="single" w:sz="4" w:space="0" w:color="auto"/>
              <w:bottom w:val="single" w:sz="12" w:space="0" w:color="auto"/>
            </w:tcBorders>
            <w:vAlign w:val="bottom"/>
          </w:tcPr>
          <w:p w:rsidR="00B82DD0" w:rsidRPr="005B1DE1" w:rsidRDefault="00B82DD0" w:rsidP="00B82DD0">
            <w:pPr>
              <w:tabs>
                <w:tab w:val="left" w:pos="0"/>
                <w:tab w:val="right" w:pos="5760"/>
                <w:tab w:val="right" w:pos="7200"/>
                <w:tab w:val="right" w:pos="8640"/>
              </w:tabs>
              <w:jc w:val="right"/>
              <w:rPr>
                <w:rFonts w:ascii="Arial" w:hAnsi="Arial" w:cs="Arial"/>
                <w:sz w:val="18"/>
                <w:szCs w:val="18"/>
                <w:lang w:val="en-IE"/>
              </w:rPr>
            </w:pPr>
            <w:r w:rsidRPr="005B1DE1">
              <w:rPr>
                <w:rFonts w:ascii="Arial" w:hAnsi="Arial" w:cs="Arial"/>
                <w:b/>
                <w:color w:val="000000"/>
                <w:spacing w:val="-5"/>
                <w:sz w:val="18"/>
                <w:szCs w:val="18"/>
              </w:rPr>
              <w:t>(1,727)</w:t>
            </w:r>
          </w:p>
        </w:tc>
      </w:tr>
    </w:tbl>
    <w:p w:rsidR="00261D69" w:rsidRPr="006C3343" w:rsidRDefault="00261D69" w:rsidP="00C721AD">
      <w:pPr>
        <w:tabs>
          <w:tab w:val="left" w:pos="567"/>
        </w:tabs>
        <w:spacing w:after="0" w:line="240" w:lineRule="auto"/>
        <w:ind w:right="20"/>
        <w:jc w:val="both"/>
        <w:rPr>
          <w:rFonts w:ascii="Arial" w:hAnsi="Arial" w:cs="Arial"/>
          <w:b/>
          <w:i/>
          <w:sz w:val="20"/>
          <w:szCs w:val="20"/>
          <w:lang w:val="en-IE"/>
        </w:rPr>
      </w:pPr>
    </w:p>
    <w:p w:rsidR="002A4AA2" w:rsidRPr="006C3343" w:rsidRDefault="002A4AA2" w:rsidP="00C721AD">
      <w:pPr>
        <w:tabs>
          <w:tab w:val="left" w:pos="567"/>
        </w:tabs>
        <w:spacing w:after="0" w:line="240" w:lineRule="auto"/>
        <w:ind w:right="20"/>
        <w:rPr>
          <w:rFonts w:ascii="Arial" w:hAnsi="Arial" w:cs="Arial"/>
          <w:b/>
          <w:color w:val="A6A6A6" w:themeColor="background1" w:themeShade="A6"/>
          <w:sz w:val="20"/>
          <w:szCs w:val="20"/>
          <w:lang w:val="en-IE"/>
        </w:rPr>
      </w:pPr>
    </w:p>
    <w:p w:rsidR="008469D7" w:rsidRPr="005F086E" w:rsidRDefault="00526C1B" w:rsidP="00C721AD">
      <w:pPr>
        <w:tabs>
          <w:tab w:val="left" w:pos="567"/>
        </w:tabs>
        <w:spacing w:after="0" w:line="240" w:lineRule="auto"/>
        <w:ind w:right="20"/>
        <w:rPr>
          <w:rFonts w:ascii="Arial" w:hAnsi="Arial" w:cs="Arial"/>
          <w:b/>
          <w:color w:val="808080" w:themeColor="background1" w:themeShade="80"/>
          <w:sz w:val="20"/>
          <w:szCs w:val="20"/>
          <w:lang w:val="en-IE"/>
        </w:rPr>
      </w:pPr>
      <w:r w:rsidRPr="005F086E">
        <w:rPr>
          <w:rFonts w:ascii="Arial" w:hAnsi="Arial" w:cs="Arial"/>
          <w:b/>
          <w:color w:val="808080" w:themeColor="background1" w:themeShade="80"/>
          <w:sz w:val="20"/>
          <w:szCs w:val="20"/>
          <w:lang w:val="en-IE"/>
        </w:rPr>
        <w:t>201</w:t>
      </w:r>
      <w:r w:rsidR="00B82DD0">
        <w:rPr>
          <w:rFonts w:ascii="Arial" w:hAnsi="Arial" w:cs="Arial"/>
          <w:b/>
          <w:color w:val="808080" w:themeColor="background1" w:themeShade="80"/>
          <w:sz w:val="20"/>
          <w:szCs w:val="20"/>
          <w:lang w:val="en-IE"/>
        </w:rPr>
        <w:t>7</w:t>
      </w:r>
    </w:p>
    <w:p w:rsidR="008469D7" w:rsidRPr="006C3343" w:rsidRDefault="008469D7" w:rsidP="00C721AD">
      <w:pPr>
        <w:tabs>
          <w:tab w:val="left" w:pos="567"/>
        </w:tabs>
        <w:spacing w:after="0" w:line="240" w:lineRule="auto"/>
        <w:ind w:right="20"/>
        <w:rPr>
          <w:rFonts w:ascii="Arial" w:hAnsi="Arial" w:cs="Arial"/>
          <w:b/>
          <w:color w:val="1F497D" w:themeColor="text2"/>
          <w:sz w:val="20"/>
          <w:szCs w:val="20"/>
          <w:u w:val="single"/>
          <w:lang w:val="en-IE"/>
        </w:rPr>
      </w:pPr>
    </w:p>
    <w:p w:rsidR="005144A7" w:rsidRPr="006010C1" w:rsidRDefault="00341B79" w:rsidP="00C721AD">
      <w:pPr>
        <w:tabs>
          <w:tab w:val="left" w:pos="567"/>
        </w:tabs>
        <w:spacing w:after="0" w:line="240" w:lineRule="auto"/>
        <w:ind w:right="20"/>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Redundancy and restructuring costs</w:t>
      </w:r>
    </w:p>
    <w:p w:rsidR="002804D4" w:rsidRPr="006C3343" w:rsidRDefault="002804D4" w:rsidP="00C721AD">
      <w:pPr>
        <w:tabs>
          <w:tab w:val="left" w:pos="567"/>
        </w:tabs>
        <w:spacing w:after="0" w:line="240" w:lineRule="auto"/>
        <w:ind w:right="20"/>
        <w:rPr>
          <w:rFonts w:ascii="Arial" w:hAnsi="Arial" w:cs="Arial"/>
          <w:b/>
          <w:color w:val="1F497D" w:themeColor="text2"/>
          <w:sz w:val="20"/>
          <w:szCs w:val="20"/>
          <w:lang w:val="en-IE"/>
        </w:rPr>
      </w:pPr>
    </w:p>
    <w:p w:rsidR="00B82DD0" w:rsidRPr="005B1DE1" w:rsidRDefault="00B82DD0"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Redundancy costs relating to the restructure of the James Hay business of £1.3 million, and a cost of £0.1 million related to the impairment of the Swavesey office and the delayed closure of the Dublin office. </w:t>
      </w:r>
    </w:p>
    <w:p w:rsidR="00B82DD0" w:rsidRDefault="00B82DD0" w:rsidP="005B1DE1">
      <w:pPr>
        <w:tabs>
          <w:tab w:val="left" w:pos="567"/>
        </w:tabs>
        <w:spacing w:after="0" w:line="240" w:lineRule="auto"/>
        <w:ind w:right="20"/>
        <w:rPr>
          <w:rFonts w:ascii="Arial" w:hAnsi="Arial" w:cs="Arial"/>
          <w:b/>
          <w:color w:val="1F497D" w:themeColor="text2"/>
          <w:sz w:val="20"/>
          <w:szCs w:val="20"/>
          <w:lang w:val="en-IE"/>
        </w:rPr>
      </w:pPr>
      <w:r w:rsidRPr="005B1DE1">
        <w:rPr>
          <w:rFonts w:ascii="Arial" w:hAnsi="Arial" w:cs="Arial"/>
          <w:b/>
          <w:color w:val="1F497D" w:themeColor="text2"/>
          <w:sz w:val="20"/>
          <w:szCs w:val="20"/>
          <w:lang w:val="en-IE"/>
        </w:rPr>
        <w:t>Legal, remediation and governance costs</w:t>
      </w:r>
    </w:p>
    <w:p w:rsidR="00B82DD0" w:rsidRPr="005B1DE1" w:rsidRDefault="00B82DD0" w:rsidP="005B1DE1">
      <w:pPr>
        <w:tabs>
          <w:tab w:val="left" w:pos="567"/>
        </w:tabs>
        <w:spacing w:after="0" w:line="240" w:lineRule="auto"/>
        <w:ind w:right="20"/>
        <w:rPr>
          <w:rFonts w:ascii="Arial" w:hAnsi="Arial" w:cs="Arial"/>
          <w:b/>
          <w:color w:val="1F497D" w:themeColor="text2"/>
          <w:sz w:val="20"/>
          <w:szCs w:val="20"/>
          <w:lang w:val="en-IE"/>
        </w:rPr>
      </w:pPr>
    </w:p>
    <w:p w:rsidR="00B82DD0" w:rsidRPr="005B1DE1" w:rsidRDefault="00B82DD0" w:rsidP="00526C1B">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A cost of £5.4 million has been recognised in relation to remediation and legal costs. Costs incurred include £2.0 million in relation to the ongoing Elysian Fuels investigation (which includes £1.3 million of provisions for legal costs), £1.6 million of costs relating to the historical</w:t>
      </w:r>
      <w:r w:rsidR="00551D9B" w:rsidRPr="00567B94">
        <w:rPr>
          <w:rFonts w:ascii="Arial" w:hAnsi="Arial" w:cs="Arial"/>
          <w:color w:val="000000"/>
          <w:spacing w:val="-2"/>
          <w:sz w:val="18"/>
          <w:szCs w:val="18"/>
        </w:rPr>
        <w:t xml:space="preserve"> pension transfers review in Saunderson House, where there are safeguarded benefits</w:t>
      </w:r>
      <w:r w:rsidR="00551D9B" w:rsidRPr="005B1DE1" w:rsidDel="00551D9B">
        <w:rPr>
          <w:rFonts w:ascii="Arial" w:hAnsi="Arial" w:cs="Arial"/>
          <w:color w:val="000000"/>
          <w:spacing w:val="-2"/>
          <w:sz w:val="18"/>
          <w:szCs w:val="18"/>
        </w:rPr>
        <w:t xml:space="preserve"> </w:t>
      </w:r>
      <w:r w:rsidRPr="005B1DE1">
        <w:rPr>
          <w:rFonts w:ascii="Arial" w:hAnsi="Arial" w:cs="Arial"/>
          <w:color w:val="000000"/>
          <w:spacing w:val="-2"/>
          <w:sz w:val="18"/>
          <w:szCs w:val="18"/>
        </w:rPr>
        <w:t xml:space="preserve">(which includes a provision of £0.9 million for potential client remediation) and £1.8 million of costs associated with the review of other legacy matters in James Hay, (including a provision of £1.5 million for potential remediation).   </w:t>
      </w:r>
    </w:p>
    <w:p w:rsidR="00526C1B" w:rsidRPr="005B1DE1" w:rsidRDefault="00B82DD0" w:rsidP="00526C1B">
      <w:pPr>
        <w:widowControl w:val="0"/>
        <w:tabs>
          <w:tab w:val="left" w:pos="227"/>
          <w:tab w:val="left" w:pos="340"/>
        </w:tabs>
        <w:suppressAutoHyphens/>
        <w:autoSpaceDE w:val="0"/>
        <w:autoSpaceDN w:val="0"/>
        <w:adjustRightInd w:val="0"/>
        <w:spacing w:line="200" w:lineRule="atLeast"/>
        <w:textAlignment w:val="center"/>
        <w:rPr>
          <w:rFonts w:ascii="Arial" w:hAnsi="Arial" w:cs="Arial"/>
          <w:b/>
          <w:color w:val="1F497D" w:themeColor="text2"/>
          <w:sz w:val="20"/>
          <w:szCs w:val="20"/>
          <w:lang w:val="en-IE"/>
        </w:rPr>
      </w:pPr>
      <w:r w:rsidRPr="005B1DE1">
        <w:rPr>
          <w:rFonts w:ascii="Arial" w:hAnsi="Arial" w:cs="Arial"/>
          <w:b/>
          <w:color w:val="1F497D" w:themeColor="text2"/>
          <w:sz w:val="20"/>
          <w:szCs w:val="20"/>
          <w:lang w:val="en-IE"/>
        </w:rPr>
        <w:t>Consultancy costs</w:t>
      </w:r>
    </w:p>
    <w:p w:rsidR="00B82DD0" w:rsidRPr="005B1DE1" w:rsidRDefault="00B82DD0"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Consultants costs of £1.6 million relating to the detailed review associated with the ongoing legacy matters detailed above were treated as exceptional during the year.</w:t>
      </w:r>
    </w:p>
    <w:p w:rsidR="00526C1B" w:rsidRPr="005B1DE1" w:rsidRDefault="00B82DD0" w:rsidP="00526C1B">
      <w:pPr>
        <w:widowControl w:val="0"/>
        <w:tabs>
          <w:tab w:val="left" w:pos="227"/>
          <w:tab w:val="left" w:pos="340"/>
        </w:tabs>
        <w:suppressAutoHyphens/>
        <w:autoSpaceDE w:val="0"/>
        <w:autoSpaceDN w:val="0"/>
        <w:adjustRightInd w:val="0"/>
        <w:spacing w:line="200" w:lineRule="atLeast"/>
        <w:textAlignment w:val="center"/>
        <w:rPr>
          <w:rFonts w:ascii="Arial" w:hAnsi="Arial" w:cs="Arial"/>
          <w:b/>
          <w:color w:val="1F497D" w:themeColor="text2"/>
          <w:sz w:val="20"/>
          <w:szCs w:val="20"/>
          <w:lang w:val="en-IE"/>
        </w:rPr>
      </w:pPr>
      <w:r w:rsidRPr="005B1DE1">
        <w:rPr>
          <w:rFonts w:ascii="Arial" w:hAnsi="Arial" w:cs="Arial"/>
          <w:b/>
          <w:color w:val="1F497D" w:themeColor="text2"/>
          <w:sz w:val="20"/>
          <w:szCs w:val="20"/>
          <w:lang w:val="en-IE"/>
        </w:rPr>
        <w:t>Loss on disposal of international division</w:t>
      </w:r>
    </w:p>
    <w:p w:rsidR="00B82DD0" w:rsidRPr="005B1DE1" w:rsidRDefault="00B82DD0"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exceptional loss of £0.5 million relates to the legal costs paid in relation to the First Names claim under the indemnities provided in the sale of the International Segment of which £0.3 million relates to interim assessment of costs awarded by the judge and £0.1 million relates to legal costs provided for.</w:t>
      </w:r>
    </w:p>
    <w:p w:rsidR="008469D7" w:rsidRPr="005F086E" w:rsidRDefault="00526C1B" w:rsidP="00C721AD">
      <w:pPr>
        <w:tabs>
          <w:tab w:val="left" w:pos="709"/>
        </w:tabs>
        <w:spacing w:after="0" w:line="240" w:lineRule="auto"/>
        <w:ind w:right="20"/>
        <w:rPr>
          <w:rFonts w:ascii="Arial" w:hAnsi="Arial" w:cs="Arial"/>
          <w:b/>
          <w:color w:val="808080" w:themeColor="background1" w:themeShade="80"/>
          <w:sz w:val="20"/>
          <w:szCs w:val="20"/>
          <w:lang w:val="en-IE"/>
        </w:rPr>
      </w:pPr>
      <w:r w:rsidRPr="005F086E">
        <w:rPr>
          <w:rFonts w:ascii="Arial" w:hAnsi="Arial" w:cs="Arial"/>
          <w:b/>
          <w:color w:val="808080" w:themeColor="background1" w:themeShade="80"/>
          <w:sz w:val="20"/>
          <w:szCs w:val="20"/>
          <w:lang w:val="en-IE"/>
        </w:rPr>
        <w:t>201</w:t>
      </w:r>
      <w:r w:rsidR="00B82DD0">
        <w:rPr>
          <w:rFonts w:ascii="Arial" w:hAnsi="Arial" w:cs="Arial"/>
          <w:b/>
          <w:color w:val="808080" w:themeColor="background1" w:themeShade="80"/>
          <w:sz w:val="20"/>
          <w:szCs w:val="20"/>
          <w:lang w:val="en-IE"/>
        </w:rPr>
        <w:t>6</w:t>
      </w:r>
    </w:p>
    <w:p w:rsidR="008469D7" w:rsidRPr="006C3343" w:rsidRDefault="008469D7" w:rsidP="008469D7">
      <w:pPr>
        <w:tabs>
          <w:tab w:val="left" w:pos="567"/>
        </w:tabs>
        <w:spacing w:after="0" w:line="240" w:lineRule="auto"/>
        <w:ind w:right="20"/>
        <w:rPr>
          <w:rFonts w:ascii="Arial" w:hAnsi="Arial" w:cs="Arial"/>
          <w:b/>
          <w:color w:val="1F497D" w:themeColor="text2"/>
          <w:sz w:val="20"/>
          <w:szCs w:val="20"/>
          <w:lang w:val="en-IE"/>
        </w:rPr>
      </w:pPr>
    </w:p>
    <w:p w:rsidR="00B82DD0" w:rsidRPr="006010C1" w:rsidRDefault="00B82DD0" w:rsidP="00B82DD0">
      <w:pPr>
        <w:tabs>
          <w:tab w:val="left" w:pos="567"/>
        </w:tabs>
        <w:spacing w:after="0" w:line="240" w:lineRule="auto"/>
        <w:ind w:right="20"/>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Redundancy and restructuring costs</w:t>
      </w:r>
    </w:p>
    <w:p w:rsidR="00B82DD0" w:rsidRPr="006C3343" w:rsidRDefault="00B82DD0" w:rsidP="00B82DD0">
      <w:pPr>
        <w:tabs>
          <w:tab w:val="left" w:pos="567"/>
        </w:tabs>
        <w:spacing w:after="0" w:line="240" w:lineRule="auto"/>
        <w:ind w:right="20"/>
        <w:rPr>
          <w:rFonts w:ascii="Arial" w:hAnsi="Arial" w:cs="Arial"/>
          <w:b/>
          <w:color w:val="1F497D" w:themeColor="text2"/>
          <w:sz w:val="20"/>
          <w:szCs w:val="20"/>
          <w:lang w:val="en-IE"/>
        </w:rPr>
      </w:pPr>
    </w:p>
    <w:p w:rsidR="00B82DD0" w:rsidRPr="006010C1" w:rsidRDefault="00B82DD0"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 xml:space="preserve">Exceptional costs of £2.7 million relate to costs of closing the Dublin Headquarters and the regional Swavesey office (£2.0 million) and </w:t>
      </w:r>
      <w:r w:rsidR="00A824A3">
        <w:rPr>
          <w:rFonts w:ascii="Arial" w:hAnsi="Arial" w:cs="Arial"/>
          <w:sz w:val="18"/>
          <w:szCs w:val="18"/>
          <w:lang w:val="en-IE"/>
        </w:rPr>
        <w:t xml:space="preserve">increased </w:t>
      </w:r>
      <w:r w:rsidRPr="006010C1">
        <w:rPr>
          <w:rFonts w:ascii="Arial" w:hAnsi="Arial" w:cs="Arial"/>
          <w:sz w:val="18"/>
          <w:szCs w:val="18"/>
          <w:lang w:val="en-IE"/>
        </w:rPr>
        <w:t xml:space="preserve">costs associated with the lease break on the former Group Headquarters in Booterstown, Co Dublin (£0.7 million).  </w:t>
      </w:r>
    </w:p>
    <w:p w:rsidR="00B82DD0" w:rsidRPr="006010C1" w:rsidRDefault="00B82DD0" w:rsidP="00B82DD0">
      <w:pPr>
        <w:widowControl w:val="0"/>
        <w:suppressAutoHyphens/>
        <w:autoSpaceDE w:val="0"/>
        <w:autoSpaceDN w:val="0"/>
        <w:adjustRightInd w:val="0"/>
        <w:spacing w:line="200" w:lineRule="atLeast"/>
        <w:textAlignment w:val="center"/>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Release of provision against receivable from associate</w:t>
      </w:r>
    </w:p>
    <w:p w:rsidR="00B82DD0" w:rsidRPr="006010C1" w:rsidRDefault="00B82DD0"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 xml:space="preserve">The exceptional gain of £0.5 million relates to the payment received for an amount due from the Group's associate, Rayband Limited, which was impaired in 2013. </w:t>
      </w:r>
    </w:p>
    <w:p w:rsidR="00B82DD0" w:rsidRPr="006010C1" w:rsidRDefault="00A824A3"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b/>
          <w:color w:val="1F497D" w:themeColor="text2"/>
          <w:sz w:val="18"/>
          <w:szCs w:val="18"/>
          <w:lang w:val="en-IE"/>
        </w:rPr>
      </w:pPr>
      <w:r>
        <w:rPr>
          <w:rFonts w:ascii="Arial" w:hAnsi="Arial" w:cs="Arial"/>
          <w:b/>
          <w:color w:val="1F497D" w:themeColor="text2"/>
          <w:sz w:val="18"/>
          <w:szCs w:val="18"/>
          <w:lang w:val="en-IE"/>
        </w:rPr>
        <w:t>Remediation and g</w:t>
      </w:r>
      <w:r w:rsidR="00B82DD0" w:rsidRPr="006010C1">
        <w:rPr>
          <w:rFonts w:ascii="Arial" w:hAnsi="Arial" w:cs="Arial"/>
          <w:b/>
          <w:color w:val="1F497D" w:themeColor="text2"/>
          <w:sz w:val="18"/>
          <w:szCs w:val="18"/>
          <w:lang w:val="en-IE"/>
        </w:rPr>
        <w:t>overnance fees</w:t>
      </w:r>
    </w:p>
    <w:p w:rsidR="00B82DD0" w:rsidRPr="006010C1" w:rsidRDefault="00B82DD0"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sz w:val="18"/>
          <w:szCs w:val="18"/>
          <w:lang w:val="en-IE"/>
        </w:rPr>
      </w:pPr>
      <w:r w:rsidRPr="006010C1">
        <w:rPr>
          <w:rFonts w:ascii="Arial" w:hAnsi="Arial" w:cs="Arial"/>
          <w:sz w:val="18"/>
          <w:szCs w:val="18"/>
          <w:lang w:val="en-IE"/>
        </w:rPr>
        <w:t>One-off costs of £0.5 million relating to external advisers who supported the work undertaken in relation to governance changes.</w:t>
      </w:r>
    </w:p>
    <w:p w:rsidR="00B82DD0" w:rsidRPr="006010C1" w:rsidRDefault="00B82DD0" w:rsidP="00B82DD0">
      <w:pPr>
        <w:widowControl w:val="0"/>
        <w:tabs>
          <w:tab w:val="left" w:pos="227"/>
          <w:tab w:val="left" w:pos="340"/>
        </w:tabs>
        <w:suppressAutoHyphens/>
        <w:autoSpaceDE w:val="0"/>
        <w:autoSpaceDN w:val="0"/>
        <w:adjustRightInd w:val="0"/>
        <w:spacing w:line="200" w:lineRule="atLeast"/>
        <w:textAlignment w:val="center"/>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Profit on disposal of IFG UK F</w:t>
      </w:r>
      <w:r w:rsidR="00833303">
        <w:rPr>
          <w:rFonts w:ascii="Arial" w:hAnsi="Arial" w:cs="Arial"/>
          <w:b/>
          <w:color w:val="1F497D" w:themeColor="text2"/>
          <w:sz w:val="18"/>
          <w:szCs w:val="18"/>
          <w:lang w:val="en-IE"/>
        </w:rPr>
        <w:t xml:space="preserve">inancial </w:t>
      </w:r>
      <w:r w:rsidRPr="006010C1">
        <w:rPr>
          <w:rFonts w:ascii="Arial" w:hAnsi="Arial" w:cs="Arial"/>
          <w:b/>
          <w:color w:val="1F497D" w:themeColor="text2"/>
          <w:sz w:val="18"/>
          <w:szCs w:val="18"/>
          <w:lang w:val="en-IE"/>
        </w:rPr>
        <w:t>S</w:t>
      </w:r>
      <w:r w:rsidR="00833303">
        <w:rPr>
          <w:rFonts w:ascii="Arial" w:hAnsi="Arial" w:cs="Arial"/>
          <w:b/>
          <w:color w:val="1F497D" w:themeColor="text2"/>
          <w:sz w:val="18"/>
          <w:szCs w:val="18"/>
          <w:lang w:val="en-IE"/>
        </w:rPr>
        <w:t>ervices</w:t>
      </w:r>
    </w:p>
    <w:p w:rsidR="00341B79" w:rsidRDefault="00B82DD0">
      <w:pPr>
        <w:rPr>
          <w:rFonts w:ascii="Arial" w:hAnsi="Arial" w:cs="Arial"/>
          <w:b/>
          <w:color w:val="1F497D" w:themeColor="text2"/>
          <w:sz w:val="20"/>
          <w:szCs w:val="20"/>
          <w:lang w:val="en-IE"/>
        </w:rPr>
      </w:pPr>
      <w:r w:rsidRPr="006010C1">
        <w:rPr>
          <w:rFonts w:ascii="Arial" w:hAnsi="Arial" w:cs="Arial"/>
          <w:sz w:val="18"/>
          <w:szCs w:val="18"/>
          <w:lang w:val="en-IE"/>
        </w:rPr>
        <w:t>The exceptional gain of £1.0 million relates to the finalisation of the sale consideration and costs associated with the completion of the sale of IFG UK FS which was sold in 2014.</w:t>
      </w:r>
      <w:r w:rsidR="00341B79">
        <w:rPr>
          <w:rFonts w:ascii="Arial" w:hAnsi="Arial" w:cs="Arial"/>
          <w:b/>
          <w:color w:val="1F497D" w:themeColor="text2"/>
          <w:sz w:val="20"/>
          <w:szCs w:val="20"/>
          <w:lang w:val="en-IE"/>
        </w:rPr>
        <w:br w:type="page"/>
      </w:r>
    </w:p>
    <w:p w:rsidR="005F2BB6" w:rsidRPr="00A95934" w:rsidRDefault="005F2BB6" w:rsidP="00C721AD">
      <w:pPr>
        <w:pStyle w:val="ListParagraph"/>
        <w:numPr>
          <w:ilvl w:val="0"/>
          <w:numId w:val="49"/>
        </w:numPr>
        <w:tabs>
          <w:tab w:val="left" w:pos="142"/>
          <w:tab w:val="left" w:pos="709"/>
        </w:tabs>
        <w:ind w:left="0" w:firstLine="0"/>
        <w:rPr>
          <w:rFonts w:ascii="Arial" w:eastAsiaTheme="minorEastAsia" w:hAnsi="Arial" w:cs="Arial"/>
          <w:b/>
          <w:color w:val="1F497D" w:themeColor="text2"/>
          <w:lang w:val="en-IE"/>
        </w:rPr>
      </w:pPr>
      <w:r w:rsidRPr="00A95934">
        <w:rPr>
          <w:rFonts w:ascii="Arial" w:eastAsiaTheme="minorEastAsia" w:hAnsi="Arial" w:cs="Arial"/>
          <w:b/>
          <w:color w:val="1F497D" w:themeColor="text2"/>
          <w:lang w:val="en-IE"/>
        </w:rPr>
        <w:lastRenderedPageBreak/>
        <w:t>Income tax</w:t>
      </w:r>
      <w:r w:rsidR="00D601BE">
        <w:rPr>
          <w:rFonts w:ascii="Arial" w:eastAsiaTheme="minorEastAsia" w:hAnsi="Arial" w:cs="Arial"/>
          <w:b/>
          <w:color w:val="1F497D" w:themeColor="text2"/>
          <w:lang w:val="en-IE"/>
        </w:rPr>
        <w:t xml:space="preserve"> </w:t>
      </w:r>
      <w:r w:rsidRPr="00A95934">
        <w:rPr>
          <w:rFonts w:ascii="Arial" w:eastAsiaTheme="minorEastAsia" w:hAnsi="Arial" w:cs="Arial"/>
          <w:b/>
          <w:color w:val="1F497D" w:themeColor="text2"/>
          <w:lang w:val="en-IE"/>
        </w:rPr>
        <w:t>(credit)</w:t>
      </w:r>
      <w:r w:rsidR="00D601BE">
        <w:rPr>
          <w:rFonts w:ascii="Arial" w:eastAsiaTheme="minorEastAsia" w:hAnsi="Arial" w:cs="Arial"/>
          <w:b/>
          <w:color w:val="1F497D" w:themeColor="text2"/>
          <w:lang w:val="en-IE"/>
        </w:rPr>
        <w:t>/</w:t>
      </w:r>
      <w:r w:rsidR="00D601BE" w:rsidRPr="00A95934">
        <w:rPr>
          <w:rFonts w:ascii="Arial" w:eastAsiaTheme="minorEastAsia" w:hAnsi="Arial" w:cs="Arial"/>
          <w:b/>
          <w:color w:val="1F497D" w:themeColor="text2"/>
          <w:lang w:val="en-IE"/>
        </w:rPr>
        <w:t>expense</w:t>
      </w:r>
    </w:p>
    <w:tbl>
      <w:tblPr>
        <w:tblW w:w="10949" w:type="dxa"/>
        <w:jc w:val="center"/>
        <w:tblLayout w:type="fixed"/>
        <w:tblLook w:val="04A0" w:firstRow="1" w:lastRow="0" w:firstColumn="1" w:lastColumn="0" w:noHBand="0" w:noVBand="1"/>
      </w:tblPr>
      <w:tblGrid>
        <w:gridCol w:w="8222"/>
        <w:gridCol w:w="1417"/>
        <w:gridCol w:w="1310"/>
      </w:tblGrid>
      <w:tr w:rsidR="00862460" w:rsidRPr="00040E7D" w:rsidTr="00027DF8">
        <w:trPr>
          <w:trHeight w:hRule="exact" w:val="255"/>
          <w:jc w:val="center"/>
        </w:trPr>
        <w:tc>
          <w:tcPr>
            <w:tcW w:w="8222" w:type="dxa"/>
            <w:vAlign w:val="bottom"/>
          </w:tcPr>
          <w:p w:rsidR="00862460" w:rsidRPr="006010C1" w:rsidRDefault="00862460" w:rsidP="00C721AD">
            <w:pPr>
              <w:tabs>
                <w:tab w:val="right" w:pos="5760"/>
                <w:tab w:val="right" w:pos="7938"/>
                <w:tab w:val="right" w:pos="9356"/>
              </w:tabs>
              <w:spacing w:line="240" w:lineRule="auto"/>
              <w:jc w:val="both"/>
              <w:rPr>
                <w:rFonts w:ascii="Arial" w:hAnsi="Arial" w:cs="Arial"/>
                <w:color w:val="1F497D" w:themeColor="text2"/>
                <w:sz w:val="18"/>
                <w:szCs w:val="18"/>
                <w:lang w:val="en-IE"/>
              </w:rPr>
            </w:pPr>
          </w:p>
        </w:tc>
        <w:tc>
          <w:tcPr>
            <w:tcW w:w="1417" w:type="dxa"/>
            <w:shd w:val="clear" w:color="auto" w:fill="auto"/>
          </w:tcPr>
          <w:p w:rsidR="00862460" w:rsidRPr="006010C1" w:rsidRDefault="00862460" w:rsidP="00C2667C">
            <w:pPr>
              <w:tabs>
                <w:tab w:val="right" w:pos="5760"/>
                <w:tab w:val="right" w:pos="7938"/>
                <w:tab w:val="right" w:pos="9356"/>
              </w:tabs>
              <w:spacing w:line="240" w:lineRule="auto"/>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0B0CAE">
              <w:rPr>
                <w:rFonts w:ascii="Arial" w:hAnsi="Arial" w:cs="Arial"/>
                <w:b/>
                <w:color w:val="1F497D" w:themeColor="text2"/>
                <w:sz w:val="18"/>
                <w:szCs w:val="18"/>
                <w:lang w:val="en-IE"/>
              </w:rPr>
              <w:t>7</w:t>
            </w:r>
          </w:p>
        </w:tc>
        <w:tc>
          <w:tcPr>
            <w:tcW w:w="1310" w:type="dxa"/>
          </w:tcPr>
          <w:p w:rsidR="00862460" w:rsidRPr="006010C1" w:rsidRDefault="00862460" w:rsidP="00C2667C">
            <w:pPr>
              <w:tabs>
                <w:tab w:val="right" w:pos="5760"/>
                <w:tab w:val="right" w:pos="7938"/>
                <w:tab w:val="right" w:pos="9356"/>
              </w:tabs>
              <w:spacing w:line="240" w:lineRule="auto"/>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0B0CAE">
              <w:rPr>
                <w:rFonts w:ascii="Arial" w:hAnsi="Arial" w:cs="Arial"/>
                <w:color w:val="1F497D" w:themeColor="text2"/>
                <w:sz w:val="18"/>
                <w:szCs w:val="18"/>
                <w:lang w:val="en-IE"/>
              </w:rPr>
              <w:t>6</w:t>
            </w:r>
          </w:p>
        </w:tc>
      </w:tr>
      <w:tr w:rsidR="00862460" w:rsidRPr="00040E7D" w:rsidTr="00027DF8">
        <w:trPr>
          <w:trHeight w:hRule="exact" w:val="255"/>
          <w:jc w:val="center"/>
        </w:trPr>
        <w:tc>
          <w:tcPr>
            <w:tcW w:w="8222" w:type="dxa"/>
            <w:vAlign w:val="bottom"/>
          </w:tcPr>
          <w:p w:rsidR="00862460" w:rsidRPr="006010C1" w:rsidRDefault="00862460" w:rsidP="00C721AD">
            <w:pPr>
              <w:tabs>
                <w:tab w:val="right" w:pos="5760"/>
                <w:tab w:val="right" w:pos="7938"/>
                <w:tab w:val="right" w:pos="9356"/>
              </w:tabs>
              <w:spacing w:line="240" w:lineRule="auto"/>
              <w:jc w:val="both"/>
              <w:rPr>
                <w:rFonts w:ascii="Arial" w:hAnsi="Arial" w:cs="Arial"/>
                <w:color w:val="1F497D" w:themeColor="text2"/>
                <w:sz w:val="18"/>
                <w:szCs w:val="18"/>
                <w:lang w:val="en-IE"/>
              </w:rPr>
            </w:pPr>
          </w:p>
        </w:tc>
        <w:tc>
          <w:tcPr>
            <w:tcW w:w="1417" w:type="dxa"/>
            <w:shd w:val="clear" w:color="auto" w:fill="auto"/>
          </w:tcPr>
          <w:p w:rsidR="00862460" w:rsidRPr="006010C1" w:rsidRDefault="00862460" w:rsidP="00C721AD">
            <w:pPr>
              <w:tabs>
                <w:tab w:val="right" w:pos="5760"/>
                <w:tab w:val="right" w:pos="7938"/>
                <w:tab w:val="right" w:pos="9356"/>
              </w:tabs>
              <w:autoSpaceDE w:val="0"/>
              <w:autoSpaceDN w:val="0"/>
              <w:adjustRightInd w:val="0"/>
              <w:spacing w:after="0" w:line="240" w:lineRule="auto"/>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310" w:type="dxa"/>
          </w:tcPr>
          <w:p w:rsidR="00862460" w:rsidRPr="006010C1" w:rsidRDefault="00862460" w:rsidP="00C721AD">
            <w:pPr>
              <w:tabs>
                <w:tab w:val="right" w:pos="5760"/>
                <w:tab w:val="right" w:pos="7938"/>
                <w:tab w:val="right" w:pos="9356"/>
              </w:tabs>
              <w:autoSpaceDE w:val="0"/>
              <w:autoSpaceDN w:val="0"/>
              <w:adjustRightInd w:val="0"/>
              <w:spacing w:after="0" w:line="240" w:lineRule="auto"/>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862460" w:rsidRPr="00040E7D" w:rsidTr="00027DF8">
        <w:trPr>
          <w:trHeight w:hRule="exact" w:val="255"/>
          <w:jc w:val="center"/>
        </w:trPr>
        <w:tc>
          <w:tcPr>
            <w:tcW w:w="8222" w:type="dxa"/>
          </w:tcPr>
          <w:p w:rsidR="00862460" w:rsidRPr="006010C1" w:rsidRDefault="00862460" w:rsidP="00C721AD">
            <w:pPr>
              <w:tabs>
                <w:tab w:val="left" w:pos="567"/>
                <w:tab w:val="right" w:pos="5670"/>
                <w:tab w:val="right" w:pos="6804"/>
                <w:tab w:val="right" w:pos="7938"/>
                <w:tab w:val="right" w:pos="9072"/>
                <w:tab w:val="right" w:pos="10206"/>
              </w:tabs>
              <w:autoSpaceDE w:val="0"/>
              <w:autoSpaceDN w:val="0"/>
              <w:adjustRightInd w:val="0"/>
              <w:spacing w:after="0" w:line="240" w:lineRule="auto"/>
              <w:jc w:val="both"/>
              <w:rPr>
                <w:rFonts w:ascii="Arial" w:hAnsi="Arial" w:cs="Arial"/>
                <w:i/>
                <w:sz w:val="18"/>
                <w:szCs w:val="18"/>
                <w:lang w:val="en-IE"/>
              </w:rPr>
            </w:pPr>
            <w:r w:rsidRPr="006010C1">
              <w:rPr>
                <w:rFonts w:ascii="Arial" w:hAnsi="Arial" w:cs="Arial"/>
                <w:i/>
                <w:color w:val="1F497D" w:themeColor="text2"/>
                <w:sz w:val="18"/>
                <w:szCs w:val="18"/>
                <w:lang w:val="en-IE"/>
              </w:rPr>
              <w:t>Current tax</w:t>
            </w:r>
          </w:p>
        </w:tc>
        <w:tc>
          <w:tcPr>
            <w:tcW w:w="1417" w:type="dxa"/>
            <w:shd w:val="clear" w:color="auto" w:fill="auto"/>
          </w:tcPr>
          <w:p w:rsidR="00862460" w:rsidRPr="006010C1" w:rsidRDefault="00862460" w:rsidP="00C721AD">
            <w:pPr>
              <w:tabs>
                <w:tab w:val="left" w:pos="567"/>
                <w:tab w:val="right" w:pos="5670"/>
                <w:tab w:val="right" w:pos="6804"/>
                <w:tab w:val="right" w:pos="7938"/>
                <w:tab w:val="right" w:pos="9072"/>
                <w:tab w:val="right" w:pos="10206"/>
              </w:tabs>
              <w:spacing w:line="240" w:lineRule="auto"/>
              <w:jc w:val="right"/>
              <w:rPr>
                <w:rFonts w:ascii="Arial" w:hAnsi="Arial" w:cs="Arial"/>
                <w:b/>
                <w:sz w:val="18"/>
                <w:szCs w:val="18"/>
                <w:lang w:val="en-IE"/>
              </w:rPr>
            </w:pPr>
          </w:p>
        </w:tc>
        <w:tc>
          <w:tcPr>
            <w:tcW w:w="1310" w:type="dxa"/>
          </w:tcPr>
          <w:p w:rsidR="00862460" w:rsidRPr="006010C1" w:rsidRDefault="00862460" w:rsidP="00C721AD">
            <w:pPr>
              <w:tabs>
                <w:tab w:val="left" w:pos="567"/>
                <w:tab w:val="right" w:pos="5670"/>
                <w:tab w:val="right" w:pos="6804"/>
                <w:tab w:val="right" w:pos="7938"/>
                <w:tab w:val="right" w:pos="9072"/>
                <w:tab w:val="right" w:pos="10206"/>
              </w:tabs>
              <w:spacing w:line="240" w:lineRule="auto"/>
              <w:jc w:val="right"/>
              <w:rPr>
                <w:rFonts w:ascii="Arial" w:hAnsi="Arial" w:cs="Arial"/>
                <w:sz w:val="18"/>
                <w:szCs w:val="18"/>
                <w:lang w:val="en-IE"/>
              </w:rPr>
            </w:pPr>
          </w:p>
        </w:tc>
      </w:tr>
      <w:tr w:rsidR="00862460" w:rsidRPr="00040E7D" w:rsidTr="00027DF8">
        <w:trPr>
          <w:trHeight w:hRule="exact" w:val="255"/>
          <w:jc w:val="center"/>
        </w:trPr>
        <w:tc>
          <w:tcPr>
            <w:tcW w:w="8222" w:type="dxa"/>
          </w:tcPr>
          <w:p w:rsidR="00862460" w:rsidRPr="006010C1" w:rsidRDefault="00862460" w:rsidP="00C721AD">
            <w:pPr>
              <w:tabs>
                <w:tab w:val="left" w:pos="567"/>
                <w:tab w:val="right" w:pos="5670"/>
                <w:tab w:val="right" w:pos="6804"/>
                <w:tab w:val="right" w:pos="7938"/>
                <w:tab w:val="right" w:pos="9072"/>
                <w:tab w:val="right" w:pos="10206"/>
              </w:tabs>
              <w:autoSpaceDE w:val="0"/>
              <w:autoSpaceDN w:val="0"/>
              <w:adjustRightInd w:val="0"/>
              <w:spacing w:after="0" w:line="240" w:lineRule="auto"/>
              <w:jc w:val="both"/>
              <w:rPr>
                <w:rFonts w:ascii="Arial" w:hAnsi="Arial" w:cs="Arial"/>
                <w:sz w:val="18"/>
                <w:szCs w:val="18"/>
                <w:lang w:val="en-IE"/>
              </w:rPr>
            </w:pPr>
            <w:r w:rsidRPr="006010C1">
              <w:rPr>
                <w:rFonts w:ascii="Arial" w:hAnsi="Arial" w:cs="Arial"/>
                <w:sz w:val="18"/>
                <w:szCs w:val="18"/>
                <w:lang w:val="en-IE"/>
              </w:rPr>
              <w:t>Ireland (at 12.5%):</w:t>
            </w:r>
          </w:p>
        </w:tc>
        <w:tc>
          <w:tcPr>
            <w:tcW w:w="1417" w:type="dxa"/>
            <w:shd w:val="clear" w:color="auto" w:fill="auto"/>
          </w:tcPr>
          <w:p w:rsidR="00862460" w:rsidRPr="006010C1" w:rsidRDefault="00862460" w:rsidP="00C721AD">
            <w:pPr>
              <w:tabs>
                <w:tab w:val="left" w:pos="567"/>
                <w:tab w:val="right" w:pos="5670"/>
                <w:tab w:val="right" w:pos="6804"/>
                <w:tab w:val="right" w:pos="7938"/>
                <w:tab w:val="right" w:pos="9072"/>
                <w:tab w:val="right" w:pos="10206"/>
              </w:tabs>
              <w:spacing w:line="240" w:lineRule="auto"/>
              <w:jc w:val="right"/>
              <w:rPr>
                <w:rFonts w:ascii="Arial" w:hAnsi="Arial" w:cs="Arial"/>
                <w:b/>
                <w:sz w:val="18"/>
                <w:szCs w:val="18"/>
                <w:lang w:val="en-IE"/>
              </w:rPr>
            </w:pPr>
          </w:p>
        </w:tc>
        <w:tc>
          <w:tcPr>
            <w:tcW w:w="1310" w:type="dxa"/>
          </w:tcPr>
          <w:p w:rsidR="00862460" w:rsidRPr="006010C1" w:rsidRDefault="00862460" w:rsidP="00C721AD">
            <w:pPr>
              <w:tabs>
                <w:tab w:val="left" w:pos="567"/>
                <w:tab w:val="right" w:pos="5670"/>
                <w:tab w:val="right" w:pos="6804"/>
                <w:tab w:val="right" w:pos="7938"/>
                <w:tab w:val="right" w:pos="9072"/>
                <w:tab w:val="right" w:pos="10206"/>
              </w:tabs>
              <w:spacing w:line="240" w:lineRule="auto"/>
              <w:jc w:val="right"/>
              <w:rPr>
                <w:rFonts w:ascii="Arial" w:hAnsi="Arial" w:cs="Arial"/>
                <w:sz w:val="18"/>
                <w:szCs w:val="18"/>
                <w:lang w:val="en-IE"/>
              </w:rPr>
            </w:pPr>
          </w:p>
        </w:tc>
      </w:tr>
      <w:tr w:rsidR="000B0CAE" w:rsidRPr="00040E7D" w:rsidTr="00027DF8">
        <w:trPr>
          <w:trHeight w:hRule="exact" w:val="255"/>
          <w:jc w:val="center"/>
        </w:trPr>
        <w:tc>
          <w:tcPr>
            <w:tcW w:w="8222" w:type="dxa"/>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current year</w:t>
            </w:r>
          </w:p>
        </w:tc>
        <w:tc>
          <w:tcPr>
            <w:tcW w:w="1417" w:type="dxa"/>
            <w:shd w:val="clear" w:color="auto" w:fill="auto"/>
          </w:tcPr>
          <w:p w:rsidR="000B0CAE" w:rsidRPr="006010C1" w:rsidRDefault="000B0CAE" w:rsidP="000B0CAE">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46</w:t>
            </w:r>
          </w:p>
        </w:tc>
        <w:tc>
          <w:tcPr>
            <w:tcW w:w="1310" w:type="dxa"/>
          </w:tcPr>
          <w:p w:rsidR="000B0CAE" w:rsidRPr="005B1DE1" w:rsidRDefault="000B0CAE" w:rsidP="001972EA">
            <w:pPr>
              <w:tabs>
                <w:tab w:val="left" w:pos="567"/>
                <w:tab w:val="right" w:pos="5670"/>
                <w:tab w:val="right" w:pos="6804"/>
                <w:tab w:val="right" w:pos="7938"/>
                <w:tab w:val="right" w:pos="9072"/>
                <w:tab w:val="right" w:pos="10206"/>
              </w:tabs>
              <w:autoSpaceDE w:val="0"/>
              <w:autoSpaceDN w:val="0"/>
              <w:adjustRightInd w:val="0"/>
              <w:spacing w:after="0" w:line="240" w:lineRule="auto"/>
              <w:jc w:val="right"/>
              <w:rPr>
                <w:rFonts w:ascii="Arial" w:hAnsi="Arial" w:cs="Arial"/>
                <w:sz w:val="18"/>
                <w:szCs w:val="18"/>
                <w:lang w:val="en-IE"/>
              </w:rPr>
            </w:pPr>
            <w:r w:rsidRPr="005B1DE1">
              <w:rPr>
                <w:rFonts w:ascii="Arial" w:hAnsi="Arial" w:cs="Arial"/>
                <w:color w:val="000000"/>
                <w:spacing w:val="-5"/>
                <w:sz w:val="18"/>
                <w:szCs w:val="18"/>
              </w:rPr>
              <w:t>54</w:t>
            </w:r>
          </w:p>
        </w:tc>
      </w:tr>
      <w:tr w:rsidR="000B0CAE" w:rsidRPr="00040E7D" w:rsidTr="00027DF8">
        <w:trPr>
          <w:trHeight w:hRule="exact" w:val="255"/>
          <w:jc w:val="center"/>
        </w:trPr>
        <w:tc>
          <w:tcPr>
            <w:tcW w:w="8222" w:type="dxa"/>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prior year</w:t>
            </w:r>
          </w:p>
        </w:tc>
        <w:tc>
          <w:tcPr>
            <w:tcW w:w="1417" w:type="dxa"/>
            <w:shd w:val="clear" w:color="auto" w:fill="auto"/>
          </w:tcPr>
          <w:p w:rsidR="000B0CAE" w:rsidRPr="006010C1" w:rsidRDefault="000B0CAE" w:rsidP="000B0CAE">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w:t>
            </w:r>
          </w:p>
        </w:tc>
        <w:tc>
          <w:tcPr>
            <w:tcW w:w="1310" w:type="dxa"/>
          </w:tcPr>
          <w:p w:rsidR="000B0CAE" w:rsidRPr="005B1DE1" w:rsidRDefault="000B0CAE" w:rsidP="005B1DE1">
            <w:pPr>
              <w:tabs>
                <w:tab w:val="left" w:pos="567"/>
                <w:tab w:val="right" w:pos="5670"/>
                <w:tab w:val="right" w:pos="6804"/>
                <w:tab w:val="right" w:pos="7938"/>
                <w:tab w:val="right" w:pos="9072"/>
                <w:tab w:val="right" w:pos="10206"/>
              </w:tabs>
              <w:autoSpaceDE w:val="0"/>
              <w:autoSpaceDN w:val="0"/>
              <w:adjustRightInd w:val="0"/>
              <w:spacing w:after="0" w:line="240" w:lineRule="auto"/>
              <w:jc w:val="right"/>
              <w:rPr>
                <w:rFonts w:ascii="Arial" w:hAnsi="Arial" w:cs="Arial"/>
                <w:sz w:val="18"/>
                <w:szCs w:val="18"/>
                <w:lang w:val="en-IE"/>
              </w:rPr>
            </w:pPr>
            <w:r w:rsidRPr="005B1DE1">
              <w:rPr>
                <w:rFonts w:ascii="Arial" w:hAnsi="Arial" w:cs="Arial"/>
                <w:color w:val="000000"/>
                <w:spacing w:val="-5"/>
                <w:sz w:val="18"/>
                <w:szCs w:val="18"/>
              </w:rPr>
              <w:t>1</w:t>
            </w:r>
          </w:p>
        </w:tc>
      </w:tr>
      <w:tr w:rsidR="000B0CAE" w:rsidRPr="00040E7D" w:rsidTr="00027DF8">
        <w:trPr>
          <w:trHeight w:hRule="exact" w:val="255"/>
          <w:jc w:val="center"/>
        </w:trPr>
        <w:tc>
          <w:tcPr>
            <w:tcW w:w="8222" w:type="dxa"/>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spacing w:after="0" w:line="240" w:lineRule="auto"/>
              <w:jc w:val="both"/>
              <w:rPr>
                <w:rFonts w:ascii="Arial" w:hAnsi="Arial" w:cs="Arial"/>
                <w:sz w:val="18"/>
                <w:szCs w:val="18"/>
                <w:lang w:val="en-IE"/>
              </w:rPr>
            </w:pPr>
            <w:r w:rsidRPr="006010C1">
              <w:rPr>
                <w:rFonts w:ascii="Arial" w:hAnsi="Arial" w:cs="Arial"/>
                <w:sz w:val="18"/>
                <w:szCs w:val="18"/>
                <w:lang w:val="en-IE"/>
              </w:rPr>
              <w:t xml:space="preserve">UK and other (primarily at </w:t>
            </w:r>
            <w:r>
              <w:rPr>
                <w:rFonts w:ascii="Arial" w:hAnsi="Arial" w:cs="Arial"/>
                <w:sz w:val="18"/>
                <w:szCs w:val="18"/>
                <w:lang w:val="en-IE"/>
              </w:rPr>
              <w:t>19.25</w:t>
            </w:r>
            <w:r w:rsidRPr="006010C1">
              <w:rPr>
                <w:rFonts w:ascii="Arial" w:hAnsi="Arial" w:cs="Arial"/>
                <w:sz w:val="18"/>
                <w:szCs w:val="18"/>
                <w:lang w:val="en-IE"/>
              </w:rPr>
              <w:t>% (201</w:t>
            </w:r>
            <w:r>
              <w:rPr>
                <w:rFonts w:ascii="Arial" w:hAnsi="Arial" w:cs="Arial"/>
                <w:sz w:val="18"/>
                <w:szCs w:val="18"/>
                <w:lang w:val="en-IE"/>
              </w:rPr>
              <w:t>6</w:t>
            </w:r>
            <w:r w:rsidRPr="006010C1">
              <w:rPr>
                <w:rFonts w:ascii="Arial" w:hAnsi="Arial" w:cs="Arial"/>
                <w:sz w:val="18"/>
                <w:szCs w:val="18"/>
                <w:lang w:val="en-IE"/>
              </w:rPr>
              <w:t>: 2</w:t>
            </w:r>
            <w:r>
              <w:rPr>
                <w:rFonts w:ascii="Arial" w:hAnsi="Arial" w:cs="Arial"/>
                <w:sz w:val="18"/>
                <w:szCs w:val="18"/>
                <w:lang w:val="en-IE"/>
              </w:rPr>
              <w:t>0</w:t>
            </w:r>
            <w:r w:rsidRPr="006010C1">
              <w:rPr>
                <w:rFonts w:ascii="Arial" w:hAnsi="Arial" w:cs="Arial"/>
                <w:sz w:val="18"/>
                <w:szCs w:val="18"/>
                <w:lang w:val="en-IE"/>
              </w:rPr>
              <w:t>%)):</w:t>
            </w:r>
          </w:p>
        </w:tc>
        <w:tc>
          <w:tcPr>
            <w:tcW w:w="1417" w:type="dxa"/>
            <w:shd w:val="clear" w:color="auto" w:fill="auto"/>
          </w:tcPr>
          <w:p w:rsidR="000B0CAE" w:rsidRPr="006010C1" w:rsidRDefault="000B0CAE" w:rsidP="000B0CAE">
            <w:pPr>
              <w:widowControl w:val="0"/>
              <w:autoSpaceDE w:val="0"/>
              <w:autoSpaceDN w:val="0"/>
              <w:adjustRightInd w:val="0"/>
              <w:rPr>
                <w:rFonts w:ascii="Arial" w:hAnsi="Arial" w:cs="Arial"/>
                <w:b/>
                <w:sz w:val="18"/>
                <w:szCs w:val="18"/>
                <w:lang w:val="en-US"/>
              </w:rPr>
            </w:pPr>
          </w:p>
        </w:tc>
        <w:tc>
          <w:tcPr>
            <w:tcW w:w="1310" w:type="dxa"/>
          </w:tcPr>
          <w:p w:rsidR="000B0CAE" w:rsidRPr="001972EA" w:rsidRDefault="000B0CAE" w:rsidP="001972EA">
            <w:pPr>
              <w:tabs>
                <w:tab w:val="left" w:pos="567"/>
                <w:tab w:val="right" w:pos="5670"/>
                <w:tab w:val="right" w:pos="6804"/>
                <w:tab w:val="right" w:pos="7938"/>
                <w:tab w:val="right" w:pos="9072"/>
                <w:tab w:val="right" w:pos="10206"/>
              </w:tabs>
              <w:spacing w:line="240" w:lineRule="auto"/>
              <w:jc w:val="right"/>
              <w:rPr>
                <w:rFonts w:ascii="Arial" w:hAnsi="Arial" w:cs="Arial"/>
                <w:sz w:val="18"/>
                <w:szCs w:val="18"/>
                <w:lang w:val="en-IE"/>
              </w:rPr>
            </w:pPr>
          </w:p>
        </w:tc>
      </w:tr>
      <w:tr w:rsidR="000B0CAE" w:rsidRPr="00040E7D" w:rsidTr="00027DF8">
        <w:trPr>
          <w:trHeight w:hRule="exact" w:val="255"/>
          <w:jc w:val="center"/>
        </w:trPr>
        <w:tc>
          <w:tcPr>
            <w:tcW w:w="8222" w:type="dxa"/>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current year</w:t>
            </w:r>
          </w:p>
        </w:tc>
        <w:tc>
          <w:tcPr>
            <w:tcW w:w="1417" w:type="dxa"/>
            <w:shd w:val="clear" w:color="auto" w:fill="auto"/>
          </w:tcPr>
          <w:p w:rsidR="000B0CAE" w:rsidRPr="006010C1" w:rsidRDefault="000B0CAE" w:rsidP="000B0CAE">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6010C1">
              <w:rPr>
                <w:rFonts w:ascii="Arial" w:hAnsi="Arial" w:cs="Arial"/>
                <w:b/>
                <w:color w:val="000000"/>
                <w:spacing w:val="-5"/>
                <w:sz w:val="18"/>
                <w:szCs w:val="18"/>
              </w:rPr>
              <w:t>1,</w:t>
            </w:r>
            <w:r>
              <w:rPr>
                <w:rFonts w:ascii="Arial" w:hAnsi="Arial" w:cs="Arial"/>
                <w:b/>
                <w:color w:val="000000"/>
                <w:spacing w:val="-5"/>
                <w:sz w:val="18"/>
                <w:szCs w:val="18"/>
              </w:rPr>
              <w:t>278</w:t>
            </w:r>
          </w:p>
        </w:tc>
        <w:tc>
          <w:tcPr>
            <w:tcW w:w="1310" w:type="dxa"/>
          </w:tcPr>
          <w:p w:rsidR="000B0CAE" w:rsidRPr="005B1DE1" w:rsidRDefault="000B0CAE" w:rsidP="001972EA">
            <w:pPr>
              <w:tabs>
                <w:tab w:val="left" w:pos="567"/>
                <w:tab w:val="right" w:pos="5670"/>
                <w:tab w:val="right" w:pos="6804"/>
                <w:tab w:val="right" w:pos="7938"/>
                <w:tab w:val="right" w:pos="9072"/>
                <w:tab w:val="right" w:pos="10206"/>
              </w:tabs>
              <w:autoSpaceDE w:val="0"/>
              <w:autoSpaceDN w:val="0"/>
              <w:adjustRightInd w:val="0"/>
              <w:spacing w:after="0" w:line="240" w:lineRule="auto"/>
              <w:jc w:val="right"/>
              <w:rPr>
                <w:rFonts w:ascii="Arial" w:hAnsi="Arial" w:cs="Arial"/>
                <w:sz w:val="18"/>
                <w:szCs w:val="18"/>
                <w:lang w:val="en-IE"/>
              </w:rPr>
            </w:pPr>
            <w:r w:rsidRPr="005B1DE1">
              <w:rPr>
                <w:rFonts w:ascii="Arial" w:hAnsi="Arial" w:cs="Arial"/>
                <w:color w:val="000000"/>
                <w:spacing w:val="-5"/>
                <w:sz w:val="18"/>
                <w:szCs w:val="18"/>
              </w:rPr>
              <w:t>1,978</w:t>
            </w:r>
          </w:p>
        </w:tc>
      </w:tr>
      <w:tr w:rsidR="000B0CAE" w:rsidRPr="00040E7D" w:rsidTr="00027DF8">
        <w:trPr>
          <w:trHeight w:hRule="exact" w:val="255"/>
          <w:jc w:val="center"/>
        </w:trPr>
        <w:tc>
          <w:tcPr>
            <w:tcW w:w="8222" w:type="dxa"/>
            <w:tcBorders>
              <w:bottom w:val="single" w:sz="4" w:space="0" w:color="auto"/>
            </w:tcBorders>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prior year</w:t>
            </w:r>
          </w:p>
        </w:tc>
        <w:tc>
          <w:tcPr>
            <w:tcW w:w="1417" w:type="dxa"/>
            <w:tcBorders>
              <w:bottom w:val="single" w:sz="4" w:space="0" w:color="auto"/>
            </w:tcBorders>
            <w:shd w:val="clear" w:color="auto" w:fill="auto"/>
          </w:tcPr>
          <w:p w:rsidR="000B0CAE" w:rsidRPr="006010C1" w:rsidRDefault="000B0CAE" w:rsidP="000B0CAE">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6010C1">
              <w:rPr>
                <w:rFonts w:ascii="Arial" w:hAnsi="Arial" w:cs="Arial"/>
                <w:b/>
                <w:color w:val="000000"/>
                <w:spacing w:val="-5"/>
                <w:sz w:val="18"/>
                <w:szCs w:val="18"/>
              </w:rPr>
              <w:t>(</w:t>
            </w:r>
            <w:r>
              <w:rPr>
                <w:rFonts w:ascii="Arial" w:hAnsi="Arial" w:cs="Arial"/>
                <w:b/>
                <w:color w:val="000000"/>
                <w:spacing w:val="-5"/>
                <w:sz w:val="18"/>
                <w:szCs w:val="18"/>
              </w:rPr>
              <w:t>602</w:t>
            </w:r>
            <w:r w:rsidRPr="006010C1">
              <w:rPr>
                <w:rFonts w:ascii="Arial" w:hAnsi="Arial" w:cs="Arial"/>
                <w:b/>
                <w:color w:val="000000"/>
                <w:spacing w:val="-5"/>
                <w:sz w:val="18"/>
                <w:szCs w:val="18"/>
              </w:rPr>
              <w:t>)</w:t>
            </w:r>
          </w:p>
        </w:tc>
        <w:tc>
          <w:tcPr>
            <w:tcW w:w="1310" w:type="dxa"/>
            <w:tcBorders>
              <w:bottom w:val="single" w:sz="4" w:space="0" w:color="auto"/>
            </w:tcBorders>
          </w:tcPr>
          <w:p w:rsidR="000B0CAE" w:rsidRPr="005B1DE1" w:rsidRDefault="000B0CAE" w:rsidP="001972EA">
            <w:pPr>
              <w:tabs>
                <w:tab w:val="left" w:pos="567"/>
                <w:tab w:val="right" w:pos="5670"/>
                <w:tab w:val="right" w:pos="6804"/>
                <w:tab w:val="right" w:pos="7938"/>
                <w:tab w:val="right" w:pos="9072"/>
                <w:tab w:val="right" w:pos="10206"/>
              </w:tabs>
              <w:autoSpaceDE w:val="0"/>
              <w:autoSpaceDN w:val="0"/>
              <w:adjustRightInd w:val="0"/>
              <w:spacing w:after="0" w:line="240" w:lineRule="auto"/>
              <w:jc w:val="right"/>
              <w:rPr>
                <w:rFonts w:ascii="Arial" w:hAnsi="Arial" w:cs="Arial"/>
                <w:sz w:val="18"/>
                <w:szCs w:val="18"/>
                <w:lang w:val="en-IE"/>
              </w:rPr>
            </w:pPr>
            <w:r w:rsidRPr="005B1DE1">
              <w:rPr>
                <w:rFonts w:ascii="Arial" w:hAnsi="Arial" w:cs="Arial"/>
                <w:color w:val="000000"/>
                <w:spacing w:val="-5"/>
                <w:sz w:val="18"/>
                <w:szCs w:val="18"/>
              </w:rPr>
              <w:t>(284)</w:t>
            </w:r>
          </w:p>
        </w:tc>
      </w:tr>
      <w:tr w:rsidR="000B0CAE" w:rsidRPr="00040E7D" w:rsidTr="00027DF8">
        <w:trPr>
          <w:trHeight w:hRule="exact" w:val="255"/>
          <w:jc w:val="center"/>
        </w:trPr>
        <w:tc>
          <w:tcPr>
            <w:tcW w:w="8222" w:type="dxa"/>
            <w:tcBorders>
              <w:bottom w:val="single" w:sz="4" w:space="0" w:color="auto"/>
            </w:tcBorders>
          </w:tcPr>
          <w:p w:rsidR="000B0CAE" w:rsidRPr="00B61833" w:rsidRDefault="000B0CAE" w:rsidP="000B0CAE">
            <w:pPr>
              <w:pStyle w:val="ListParagraph"/>
              <w:tabs>
                <w:tab w:val="left" w:pos="567"/>
                <w:tab w:val="right" w:pos="5670"/>
                <w:tab w:val="right" w:pos="6804"/>
                <w:tab w:val="right" w:pos="7938"/>
                <w:tab w:val="right" w:pos="9072"/>
                <w:tab w:val="right" w:pos="10206"/>
              </w:tabs>
              <w:autoSpaceDE w:val="0"/>
              <w:autoSpaceDN w:val="0"/>
              <w:adjustRightInd w:val="0"/>
              <w:ind w:left="0"/>
              <w:jc w:val="both"/>
              <w:rPr>
                <w:rFonts w:ascii="Arial" w:hAnsi="Arial" w:cs="Arial"/>
                <w:b/>
                <w:sz w:val="18"/>
                <w:szCs w:val="18"/>
                <w:lang w:val="en-IE"/>
              </w:rPr>
            </w:pPr>
            <w:r w:rsidRPr="00B61833">
              <w:rPr>
                <w:rFonts w:ascii="Arial" w:hAnsi="Arial" w:cs="Arial"/>
                <w:b/>
                <w:sz w:val="18"/>
                <w:szCs w:val="18"/>
                <w:lang w:val="en-IE"/>
              </w:rPr>
              <w:t>Total current tax expense</w:t>
            </w:r>
          </w:p>
        </w:tc>
        <w:tc>
          <w:tcPr>
            <w:tcW w:w="1417" w:type="dxa"/>
            <w:tcBorders>
              <w:bottom w:val="single" w:sz="4" w:space="0" w:color="auto"/>
            </w:tcBorders>
            <w:shd w:val="clear" w:color="auto" w:fill="auto"/>
          </w:tcPr>
          <w:p w:rsidR="000B0CAE" w:rsidRPr="006010C1" w:rsidRDefault="000B0CAE" w:rsidP="000B0CAE">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722</w:t>
            </w:r>
          </w:p>
        </w:tc>
        <w:tc>
          <w:tcPr>
            <w:tcW w:w="1310" w:type="dxa"/>
            <w:tcBorders>
              <w:bottom w:val="single" w:sz="4" w:space="0" w:color="auto"/>
            </w:tcBorders>
          </w:tcPr>
          <w:p w:rsidR="000B0CAE" w:rsidRPr="005B1DE1" w:rsidRDefault="000B0CAE" w:rsidP="001972EA">
            <w:pPr>
              <w:tabs>
                <w:tab w:val="left" w:pos="567"/>
                <w:tab w:val="right" w:pos="5670"/>
                <w:tab w:val="right" w:pos="6804"/>
                <w:tab w:val="right" w:pos="7938"/>
                <w:tab w:val="right" w:pos="9072"/>
                <w:tab w:val="right" w:pos="10206"/>
              </w:tabs>
              <w:autoSpaceDE w:val="0"/>
              <w:autoSpaceDN w:val="0"/>
              <w:adjustRightInd w:val="0"/>
              <w:spacing w:after="0" w:line="240" w:lineRule="auto"/>
              <w:jc w:val="right"/>
              <w:rPr>
                <w:rFonts w:ascii="Arial" w:hAnsi="Arial" w:cs="Arial"/>
                <w:sz w:val="18"/>
                <w:szCs w:val="18"/>
                <w:lang w:val="en-IE"/>
              </w:rPr>
            </w:pPr>
            <w:r w:rsidRPr="005B1DE1">
              <w:rPr>
                <w:rFonts w:ascii="Arial" w:hAnsi="Arial" w:cs="Arial"/>
                <w:color w:val="000000"/>
                <w:spacing w:val="-5"/>
                <w:sz w:val="18"/>
                <w:szCs w:val="18"/>
              </w:rPr>
              <w:t>1,749</w:t>
            </w:r>
          </w:p>
        </w:tc>
      </w:tr>
    </w:tbl>
    <w:tbl>
      <w:tblPr>
        <w:tblStyle w:val="TableGrid"/>
        <w:tblW w:w="109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876"/>
        <w:gridCol w:w="1668"/>
        <w:gridCol w:w="1417"/>
        <w:gridCol w:w="1309"/>
      </w:tblGrid>
      <w:tr w:rsidR="00FA1ECC" w:rsidRPr="00040E7D" w:rsidTr="00027DF8">
        <w:trPr>
          <w:trHeight w:hRule="exact" w:val="255"/>
          <w:jc w:val="center"/>
        </w:trPr>
        <w:tc>
          <w:tcPr>
            <w:tcW w:w="4678" w:type="dxa"/>
          </w:tcPr>
          <w:p w:rsidR="00FA1ECC" w:rsidRPr="006010C1" w:rsidRDefault="00FA1ECC" w:rsidP="00C721AD">
            <w:pPr>
              <w:tabs>
                <w:tab w:val="left" w:pos="567"/>
                <w:tab w:val="right" w:pos="5670"/>
                <w:tab w:val="right" w:pos="6804"/>
                <w:tab w:val="right" w:pos="7938"/>
                <w:tab w:val="right" w:pos="9072"/>
                <w:tab w:val="right" w:pos="10206"/>
              </w:tabs>
              <w:spacing w:after="200"/>
              <w:jc w:val="both"/>
              <w:rPr>
                <w:rFonts w:ascii="Arial" w:hAnsi="Arial" w:cs="Arial"/>
                <w:sz w:val="18"/>
                <w:szCs w:val="18"/>
                <w:lang w:val="en-IE"/>
              </w:rPr>
            </w:pPr>
          </w:p>
        </w:tc>
        <w:tc>
          <w:tcPr>
            <w:tcW w:w="1876" w:type="dxa"/>
          </w:tcPr>
          <w:p w:rsidR="00FA1ECC" w:rsidRPr="006010C1" w:rsidRDefault="00FA1ECC" w:rsidP="00C721AD">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668" w:type="dxa"/>
          </w:tcPr>
          <w:p w:rsidR="00FA1ECC" w:rsidRPr="006010C1" w:rsidRDefault="00FA1ECC" w:rsidP="00C721AD">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417" w:type="dxa"/>
            <w:shd w:val="clear" w:color="auto" w:fill="auto"/>
          </w:tcPr>
          <w:p w:rsidR="00FA1ECC" w:rsidRPr="006010C1" w:rsidRDefault="00FA1ECC" w:rsidP="00C721AD">
            <w:pPr>
              <w:tabs>
                <w:tab w:val="left" w:pos="567"/>
                <w:tab w:val="right" w:pos="5670"/>
                <w:tab w:val="right" w:pos="6804"/>
                <w:tab w:val="right" w:pos="7938"/>
                <w:tab w:val="right" w:pos="9072"/>
                <w:tab w:val="right" w:pos="10206"/>
              </w:tabs>
              <w:spacing w:after="200"/>
              <w:jc w:val="right"/>
              <w:rPr>
                <w:rFonts w:ascii="Arial" w:hAnsi="Arial" w:cs="Arial"/>
                <w:sz w:val="18"/>
                <w:szCs w:val="18"/>
                <w:lang w:val="en-IE"/>
              </w:rPr>
            </w:pPr>
          </w:p>
        </w:tc>
        <w:tc>
          <w:tcPr>
            <w:tcW w:w="1309" w:type="dxa"/>
          </w:tcPr>
          <w:p w:rsidR="00FA1ECC" w:rsidRPr="006010C1" w:rsidRDefault="00FA1ECC" w:rsidP="00C721AD">
            <w:pPr>
              <w:tabs>
                <w:tab w:val="left" w:pos="567"/>
                <w:tab w:val="right" w:pos="5670"/>
                <w:tab w:val="right" w:pos="6804"/>
                <w:tab w:val="right" w:pos="7938"/>
                <w:tab w:val="right" w:pos="9072"/>
                <w:tab w:val="right" w:pos="10206"/>
              </w:tabs>
              <w:spacing w:after="200"/>
              <w:jc w:val="right"/>
              <w:rPr>
                <w:rFonts w:ascii="Arial" w:hAnsi="Arial" w:cs="Arial"/>
                <w:sz w:val="18"/>
                <w:szCs w:val="18"/>
                <w:lang w:val="en-IE"/>
              </w:rPr>
            </w:pPr>
          </w:p>
        </w:tc>
      </w:tr>
      <w:tr w:rsidR="000E3135" w:rsidRPr="00040E7D" w:rsidTr="00027DF8">
        <w:trPr>
          <w:trHeight w:hRule="exact" w:val="255"/>
          <w:jc w:val="center"/>
        </w:trPr>
        <w:tc>
          <w:tcPr>
            <w:tcW w:w="4678" w:type="dxa"/>
          </w:tcPr>
          <w:p w:rsidR="000E3135" w:rsidRPr="006010C1" w:rsidRDefault="00E00494" w:rsidP="00C721AD">
            <w:pPr>
              <w:tabs>
                <w:tab w:val="left" w:pos="567"/>
                <w:tab w:val="right" w:pos="5670"/>
                <w:tab w:val="right" w:pos="6804"/>
                <w:tab w:val="right" w:pos="7938"/>
                <w:tab w:val="right" w:pos="9072"/>
                <w:tab w:val="right" w:pos="10206"/>
              </w:tabs>
              <w:spacing w:after="200"/>
              <w:jc w:val="both"/>
              <w:rPr>
                <w:rFonts w:ascii="Arial" w:hAnsi="Arial" w:cs="Arial"/>
                <w:i/>
                <w:sz w:val="18"/>
                <w:szCs w:val="18"/>
                <w:lang w:val="en-IE"/>
              </w:rPr>
            </w:pPr>
            <w:r w:rsidRPr="006010C1">
              <w:rPr>
                <w:rFonts w:ascii="Arial" w:hAnsi="Arial" w:cs="Arial"/>
                <w:i/>
                <w:color w:val="1F497D" w:themeColor="text2"/>
                <w:sz w:val="18"/>
                <w:szCs w:val="18"/>
                <w:lang w:val="en-IE"/>
              </w:rPr>
              <w:t>Deferred tax</w:t>
            </w:r>
          </w:p>
        </w:tc>
        <w:tc>
          <w:tcPr>
            <w:tcW w:w="1876" w:type="dxa"/>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668" w:type="dxa"/>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417" w:type="dxa"/>
            <w:shd w:val="clear" w:color="auto" w:fill="auto"/>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sz w:val="18"/>
                <w:szCs w:val="18"/>
                <w:lang w:val="en-IE"/>
              </w:rPr>
            </w:pPr>
          </w:p>
        </w:tc>
        <w:tc>
          <w:tcPr>
            <w:tcW w:w="1309" w:type="dxa"/>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sz w:val="18"/>
                <w:szCs w:val="18"/>
                <w:lang w:val="en-IE"/>
              </w:rPr>
            </w:pPr>
          </w:p>
        </w:tc>
      </w:tr>
      <w:tr w:rsidR="000E3135" w:rsidRPr="00040E7D" w:rsidTr="00027DF8">
        <w:trPr>
          <w:trHeight w:hRule="exact" w:val="255"/>
          <w:jc w:val="center"/>
        </w:trPr>
        <w:tc>
          <w:tcPr>
            <w:tcW w:w="4678" w:type="dxa"/>
          </w:tcPr>
          <w:p w:rsidR="000E3135" w:rsidRPr="006010C1" w:rsidRDefault="00E00494" w:rsidP="00C721AD">
            <w:pPr>
              <w:tabs>
                <w:tab w:val="left" w:pos="567"/>
                <w:tab w:val="right" w:pos="5670"/>
                <w:tab w:val="right" w:pos="6804"/>
                <w:tab w:val="right" w:pos="7938"/>
                <w:tab w:val="right" w:pos="9072"/>
                <w:tab w:val="right" w:pos="1020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Ireland:</w:t>
            </w:r>
          </w:p>
        </w:tc>
        <w:tc>
          <w:tcPr>
            <w:tcW w:w="1876" w:type="dxa"/>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668" w:type="dxa"/>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417" w:type="dxa"/>
            <w:shd w:val="clear" w:color="auto" w:fill="auto"/>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sz w:val="18"/>
                <w:szCs w:val="18"/>
                <w:lang w:val="en-IE"/>
              </w:rPr>
            </w:pPr>
          </w:p>
        </w:tc>
        <w:tc>
          <w:tcPr>
            <w:tcW w:w="1309" w:type="dxa"/>
          </w:tcPr>
          <w:p w:rsidR="000E3135" w:rsidRPr="006010C1" w:rsidRDefault="000E3135" w:rsidP="00C721AD">
            <w:pPr>
              <w:tabs>
                <w:tab w:val="left" w:pos="567"/>
                <w:tab w:val="right" w:pos="5670"/>
                <w:tab w:val="right" w:pos="6804"/>
                <w:tab w:val="right" w:pos="7938"/>
                <w:tab w:val="right" w:pos="9072"/>
                <w:tab w:val="right" w:pos="10206"/>
              </w:tabs>
              <w:spacing w:after="200"/>
              <w:jc w:val="right"/>
              <w:rPr>
                <w:rFonts w:ascii="Arial" w:hAnsi="Arial" w:cs="Arial"/>
                <w:sz w:val="18"/>
                <w:szCs w:val="18"/>
                <w:lang w:val="en-IE"/>
              </w:rPr>
            </w:pPr>
          </w:p>
        </w:tc>
      </w:tr>
      <w:tr w:rsidR="000B0CAE" w:rsidRPr="00040E7D" w:rsidTr="00027DF8">
        <w:trPr>
          <w:trHeight w:hRule="exact" w:val="255"/>
          <w:jc w:val="center"/>
        </w:trPr>
        <w:tc>
          <w:tcPr>
            <w:tcW w:w="4678" w:type="dxa"/>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current year</w:t>
            </w:r>
          </w:p>
        </w:tc>
        <w:tc>
          <w:tcPr>
            <w:tcW w:w="1876" w:type="dxa"/>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jc w:val="right"/>
              <w:rPr>
                <w:rFonts w:ascii="Arial" w:hAnsi="Arial" w:cs="Arial"/>
                <w:b/>
                <w:sz w:val="18"/>
                <w:szCs w:val="18"/>
                <w:lang w:val="en-IE"/>
              </w:rPr>
            </w:pPr>
          </w:p>
        </w:tc>
        <w:tc>
          <w:tcPr>
            <w:tcW w:w="1668" w:type="dxa"/>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jc w:val="right"/>
              <w:rPr>
                <w:rFonts w:ascii="Arial" w:hAnsi="Arial" w:cs="Arial"/>
                <w:b/>
                <w:sz w:val="18"/>
                <w:szCs w:val="18"/>
                <w:lang w:val="en-IE"/>
              </w:rPr>
            </w:pPr>
          </w:p>
        </w:tc>
        <w:tc>
          <w:tcPr>
            <w:tcW w:w="1417" w:type="dxa"/>
            <w:shd w:val="clear" w:color="auto" w:fill="auto"/>
          </w:tcPr>
          <w:p w:rsidR="000B0CAE" w:rsidRPr="006010C1" w:rsidRDefault="000B0CAE" w:rsidP="000B0CAE">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3</w:t>
            </w:r>
          </w:p>
        </w:tc>
        <w:tc>
          <w:tcPr>
            <w:tcW w:w="1309" w:type="dxa"/>
          </w:tcPr>
          <w:p w:rsidR="000B0CAE" w:rsidRPr="005B1DE1" w:rsidRDefault="000B0CAE" w:rsidP="000B0CAE">
            <w:pPr>
              <w:tabs>
                <w:tab w:val="left" w:pos="567"/>
                <w:tab w:val="right" w:pos="5670"/>
                <w:tab w:val="right" w:pos="6804"/>
                <w:tab w:val="right" w:pos="7938"/>
                <w:tab w:val="right" w:pos="9072"/>
                <w:tab w:val="right" w:pos="10206"/>
              </w:tabs>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25</w:t>
            </w:r>
          </w:p>
        </w:tc>
      </w:tr>
      <w:tr w:rsidR="000B0CAE" w:rsidRPr="00040E7D" w:rsidTr="00027DF8">
        <w:trPr>
          <w:trHeight w:hRule="exact" w:val="255"/>
          <w:jc w:val="center"/>
        </w:trPr>
        <w:tc>
          <w:tcPr>
            <w:tcW w:w="4678" w:type="dxa"/>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prior year</w:t>
            </w:r>
          </w:p>
        </w:tc>
        <w:tc>
          <w:tcPr>
            <w:tcW w:w="1876" w:type="dxa"/>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jc w:val="right"/>
              <w:rPr>
                <w:rFonts w:ascii="Arial" w:hAnsi="Arial" w:cs="Arial"/>
                <w:b/>
                <w:sz w:val="18"/>
                <w:szCs w:val="18"/>
                <w:lang w:val="en-IE"/>
              </w:rPr>
            </w:pPr>
          </w:p>
        </w:tc>
        <w:tc>
          <w:tcPr>
            <w:tcW w:w="1668" w:type="dxa"/>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jc w:val="right"/>
              <w:rPr>
                <w:rFonts w:ascii="Arial" w:hAnsi="Arial" w:cs="Arial"/>
                <w:b/>
                <w:sz w:val="18"/>
                <w:szCs w:val="18"/>
                <w:lang w:val="en-IE"/>
              </w:rPr>
            </w:pPr>
          </w:p>
        </w:tc>
        <w:tc>
          <w:tcPr>
            <w:tcW w:w="1417" w:type="dxa"/>
            <w:shd w:val="clear" w:color="auto" w:fill="auto"/>
          </w:tcPr>
          <w:p w:rsidR="000B0CAE" w:rsidRPr="006010C1" w:rsidRDefault="000B0CAE" w:rsidP="000B0CAE">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Pr>
                <w:rFonts w:ascii="Arial" w:hAnsi="Arial" w:cs="Arial"/>
                <w:b/>
                <w:color w:val="000000"/>
                <w:spacing w:val="-5"/>
                <w:sz w:val="18"/>
                <w:szCs w:val="18"/>
              </w:rPr>
              <w:t>-</w:t>
            </w:r>
          </w:p>
        </w:tc>
        <w:tc>
          <w:tcPr>
            <w:tcW w:w="1309" w:type="dxa"/>
          </w:tcPr>
          <w:p w:rsidR="000B0CAE" w:rsidRPr="005B1DE1" w:rsidRDefault="000B0CAE" w:rsidP="000B0CAE">
            <w:pPr>
              <w:tabs>
                <w:tab w:val="left" w:pos="567"/>
                <w:tab w:val="right" w:pos="5670"/>
                <w:tab w:val="right" w:pos="6804"/>
                <w:tab w:val="right" w:pos="7938"/>
                <w:tab w:val="right" w:pos="9072"/>
                <w:tab w:val="right" w:pos="10206"/>
              </w:tabs>
              <w:autoSpaceDE w:val="0"/>
              <w:autoSpaceDN w:val="0"/>
              <w:adjustRightInd w:val="0"/>
              <w:jc w:val="right"/>
              <w:rPr>
                <w:rFonts w:ascii="Arial" w:hAnsi="Arial" w:cs="Arial"/>
                <w:sz w:val="18"/>
                <w:szCs w:val="18"/>
                <w:lang w:val="en-IE"/>
              </w:rPr>
            </w:pPr>
            <w:r w:rsidRPr="005B1DE1">
              <w:rPr>
                <w:rFonts w:ascii="Arial" w:hAnsi="Arial" w:cs="Arial"/>
                <w:color w:val="000000"/>
                <w:spacing w:val="-5"/>
                <w:sz w:val="18"/>
                <w:szCs w:val="18"/>
              </w:rPr>
              <w:t>1</w:t>
            </w:r>
          </w:p>
        </w:tc>
      </w:tr>
      <w:tr w:rsidR="000B0CAE" w:rsidRPr="00040E7D" w:rsidTr="00027DF8">
        <w:trPr>
          <w:trHeight w:hRule="exact" w:val="255"/>
          <w:jc w:val="center"/>
        </w:trPr>
        <w:tc>
          <w:tcPr>
            <w:tcW w:w="4678" w:type="dxa"/>
          </w:tcPr>
          <w:p w:rsidR="000B0CAE" w:rsidRPr="006010C1" w:rsidRDefault="000B0CAE" w:rsidP="00C67BDE">
            <w:pPr>
              <w:tabs>
                <w:tab w:val="left" w:pos="567"/>
                <w:tab w:val="right" w:pos="5670"/>
                <w:tab w:val="right" w:pos="6804"/>
                <w:tab w:val="right" w:pos="7938"/>
                <w:tab w:val="right" w:pos="9072"/>
                <w:tab w:val="right" w:pos="1020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UK and other:</w:t>
            </w:r>
          </w:p>
        </w:tc>
        <w:tc>
          <w:tcPr>
            <w:tcW w:w="1876" w:type="dxa"/>
          </w:tcPr>
          <w:p w:rsidR="000B0CAE" w:rsidRPr="006010C1" w:rsidRDefault="000B0CAE" w:rsidP="000B0CAE">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668" w:type="dxa"/>
          </w:tcPr>
          <w:p w:rsidR="000B0CAE" w:rsidRPr="006010C1" w:rsidRDefault="000B0CAE" w:rsidP="000B0CAE">
            <w:pPr>
              <w:tabs>
                <w:tab w:val="left" w:pos="567"/>
                <w:tab w:val="right" w:pos="5670"/>
                <w:tab w:val="right" w:pos="6804"/>
                <w:tab w:val="right" w:pos="7938"/>
                <w:tab w:val="right" w:pos="9072"/>
                <w:tab w:val="right" w:pos="10206"/>
              </w:tabs>
              <w:spacing w:after="200"/>
              <w:jc w:val="right"/>
              <w:rPr>
                <w:rFonts w:ascii="Arial" w:hAnsi="Arial" w:cs="Arial"/>
                <w:b/>
                <w:sz w:val="18"/>
                <w:szCs w:val="18"/>
                <w:lang w:val="en-IE"/>
              </w:rPr>
            </w:pPr>
          </w:p>
        </w:tc>
        <w:tc>
          <w:tcPr>
            <w:tcW w:w="1417" w:type="dxa"/>
            <w:shd w:val="clear" w:color="auto" w:fill="auto"/>
          </w:tcPr>
          <w:p w:rsidR="000B0CAE" w:rsidRPr="006010C1" w:rsidRDefault="000B0CAE" w:rsidP="000B0CAE">
            <w:pPr>
              <w:widowControl w:val="0"/>
              <w:autoSpaceDE w:val="0"/>
              <w:autoSpaceDN w:val="0"/>
              <w:adjustRightInd w:val="0"/>
              <w:rPr>
                <w:rFonts w:ascii="Arial" w:hAnsi="Arial" w:cs="Arial"/>
                <w:b/>
                <w:sz w:val="18"/>
                <w:szCs w:val="18"/>
                <w:lang w:val="en-US"/>
              </w:rPr>
            </w:pPr>
          </w:p>
        </w:tc>
        <w:tc>
          <w:tcPr>
            <w:tcW w:w="1309" w:type="dxa"/>
          </w:tcPr>
          <w:p w:rsidR="000B0CAE" w:rsidRPr="001972EA" w:rsidRDefault="000B0CAE" w:rsidP="000B0CAE">
            <w:pPr>
              <w:tabs>
                <w:tab w:val="left" w:pos="567"/>
                <w:tab w:val="right" w:pos="5670"/>
                <w:tab w:val="right" w:pos="6804"/>
                <w:tab w:val="right" w:pos="7938"/>
                <w:tab w:val="right" w:pos="9072"/>
                <w:tab w:val="right" w:pos="10206"/>
              </w:tabs>
              <w:spacing w:after="200"/>
              <w:jc w:val="right"/>
              <w:rPr>
                <w:rFonts w:ascii="Arial" w:hAnsi="Arial" w:cs="Arial"/>
                <w:sz w:val="18"/>
                <w:szCs w:val="18"/>
                <w:lang w:val="en-IE"/>
              </w:rPr>
            </w:pPr>
          </w:p>
        </w:tc>
      </w:tr>
      <w:tr w:rsidR="000B0CAE" w:rsidRPr="00040E7D" w:rsidTr="00027DF8">
        <w:trPr>
          <w:trHeight w:hRule="exact" w:val="255"/>
          <w:jc w:val="center"/>
        </w:trPr>
        <w:tc>
          <w:tcPr>
            <w:tcW w:w="4678" w:type="dxa"/>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current year</w:t>
            </w:r>
          </w:p>
        </w:tc>
        <w:tc>
          <w:tcPr>
            <w:tcW w:w="1876" w:type="dxa"/>
          </w:tcPr>
          <w:p w:rsidR="000B0CAE" w:rsidRPr="006010C1" w:rsidRDefault="000B0CAE" w:rsidP="000B0CAE">
            <w:pPr>
              <w:tabs>
                <w:tab w:val="left" w:pos="567"/>
                <w:tab w:val="right" w:pos="5670"/>
                <w:tab w:val="right" w:pos="6804"/>
                <w:tab w:val="right" w:pos="7938"/>
                <w:tab w:val="right" w:pos="9072"/>
                <w:tab w:val="right" w:pos="10206"/>
              </w:tabs>
              <w:jc w:val="right"/>
              <w:rPr>
                <w:rFonts w:ascii="Arial" w:hAnsi="Arial" w:cs="Arial"/>
                <w:b/>
                <w:sz w:val="18"/>
                <w:szCs w:val="18"/>
                <w:lang w:val="en-IE"/>
              </w:rPr>
            </w:pPr>
          </w:p>
        </w:tc>
        <w:tc>
          <w:tcPr>
            <w:tcW w:w="1668" w:type="dxa"/>
          </w:tcPr>
          <w:p w:rsidR="000B0CAE" w:rsidRPr="006010C1" w:rsidRDefault="000B0CAE" w:rsidP="000B0CAE">
            <w:pPr>
              <w:tabs>
                <w:tab w:val="left" w:pos="567"/>
                <w:tab w:val="right" w:pos="5670"/>
                <w:tab w:val="right" w:pos="6804"/>
                <w:tab w:val="right" w:pos="7938"/>
                <w:tab w:val="right" w:pos="9072"/>
                <w:tab w:val="right" w:pos="10206"/>
              </w:tabs>
              <w:jc w:val="right"/>
              <w:rPr>
                <w:rFonts w:ascii="Arial" w:hAnsi="Arial" w:cs="Arial"/>
                <w:b/>
                <w:sz w:val="18"/>
                <w:szCs w:val="18"/>
                <w:lang w:val="en-IE"/>
              </w:rPr>
            </w:pPr>
          </w:p>
        </w:tc>
        <w:tc>
          <w:tcPr>
            <w:tcW w:w="1417" w:type="dxa"/>
            <w:shd w:val="clear" w:color="auto" w:fill="auto"/>
          </w:tcPr>
          <w:p w:rsidR="000B0CAE" w:rsidRPr="006010C1" w:rsidRDefault="000B0CAE" w:rsidP="000B0CAE">
            <w:pPr>
              <w:widowControl w:val="0"/>
              <w:autoSpaceDE w:val="0"/>
              <w:autoSpaceDN w:val="0"/>
              <w:adjustRightInd w:val="0"/>
              <w:jc w:val="right"/>
              <w:rPr>
                <w:rFonts w:ascii="Arial" w:hAnsi="Arial" w:cs="Arial"/>
                <w:b/>
                <w:sz w:val="18"/>
                <w:szCs w:val="18"/>
                <w:lang w:val="en-US"/>
              </w:rPr>
            </w:pPr>
            <w:r w:rsidRPr="006010C1">
              <w:rPr>
                <w:rFonts w:ascii="Arial" w:hAnsi="Arial" w:cs="Arial"/>
                <w:b/>
                <w:sz w:val="18"/>
                <w:szCs w:val="18"/>
                <w:lang w:val="en-US"/>
              </w:rPr>
              <w:t>(</w:t>
            </w:r>
            <w:r w:rsidR="00FF6014">
              <w:rPr>
                <w:rFonts w:ascii="Arial" w:hAnsi="Arial" w:cs="Arial"/>
                <w:b/>
                <w:sz w:val="18"/>
                <w:szCs w:val="18"/>
                <w:lang w:val="en-US"/>
              </w:rPr>
              <w:t>987</w:t>
            </w:r>
            <w:r w:rsidRPr="006010C1">
              <w:rPr>
                <w:rFonts w:ascii="Arial" w:hAnsi="Arial" w:cs="Arial"/>
                <w:b/>
                <w:sz w:val="18"/>
                <w:szCs w:val="18"/>
                <w:lang w:val="en-US"/>
              </w:rPr>
              <w:t>)</w:t>
            </w:r>
          </w:p>
        </w:tc>
        <w:tc>
          <w:tcPr>
            <w:tcW w:w="1309" w:type="dxa"/>
          </w:tcPr>
          <w:p w:rsidR="000B0CAE" w:rsidRPr="005B1DE1" w:rsidRDefault="000B0CAE" w:rsidP="000B0CAE">
            <w:pPr>
              <w:tabs>
                <w:tab w:val="left" w:pos="567"/>
                <w:tab w:val="right" w:pos="5670"/>
                <w:tab w:val="right" w:pos="6804"/>
                <w:tab w:val="right" w:pos="7938"/>
                <w:tab w:val="right" w:pos="9072"/>
                <w:tab w:val="right" w:pos="10206"/>
              </w:tabs>
              <w:jc w:val="right"/>
              <w:rPr>
                <w:rFonts w:ascii="Arial" w:hAnsi="Arial" w:cs="Arial"/>
                <w:sz w:val="18"/>
                <w:szCs w:val="18"/>
                <w:lang w:val="en-IE"/>
              </w:rPr>
            </w:pPr>
            <w:r w:rsidRPr="005B1DE1">
              <w:rPr>
                <w:rFonts w:ascii="Arial" w:hAnsi="Arial" w:cs="Arial"/>
                <w:sz w:val="18"/>
                <w:szCs w:val="18"/>
                <w:lang w:val="en-US"/>
              </w:rPr>
              <w:t>(544)</w:t>
            </w:r>
          </w:p>
        </w:tc>
      </w:tr>
      <w:tr w:rsidR="000B0CAE" w:rsidRPr="00040E7D" w:rsidTr="00027DF8">
        <w:trPr>
          <w:trHeight w:hRule="exact" w:val="255"/>
          <w:jc w:val="center"/>
        </w:trPr>
        <w:tc>
          <w:tcPr>
            <w:tcW w:w="4678" w:type="dxa"/>
          </w:tcPr>
          <w:p w:rsidR="000B0CAE" w:rsidRPr="006010C1" w:rsidRDefault="000B0CAE" w:rsidP="000B0CAE">
            <w:pPr>
              <w:pStyle w:val="ListParagraph"/>
              <w:numPr>
                <w:ilvl w:val="0"/>
                <w:numId w:val="3"/>
              </w:numPr>
              <w:tabs>
                <w:tab w:val="left" w:pos="567"/>
                <w:tab w:val="right" w:pos="5670"/>
                <w:tab w:val="right" w:pos="6804"/>
                <w:tab w:val="right" w:pos="7938"/>
                <w:tab w:val="right" w:pos="9072"/>
                <w:tab w:val="right" w:pos="10206"/>
              </w:tabs>
              <w:autoSpaceDE w:val="0"/>
              <w:autoSpaceDN w:val="0"/>
              <w:adjustRightInd w:val="0"/>
              <w:ind w:left="0" w:firstLine="0"/>
              <w:jc w:val="both"/>
              <w:rPr>
                <w:rFonts w:ascii="Arial" w:hAnsi="Arial" w:cs="Arial"/>
                <w:sz w:val="18"/>
                <w:szCs w:val="18"/>
                <w:lang w:val="en-IE"/>
              </w:rPr>
            </w:pPr>
            <w:r w:rsidRPr="006010C1">
              <w:rPr>
                <w:rFonts w:ascii="Arial" w:hAnsi="Arial" w:cs="Arial"/>
                <w:sz w:val="18"/>
                <w:szCs w:val="18"/>
                <w:lang w:val="en-IE"/>
              </w:rPr>
              <w:t>prior year</w:t>
            </w:r>
          </w:p>
        </w:tc>
        <w:tc>
          <w:tcPr>
            <w:tcW w:w="1876" w:type="dxa"/>
          </w:tcPr>
          <w:p w:rsidR="000B0CAE" w:rsidRPr="006010C1" w:rsidRDefault="000B0CAE" w:rsidP="000B0CAE">
            <w:pPr>
              <w:tabs>
                <w:tab w:val="left" w:pos="567"/>
                <w:tab w:val="right" w:pos="5670"/>
                <w:tab w:val="right" w:pos="6804"/>
                <w:tab w:val="right" w:pos="7938"/>
                <w:tab w:val="right" w:pos="9072"/>
                <w:tab w:val="right" w:pos="10206"/>
              </w:tabs>
              <w:jc w:val="right"/>
              <w:rPr>
                <w:rFonts w:ascii="Arial" w:hAnsi="Arial" w:cs="Arial"/>
                <w:b/>
                <w:sz w:val="18"/>
                <w:szCs w:val="18"/>
                <w:lang w:val="en-IE"/>
              </w:rPr>
            </w:pPr>
          </w:p>
        </w:tc>
        <w:tc>
          <w:tcPr>
            <w:tcW w:w="1668" w:type="dxa"/>
          </w:tcPr>
          <w:p w:rsidR="000B0CAE" w:rsidRPr="006010C1" w:rsidRDefault="000B0CAE" w:rsidP="000B0CAE">
            <w:pPr>
              <w:tabs>
                <w:tab w:val="left" w:pos="567"/>
                <w:tab w:val="right" w:pos="5670"/>
                <w:tab w:val="right" w:pos="6804"/>
                <w:tab w:val="right" w:pos="7938"/>
                <w:tab w:val="right" w:pos="9072"/>
                <w:tab w:val="right" w:pos="10206"/>
              </w:tabs>
              <w:jc w:val="right"/>
              <w:rPr>
                <w:rFonts w:ascii="Arial" w:hAnsi="Arial" w:cs="Arial"/>
                <w:b/>
                <w:sz w:val="18"/>
                <w:szCs w:val="18"/>
                <w:lang w:val="en-IE"/>
              </w:rPr>
            </w:pPr>
          </w:p>
        </w:tc>
        <w:tc>
          <w:tcPr>
            <w:tcW w:w="1417" w:type="dxa"/>
            <w:shd w:val="clear" w:color="auto" w:fill="auto"/>
          </w:tcPr>
          <w:p w:rsidR="000B0CAE" w:rsidRPr="006010C1" w:rsidRDefault="00FF6014" w:rsidP="000B0CAE">
            <w:pPr>
              <w:widowControl w:val="0"/>
              <w:autoSpaceDE w:val="0"/>
              <w:autoSpaceDN w:val="0"/>
              <w:adjustRightInd w:val="0"/>
              <w:jc w:val="right"/>
              <w:rPr>
                <w:rFonts w:ascii="Arial" w:hAnsi="Arial" w:cs="Arial"/>
                <w:b/>
                <w:sz w:val="18"/>
                <w:szCs w:val="18"/>
                <w:lang w:val="en-US"/>
              </w:rPr>
            </w:pPr>
            <w:r>
              <w:rPr>
                <w:rFonts w:ascii="Arial" w:hAnsi="Arial" w:cs="Arial"/>
                <w:b/>
                <w:sz w:val="18"/>
                <w:szCs w:val="18"/>
                <w:lang w:val="en-US"/>
              </w:rPr>
              <w:t>219</w:t>
            </w:r>
          </w:p>
        </w:tc>
        <w:tc>
          <w:tcPr>
            <w:tcW w:w="1309" w:type="dxa"/>
          </w:tcPr>
          <w:p w:rsidR="000B0CAE" w:rsidRPr="005B1DE1" w:rsidRDefault="000B0CAE" w:rsidP="000B0CAE">
            <w:pPr>
              <w:tabs>
                <w:tab w:val="left" w:pos="567"/>
                <w:tab w:val="right" w:pos="5670"/>
                <w:tab w:val="right" w:pos="6804"/>
                <w:tab w:val="right" w:pos="7938"/>
                <w:tab w:val="right" w:pos="9072"/>
                <w:tab w:val="right" w:pos="10206"/>
              </w:tabs>
              <w:jc w:val="right"/>
              <w:rPr>
                <w:rFonts w:ascii="Arial" w:hAnsi="Arial" w:cs="Arial"/>
                <w:sz w:val="18"/>
                <w:szCs w:val="18"/>
                <w:lang w:val="en-IE"/>
              </w:rPr>
            </w:pPr>
            <w:r w:rsidRPr="005B1DE1">
              <w:rPr>
                <w:rFonts w:ascii="Arial" w:hAnsi="Arial" w:cs="Arial"/>
                <w:sz w:val="18"/>
                <w:szCs w:val="18"/>
                <w:lang w:val="en-US"/>
              </w:rPr>
              <w:t>(36)</w:t>
            </w:r>
          </w:p>
        </w:tc>
      </w:tr>
      <w:tr w:rsidR="000B0CAE" w:rsidRPr="00040E7D" w:rsidTr="00027DF8">
        <w:trPr>
          <w:trHeight w:hRule="exact" w:val="255"/>
          <w:jc w:val="center"/>
        </w:trPr>
        <w:tc>
          <w:tcPr>
            <w:tcW w:w="4678" w:type="dxa"/>
            <w:tcBorders>
              <w:top w:val="single" w:sz="4" w:space="0" w:color="auto"/>
              <w:bottom w:val="single" w:sz="4" w:space="0" w:color="auto"/>
            </w:tcBorders>
          </w:tcPr>
          <w:p w:rsidR="000B0CAE" w:rsidRPr="006010C1" w:rsidRDefault="000B0CAE" w:rsidP="000B0CAE">
            <w:pPr>
              <w:tabs>
                <w:tab w:val="left" w:pos="567"/>
                <w:tab w:val="right" w:pos="5670"/>
                <w:tab w:val="right" w:pos="6804"/>
                <w:tab w:val="right" w:pos="7938"/>
                <w:tab w:val="right" w:pos="9072"/>
                <w:tab w:val="right" w:pos="10206"/>
              </w:tabs>
              <w:spacing w:after="200"/>
              <w:jc w:val="both"/>
              <w:rPr>
                <w:rFonts w:ascii="Arial" w:hAnsi="Arial" w:cs="Arial"/>
                <w:b/>
                <w:sz w:val="18"/>
                <w:szCs w:val="18"/>
                <w:lang w:val="en-IE"/>
              </w:rPr>
            </w:pPr>
            <w:r w:rsidRPr="006010C1">
              <w:rPr>
                <w:rFonts w:ascii="Arial" w:hAnsi="Arial" w:cs="Arial"/>
                <w:b/>
                <w:sz w:val="18"/>
                <w:szCs w:val="18"/>
                <w:lang w:val="en-IE"/>
              </w:rPr>
              <w:t>Total deferred tax credit</w:t>
            </w:r>
          </w:p>
        </w:tc>
        <w:tc>
          <w:tcPr>
            <w:tcW w:w="1876" w:type="dxa"/>
            <w:tcBorders>
              <w:top w:val="single" w:sz="4" w:space="0" w:color="auto"/>
              <w:bottom w:val="single" w:sz="4" w:space="0" w:color="auto"/>
            </w:tcBorders>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b/>
                <w:sz w:val="18"/>
                <w:szCs w:val="18"/>
                <w:lang w:val="en-IE"/>
              </w:rPr>
            </w:pPr>
          </w:p>
        </w:tc>
        <w:tc>
          <w:tcPr>
            <w:tcW w:w="1668" w:type="dxa"/>
            <w:tcBorders>
              <w:top w:val="single" w:sz="4" w:space="0" w:color="auto"/>
              <w:bottom w:val="single" w:sz="4" w:space="0" w:color="auto"/>
            </w:tcBorders>
          </w:tcPr>
          <w:p w:rsidR="000B0CAE" w:rsidRPr="006010C1" w:rsidDel="00183FE8"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b/>
                <w:sz w:val="18"/>
                <w:szCs w:val="18"/>
                <w:lang w:val="en-IE"/>
              </w:rPr>
            </w:pPr>
          </w:p>
        </w:tc>
        <w:tc>
          <w:tcPr>
            <w:tcW w:w="1417" w:type="dxa"/>
            <w:tcBorders>
              <w:top w:val="single" w:sz="4" w:space="0" w:color="auto"/>
              <w:bottom w:val="single" w:sz="4" w:space="0" w:color="auto"/>
            </w:tcBorders>
            <w:shd w:val="clear" w:color="auto" w:fill="auto"/>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b/>
                <w:sz w:val="18"/>
                <w:szCs w:val="18"/>
                <w:lang w:val="en-IE"/>
              </w:rPr>
            </w:pPr>
            <w:r w:rsidRPr="006010C1">
              <w:rPr>
                <w:rFonts w:ascii="Arial" w:hAnsi="Arial" w:cs="Arial"/>
                <w:b/>
                <w:sz w:val="18"/>
                <w:szCs w:val="18"/>
                <w:lang w:val="en-IE"/>
              </w:rPr>
              <w:t>(</w:t>
            </w:r>
            <w:r w:rsidR="00FF6014">
              <w:rPr>
                <w:rFonts w:ascii="Arial" w:hAnsi="Arial" w:cs="Arial"/>
                <w:b/>
                <w:sz w:val="18"/>
                <w:szCs w:val="18"/>
                <w:lang w:val="en-IE"/>
              </w:rPr>
              <w:t>765</w:t>
            </w:r>
            <w:r w:rsidRPr="006010C1">
              <w:rPr>
                <w:rFonts w:ascii="Arial" w:hAnsi="Arial" w:cs="Arial"/>
                <w:b/>
                <w:sz w:val="18"/>
                <w:szCs w:val="18"/>
                <w:lang w:val="en-IE"/>
              </w:rPr>
              <w:t>)</w:t>
            </w:r>
          </w:p>
        </w:tc>
        <w:tc>
          <w:tcPr>
            <w:tcW w:w="1309" w:type="dxa"/>
            <w:tcBorders>
              <w:top w:val="single" w:sz="4" w:space="0" w:color="auto"/>
              <w:bottom w:val="single" w:sz="4" w:space="0" w:color="auto"/>
            </w:tcBorders>
          </w:tcPr>
          <w:p w:rsidR="000B0CAE" w:rsidRPr="005B1DE1"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(554)</w:t>
            </w:r>
          </w:p>
        </w:tc>
      </w:tr>
      <w:tr w:rsidR="000B0CAE" w:rsidRPr="00040E7D" w:rsidTr="00027DF8">
        <w:trPr>
          <w:trHeight w:hRule="exact" w:val="255"/>
          <w:jc w:val="center"/>
        </w:trPr>
        <w:tc>
          <w:tcPr>
            <w:tcW w:w="4678" w:type="dxa"/>
            <w:tcBorders>
              <w:top w:val="single" w:sz="4" w:space="0" w:color="auto"/>
              <w:bottom w:val="single" w:sz="12" w:space="0" w:color="auto"/>
            </w:tcBorders>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 xml:space="preserve">Total income </w:t>
            </w:r>
            <w:r w:rsidR="00833303" w:rsidRPr="006010C1">
              <w:rPr>
                <w:rFonts w:ascii="Arial" w:hAnsi="Arial" w:cs="Arial"/>
                <w:b/>
                <w:sz w:val="18"/>
                <w:szCs w:val="18"/>
                <w:lang w:val="en-IE"/>
              </w:rPr>
              <w:t xml:space="preserve">tax </w:t>
            </w:r>
            <w:r w:rsidR="00481FE8">
              <w:rPr>
                <w:rFonts w:ascii="Arial" w:hAnsi="Arial" w:cs="Arial"/>
                <w:b/>
                <w:sz w:val="18"/>
                <w:szCs w:val="18"/>
                <w:lang w:val="en-IE"/>
              </w:rPr>
              <w:t>(credit)/</w:t>
            </w:r>
            <w:r w:rsidRPr="006010C1">
              <w:rPr>
                <w:rFonts w:ascii="Arial" w:hAnsi="Arial" w:cs="Arial"/>
                <w:b/>
                <w:sz w:val="18"/>
                <w:szCs w:val="18"/>
                <w:lang w:val="en-IE"/>
              </w:rPr>
              <w:t>expense</w:t>
            </w:r>
          </w:p>
        </w:tc>
        <w:tc>
          <w:tcPr>
            <w:tcW w:w="1876" w:type="dxa"/>
            <w:tcBorders>
              <w:top w:val="single" w:sz="4" w:space="0" w:color="auto"/>
              <w:bottom w:val="single" w:sz="12" w:space="0" w:color="auto"/>
            </w:tcBorders>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b/>
                <w:sz w:val="18"/>
                <w:szCs w:val="18"/>
                <w:lang w:val="en-IE"/>
              </w:rPr>
            </w:pPr>
          </w:p>
        </w:tc>
        <w:tc>
          <w:tcPr>
            <w:tcW w:w="1668" w:type="dxa"/>
            <w:tcBorders>
              <w:top w:val="single" w:sz="4" w:space="0" w:color="auto"/>
              <w:bottom w:val="single" w:sz="12" w:space="0" w:color="auto"/>
            </w:tcBorders>
          </w:tcPr>
          <w:p w:rsidR="000B0CAE" w:rsidRPr="006010C1"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b/>
                <w:sz w:val="18"/>
                <w:szCs w:val="18"/>
                <w:lang w:val="en-IE"/>
              </w:rPr>
            </w:pPr>
          </w:p>
        </w:tc>
        <w:tc>
          <w:tcPr>
            <w:tcW w:w="1417" w:type="dxa"/>
            <w:tcBorders>
              <w:top w:val="single" w:sz="4" w:space="0" w:color="auto"/>
              <w:bottom w:val="single" w:sz="12" w:space="0" w:color="auto"/>
            </w:tcBorders>
            <w:shd w:val="clear" w:color="auto" w:fill="auto"/>
          </w:tcPr>
          <w:p w:rsidR="000B0CAE" w:rsidRPr="006010C1" w:rsidRDefault="00FF6014"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(43)</w:t>
            </w:r>
          </w:p>
        </w:tc>
        <w:tc>
          <w:tcPr>
            <w:tcW w:w="1309" w:type="dxa"/>
            <w:tcBorders>
              <w:top w:val="single" w:sz="4" w:space="0" w:color="auto"/>
              <w:bottom w:val="single" w:sz="12" w:space="0" w:color="auto"/>
            </w:tcBorders>
          </w:tcPr>
          <w:p w:rsidR="000B0CAE" w:rsidRPr="005B1DE1" w:rsidRDefault="000B0CAE" w:rsidP="000B0CAE">
            <w:pPr>
              <w:tabs>
                <w:tab w:val="left" w:pos="567"/>
                <w:tab w:val="right" w:pos="5670"/>
                <w:tab w:val="right" w:pos="6804"/>
                <w:tab w:val="right" w:pos="7938"/>
                <w:tab w:val="right" w:pos="9072"/>
                <w:tab w:val="right" w:pos="1020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1,195</w:t>
            </w:r>
          </w:p>
        </w:tc>
      </w:tr>
    </w:tbl>
    <w:p w:rsidR="008D05FE" w:rsidRPr="006C3343" w:rsidRDefault="008D05FE" w:rsidP="00C721AD">
      <w:pPr>
        <w:tabs>
          <w:tab w:val="left" w:pos="142"/>
          <w:tab w:val="left" w:pos="2268"/>
          <w:tab w:val="right" w:pos="5954"/>
          <w:tab w:val="right" w:pos="7088"/>
          <w:tab w:val="right" w:pos="8222"/>
          <w:tab w:val="right" w:pos="9356"/>
          <w:tab w:val="right" w:pos="10490"/>
        </w:tabs>
        <w:spacing w:after="0" w:line="240" w:lineRule="auto"/>
        <w:jc w:val="both"/>
        <w:rPr>
          <w:rFonts w:ascii="Arial" w:hAnsi="Arial" w:cs="Arial"/>
          <w:sz w:val="20"/>
          <w:szCs w:val="20"/>
          <w:lang w:val="en-IE"/>
        </w:rPr>
      </w:pPr>
    </w:p>
    <w:p w:rsidR="007862C6" w:rsidRDefault="007862C6" w:rsidP="00C721AD">
      <w:pPr>
        <w:tabs>
          <w:tab w:val="left" w:pos="142"/>
          <w:tab w:val="left" w:pos="2268"/>
          <w:tab w:val="right" w:pos="5954"/>
          <w:tab w:val="right" w:pos="7088"/>
          <w:tab w:val="right" w:pos="8222"/>
          <w:tab w:val="right" w:pos="9356"/>
          <w:tab w:val="right" w:pos="10490"/>
        </w:tabs>
        <w:spacing w:after="0" w:line="240" w:lineRule="auto"/>
        <w:rPr>
          <w:rFonts w:ascii="Arial" w:hAnsi="Arial" w:cs="Arial"/>
          <w:sz w:val="18"/>
          <w:szCs w:val="18"/>
          <w:lang w:val="en-IE"/>
        </w:rPr>
      </w:pPr>
    </w:p>
    <w:p w:rsidR="007862C6" w:rsidRDefault="007862C6" w:rsidP="00C721AD">
      <w:pPr>
        <w:tabs>
          <w:tab w:val="left" w:pos="142"/>
          <w:tab w:val="left" w:pos="2268"/>
          <w:tab w:val="right" w:pos="5954"/>
          <w:tab w:val="right" w:pos="7088"/>
          <w:tab w:val="right" w:pos="8222"/>
          <w:tab w:val="right" w:pos="9356"/>
          <w:tab w:val="right" w:pos="10490"/>
        </w:tabs>
        <w:spacing w:after="0" w:line="240" w:lineRule="auto"/>
        <w:rPr>
          <w:rFonts w:ascii="Arial" w:hAnsi="Arial" w:cs="Arial"/>
          <w:sz w:val="18"/>
          <w:szCs w:val="18"/>
          <w:lang w:val="en-IE"/>
        </w:rPr>
      </w:pPr>
    </w:p>
    <w:p w:rsidR="00213FB8" w:rsidRPr="006010C1" w:rsidRDefault="00E00494" w:rsidP="00C721AD">
      <w:pPr>
        <w:tabs>
          <w:tab w:val="left" w:pos="142"/>
          <w:tab w:val="left" w:pos="2268"/>
          <w:tab w:val="right" w:pos="5954"/>
          <w:tab w:val="right" w:pos="7088"/>
          <w:tab w:val="right" w:pos="8222"/>
          <w:tab w:val="right" w:pos="9356"/>
          <w:tab w:val="right" w:pos="10490"/>
        </w:tabs>
        <w:spacing w:after="0" w:line="240" w:lineRule="auto"/>
        <w:rPr>
          <w:rFonts w:ascii="Arial" w:hAnsi="Arial" w:cs="Arial"/>
          <w:sz w:val="18"/>
          <w:szCs w:val="18"/>
          <w:lang w:val="en-IE"/>
        </w:rPr>
      </w:pPr>
      <w:r w:rsidRPr="006010C1">
        <w:rPr>
          <w:rFonts w:ascii="Arial" w:hAnsi="Arial" w:cs="Arial"/>
          <w:sz w:val="18"/>
          <w:szCs w:val="18"/>
          <w:lang w:val="en-IE"/>
        </w:rPr>
        <w:t>The tax on t</w:t>
      </w:r>
      <w:r w:rsidR="0072513C" w:rsidRPr="006010C1">
        <w:rPr>
          <w:rFonts w:ascii="Arial" w:hAnsi="Arial" w:cs="Arial"/>
          <w:sz w:val="18"/>
          <w:szCs w:val="18"/>
          <w:lang w:val="en-IE"/>
        </w:rPr>
        <w:t>he Group</w:t>
      </w:r>
      <w:r w:rsidRPr="006010C1">
        <w:rPr>
          <w:rFonts w:ascii="Arial" w:hAnsi="Arial" w:cs="Arial"/>
          <w:sz w:val="18"/>
          <w:szCs w:val="18"/>
          <w:lang w:val="en-IE"/>
        </w:rPr>
        <w:t xml:space="preserve">’s profit before tax differs from the theoretical amount that would arise using the weighted average tax rate applicable to the profits of the consolidated entities as follows: </w:t>
      </w:r>
    </w:p>
    <w:tbl>
      <w:tblPr>
        <w:tblStyle w:val="TableGrid1"/>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418"/>
        <w:gridCol w:w="1417"/>
      </w:tblGrid>
      <w:tr w:rsidR="00DA05DD" w:rsidRPr="00040E7D" w:rsidTr="00027DF8">
        <w:trPr>
          <w:trHeight w:hRule="exact" w:val="284"/>
          <w:jc w:val="center"/>
        </w:trPr>
        <w:tc>
          <w:tcPr>
            <w:tcW w:w="8222" w:type="dxa"/>
          </w:tcPr>
          <w:p w:rsidR="00DA05DD" w:rsidRPr="006010C1" w:rsidRDefault="00DA05DD" w:rsidP="003910CE">
            <w:pPr>
              <w:tabs>
                <w:tab w:val="right" w:pos="5760"/>
                <w:tab w:val="right" w:pos="7938"/>
                <w:tab w:val="right" w:pos="9356"/>
              </w:tabs>
              <w:spacing w:after="200"/>
              <w:jc w:val="both"/>
              <w:rPr>
                <w:rFonts w:ascii="Arial" w:hAnsi="Arial" w:cs="Arial"/>
                <w:sz w:val="18"/>
                <w:szCs w:val="18"/>
                <w:lang w:val="en-IE"/>
              </w:rPr>
            </w:pPr>
          </w:p>
        </w:tc>
        <w:tc>
          <w:tcPr>
            <w:tcW w:w="1418" w:type="dxa"/>
            <w:shd w:val="clear" w:color="auto" w:fill="auto"/>
          </w:tcPr>
          <w:p w:rsidR="00DA05DD" w:rsidRPr="006010C1" w:rsidRDefault="00DA05DD">
            <w:pPr>
              <w:tabs>
                <w:tab w:val="right" w:pos="5760"/>
                <w:tab w:val="right" w:pos="7938"/>
                <w:tab w:val="right" w:pos="9356"/>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FF6014">
              <w:rPr>
                <w:rFonts w:ascii="Arial" w:hAnsi="Arial" w:cs="Arial"/>
                <w:b/>
                <w:color w:val="1F497D" w:themeColor="text2"/>
                <w:sz w:val="18"/>
                <w:szCs w:val="18"/>
                <w:lang w:val="en-IE"/>
              </w:rPr>
              <w:t>7</w:t>
            </w:r>
          </w:p>
        </w:tc>
        <w:tc>
          <w:tcPr>
            <w:tcW w:w="1417" w:type="dxa"/>
          </w:tcPr>
          <w:p w:rsidR="00DA05DD" w:rsidRPr="006010C1" w:rsidRDefault="00DA05DD">
            <w:pPr>
              <w:tabs>
                <w:tab w:val="right" w:pos="5760"/>
                <w:tab w:val="right" w:pos="7938"/>
                <w:tab w:val="right" w:pos="9356"/>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FF6014">
              <w:rPr>
                <w:rFonts w:ascii="Arial" w:hAnsi="Arial" w:cs="Arial"/>
                <w:color w:val="1F497D" w:themeColor="text2"/>
                <w:sz w:val="18"/>
                <w:szCs w:val="18"/>
                <w:lang w:val="en-IE"/>
              </w:rPr>
              <w:t>6</w:t>
            </w:r>
          </w:p>
        </w:tc>
      </w:tr>
      <w:tr w:rsidR="00DA05DD" w:rsidRPr="00040E7D" w:rsidTr="00027DF8">
        <w:trPr>
          <w:trHeight w:hRule="exact" w:val="284"/>
          <w:jc w:val="center"/>
        </w:trPr>
        <w:tc>
          <w:tcPr>
            <w:tcW w:w="8222" w:type="dxa"/>
          </w:tcPr>
          <w:p w:rsidR="00DA05DD" w:rsidRPr="006010C1" w:rsidRDefault="00DA05DD" w:rsidP="003910CE">
            <w:pPr>
              <w:tabs>
                <w:tab w:val="right" w:pos="5760"/>
                <w:tab w:val="right" w:pos="7938"/>
                <w:tab w:val="right" w:pos="9356"/>
              </w:tabs>
              <w:spacing w:after="200"/>
              <w:jc w:val="both"/>
              <w:rPr>
                <w:rFonts w:ascii="Arial" w:hAnsi="Arial" w:cs="Arial"/>
                <w:sz w:val="18"/>
                <w:szCs w:val="18"/>
                <w:lang w:val="en-IE"/>
              </w:rPr>
            </w:pPr>
          </w:p>
        </w:tc>
        <w:tc>
          <w:tcPr>
            <w:tcW w:w="1418" w:type="dxa"/>
            <w:shd w:val="clear" w:color="auto" w:fill="auto"/>
          </w:tcPr>
          <w:p w:rsidR="00DA05DD" w:rsidRPr="006010C1" w:rsidRDefault="00DA05DD" w:rsidP="003910CE">
            <w:pPr>
              <w:tabs>
                <w:tab w:val="right" w:pos="5760"/>
                <w:tab w:val="right" w:pos="7938"/>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417" w:type="dxa"/>
          </w:tcPr>
          <w:p w:rsidR="00DA05DD" w:rsidRPr="006010C1" w:rsidRDefault="00DA05DD" w:rsidP="003910CE">
            <w:pPr>
              <w:tabs>
                <w:tab w:val="right" w:pos="5760"/>
                <w:tab w:val="right" w:pos="7938"/>
                <w:tab w:val="right" w:pos="9356"/>
              </w:tabs>
              <w:autoSpaceDE w:val="0"/>
              <w:autoSpaceDN w:val="0"/>
              <w:adjustRightInd w:val="0"/>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DA05DD" w:rsidRPr="00040E7D" w:rsidTr="00027DF8">
        <w:trPr>
          <w:trHeight w:hRule="exact" w:val="284"/>
          <w:jc w:val="center"/>
        </w:trPr>
        <w:tc>
          <w:tcPr>
            <w:tcW w:w="8222" w:type="dxa"/>
          </w:tcPr>
          <w:p w:rsidR="00DA05DD" w:rsidRPr="006010C1" w:rsidRDefault="00DA05DD" w:rsidP="003910CE">
            <w:pPr>
              <w:tabs>
                <w:tab w:val="left" w:pos="567"/>
                <w:tab w:val="left" w:pos="2268"/>
                <w:tab w:val="right" w:pos="5954"/>
                <w:tab w:val="right" w:pos="7088"/>
                <w:tab w:val="right" w:pos="8222"/>
                <w:tab w:val="right" w:pos="9356"/>
                <w:tab w:val="right" w:pos="10490"/>
              </w:tabs>
              <w:spacing w:after="200"/>
              <w:jc w:val="both"/>
              <w:rPr>
                <w:rFonts w:ascii="Arial" w:hAnsi="Arial" w:cs="Arial"/>
                <w:sz w:val="18"/>
                <w:szCs w:val="18"/>
                <w:lang w:val="en-IE"/>
              </w:rPr>
            </w:pPr>
          </w:p>
        </w:tc>
        <w:tc>
          <w:tcPr>
            <w:tcW w:w="1418" w:type="dxa"/>
            <w:shd w:val="clear" w:color="auto" w:fill="auto"/>
          </w:tcPr>
          <w:p w:rsidR="00DA05DD" w:rsidRPr="006010C1" w:rsidRDefault="00DA05DD" w:rsidP="003910CE">
            <w:pPr>
              <w:tabs>
                <w:tab w:val="left" w:pos="567"/>
                <w:tab w:val="left" w:pos="2268"/>
                <w:tab w:val="right" w:pos="5954"/>
                <w:tab w:val="right" w:pos="7088"/>
                <w:tab w:val="right" w:pos="8222"/>
                <w:tab w:val="right" w:pos="9356"/>
                <w:tab w:val="right" w:pos="10490"/>
              </w:tabs>
              <w:spacing w:after="200"/>
              <w:jc w:val="right"/>
              <w:rPr>
                <w:rFonts w:ascii="Arial" w:hAnsi="Arial" w:cs="Arial"/>
                <w:sz w:val="18"/>
                <w:szCs w:val="18"/>
                <w:lang w:val="en-IE"/>
              </w:rPr>
            </w:pPr>
          </w:p>
        </w:tc>
        <w:tc>
          <w:tcPr>
            <w:tcW w:w="1417" w:type="dxa"/>
          </w:tcPr>
          <w:p w:rsidR="00DA05DD" w:rsidRPr="006010C1" w:rsidRDefault="00DA05DD" w:rsidP="003910CE">
            <w:pPr>
              <w:tabs>
                <w:tab w:val="left" w:pos="567"/>
                <w:tab w:val="left" w:pos="2268"/>
                <w:tab w:val="right" w:pos="5954"/>
                <w:tab w:val="right" w:pos="7088"/>
                <w:tab w:val="right" w:pos="8222"/>
                <w:tab w:val="right" w:pos="9356"/>
                <w:tab w:val="right" w:pos="10490"/>
              </w:tabs>
              <w:spacing w:after="200"/>
              <w:jc w:val="right"/>
              <w:rPr>
                <w:rFonts w:ascii="Arial" w:hAnsi="Arial" w:cs="Arial"/>
                <w:sz w:val="18"/>
                <w:szCs w:val="18"/>
                <w:lang w:val="en-IE"/>
              </w:rPr>
            </w:pPr>
          </w:p>
        </w:tc>
      </w:tr>
      <w:tr w:rsidR="00FF6014" w:rsidRPr="00040E7D" w:rsidTr="00027DF8">
        <w:trPr>
          <w:trHeight w:hRule="exact" w:val="284"/>
          <w:jc w:val="center"/>
        </w:trPr>
        <w:tc>
          <w:tcPr>
            <w:tcW w:w="8222" w:type="dxa"/>
            <w:tcBorders>
              <w:bottom w:val="single" w:sz="4" w:space="0" w:color="auto"/>
            </w:tcBorders>
          </w:tcPr>
          <w:p w:rsidR="00FF6014" w:rsidRPr="006010C1" w:rsidRDefault="006703FD"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(Loss)/p</w:t>
            </w:r>
            <w:r w:rsidR="00FF6014" w:rsidRPr="006010C1">
              <w:rPr>
                <w:rFonts w:ascii="Arial" w:hAnsi="Arial" w:cs="Arial"/>
                <w:sz w:val="18"/>
                <w:szCs w:val="18"/>
                <w:lang w:val="en-IE"/>
              </w:rPr>
              <w:t>rofit before income tax</w:t>
            </w:r>
          </w:p>
        </w:tc>
        <w:tc>
          <w:tcPr>
            <w:tcW w:w="1418" w:type="dxa"/>
            <w:tcBorders>
              <w:bottom w:val="single" w:sz="4" w:space="0" w:color="auto"/>
            </w:tcBorders>
            <w:shd w:val="clear" w:color="auto" w:fill="auto"/>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(381)</w:t>
            </w:r>
          </w:p>
        </w:tc>
        <w:tc>
          <w:tcPr>
            <w:tcW w:w="1417" w:type="dxa"/>
            <w:tcBorders>
              <w:bottom w:val="single" w:sz="4" w:space="0" w:color="auto"/>
            </w:tcBorders>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6,445</w:t>
            </w:r>
          </w:p>
        </w:tc>
      </w:tr>
      <w:tr w:rsidR="00FF6014" w:rsidRPr="00040E7D" w:rsidTr="00027DF8">
        <w:trPr>
          <w:trHeight w:hRule="exact" w:val="284"/>
          <w:jc w:val="center"/>
        </w:trPr>
        <w:tc>
          <w:tcPr>
            <w:tcW w:w="8222" w:type="dxa"/>
            <w:tcBorders>
              <w:top w:val="single" w:sz="4" w:space="0" w:color="auto"/>
            </w:tcBorders>
          </w:tcPr>
          <w:p w:rsidR="00FF6014" w:rsidRPr="006010C1" w:rsidRDefault="00FF6014" w:rsidP="00FF6014">
            <w:pPr>
              <w:tabs>
                <w:tab w:val="left" w:pos="567"/>
                <w:tab w:val="left" w:pos="2268"/>
                <w:tab w:val="right" w:pos="5954"/>
                <w:tab w:val="right" w:pos="7088"/>
                <w:tab w:val="right" w:pos="8222"/>
                <w:tab w:val="right" w:pos="9356"/>
                <w:tab w:val="right" w:pos="10490"/>
              </w:tabs>
              <w:spacing w:after="200"/>
              <w:jc w:val="both"/>
              <w:rPr>
                <w:rFonts w:ascii="Arial" w:hAnsi="Arial" w:cs="Arial"/>
                <w:b/>
                <w:sz w:val="18"/>
                <w:szCs w:val="18"/>
                <w:lang w:val="en-IE"/>
              </w:rPr>
            </w:pPr>
          </w:p>
        </w:tc>
        <w:tc>
          <w:tcPr>
            <w:tcW w:w="1418" w:type="dxa"/>
            <w:tcBorders>
              <w:top w:val="single" w:sz="4" w:space="0" w:color="auto"/>
            </w:tcBorders>
            <w:shd w:val="clear" w:color="auto" w:fill="auto"/>
          </w:tcPr>
          <w:p w:rsidR="00FF6014" w:rsidRPr="006010C1" w:rsidRDefault="00FF6014" w:rsidP="00FF6014">
            <w:pPr>
              <w:tabs>
                <w:tab w:val="left" w:pos="567"/>
                <w:tab w:val="left" w:pos="2268"/>
                <w:tab w:val="right" w:pos="5954"/>
                <w:tab w:val="right" w:pos="7088"/>
                <w:tab w:val="right" w:pos="8222"/>
                <w:tab w:val="right" w:pos="9356"/>
                <w:tab w:val="right" w:pos="10490"/>
              </w:tabs>
              <w:spacing w:after="200"/>
              <w:jc w:val="both"/>
              <w:rPr>
                <w:rFonts w:ascii="Arial" w:hAnsi="Arial" w:cs="Arial"/>
                <w:b/>
                <w:sz w:val="18"/>
                <w:szCs w:val="18"/>
                <w:lang w:val="en-IE"/>
              </w:rPr>
            </w:pPr>
          </w:p>
        </w:tc>
        <w:tc>
          <w:tcPr>
            <w:tcW w:w="1417" w:type="dxa"/>
            <w:tcBorders>
              <w:top w:val="single" w:sz="4" w:space="0" w:color="auto"/>
            </w:tcBorders>
          </w:tcPr>
          <w:p w:rsidR="00FF6014" w:rsidRPr="001972EA" w:rsidRDefault="00FF6014" w:rsidP="00FF6014">
            <w:pPr>
              <w:tabs>
                <w:tab w:val="left" w:pos="567"/>
                <w:tab w:val="left" w:pos="2268"/>
                <w:tab w:val="right" w:pos="5954"/>
                <w:tab w:val="right" w:pos="7088"/>
                <w:tab w:val="right" w:pos="8222"/>
                <w:tab w:val="right" w:pos="9356"/>
                <w:tab w:val="right" w:pos="10490"/>
              </w:tabs>
              <w:spacing w:after="200"/>
              <w:jc w:val="both"/>
              <w:rPr>
                <w:rFonts w:ascii="Arial" w:hAnsi="Arial" w:cs="Arial"/>
                <w:sz w:val="18"/>
                <w:szCs w:val="18"/>
                <w:lang w:val="en-IE"/>
              </w:rPr>
            </w:pPr>
          </w:p>
        </w:tc>
      </w:tr>
      <w:tr w:rsidR="00FF6014" w:rsidRPr="00040E7D" w:rsidTr="00027DF8">
        <w:trPr>
          <w:trHeight w:hRule="exact" w:val="284"/>
          <w:jc w:val="center"/>
        </w:trPr>
        <w:tc>
          <w:tcPr>
            <w:tcW w:w="8222" w:type="dxa"/>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both"/>
              <w:rPr>
                <w:rFonts w:ascii="Arial" w:hAnsi="Arial" w:cs="Arial"/>
                <w:b/>
                <w:sz w:val="18"/>
                <w:szCs w:val="18"/>
                <w:lang w:val="en-IE"/>
              </w:rPr>
            </w:pPr>
            <w:r w:rsidRPr="006010C1">
              <w:rPr>
                <w:rFonts w:ascii="Arial" w:hAnsi="Arial" w:cs="Arial"/>
                <w:sz w:val="18"/>
                <w:szCs w:val="18"/>
                <w:lang w:val="en-IE"/>
              </w:rPr>
              <w:t xml:space="preserve">Tax calculated at domestic tax rates applicable to results in the respective country </w:t>
            </w:r>
          </w:p>
        </w:tc>
        <w:tc>
          <w:tcPr>
            <w:tcW w:w="1418" w:type="dxa"/>
            <w:shd w:val="clear" w:color="auto" w:fill="auto"/>
            <w:vAlign w:val="bottom"/>
          </w:tcPr>
          <w:p w:rsidR="00FF6014" w:rsidRPr="005B1DE1" w:rsidRDefault="00FF6014" w:rsidP="001972EA">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(73)</w:t>
            </w:r>
          </w:p>
        </w:tc>
        <w:tc>
          <w:tcPr>
            <w:tcW w:w="1417" w:type="dxa"/>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1,289</w:t>
            </w:r>
          </w:p>
        </w:tc>
      </w:tr>
      <w:tr w:rsidR="00FF6014" w:rsidRPr="00040E7D" w:rsidTr="00027DF8">
        <w:trPr>
          <w:trHeight w:hRule="exact" w:val="284"/>
          <w:jc w:val="center"/>
        </w:trPr>
        <w:tc>
          <w:tcPr>
            <w:tcW w:w="8222" w:type="dxa"/>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both"/>
              <w:rPr>
                <w:rFonts w:ascii="Arial" w:hAnsi="Arial" w:cs="Arial"/>
                <w:b/>
                <w:sz w:val="18"/>
                <w:szCs w:val="18"/>
                <w:lang w:val="en-IE"/>
              </w:rPr>
            </w:pPr>
            <w:r w:rsidRPr="006010C1">
              <w:rPr>
                <w:rFonts w:ascii="Arial" w:hAnsi="Arial" w:cs="Arial"/>
                <w:sz w:val="18"/>
                <w:szCs w:val="18"/>
                <w:lang w:val="en-IE"/>
              </w:rPr>
              <w:t>Adjustment in respect of prior years</w:t>
            </w:r>
          </w:p>
        </w:tc>
        <w:tc>
          <w:tcPr>
            <w:tcW w:w="1418" w:type="dxa"/>
            <w:shd w:val="clear" w:color="auto" w:fill="auto"/>
            <w:vAlign w:val="bottom"/>
          </w:tcPr>
          <w:p w:rsidR="00FF6014" w:rsidRPr="005B1DE1" w:rsidRDefault="00FF6014" w:rsidP="001972EA">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(383)</w:t>
            </w:r>
          </w:p>
        </w:tc>
        <w:tc>
          <w:tcPr>
            <w:tcW w:w="1417" w:type="dxa"/>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(318)</w:t>
            </w:r>
          </w:p>
        </w:tc>
      </w:tr>
      <w:tr w:rsidR="00FF6014" w:rsidRPr="00040E7D" w:rsidTr="00027DF8">
        <w:trPr>
          <w:trHeight w:hRule="exact" w:val="284"/>
          <w:jc w:val="center"/>
        </w:trPr>
        <w:tc>
          <w:tcPr>
            <w:tcW w:w="8222" w:type="dxa"/>
          </w:tcPr>
          <w:p w:rsidR="00FF6014" w:rsidRPr="006010C1" w:rsidRDefault="00FF6014" w:rsidP="005B1DE1">
            <w:pPr>
              <w:tabs>
                <w:tab w:val="left" w:pos="567"/>
                <w:tab w:val="left" w:pos="2268"/>
                <w:tab w:val="right" w:pos="5954"/>
                <w:tab w:val="right" w:pos="7088"/>
                <w:tab w:val="right" w:pos="8222"/>
                <w:tab w:val="right" w:pos="9356"/>
                <w:tab w:val="right" w:pos="10490"/>
              </w:tabs>
              <w:autoSpaceDE w:val="0"/>
              <w:autoSpaceDN w:val="0"/>
              <w:adjustRightInd w:val="0"/>
              <w:spacing w:after="200"/>
              <w:rPr>
                <w:rFonts w:ascii="Arial" w:hAnsi="Arial" w:cs="Arial"/>
                <w:sz w:val="18"/>
                <w:szCs w:val="18"/>
                <w:lang w:val="en-IE"/>
              </w:rPr>
            </w:pPr>
            <w:r w:rsidRPr="006010C1">
              <w:rPr>
                <w:rFonts w:ascii="Arial" w:hAnsi="Arial" w:cs="Arial"/>
                <w:sz w:val="18"/>
                <w:szCs w:val="18"/>
                <w:lang w:val="en-IE"/>
              </w:rPr>
              <w:t>Re-measurement of deferred tax - impact of change in UK tax rate</w:t>
            </w:r>
          </w:p>
        </w:tc>
        <w:tc>
          <w:tcPr>
            <w:tcW w:w="1418" w:type="dxa"/>
            <w:shd w:val="clear" w:color="auto" w:fill="auto"/>
            <w:vAlign w:val="bottom"/>
          </w:tcPr>
          <w:p w:rsidR="00FF6014" w:rsidRPr="005B1DE1" w:rsidDel="00137FA0" w:rsidRDefault="00FF6014" w:rsidP="001972EA">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79</w:t>
            </w:r>
          </w:p>
        </w:tc>
        <w:tc>
          <w:tcPr>
            <w:tcW w:w="1417" w:type="dxa"/>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(159)</w:t>
            </w:r>
          </w:p>
        </w:tc>
      </w:tr>
      <w:tr w:rsidR="00FF6014" w:rsidRPr="00040E7D" w:rsidTr="00027DF8">
        <w:trPr>
          <w:trHeight w:hRule="exact" w:val="284"/>
          <w:jc w:val="center"/>
        </w:trPr>
        <w:tc>
          <w:tcPr>
            <w:tcW w:w="8222" w:type="dxa"/>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Non-taxable gain</w:t>
            </w:r>
          </w:p>
        </w:tc>
        <w:tc>
          <w:tcPr>
            <w:tcW w:w="1418" w:type="dxa"/>
            <w:shd w:val="clear" w:color="auto" w:fill="auto"/>
            <w:vAlign w:val="bottom"/>
          </w:tcPr>
          <w:p w:rsidR="00FF6014" w:rsidRPr="005B1DE1" w:rsidDel="00EF54AB" w:rsidRDefault="00FF6014" w:rsidP="005B1DE1">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(9)</w:t>
            </w:r>
          </w:p>
        </w:tc>
        <w:tc>
          <w:tcPr>
            <w:tcW w:w="1417" w:type="dxa"/>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(255)</w:t>
            </w:r>
          </w:p>
        </w:tc>
      </w:tr>
      <w:tr w:rsidR="00FF6014" w:rsidRPr="00040E7D" w:rsidTr="00027DF8">
        <w:trPr>
          <w:trHeight w:hRule="exact" w:val="284"/>
          <w:jc w:val="center"/>
        </w:trPr>
        <w:tc>
          <w:tcPr>
            <w:tcW w:w="8222" w:type="dxa"/>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Differences in overseas tax rates</w:t>
            </w:r>
          </w:p>
        </w:tc>
        <w:tc>
          <w:tcPr>
            <w:tcW w:w="1418" w:type="dxa"/>
            <w:shd w:val="clear" w:color="auto" w:fill="auto"/>
            <w:vAlign w:val="bottom"/>
          </w:tcPr>
          <w:p w:rsidR="00FF6014" w:rsidRPr="005B1DE1" w:rsidRDefault="00FF6014" w:rsidP="005B1DE1">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(19)</w:t>
            </w:r>
          </w:p>
        </w:tc>
        <w:tc>
          <w:tcPr>
            <w:tcW w:w="1417" w:type="dxa"/>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(108)</w:t>
            </w:r>
          </w:p>
        </w:tc>
      </w:tr>
      <w:tr w:rsidR="00FF6014" w:rsidRPr="00040E7D" w:rsidTr="00027DF8">
        <w:trPr>
          <w:trHeight w:hRule="exact" w:val="284"/>
          <w:jc w:val="center"/>
        </w:trPr>
        <w:tc>
          <w:tcPr>
            <w:tcW w:w="8222" w:type="dxa"/>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both"/>
              <w:rPr>
                <w:rFonts w:ascii="Arial" w:hAnsi="Arial" w:cs="Arial"/>
                <w:b/>
                <w:sz w:val="18"/>
                <w:szCs w:val="18"/>
                <w:lang w:val="en-IE"/>
              </w:rPr>
            </w:pPr>
            <w:r w:rsidRPr="006010C1">
              <w:rPr>
                <w:rFonts w:ascii="Arial" w:hAnsi="Arial" w:cs="Arial"/>
                <w:sz w:val="18"/>
                <w:szCs w:val="18"/>
                <w:lang w:val="en-IE"/>
              </w:rPr>
              <w:t>Current year losses for which no deferred tax asset was recognised</w:t>
            </w:r>
          </w:p>
        </w:tc>
        <w:tc>
          <w:tcPr>
            <w:tcW w:w="1418" w:type="dxa"/>
            <w:shd w:val="clear" w:color="auto" w:fill="auto"/>
            <w:vAlign w:val="bottom"/>
          </w:tcPr>
          <w:p w:rsidR="00FF6014" w:rsidRPr="005B1DE1" w:rsidRDefault="00FF6014" w:rsidP="001972EA">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60</w:t>
            </w:r>
          </w:p>
        </w:tc>
        <w:tc>
          <w:tcPr>
            <w:tcW w:w="1417" w:type="dxa"/>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164</w:t>
            </w:r>
          </w:p>
        </w:tc>
      </w:tr>
      <w:tr w:rsidR="00FF6014" w:rsidRPr="00040E7D" w:rsidTr="00027DF8">
        <w:trPr>
          <w:trHeight w:hRule="exact" w:val="284"/>
          <w:jc w:val="center"/>
        </w:trPr>
        <w:tc>
          <w:tcPr>
            <w:tcW w:w="8222" w:type="dxa"/>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Utilisation of previous unrecognised tax losses</w:t>
            </w:r>
          </w:p>
        </w:tc>
        <w:tc>
          <w:tcPr>
            <w:tcW w:w="1418" w:type="dxa"/>
            <w:shd w:val="clear" w:color="auto" w:fill="auto"/>
            <w:vAlign w:val="bottom"/>
          </w:tcPr>
          <w:p w:rsidR="00FF6014" w:rsidRPr="005B1DE1" w:rsidRDefault="00FF6014" w:rsidP="001972EA">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w:t>
            </w:r>
          </w:p>
        </w:tc>
        <w:tc>
          <w:tcPr>
            <w:tcW w:w="1417" w:type="dxa"/>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(47)</w:t>
            </w:r>
          </w:p>
        </w:tc>
      </w:tr>
      <w:tr w:rsidR="00FF6014" w:rsidRPr="00040E7D" w:rsidTr="00027DF8">
        <w:trPr>
          <w:trHeight w:hRule="exact" w:val="284"/>
          <w:jc w:val="center"/>
        </w:trPr>
        <w:tc>
          <w:tcPr>
            <w:tcW w:w="8222" w:type="dxa"/>
            <w:tcBorders>
              <w:bottom w:val="single" w:sz="4" w:space="0" w:color="auto"/>
            </w:tcBorders>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Others including expenses not deductible for tax purposes</w:t>
            </w:r>
          </w:p>
        </w:tc>
        <w:tc>
          <w:tcPr>
            <w:tcW w:w="1418" w:type="dxa"/>
            <w:tcBorders>
              <w:bottom w:val="single" w:sz="4" w:space="0" w:color="auto"/>
            </w:tcBorders>
            <w:shd w:val="clear" w:color="auto" w:fill="auto"/>
            <w:vAlign w:val="bottom"/>
          </w:tcPr>
          <w:p w:rsidR="00FF6014" w:rsidRPr="005B1DE1" w:rsidRDefault="00FF6014" w:rsidP="001972EA">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5B1DE1">
              <w:rPr>
                <w:rFonts w:ascii="Arial" w:hAnsi="Arial" w:cs="Arial"/>
                <w:b/>
                <w:sz w:val="18"/>
                <w:szCs w:val="18"/>
                <w:lang w:val="en-IE"/>
              </w:rPr>
              <w:t>302</w:t>
            </w:r>
          </w:p>
        </w:tc>
        <w:tc>
          <w:tcPr>
            <w:tcW w:w="1417" w:type="dxa"/>
            <w:tcBorders>
              <w:bottom w:val="single" w:sz="4" w:space="0" w:color="auto"/>
            </w:tcBorders>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629</w:t>
            </w:r>
          </w:p>
        </w:tc>
      </w:tr>
      <w:tr w:rsidR="00FF6014" w:rsidRPr="00040E7D" w:rsidTr="00027DF8">
        <w:trPr>
          <w:trHeight w:hRule="exact" w:val="284"/>
          <w:jc w:val="center"/>
        </w:trPr>
        <w:tc>
          <w:tcPr>
            <w:tcW w:w="8222" w:type="dxa"/>
            <w:tcBorders>
              <w:top w:val="single" w:sz="4" w:space="0" w:color="auto"/>
              <w:bottom w:val="single" w:sz="12" w:space="0" w:color="auto"/>
            </w:tcBorders>
          </w:tcPr>
          <w:p w:rsidR="00FF6014" w:rsidRPr="006010C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 xml:space="preserve">Income tax </w:t>
            </w:r>
            <w:r w:rsidR="006703FD">
              <w:rPr>
                <w:rFonts w:ascii="Arial" w:hAnsi="Arial" w:cs="Arial"/>
                <w:sz w:val="18"/>
                <w:szCs w:val="18"/>
                <w:lang w:val="en-IE"/>
              </w:rPr>
              <w:t>(credit)/</w:t>
            </w:r>
            <w:r w:rsidRPr="006010C1">
              <w:rPr>
                <w:rFonts w:ascii="Arial" w:hAnsi="Arial" w:cs="Arial"/>
                <w:sz w:val="18"/>
                <w:szCs w:val="18"/>
                <w:lang w:val="en-IE"/>
              </w:rPr>
              <w:t>expense</w:t>
            </w:r>
          </w:p>
        </w:tc>
        <w:tc>
          <w:tcPr>
            <w:tcW w:w="1418" w:type="dxa"/>
            <w:tcBorders>
              <w:top w:val="single" w:sz="4" w:space="0" w:color="auto"/>
              <w:bottom w:val="single" w:sz="12" w:space="0" w:color="auto"/>
            </w:tcBorders>
            <w:shd w:val="clear" w:color="auto" w:fill="auto"/>
            <w:vAlign w:val="bottom"/>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b/>
                <w:sz w:val="18"/>
                <w:szCs w:val="18"/>
                <w:lang w:val="en-IE"/>
              </w:rPr>
            </w:pPr>
            <w:r w:rsidRPr="001972EA">
              <w:rPr>
                <w:rFonts w:ascii="Arial" w:hAnsi="Arial" w:cs="Arial"/>
                <w:b/>
                <w:color w:val="000000"/>
                <w:spacing w:val="-5"/>
                <w:sz w:val="18"/>
                <w:szCs w:val="18"/>
              </w:rPr>
              <w:t>(</w:t>
            </w:r>
            <w:r>
              <w:rPr>
                <w:rFonts w:ascii="Arial" w:hAnsi="Arial" w:cs="Arial"/>
                <w:b/>
                <w:color w:val="000000"/>
                <w:spacing w:val="-5"/>
                <w:sz w:val="18"/>
                <w:szCs w:val="18"/>
              </w:rPr>
              <w:t>4</w:t>
            </w:r>
            <w:r w:rsidRPr="005B1DE1">
              <w:rPr>
                <w:rFonts w:ascii="Arial" w:hAnsi="Arial" w:cs="Arial"/>
                <w:b/>
                <w:color w:val="000000"/>
                <w:spacing w:val="-5"/>
                <w:sz w:val="18"/>
                <w:szCs w:val="18"/>
              </w:rPr>
              <w:t>3)</w:t>
            </w:r>
          </w:p>
        </w:tc>
        <w:tc>
          <w:tcPr>
            <w:tcW w:w="1417" w:type="dxa"/>
            <w:tcBorders>
              <w:top w:val="single" w:sz="4" w:space="0" w:color="auto"/>
              <w:bottom w:val="single" w:sz="12" w:space="0" w:color="auto"/>
            </w:tcBorders>
          </w:tcPr>
          <w:p w:rsidR="00FF6014" w:rsidRPr="005B1DE1" w:rsidRDefault="00FF6014" w:rsidP="00FF6014">
            <w:pPr>
              <w:tabs>
                <w:tab w:val="left" w:pos="567"/>
                <w:tab w:val="left" w:pos="2268"/>
                <w:tab w:val="right" w:pos="5954"/>
                <w:tab w:val="right" w:pos="7088"/>
                <w:tab w:val="right" w:pos="8222"/>
                <w:tab w:val="right" w:pos="9356"/>
                <w:tab w:val="right" w:pos="1049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1,195</w:t>
            </w:r>
          </w:p>
        </w:tc>
      </w:tr>
    </w:tbl>
    <w:p w:rsidR="00254A2F" w:rsidRPr="006C3343" w:rsidRDefault="00254A2F" w:rsidP="00C721AD">
      <w:pPr>
        <w:spacing w:after="0" w:line="240" w:lineRule="auto"/>
        <w:rPr>
          <w:rFonts w:ascii="Arial" w:hAnsi="Arial" w:cs="Arial"/>
          <w:b/>
          <w:sz w:val="20"/>
          <w:szCs w:val="20"/>
          <w:lang w:val="en-IE"/>
        </w:rPr>
      </w:pPr>
    </w:p>
    <w:p w:rsidR="00341B79" w:rsidRDefault="00FF6014" w:rsidP="003E5A1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 xml:space="preserve">The weighted average applicable tax rate for the year was 11.3% (2016: 18.5 %). During the year, the Company re-measured relevant deferred tax balances that were impacted by the change in the UK rate substantively enacted at the balance sheet date. In accordance with the IFRS provisions, the rate of 17% is used as a basis for the calculation of UK deferred taxes. </w:t>
      </w:r>
    </w:p>
    <w:p w:rsidR="003E5A10" w:rsidRPr="003E5A10" w:rsidRDefault="003E5A10" w:rsidP="003E5A10">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p>
    <w:p w:rsidR="00B8292A" w:rsidRPr="006C3343" w:rsidRDefault="00B8292A" w:rsidP="00C721AD">
      <w:pPr>
        <w:pStyle w:val="ListParagraph"/>
        <w:numPr>
          <w:ilvl w:val="0"/>
          <w:numId w:val="49"/>
        </w:numPr>
        <w:ind w:left="0" w:firstLine="0"/>
        <w:rPr>
          <w:rFonts w:ascii="Arial" w:hAnsi="Arial" w:cs="Arial"/>
          <w:b/>
          <w:color w:val="1F497D" w:themeColor="text2"/>
          <w:lang w:val="en-IE"/>
        </w:rPr>
      </w:pPr>
      <w:r w:rsidRPr="00A95934">
        <w:rPr>
          <w:rFonts w:ascii="Arial" w:hAnsi="Arial" w:cs="Arial"/>
          <w:b/>
          <w:color w:val="1F497D" w:themeColor="text2"/>
          <w:lang w:val="en-IE"/>
        </w:rPr>
        <w:t>Earnings per ordinary share</w:t>
      </w:r>
    </w:p>
    <w:tbl>
      <w:tblPr>
        <w:tblStyle w:val="TableGrid"/>
        <w:tblW w:w="109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22"/>
        <w:gridCol w:w="1417"/>
        <w:gridCol w:w="1275"/>
      </w:tblGrid>
      <w:tr w:rsidR="00C423E3" w:rsidRPr="00040E7D" w:rsidTr="00027DF8">
        <w:trPr>
          <w:trHeight w:hRule="exact" w:val="255"/>
          <w:jc w:val="center"/>
        </w:trPr>
        <w:tc>
          <w:tcPr>
            <w:tcW w:w="8222" w:type="dxa"/>
          </w:tcPr>
          <w:p w:rsidR="008B6E35" w:rsidRPr="006010C1" w:rsidRDefault="008B6E35" w:rsidP="00C721AD">
            <w:pPr>
              <w:tabs>
                <w:tab w:val="left" w:pos="567"/>
                <w:tab w:val="right" w:pos="5670"/>
                <w:tab w:val="right" w:pos="6804"/>
                <w:tab w:val="right" w:pos="7938"/>
                <w:tab w:val="right" w:pos="9072"/>
                <w:tab w:val="right" w:pos="10206"/>
              </w:tabs>
              <w:spacing w:after="200"/>
              <w:jc w:val="both"/>
              <w:rPr>
                <w:rFonts w:ascii="Arial" w:hAnsi="Arial" w:cs="Arial"/>
                <w:color w:val="1F497D" w:themeColor="text2"/>
                <w:sz w:val="18"/>
                <w:szCs w:val="18"/>
                <w:lang w:val="en-IE"/>
              </w:rPr>
            </w:pPr>
          </w:p>
        </w:tc>
        <w:tc>
          <w:tcPr>
            <w:tcW w:w="1417" w:type="dxa"/>
            <w:shd w:val="clear" w:color="auto" w:fill="auto"/>
          </w:tcPr>
          <w:p w:rsidR="00773746" w:rsidRPr="006010C1" w:rsidRDefault="005E11D6" w:rsidP="00C24B1A">
            <w:pPr>
              <w:tabs>
                <w:tab w:val="right" w:pos="5040"/>
                <w:tab w:val="right" w:pos="6480"/>
                <w:tab w:val="right" w:pos="7920"/>
                <w:tab w:val="right" w:pos="9356"/>
              </w:tabs>
              <w:spacing w:after="200"/>
              <w:jc w:val="right"/>
              <w:rPr>
                <w:rFonts w:ascii="Arial" w:hAnsi="Arial" w:cs="Arial"/>
                <w:color w:val="1F497D" w:themeColor="text2"/>
                <w:sz w:val="18"/>
                <w:szCs w:val="18"/>
                <w:lang w:val="en-IE"/>
              </w:rPr>
            </w:pPr>
            <w:r w:rsidRPr="006010C1">
              <w:rPr>
                <w:rFonts w:ascii="Arial" w:hAnsi="Arial" w:cs="Arial"/>
                <w:b/>
                <w:color w:val="1F497D" w:themeColor="text2"/>
                <w:sz w:val="18"/>
                <w:szCs w:val="18"/>
                <w:lang w:val="en-IE"/>
              </w:rPr>
              <w:t>201</w:t>
            </w:r>
            <w:r w:rsidR="00F55B3A">
              <w:rPr>
                <w:rFonts w:ascii="Arial" w:hAnsi="Arial" w:cs="Arial"/>
                <w:b/>
                <w:color w:val="1F497D" w:themeColor="text2"/>
                <w:sz w:val="18"/>
                <w:szCs w:val="18"/>
                <w:lang w:val="en-IE"/>
              </w:rPr>
              <w:t>7</w:t>
            </w:r>
          </w:p>
        </w:tc>
        <w:tc>
          <w:tcPr>
            <w:tcW w:w="1275" w:type="dxa"/>
          </w:tcPr>
          <w:p w:rsidR="008034FD" w:rsidRPr="006010C1" w:rsidRDefault="00C86183" w:rsidP="00C24B1A">
            <w:pPr>
              <w:tabs>
                <w:tab w:val="right" w:pos="5040"/>
                <w:tab w:val="right" w:pos="6480"/>
                <w:tab w:val="right" w:pos="7920"/>
                <w:tab w:val="right" w:pos="9356"/>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F55B3A">
              <w:rPr>
                <w:rFonts w:ascii="Arial" w:hAnsi="Arial" w:cs="Arial"/>
                <w:color w:val="1F497D" w:themeColor="text2"/>
                <w:sz w:val="18"/>
                <w:szCs w:val="18"/>
                <w:lang w:val="en-IE"/>
              </w:rPr>
              <w:t>6</w:t>
            </w:r>
          </w:p>
        </w:tc>
      </w:tr>
      <w:tr w:rsidR="00C423E3" w:rsidRPr="00040E7D" w:rsidTr="00027DF8">
        <w:trPr>
          <w:trHeight w:hRule="exact" w:val="255"/>
          <w:jc w:val="center"/>
        </w:trPr>
        <w:tc>
          <w:tcPr>
            <w:tcW w:w="8222" w:type="dxa"/>
          </w:tcPr>
          <w:p w:rsidR="00EE7BD0" w:rsidRPr="006010C1" w:rsidRDefault="00EE7BD0" w:rsidP="00C721AD">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Basic</w:t>
            </w:r>
          </w:p>
        </w:tc>
        <w:tc>
          <w:tcPr>
            <w:tcW w:w="1417" w:type="dxa"/>
            <w:shd w:val="clear" w:color="auto" w:fill="auto"/>
          </w:tcPr>
          <w:p w:rsidR="00EE7BD0" w:rsidRPr="006010C1" w:rsidRDefault="00EE7BD0" w:rsidP="00C721AD">
            <w:pPr>
              <w:tabs>
                <w:tab w:val="right" w:pos="5040"/>
                <w:tab w:val="right" w:pos="6480"/>
                <w:tab w:val="right" w:pos="7920"/>
                <w:tab w:val="right" w:pos="9356"/>
              </w:tabs>
              <w:spacing w:after="200"/>
              <w:jc w:val="right"/>
              <w:rPr>
                <w:rFonts w:ascii="Arial" w:hAnsi="Arial" w:cs="Arial"/>
                <w:sz w:val="18"/>
                <w:szCs w:val="18"/>
                <w:lang w:val="en-IE"/>
              </w:rPr>
            </w:pPr>
          </w:p>
        </w:tc>
        <w:tc>
          <w:tcPr>
            <w:tcW w:w="1275" w:type="dxa"/>
          </w:tcPr>
          <w:p w:rsidR="00EE7BD0" w:rsidRPr="006010C1" w:rsidRDefault="00EE7BD0" w:rsidP="00C721AD">
            <w:pPr>
              <w:tabs>
                <w:tab w:val="right" w:pos="5040"/>
                <w:tab w:val="right" w:pos="6480"/>
                <w:tab w:val="right" w:pos="7920"/>
                <w:tab w:val="right" w:pos="9356"/>
              </w:tabs>
              <w:spacing w:after="200"/>
              <w:jc w:val="right"/>
              <w:rPr>
                <w:rFonts w:ascii="Arial" w:hAnsi="Arial" w:cs="Arial"/>
                <w:sz w:val="18"/>
                <w:szCs w:val="18"/>
                <w:lang w:val="en-IE"/>
              </w:rPr>
            </w:pPr>
          </w:p>
        </w:tc>
      </w:tr>
      <w:tr w:rsidR="00C423E3" w:rsidRPr="00040E7D" w:rsidTr="00027DF8">
        <w:trPr>
          <w:trHeight w:hRule="exact" w:val="263"/>
          <w:jc w:val="center"/>
        </w:trPr>
        <w:tc>
          <w:tcPr>
            <w:tcW w:w="8222" w:type="dxa"/>
          </w:tcPr>
          <w:p w:rsidR="00EE7BD0" w:rsidRPr="006010C1" w:rsidRDefault="00481FE8" w:rsidP="00C721AD">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Pr>
                <w:rFonts w:ascii="Arial" w:hAnsi="Arial" w:cs="Arial"/>
                <w:i/>
                <w:sz w:val="18"/>
                <w:szCs w:val="18"/>
                <w:lang w:val="en-IE"/>
              </w:rPr>
              <w:t xml:space="preserve">(Loss)/profit </w:t>
            </w:r>
            <w:r w:rsidR="00EE7BD0" w:rsidRPr="006010C1">
              <w:rPr>
                <w:rFonts w:ascii="Arial" w:hAnsi="Arial" w:cs="Arial"/>
                <w:i/>
                <w:sz w:val="18"/>
                <w:szCs w:val="18"/>
                <w:lang w:val="en-IE"/>
              </w:rPr>
              <w:t>after income tax (£’000)</w:t>
            </w:r>
          </w:p>
        </w:tc>
        <w:tc>
          <w:tcPr>
            <w:tcW w:w="1417" w:type="dxa"/>
            <w:shd w:val="clear" w:color="auto" w:fill="auto"/>
          </w:tcPr>
          <w:p w:rsidR="00EE7BD0" w:rsidRPr="006010C1" w:rsidRDefault="00EE7BD0" w:rsidP="00C721AD">
            <w:pPr>
              <w:tabs>
                <w:tab w:val="right" w:pos="5040"/>
                <w:tab w:val="right" w:pos="6480"/>
                <w:tab w:val="right" w:pos="7920"/>
                <w:tab w:val="right" w:pos="9356"/>
              </w:tabs>
              <w:spacing w:after="200"/>
              <w:jc w:val="right"/>
              <w:rPr>
                <w:rFonts w:ascii="Arial" w:hAnsi="Arial" w:cs="Arial"/>
                <w:sz w:val="18"/>
                <w:szCs w:val="18"/>
                <w:lang w:val="en-IE"/>
              </w:rPr>
            </w:pPr>
          </w:p>
        </w:tc>
        <w:tc>
          <w:tcPr>
            <w:tcW w:w="1275" w:type="dxa"/>
          </w:tcPr>
          <w:p w:rsidR="00EE7BD0" w:rsidRPr="006010C1" w:rsidRDefault="00EE7BD0" w:rsidP="00C721AD">
            <w:pPr>
              <w:tabs>
                <w:tab w:val="right" w:pos="5040"/>
                <w:tab w:val="right" w:pos="6480"/>
                <w:tab w:val="right" w:pos="7920"/>
                <w:tab w:val="right" w:pos="9356"/>
              </w:tabs>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From</w:t>
            </w:r>
            <w:r w:rsidRPr="006010C1">
              <w:rPr>
                <w:rFonts w:ascii="Arial" w:hAnsi="Arial" w:cs="Arial"/>
                <w:sz w:val="18"/>
                <w:szCs w:val="18"/>
                <w:lang w:val="en-IE"/>
              </w:rPr>
              <w:t xml:space="preserve"> operations</w:t>
            </w:r>
          </w:p>
        </w:tc>
        <w:tc>
          <w:tcPr>
            <w:tcW w:w="1417" w:type="dxa"/>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(338)</w:t>
            </w:r>
          </w:p>
        </w:tc>
        <w:tc>
          <w:tcPr>
            <w:tcW w:w="1275" w:type="dxa"/>
          </w:tcPr>
          <w:p w:rsidR="00F55B3A" w:rsidRPr="001972EA"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5,250</w:t>
            </w:r>
          </w:p>
        </w:tc>
      </w:tr>
      <w:tr w:rsidR="00F55B3A" w:rsidRPr="00040E7D" w:rsidTr="00027DF8">
        <w:trPr>
          <w:trHeight w:hRule="exact" w:val="255"/>
          <w:jc w:val="center"/>
        </w:trPr>
        <w:tc>
          <w:tcPr>
            <w:tcW w:w="8222" w:type="dxa"/>
            <w:tcBorders>
              <w:top w:val="single" w:sz="4" w:space="0" w:color="auto"/>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Total</w:t>
            </w:r>
          </w:p>
        </w:tc>
        <w:tc>
          <w:tcPr>
            <w:tcW w:w="1417" w:type="dxa"/>
            <w:tcBorders>
              <w:top w:val="single" w:sz="4" w:space="0" w:color="auto"/>
              <w:bottom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(338)</w:t>
            </w:r>
          </w:p>
        </w:tc>
        <w:tc>
          <w:tcPr>
            <w:tcW w:w="1275" w:type="dxa"/>
            <w:tcBorders>
              <w:top w:val="single" w:sz="4" w:space="0" w:color="auto"/>
              <w:bottom w:val="single" w:sz="4" w:space="0" w:color="auto"/>
            </w:tcBorders>
          </w:tcPr>
          <w:p w:rsidR="00F55B3A" w:rsidRPr="001972EA"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5,250</w:t>
            </w:r>
          </w:p>
        </w:tc>
      </w:tr>
      <w:tr w:rsidR="00F55B3A" w:rsidRPr="00040E7D" w:rsidTr="00027DF8">
        <w:trPr>
          <w:trHeight w:hRule="exact" w:val="255"/>
          <w:jc w:val="center"/>
        </w:trPr>
        <w:tc>
          <w:tcPr>
            <w:tcW w:w="8222" w:type="dxa"/>
            <w:tcBorders>
              <w:top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p>
        </w:tc>
        <w:tc>
          <w:tcPr>
            <w:tcW w:w="1417" w:type="dxa"/>
            <w:tcBorders>
              <w:top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p>
        </w:tc>
        <w:tc>
          <w:tcPr>
            <w:tcW w:w="1275" w:type="dxa"/>
            <w:tcBorders>
              <w:top w:val="single" w:sz="4" w:space="0" w:color="auto"/>
            </w:tcBorders>
          </w:tcPr>
          <w:p w:rsidR="00F55B3A" w:rsidRPr="001972EA"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Weighted average number of ordinary shares in issue for the</w:t>
            </w:r>
          </w:p>
        </w:tc>
        <w:tc>
          <w:tcPr>
            <w:tcW w:w="1417" w:type="dxa"/>
            <w:shd w:val="clear" w:color="auto" w:fill="auto"/>
          </w:tcPr>
          <w:p w:rsidR="00F55B3A" w:rsidRPr="006010C1" w:rsidRDefault="00F55B3A" w:rsidP="00F55B3A">
            <w:pPr>
              <w:tabs>
                <w:tab w:val="right" w:pos="5040"/>
                <w:tab w:val="right" w:pos="6480"/>
                <w:tab w:val="right" w:pos="7920"/>
                <w:tab w:val="right" w:pos="9356"/>
              </w:tabs>
              <w:spacing w:after="200"/>
              <w:jc w:val="right"/>
              <w:rPr>
                <w:rFonts w:ascii="Arial" w:hAnsi="Arial" w:cs="Arial"/>
                <w:b/>
                <w:sz w:val="18"/>
                <w:szCs w:val="18"/>
                <w:lang w:val="en-IE"/>
              </w:rPr>
            </w:pPr>
          </w:p>
        </w:tc>
        <w:tc>
          <w:tcPr>
            <w:tcW w:w="1275" w:type="dxa"/>
          </w:tcPr>
          <w:p w:rsidR="00F55B3A" w:rsidRPr="001972EA" w:rsidRDefault="00F55B3A" w:rsidP="00F55B3A">
            <w:pPr>
              <w:tabs>
                <w:tab w:val="right" w:pos="5040"/>
                <w:tab w:val="right" w:pos="6480"/>
                <w:tab w:val="right" w:pos="7920"/>
                <w:tab w:val="right" w:pos="9356"/>
              </w:tabs>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Borders>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calculation of earnings per share</w:t>
            </w:r>
          </w:p>
        </w:tc>
        <w:tc>
          <w:tcPr>
            <w:tcW w:w="1417" w:type="dxa"/>
            <w:tcBorders>
              <w:bottom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color w:val="000000"/>
                <w:spacing w:val="-5"/>
                <w:sz w:val="18"/>
                <w:szCs w:val="18"/>
              </w:rPr>
              <w:t>105,</w:t>
            </w:r>
            <w:r>
              <w:rPr>
                <w:rFonts w:ascii="Arial" w:hAnsi="Arial" w:cs="Arial"/>
                <w:b/>
                <w:color w:val="000000"/>
                <w:spacing w:val="-5"/>
                <w:sz w:val="18"/>
                <w:szCs w:val="18"/>
              </w:rPr>
              <w:t>405,665</w:t>
            </w:r>
          </w:p>
        </w:tc>
        <w:tc>
          <w:tcPr>
            <w:tcW w:w="1275" w:type="dxa"/>
            <w:tcBorders>
              <w:bottom w:val="single" w:sz="4" w:space="0" w:color="auto"/>
            </w:tcBorders>
          </w:tcPr>
          <w:p w:rsidR="00F55B3A" w:rsidRPr="001972EA"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color w:val="000000"/>
                <w:spacing w:val="-5"/>
                <w:sz w:val="18"/>
                <w:szCs w:val="18"/>
              </w:rPr>
              <w:t>105,394,326</w:t>
            </w:r>
          </w:p>
        </w:tc>
      </w:tr>
      <w:tr w:rsidR="00F55B3A" w:rsidRPr="00040E7D" w:rsidTr="00027DF8">
        <w:trPr>
          <w:trHeight w:hRule="exact" w:val="255"/>
          <w:jc w:val="center"/>
        </w:trPr>
        <w:tc>
          <w:tcPr>
            <w:tcW w:w="8222" w:type="dxa"/>
            <w:tcBorders>
              <w:top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p>
        </w:tc>
        <w:tc>
          <w:tcPr>
            <w:tcW w:w="1417" w:type="dxa"/>
            <w:tcBorders>
              <w:top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p>
        </w:tc>
        <w:tc>
          <w:tcPr>
            <w:tcW w:w="1275" w:type="dxa"/>
            <w:tcBorders>
              <w:top w:val="single" w:sz="4" w:space="0" w:color="auto"/>
            </w:tcBorders>
          </w:tcPr>
          <w:p w:rsidR="00F55B3A" w:rsidRPr="001972EA"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i/>
                <w:sz w:val="18"/>
                <w:szCs w:val="18"/>
                <w:lang w:val="en-IE"/>
              </w:rPr>
              <w:t xml:space="preserve">Basic </w:t>
            </w:r>
            <w:r>
              <w:rPr>
                <w:rFonts w:ascii="Arial" w:hAnsi="Arial" w:cs="Arial"/>
                <w:i/>
                <w:sz w:val="18"/>
                <w:szCs w:val="18"/>
                <w:lang w:val="en-IE"/>
              </w:rPr>
              <w:t>(loss)/</w:t>
            </w:r>
            <w:r w:rsidRPr="006010C1">
              <w:rPr>
                <w:rFonts w:ascii="Arial" w:hAnsi="Arial" w:cs="Arial"/>
                <w:i/>
                <w:sz w:val="18"/>
                <w:szCs w:val="18"/>
                <w:lang w:val="en-IE"/>
              </w:rPr>
              <w:t>earnings per share (pence)</w:t>
            </w:r>
          </w:p>
        </w:tc>
        <w:tc>
          <w:tcPr>
            <w:tcW w:w="1417" w:type="dxa"/>
            <w:shd w:val="clear" w:color="auto" w:fill="auto"/>
          </w:tcPr>
          <w:p w:rsidR="00F55B3A" w:rsidRPr="006010C1" w:rsidRDefault="00F55B3A" w:rsidP="00F55B3A">
            <w:pPr>
              <w:tabs>
                <w:tab w:val="right" w:pos="5040"/>
                <w:tab w:val="right" w:pos="6480"/>
                <w:tab w:val="right" w:pos="7920"/>
                <w:tab w:val="right" w:pos="9356"/>
              </w:tabs>
              <w:spacing w:after="200"/>
              <w:jc w:val="right"/>
              <w:rPr>
                <w:rFonts w:ascii="Arial" w:hAnsi="Arial" w:cs="Arial"/>
                <w:b/>
                <w:sz w:val="18"/>
                <w:szCs w:val="18"/>
                <w:lang w:val="en-IE"/>
              </w:rPr>
            </w:pPr>
          </w:p>
        </w:tc>
        <w:tc>
          <w:tcPr>
            <w:tcW w:w="1275" w:type="dxa"/>
          </w:tcPr>
          <w:p w:rsidR="00F55B3A" w:rsidRPr="001972EA" w:rsidRDefault="00F55B3A" w:rsidP="00F55B3A">
            <w:pPr>
              <w:tabs>
                <w:tab w:val="right" w:pos="5040"/>
                <w:tab w:val="right" w:pos="6480"/>
                <w:tab w:val="right" w:pos="7920"/>
                <w:tab w:val="right" w:pos="9356"/>
              </w:tabs>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 xml:space="preserve">From </w:t>
            </w:r>
            <w:r w:rsidRPr="006010C1">
              <w:rPr>
                <w:rFonts w:ascii="Arial" w:hAnsi="Arial" w:cs="Arial"/>
                <w:sz w:val="18"/>
                <w:szCs w:val="18"/>
                <w:lang w:val="en-IE"/>
              </w:rPr>
              <w:t>operations</w:t>
            </w:r>
          </w:p>
        </w:tc>
        <w:tc>
          <w:tcPr>
            <w:tcW w:w="1417" w:type="dxa"/>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(0.32)</w:t>
            </w:r>
          </w:p>
        </w:tc>
        <w:tc>
          <w:tcPr>
            <w:tcW w:w="1275" w:type="dxa"/>
          </w:tcPr>
          <w:p w:rsidR="00F55B3A" w:rsidRPr="001972EA"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4.98</w:t>
            </w:r>
          </w:p>
        </w:tc>
      </w:tr>
      <w:tr w:rsidR="00F55B3A" w:rsidRPr="00040E7D" w:rsidTr="00027DF8">
        <w:trPr>
          <w:trHeight w:hRule="exact" w:val="255"/>
          <w:jc w:val="center"/>
        </w:trPr>
        <w:tc>
          <w:tcPr>
            <w:tcW w:w="8222" w:type="dxa"/>
            <w:tcBorders>
              <w:top w:val="single" w:sz="4" w:space="0" w:color="auto"/>
              <w:bottom w:val="single" w:sz="12"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 xml:space="preserve">From </w:t>
            </w:r>
            <w:r>
              <w:rPr>
                <w:rFonts w:ascii="Arial" w:hAnsi="Arial" w:cs="Arial"/>
                <w:b/>
                <w:sz w:val="18"/>
                <w:szCs w:val="18"/>
                <w:lang w:val="en-IE"/>
              </w:rPr>
              <w:t>(loss)/</w:t>
            </w:r>
            <w:r w:rsidRPr="006010C1">
              <w:rPr>
                <w:rFonts w:ascii="Arial" w:hAnsi="Arial" w:cs="Arial"/>
                <w:b/>
                <w:sz w:val="18"/>
                <w:szCs w:val="18"/>
                <w:lang w:val="en-IE"/>
              </w:rPr>
              <w:t>profit for the year</w:t>
            </w:r>
          </w:p>
        </w:tc>
        <w:tc>
          <w:tcPr>
            <w:tcW w:w="1417" w:type="dxa"/>
            <w:tcBorders>
              <w:top w:val="single" w:sz="4" w:space="0" w:color="auto"/>
              <w:bottom w:val="single" w:sz="12"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(0.32)</w:t>
            </w:r>
          </w:p>
        </w:tc>
        <w:tc>
          <w:tcPr>
            <w:tcW w:w="1275" w:type="dxa"/>
            <w:tcBorders>
              <w:top w:val="single" w:sz="4" w:space="0" w:color="auto"/>
              <w:bottom w:val="single" w:sz="12" w:space="0" w:color="auto"/>
            </w:tcBorders>
          </w:tcPr>
          <w:p w:rsidR="00F55B3A" w:rsidRPr="001972EA"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4.98</w:t>
            </w:r>
          </w:p>
        </w:tc>
      </w:tr>
      <w:tr w:rsidR="00537576" w:rsidRPr="00040E7D" w:rsidTr="00537576">
        <w:trPr>
          <w:trHeight w:hRule="exact" w:val="255"/>
          <w:jc w:val="center"/>
        </w:trPr>
        <w:tc>
          <w:tcPr>
            <w:tcW w:w="8222" w:type="dxa"/>
          </w:tcPr>
          <w:p w:rsidR="00537576" w:rsidRDefault="00537576" w:rsidP="00614864">
            <w:pPr>
              <w:tabs>
                <w:tab w:val="right" w:pos="5040"/>
                <w:tab w:val="right" w:pos="6480"/>
                <w:tab w:val="right" w:pos="7920"/>
                <w:tab w:val="right" w:pos="9356"/>
              </w:tabs>
              <w:autoSpaceDE w:val="0"/>
              <w:autoSpaceDN w:val="0"/>
              <w:adjustRightInd w:val="0"/>
              <w:jc w:val="both"/>
              <w:rPr>
                <w:rFonts w:ascii="Arial" w:hAnsi="Arial" w:cs="Arial"/>
                <w:i/>
                <w:sz w:val="18"/>
                <w:szCs w:val="18"/>
                <w:lang w:val="en-IE"/>
              </w:rPr>
            </w:pPr>
          </w:p>
          <w:p w:rsidR="00A67DDE" w:rsidRPr="006010C1" w:rsidRDefault="00A67DDE" w:rsidP="00614864">
            <w:pPr>
              <w:tabs>
                <w:tab w:val="right" w:pos="5040"/>
                <w:tab w:val="right" w:pos="6480"/>
                <w:tab w:val="right" w:pos="7920"/>
                <w:tab w:val="right" w:pos="9356"/>
              </w:tabs>
              <w:autoSpaceDE w:val="0"/>
              <w:autoSpaceDN w:val="0"/>
              <w:adjustRightInd w:val="0"/>
              <w:jc w:val="both"/>
              <w:rPr>
                <w:rFonts w:ascii="Arial" w:hAnsi="Arial" w:cs="Arial"/>
                <w:i/>
                <w:sz w:val="18"/>
                <w:szCs w:val="18"/>
                <w:lang w:val="en-IE"/>
              </w:rPr>
            </w:pPr>
          </w:p>
        </w:tc>
        <w:tc>
          <w:tcPr>
            <w:tcW w:w="1417" w:type="dxa"/>
            <w:shd w:val="clear" w:color="auto" w:fill="auto"/>
          </w:tcPr>
          <w:p w:rsidR="00537576" w:rsidRPr="006010C1" w:rsidRDefault="00537576" w:rsidP="00614864">
            <w:pPr>
              <w:tabs>
                <w:tab w:val="right" w:pos="5040"/>
                <w:tab w:val="right" w:pos="6480"/>
                <w:tab w:val="right" w:pos="7920"/>
                <w:tab w:val="right" w:pos="9356"/>
              </w:tabs>
              <w:jc w:val="right"/>
              <w:rPr>
                <w:rFonts w:ascii="Arial" w:hAnsi="Arial" w:cs="Arial"/>
                <w:b/>
                <w:color w:val="1F497D" w:themeColor="text2"/>
                <w:sz w:val="18"/>
                <w:szCs w:val="18"/>
                <w:lang w:val="en-IE"/>
              </w:rPr>
            </w:pPr>
          </w:p>
        </w:tc>
        <w:tc>
          <w:tcPr>
            <w:tcW w:w="1275" w:type="dxa"/>
          </w:tcPr>
          <w:p w:rsidR="00537576" w:rsidRPr="006010C1" w:rsidRDefault="00537576" w:rsidP="00614864">
            <w:pPr>
              <w:tabs>
                <w:tab w:val="right" w:pos="5040"/>
                <w:tab w:val="right" w:pos="6480"/>
                <w:tab w:val="right" w:pos="7920"/>
                <w:tab w:val="right" w:pos="9356"/>
              </w:tabs>
              <w:jc w:val="right"/>
              <w:rPr>
                <w:rFonts w:ascii="Arial" w:hAnsi="Arial" w:cs="Arial"/>
                <w:color w:val="1F497D" w:themeColor="text2"/>
                <w:sz w:val="18"/>
                <w:szCs w:val="18"/>
                <w:lang w:val="en-IE"/>
              </w:rPr>
            </w:pPr>
          </w:p>
        </w:tc>
      </w:tr>
      <w:tr w:rsidR="00A67DDE" w:rsidRPr="00040E7D" w:rsidTr="00537576">
        <w:trPr>
          <w:trHeight w:hRule="exact" w:val="255"/>
          <w:jc w:val="center"/>
        </w:trPr>
        <w:tc>
          <w:tcPr>
            <w:tcW w:w="8222" w:type="dxa"/>
          </w:tcPr>
          <w:p w:rsidR="00A67DDE" w:rsidRDefault="00A67DDE" w:rsidP="00614864">
            <w:pPr>
              <w:tabs>
                <w:tab w:val="right" w:pos="5040"/>
                <w:tab w:val="right" w:pos="6480"/>
                <w:tab w:val="right" w:pos="7920"/>
                <w:tab w:val="right" w:pos="9356"/>
              </w:tabs>
              <w:autoSpaceDE w:val="0"/>
              <w:autoSpaceDN w:val="0"/>
              <w:adjustRightInd w:val="0"/>
              <w:jc w:val="both"/>
              <w:rPr>
                <w:rFonts w:ascii="Arial" w:hAnsi="Arial" w:cs="Arial"/>
                <w:i/>
                <w:sz w:val="18"/>
                <w:szCs w:val="18"/>
                <w:lang w:val="en-IE"/>
              </w:rPr>
            </w:pPr>
          </w:p>
        </w:tc>
        <w:tc>
          <w:tcPr>
            <w:tcW w:w="1417" w:type="dxa"/>
            <w:shd w:val="clear" w:color="auto" w:fill="auto"/>
          </w:tcPr>
          <w:p w:rsidR="00A67DDE" w:rsidRPr="006010C1" w:rsidRDefault="00A67DDE" w:rsidP="00614864">
            <w:pPr>
              <w:tabs>
                <w:tab w:val="right" w:pos="5040"/>
                <w:tab w:val="right" w:pos="6480"/>
                <w:tab w:val="right" w:pos="7920"/>
                <w:tab w:val="right" w:pos="9356"/>
              </w:tabs>
              <w:jc w:val="right"/>
              <w:rPr>
                <w:rFonts w:ascii="Arial" w:hAnsi="Arial" w:cs="Arial"/>
                <w:b/>
                <w:color w:val="1F497D" w:themeColor="text2"/>
                <w:sz w:val="18"/>
                <w:szCs w:val="18"/>
                <w:lang w:val="en-IE"/>
              </w:rPr>
            </w:pPr>
          </w:p>
        </w:tc>
        <w:tc>
          <w:tcPr>
            <w:tcW w:w="1275" w:type="dxa"/>
          </w:tcPr>
          <w:p w:rsidR="00A67DDE" w:rsidRPr="006010C1" w:rsidRDefault="00A67DDE" w:rsidP="00614864">
            <w:pPr>
              <w:tabs>
                <w:tab w:val="right" w:pos="5040"/>
                <w:tab w:val="right" w:pos="6480"/>
                <w:tab w:val="right" w:pos="7920"/>
                <w:tab w:val="right" w:pos="9356"/>
              </w:tabs>
              <w:jc w:val="right"/>
              <w:rPr>
                <w:rFonts w:ascii="Arial" w:hAnsi="Arial" w:cs="Arial"/>
                <w:color w:val="1F497D" w:themeColor="text2"/>
                <w:sz w:val="18"/>
                <w:szCs w:val="18"/>
                <w:lang w:val="en-IE"/>
              </w:rPr>
            </w:pPr>
          </w:p>
        </w:tc>
      </w:tr>
      <w:tr w:rsidR="00C423E3" w:rsidRPr="00040E7D" w:rsidTr="00027DF8">
        <w:trPr>
          <w:trHeight w:hRule="exact" w:val="255"/>
          <w:jc w:val="center"/>
        </w:trPr>
        <w:tc>
          <w:tcPr>
            <w:tcW w:w="8222" w:type="dxa"/>
          </w:tcPr>
          <w:p w:rsidR="00614864" w:rsidRPr="006010C1" w:rsidRDefault="00614864" w:rsidP="00614864">
            <w:pPr>
              <w:tabs>
                <w:tab w:val="right" w:pos="5040"/>
                <w:tab w:val="right" w:pos="6480"/>
                <w:tab w:val="right" w:pos="7920"/>
                <w:tab w:val="right" w:pos="9356"/>
              </w:tabs>
              <w:autoSpaceDE w:val="0"/>
              <w:autoSpaceDN w:val="0"/>
              <w:adjustRightInd w:val="0"/>
              <w:spacing w:after="200"/>
              <w:jc w:val="both"/>
              <w:rPr>
                <w:rFonts w:ascii="Arial" w:hAnsi="Arial" w:cs="Arial"/>
                <w:i/>
                <w:sz w:val="18"/>
                <w:szCs w:val="18"/>
                <w:lang w:val="en-IE"/>
              </w:rPr>
            </w:pPr>
          </w:p>
          <w:p w:rsidR="00537576" w:rsidRPr="006010C1" w:rsidRDefault="00537576" w:rsidP="00614864">
            <w:pPr>
              <w:tabs>
                <w:tab w:val="right" w:pos="5040"/>
                <w:tab w:val="right" w:pos="6480"/>
                <w:tab w:val="right" w:pos="7920"/>
                <w:tab w:val="right" w:pos="9356"/>
              </w:tabs>
              <w:autoSpaceDE w:val="0"/>
              <w:autoSpaceDN w:val="0"/>
              <w:adjustRightInd w:val="0"/>
              <w:spacing w:after="200"/>
              <w:jc w:val="both"/>
              <w:rPr>
                <w:rFonts w:ascii="Arial" w:hAnsi="Arial" w:cs="Arial"/>
                <w:i/>
                <w:sz w:val="18"/>
                <w:szCs w:val="18"/>
                <w:lang w:val="en-IE"/>
              </w:rPr>
            </w:pPr>
          </w:p>
        </w:tc>
        <w:tc>
          <w:tcPr>
            <w:tcW w:w="1417" w:type="dxa"/>
            <w:shd w:val="clear" w:color="auto" w:fill="auto"/>
          </w:tcPr>
          <w:p w:rsidR="00614864" w:rsidRPr="006010C1" w:rsidRDefault="00614864" w:rsidP="00C24B1A">
            <w:pPr>
              <w:tabs>
                <w:tab w:val="right" w:pos="5040"/>
                <w:tab w:val="right" w:pos="6480"/>
                <w:tab w:val="right" w:pos="7920"/>
                <w:tab w:val="right" w:pos="9356"/>
              </w:tabs>
              <w:spacing w:after="200"/>
              <w:jc w:val="right"/>
              <w:rPr>
                <w:rFonts w:ascii="Arial" w:hAnsi="Arial" w:cs="Arial"/>
                <w:i/>
                <w:sz w:val="18"/>
                <w:szCs w:val="18"/>
                <w:lang w:val="en-IE"/>
              </w:rPr>
            </w:pPr>
            <w:r w:rsidRPr="006010C1">
              <w:rPr>
                <w:rFonts w:ascii="Arial" w:hAnsi="Arial" w:cs="Arial"/>
                <w:b/>
                <w:color w:val="1F497D" w:themeColor="text2"/>
                <w:sz w:val="18"/>
                <w:szCs w:val="18"/>
                <w:lang w:val="en-IE"/>
              </w:rPr>
              <w:t>201</w:t>
            </w:r>
            <w:r w:rsidR="00F55B3A">
              <w:rPr>
                <w:rFonts w:ascii="Arial" w:hAnsi="Arial" w:cs="Arial"/>
                <w:b/>
                <w:color w:val="1F497D" w:themeColor="text2"/>
                <w:sz w:val="18"/>
                <w:szCs w:val="18"/>
                <w:lang w:val="en-IE"/>
              </w:rPr>
              <w:t>7</w:t>
            </w:r>
          </w:p>
        </w:tc>
        <w:tc>
          <w:tcPr>
            <w:tcW w:w="1275" w:type="dxa"/>
          </w:tcPr>
          <w:p w:rsidR="00537576" w:rsidRPr="006010C1" w:rsidRDefault="00614864" w:rsidP="00C67BDE">
            <w:pPr>
              <w:tabs>
                <w:tab w:val="right" w:pos="5040"/>
                <w:tab w:val="right" w:pos="6480"/>
                <w:tab w:val="right" w:pos="7920"/>
                <w:tab w:val="right" w:pos="9356"/>
              </w:tabs>
              <w:spacing w:after="200"/>
              <w:jc w:val="right"/>
              <w:rPr>
                <w:rFonts w:ascii="Arial" w:hAnsi="Arial" w:cs="Arial"/>
                <w:i/>
                <w:sz w:val="18"/>
                <w:szCs w:val="18"/>
                <w:lang w:val="en-IE"/>
              </w:rPr>
            </w:pPr>
            <w:r w:rsidRPr="006010C1">
              <w:rPr>
                <w:rFonts w:ascii="Arial" w:hAnsi="Arial" w:cs="Arial"/>
                <w:color w:val="1F497D" w:themeColor="text2"/>
                <w:sz w:val="18"/>
                <w:szCs w:val="18"/>
                <w:lang w:val="en-IE"/>
              </w:rPr>
              <w:t>201</w:t>
            </w:r>
            <w:r w:rsidR="00F55B3A">
              <w:rPr>
                <w:rFonts w:ascii="Arial" w:hAnsi="Arial" w:cs="Arial"/>
                <w:color w:val="1F497D" w:themeColor="text2"/>
                <w:sz w:val="18"/>
                <w:szCs w:val="18"/>
                <w:lang w:val="en-IE"/>
              </w:rPr>
              <w:t>6</w:t>
            </w:r>
            <w:bookmarkStart w:id="19" w:name="_GoBack"/>
            <w:bookmarkEnd w:id="19"/>
          </w:p>
        </w:tc>
      </w:tr>
      <w:tr w:rsidR="00C423E3" w:rsidRPr="00040E7D" w:rsidTr="00027DF8">
        <w:trPr>
          <w:trHeight w:hRule="exact" w:val="255"/>
          <w:jc w:val="center"/>
        </w:trPr>
        <w:tc>
          <w:tcPr>
            <w:tcW w:w="8222" w:type="dxa"/>
          </w:tcPr>
          <w:p w:rsidR="00614864" w:rsidRPr="006010C1" w:rsidRDefault="00614864" w:rsidP="00614864">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Diluted</w:t>
            </w:r>
            <w:r w:rsidRPr="006010C1" w:rsidDel="00580D6C">
              <w:rPr>
                <w:rFonts w:ascii="Arial" w:hAnsi="Arial" w:cs="Arial"/>
                <w:b/>
                <w:sz w:val="18"/>
                <w:szCs w:val="18"/>
                <w:lang w:val="en-IE"/>
              </w:rPr>
              <w:t xml:space="preserve"> </w:t>
            </w:r>
          </w:p>
        </w:tc>
        <w:tc>
          <w:tcPr>
            <w:tcW w:w="1417" w:type="dxa"/>
            <w:shd w:val="clear" w:color="auto" w:fill="auto"/>
          </w:tcPr>
          <w:p w:rsidR="00614864" w:rsidRPr="006010C1" w:rsidRDefault="00614864" w:rsidP="00614864">
            <w:pPr>
              <w:tabs>
                <w:tab w:val="right" w:pos="5040"/>
                <w:tab w:val="right" w:pos="6480"/>
                <w:tab w:val="right" w:pos="7920"/>
                <w:tab w:val="right" w:pos="9356"/>
              </w:tabs>
              <w:spacing w:after="200"/>
              <w:jc w:val="right"/>
              <w:rPr>
                <w:rFonts w:ascii="Arial" w:hAnsi="Arial" w:cs="Arial"/>
                <w:b/>
                <w:sz w:val="18"/>
                <w:szCs w:val="18"/>
                <w:lang w:val="en-IE"/>
              </w:rPr>
            </w:pPr>
          </w:p>
        </w:tc>
        <w:tc>
          <w:tcPr>
            <w:tcW w:w="1275" w:type="dxa"/>
          </w:tcPr>
          <w:p w:rsidR="00614864" w:rsidRPr="006010C1" w:rsidRDefault="00614864" w:rsidP="00614864">
            <w:pPr>
              <w:tabs>
                <w:tab w:val="right" w:pos="5040"/>
                <w:tab w:val="right" w:pos="6480"/>
                <w:tab w:val="right" w:pos="7920"/>
                <w:tab w:val="right" w:pos="9356"/>
              </w:tabs>
              <w:spacing w:after="200"/>
              <w:jc w:val="right"/>
              <w:rPr>
                <w:rFonts w:ascii="Arial" w:hAnsi="Arial" w:cs="Arial"/>
                <w:sz w:val="18"/>
                <w:szCs w:val="18"/>
                <w:lang w:val="en-IE"/>
              </w:rPr>
            </w:pPr>
          </w:p>
        </w:tc>
      </w:tr>
      <w:tr w:rsidR="00C423E3" w:rsidRPr="00040E7D" w:rsidTr="00027DF8">
        <w:trPr>
          <w:trHeight w:hRule="exact" w:val="255"/>
          <w:jc w:val="center"/>
        </w:trPr>
        <w:tc>
          <w:tcPr>
            <w:tcW w:w="8222" w:type="dxa"/>
          </w:tcPr>
          <w:p w:rsidR="00614864" w:rsidRPr="006010C1" w:rsidRDefault="00481FE8" w:rsidP="00614864">
            <w:pPr>
              <w:tabs>
                <w:tab w:val="right" w:pos="5040"/>
                <w:tab w:val="right" w:pos="6480"/>
                <w:tab w:val="right" w:pos="7920"/>
                <w:tab w:val="right" w:pos="9356"/>
              </w:tabs>
              <w:autoSpaceDE w:val="0"/>
              <w:autoSpaceDN w:val="0"/>
              <w:adjustRightInd w:val="0"/>
              <w:jc w:val="both"/>
              <w:rPr>
                <w:rFonts w:ascii="Arial" w:hAnsi="Arial" w:cs="Arial"/>
                <w:i/>
                <w:sz w:val="18"/>
                <w:szCs w:val="18"/>
                <w:lang w:val="en-IE"/>
              </w:rPr>
            </w:pPr>
            <w:r>
              <w:rPr>
                <w:rFonts w:ascii="Arial" w:hAnsi="Arial" w:cs="Arial"/>
                <w:i/>
                <w:sz w:val="18"/>
                <w:szCs w:val="18"/>
                <w:lang w:val="en-IE"/>
              </w:rPr>
              <w:lastRenderedPageBreak/>
              <w:t>(L</w:t>
            </w:r>
            <w:r w:rsidR="00614864" w:rsidRPr="006010C1">
              <w:rPr>
                <w:rFonts w:ascii="Arial" w:hAnsi="Arial" w:cs="Arial"/>
                <w:i/>
                <w:sz w:val="18"/>
                <w:szCs w:val="18"/>
                <w:lang w:val="en-IE"/>
              </w:rPr>
              <w:t>oss)</w:t>
            </w:r>
            <w:r>
              <w:rPr>
                <w:rFonts w:ascii="Arial" w:hAnsi="Arial" w:cs="Arial"/>
                <w:i/>
                <w:sz w:val="18"/>
                <w:szCs w:val="18"/>
                <w:lang w:val="en-IE"/>
              </w:rPr>
              <w:t>/profit</w:t>
            </w:r>
            <w:r w:rsidR="00614864" w:rsidRPr="006010C1">
              <w:rPr>
                <w:rFonts w:ascii="Arial" w:hAnsi="Arial" w:cs="Arial"/>
                <w:i/>
                <w:sz w:val="18"/>
                <w:szCs w:val="18"/>
                <w:lang w:val="en-IE"/>
              </w:rPr>
              <w:t xml:space="preserve"> after income tax (£’000)</w:t>
            </w:r>
          </w:p>
        </w:tc>
        <w:tc>
          <w:tcPr>
            <w:tcW w:w="1417" w:type="dxa"/>
            <w:shd w:val="clear" w:color="auto" w:fill="auto"/>
          </w:tcPr>
          <w:p w:rsidR="00614864" w:rsidRPr="006010C1" w:rsidRDefault="00614864" w:rsidP="00614864">
            <w:pPr>
              <w:tabs>
                <w:tab w:val="right" w:pos="5040"/>
                <w:tab w:val="right" w:pos="6480"/>
                <w:tab w:val="right" w:pos="7920"/>
                <w:tab w:val="right" w:pos="9356"/>
              </w:tabs>
              <w:jc w:val="right"/>
              <w:rPr>
                <w:rFonts w:ascii="Arial" w:hAnsi="Arial" w:cs="Arial"/>
                <w:b/>
                <w:sz w:val="18"/>
                <w:szCs w:val="18"/>
                <w:lang w:val="en-IE"/>
              </w:rPr>
            </w:pPr>
          </w:p>
        </w:tc>
        <w:tc>
          <w:tcPr>
            <w:tcW w:w="1275" w:type="dxa"/>
          </w:tcPr>
          <w:p w:rsidR="00614864" w:rsidRPr="006010C1" w:rsidRDefault="00614864" w:rsidP="00614864">
            <w:pPr>
              <w:tabs>
                <w:tab w:val="right" w:pos="5040"/>
                <w:tab w:val="right" w:pos="6480"/>
                <w:tab w:val="right" w:pos="7920"/>
                <w:tab w:val="right" w:pos="9356"/>
              </w:tabs>
              <w:jc w:val="right"/>
              <w:rPr>
                <w:rFonts w:ascii="Arial" w:hAnsi="Arial" w:cs="Arial"/>
                <w:sz w:val="18"/>
                <w:szCs w:val="18"/>
                <w:lang w:val="en-IE"/>
              </w:rPr>
            </w:pPr>
          </w:p>
        </w:tc>
      </w:tr>
      <w:tr w:rsidR="00F55B3A" w:rsidRPr="00040E7D" w:rsidTr="00027DF8">
        <w:trPr>
          <w:trHeight w:hRule="exact" w:val="255"/>
          <w:jc w:val="center"/>
        </w:trPr>
        <w:tc>
          <w:tcPr>
            <w:tcW w:w="8222" w:type="dxa"/>
            <w:tcBorders>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From</w:t>
            </w:r>
            <w:r w:rsidRPr="006010C1">
              <w:rPr>
                <w:rFonts w:ascii="Arial" w:hAnsi="Arial" w:cs="Arial"/>
                <w:sz w:val="18"/>
                <w:szCs w:val="18"/>
                <w:lang w:val="en-IE"/>
              </w:rPr>
              <w:t xml:space="preserve"> operations</w:t>
            </w:r>
          </w:p>
        </w:tc>
        <w:tc>
          <w:tcPr>
            <w:tcW w:w="1417" w:type="dxa"/>
            <w:tcBorders>
              <w:bottom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(338)</w:t>
            </w:r>
          </w:p>
        </w:tc>
        <w:tc>
          <w:tcPr>
            <w:tcW w:w="1275" w:type="dxa"/>
            <w:tcBorders>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sz w:val="18"/>
                <w:szCs w:val="18"/>
                <w:lang w:val="en-IE"/>
              </w:rPr>
              <w:t>5,250</w:t>
            </w:r>
          </w:p>
        </w:tc>
      </w:tr>
      <w:tr w:rsidR="00F55B3A" w:rsidRPr="00040E7D" w:rsidTr="00027DF8">
        <w:trPr>
          <w:trHeight w:hRule="exact" w:val="255"/>
          <w:jc w:val="center"/>
        </w:trPr>
        <w:tc>
          <w:tcPr>
            <w:tcW w:w="8222" w:type="dxa"/>
            <w:tcBorders>
              <w:top w:val="single" w:sz="4" w:space="0" w:color="auto"/>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Total</w:t>
            </w:r>
          </w:p>
        </w:tc>
        <w:tc>
          <w:tcPr>
            <w:tcW w:w="1417" w:type="dxa"/>
            <w:tcBorders>
              <w:top w:val="single" w:sz="4" w:space="0" w:color="auto"/>
              <w:bottom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(338)</w:t>
            </w:r>
          </w:p>
        </w:tc>
        <w:tc>
          <w:tcPr>
            <w:tcW w:w="1275" w:type="dxa"/>
            <w:tcBorders>
              <w:top w:val="single" w:sz="4" w:space="0" w:color="auto"/>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sz w:val="18"/>
                <w:szCs w:val="18"/>
                <w:lang w:val="en-IE"/>
              </w:rPr>
              <w:t>5,250</w:t>
            </w:r>
          </w:p>
        </w:tc>
      </w:tr>
      <w:tr w:rsidR="00F55B3A" w:rsidRPr="00040E7D" w:rsidTr="00027DF8">
        <w:trPr>
          <w:trHeight w:hRule="exact" w:val="255"/>
          <w:jc w:val="center"/>
        </w:trPr>
        <w:tc>
          <w:tcPr>
            <w:tcW w:w="8222" w:type="dxa"/>
            <w:tcBorders>
              <w:top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p>
        </w:tc>
        <w:tc>
          <w:tcPr>
            <w:tcW w:w="1417" w:type="dxa"/>
            <w:tcBorders>
              <w:top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p>
        </w:tc>
        <w:tc>
          <w:tcPr>
            <w:tcW w:w="1275" w:type="dxa"/>
            <w:tcBorders>
              <w:top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Weighted average number of ordinary shares in issue for the</w:t>
            </w:r>
          </w:p>
        </w:tc>
        <w:tc>
          <w:tcPr>
            <w:tcW w:w="1417" w:type="dxa"/>
            <w:shd w:val="clear" w:color="auto" w:fill="auto"/>
          </w:tcPr>
          <w:p w:rsidR="00F55B3A" w:rsidRPr="006010C1" w:rsidRDefault="00F55B3A" w:rsidP="00F55B3A">
            <w:pPr>
              <w:tabs>
                <w:tab w:val="right" w:pos="5040"/>
                <w:tab w:val="right" w:pos="6480"/>
                <w:tab w:val="right" w:pos="7920"/>
                <w:tab w:val="right" w:pos="9356"/>
              </w:tabs>
              <w:spacing w:after="200"/>
              <w:jc w:val="right"/>
              <w:rPr>
                <w:rFonts w:ascii="Arial" w:hAnsi="Arial" w:cs="Arial"/>
                <w:b/>
                <w:sz w:val="18"/>
                <w:szCs w:val="18"/>
                <w:lang w:val="en-IE"/>
              </w:rPr>
            </w:pPr>
          </w:p>
        </w:tc>
        <w:tc>
          <w:tcPr>
            <w:tcW w:w="1275" w:type="dxa"/>
          </w:tcPr>
          <w:p w:rsidR="00F55B3A" w:rsidRPr="006010C1" w:rsidRDefault="00F55B3A" w:rsidP="00F55B3A">
            <w:pPr>
              <w:tabs>
                <w:tab w:val="right" w:pos="5040"/>
                <w:tab w:val="right" w:pos="6480"/>
                <w:tab w:val="right" w:pos="7920"/>
                <w:tab w:val="right" w:pos="9356"/>
              </w:tabs>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calculation of earnings per share</w:t>
            </w:r>
          </w:p>
        </w:tc>
        <w:tc>
          <w:tcPr>
            <w:tcW w:w="1417" w:type="dxa"/>
            <w:shd w:val="clear" w:color="auto" w:fill="auto"/>
            <w:vAlign w:val="bottom"/>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sidRPr="006010C1">
              <w:rPr>
                <w:rFonts w:ascii="Arial" w:hAnsi="Arial" w:cs="Arial"/>
                <w:b/>
                <w:sz w:val="18"/>
                <w:szCs w:val="18"/>
                <w:lang w:val="en-IE"/>
              </w:rPr>
              <w:t>105,</w:t>
            </w:r>
            <w:r>
              <w:rPr>
                <w:rFonts w:ascii="Arial" w:hAnsi="Arial" w:cs="Arial"/>
                <w:b/>
                <w:sz w:val="18"/>
                <w:szCs w:val="18"/>
                <w:lang w:val="en-IE"/>
              </w:rPr>
              <w:t>405</w:t>
            </w:r>
            <w:r w:rsidRPr="006010C1">
              <w:rPr>
                <w:rFonts w:ascii="Arial" w:hAnsi="Arial" w:cs="Arial"/>
                <w:b/>
                <w:sz w:val="18"/>
                <w:szCs w:val="18"/>
                <w:lang w:val="en-IE"/>
              </w:rPr>
              <w:t>,</w:t>
            </w:r>
            <w:r>
              <w:rPr>
                <w:rFonts w:ascii="Arial" w:hAnsi="Arial" w:cs="Arial"/>
                <w:b/>
                <w:sz w:val="18"/>
                <w:szCs w:val="18"/>
                <w:lang w:val="en-IE"/>
              </w:rPr>
              <w:t>665</w:t>
            </w:r>
          </w:p>
        </w:tc>
        <w:tc>
          <w:tcPr>
            <w:tcW w:w="1275" w:type="dxa"/>
            <w:vAlign w:val="bottom"/>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sz w:val="18"/>
                <w:szCs w:val="18"/>
                <w:lang w:val="en-IE"/>
              </w:rPr>
              <w:t>105,394,326</w:t>
            </w:r>
          </w:p>
        </w:tc>
      </w:tr>
      <w:tr w:rsidR="00F55B3A" w:rsidRPr="00040E7D" w:rsidTr="00027DF8">
        <w:trPr>
          <w:trHeight w:hRule="exact" w:val="255"/>
          <w:jc w:val="center"/>
        </w:trPr>
        <w:tc>
          <w:tcPr>
            <w:tcW w:w="8222" w:type="dxa"/>
            <w:tcBorders>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 xml:space="preserve">Dilutive effect of share options </w:t>
            </w:r>
          </w:p>
        </w:tc>
        <w:tc>
          <w:tcPr>
            <w:tcW w:w="1417" w:type="dxa"/>
            <w:tcBorders>
              <w:bottom w:val="single" w:sz="4" w:space="0" w:color="auto"/>
            </w:tcBorders>
            <w:shd w:val="clear" w:color="auto" w:fill="auto"/>
            <w:vAlign w:val="bottom"/>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246,069</w:t>
            </w:r>
          </w:p>
        </w:tc>
        <w:tc>
          <w:tcPr>
            <w:tcW w:w="1275" w:type="dxa"/>
            <w:tcBorders>
              <w:bottom w:val="single" w:sz="4" w:space="0" w:color="auto"/>
            </w:tcBorders>
            <w:vAlign w:val="bottom"/>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sz w:val="18"/>
                <w:szCs w:val="18"/>
                <w:lang w:val="en-IE"/>
              </w:rPr>
              <w:t>501,302</w:t>
            </w:r>
          </w:p>
        </w:tc>
      </w:tr>
      <w:tr w:rsidR="00F55B3A" w:rsidRPr="00040E7D" w:rsidTr="00027DF8">
        <w:trPr>
          <w:trHeight w:hRule="exact" w:val="255"/>
          <w:jc w:val="center"/>
        </w:trPr>
        <w:tc>
          <w:tcPr>
            <w:tcW w:w="8222" w:type="dxa"/>
            <w:tcBorders>
              <w:top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p>
        </w:tc>
        <w:tc>
          <w:tcPr>
            <w:tcW w:w="1417" w:type="dxa"/>
            <w:tcBorders>
              <w:top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p>
        </w:tc>
        <w:tc>
          <w:tcPr>
            <w:tcW w:w="1275" w:type="dxa"/>
            <w:tcBorders>
              <w:top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Weighted average number of ordinary shares for the calculation of</w:t>
            </w:r>
          </w:p>
        </w:tc>
        <w:tc>
          <w:tcPr>
            <w:tcW w:w="1417" w:type="dxa"/>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p>
        </w:tc>
        <w:tc>
          <w:tcPr>
            <w:tcW w:w="1275" w:type="dxa"/>
          </w:tcPr>
          <w:p w:rsidR="00F55B3A" w:rsidRPr="006010C1" w:rsidRDefault="00F55B3A" w:rsidP="00F55B3A">
            <w:pPr>
              <w:tabs>
                <w:tab w:val="right" w:pos="5040"/>
                <w:tab w:val="right" w:pos="6480"/>
                <w:tab w:val="right" w:pos="7920"/>
                <w:tab w:val="right" w:pos="9356"/>
              </w:tabs>
              <w:spacing w:after="200"/>
              <w:jc w:val="right"/>
              <w:rPr>
                <w:rFonts w:ascii="Arial" w:hAnsi="Arial" w:cs="Arial"/>
                <w:sz w:val="18"/>
                <w:szCs w:val="18"/>
                <w:lang w:val="en-IE"/>
              </w:rPr>
            </w:pPr>
          </w:p>
        </w:tc>
      </w:tr>
      <w:tr w:rsidR="00F55B3A" w:rsidRPr="00040E7D" w:rsidTr="00027DF8">
        <w:trPr>
          <w:trHeight w:hRule="exact" w:val="243"/>
          <w:jc w:val="center"/>
        </w:trPr>
        <w:tc>
          <w:tcPr>
            <w:tcW w:w="8222" w:type="dxa"/>
            <w:tcBorders>
              <w:bottom w:val="single" w:sz="6"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diluted earnings per share</w:t>
            </w:r>
          </w:p>
        </w:tc>
        <w:tc>
          <w:tcPr>
            <w:tcW w:w="1417" w:type="dxa"/>
            <w:tcBorders>
              <w:bottom w:val="single" w:sz="6"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sidRPr="006010C1">
              <w:rPr>
                <w:rFonts w:ascii="Arial" w:hAnsi="Arial" w:cs="Arial"/>
                <w:b/>
                <w:sz w:val="18"/>
                <w:szCs w:val="18"/>
                <w:lang w:val="en-IE"/>
              </w:rPr>
              <w:t>105,</w:t>
            </w:r>
            <w:r>
              <w:rPr>
                <w:rFonts w:ascii="Arial" w:hAnsi="Arial" w:cs="Arial"/>
                <w:b/>
                <w:sz w:val="18"/>
                <w:szCs w:val="18"/>
                <w:lang w:val="en-IE"/>
              </w:rPr>
              <w:t>651</w:t>
            </w:r>
            <w:r w:rsidRPr="006010C1">
              <w:rPr>
                <w:rFonts w:ascii="Arial" w:hAnsi="Arial" w:cs="Arial"/>
                <w:b/>
                <w:sz w:val="18"/>
                <w:szCs w:val="18"/>
                <w:lang w:val="en-IE"/>
              </w:rPr>
              <w:t>,</w:t>
            </w:r>
            <w:r>
              <w:rPr>
                <w:rFonts w:ascii="Arial" w:hAnsi="Arial" w:cs="Arial"/>
                <w:b/>
                <w:sz w:val="18"/>
                <w:szCs w:val="18"/>
                <w:lang w:val="en-IE"/>
              </w:rPr>
              <w:t>734</w:t>
            </w:r>
          </w:p>
        </w:tc>
        <w:tc>
          <w:tcPr>
            <w:tcW w:w="1275" w:type="dxa"/>
            <w:tcBorders>
              <w:bottom w:val="single" w:sz="6"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sz w:val="18"/>
                <w:szCs w:val="18"/>
                <w:lang w:val="en-IE"/>
              </w:rPr>
              <w:t>105,895,628</w:t>
            </w:r>
          </w:p>
        </w:tc>
      </w:tr>
      <w:tr w:rsidR="00F55B3A" w:rsidRPr="00040E7D" w:rsidTr="00027DF8">
        <w:trPr>
          <w:trHeight w:hRule="exact" w:val="275"/>
          <w:jc w:val="center"/>
        </w:trPr>
        <w:tc>
          <w:tcPr>
            <w:tcW w:w="8222" w:type="dxa"/>
            <w:tcBorders>
              <w:top w:val="single" w:sz="6"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p>
        </w:tc>
        <w:tc>
          <w:tcPr>
            <w:tcW w:w="1417" w:type="dxa"/>
            <w:tcBorders>
              <w:top w:val="single" w:sz="6"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p>
        </w:tc>
        <w:tc>
          <w:tcPr>
            <w:tcW w:w="1275" w:type="dxa"/>
            <w:tcBorders>
              <w:top w:val="single" w:sz="6"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i/>
                <w:sz w:val="18"/>
                <w:szCs w:val="18"/>
                <w:lang w:val="en-IE"/>
              </w:rPr>
              <w:t xml:space="preserve">Diluted </w:t>
            </w:r>
            <w:r>
              <w:rPr>
                <w:rFonts w:ascii="Arial" w:hAnsi="Arial" w:cs="Arial"/>
                <w:i/>
                <w:sz w:val="18"/>
                <w:szCs w:val="18"/>
                <w:lang w:val="en-IE"/>
              </w:rPr>
              <w:t>(loss)/</w:t>
            </w:r>
            <w:r w:rsidRPr="006010C1">
              <w:rPr>
                <w:rFonts w:ascii="Arial" w:hAnsi="Arial" w:cs="Arial"/>
                <w:i/>
                <w:sz w:val="18"/>
                <w:szCs w:val="18"/>
                <w:lang w:val="en-IE"/>
              </w:rPr>
              <w:t>earnings per share (pence)</w:t>
            </w:r>
          </w:p>
        </w:tc>
        <w:tc>
          <w:tcPr>
            <w:tcW w:w="1417" w:type="dxa"/>
            <w:shd w:val="clear" w:color="auto" w:fill="auto"/>
          </w:tcPr>
          <w:p w:rsidR="00F55B3A" w:rsidRPr="006010C1" w:rsidRDefault="00F55B3A" w:rsidP="00F55B3A">
            <w:pPr>
              <w:tabs>
                <w:tab w:val="right" w:pos="5040"/>
                <w:tab w:val="right" w:pos="6480"/>
                <w:tab w:val="right" w:pos="7920"/>
                <w:tab w:val="right" w:pos="9356"/>
              </w:tabs>
              <w:spacing w:after="200"/>
              <w:jc w:val="right"/>
              <w:rPr>
                <w:rFonts w:ascii="Arial" w:hAnsi="Arial" w:cs="Arial"/>
                <w:b/>
                <w:sz w:val="18"/>
                <w:szCs w:val="18"/>
                <w:lang w:val="en-IE"/>
              </w:rPr>
            </w:pPr>
          </w:p>
        </w:tc>
        <w:tc>
          <w:tcPr>
            <w:tcW w:w="1275" w:type="dxa"/>
          </w:tcPr>
          <w:p w:rsidR="00F55B3A" w:rsidRPr="006010C1" w:rsidRDefault="00F55B3A" w:rsidP="00F55B3A">
            <w:pPr>
              <w:tabs>
                <w:tab w:val="right" w:pos="5040"/>
                <w:tab w:val="right" w:pos="6480"/>
                <w:tab w:val="right" w:pos="7920"/>
                <w:tab w:val="right" w:pos="9356"/>
              </w:tabs>
              <w:spacing w:after="200"/>
              <w:jc w:val="right"/>
              <w:rPr>
                <w:rFonts w:ascii="Arial" w:hAnsi="Arial" w:cs="Arial"/>
                <w:sz w:val="18"/>
                <w:szCs w:val="18"/>
                <w:lang w:val="en-IE"/>
              </w:rPr>
            </w:pPr>
          </w:p>
        </w:tc>
      </w:tr>
      <w:tr w:rsidR="00F55B3A" w:rsidRPr="00040E7D" w:rsidTr="00027DF8">
        <w:trPr>
          <w:trHeight w:hRule="exact" w:val="255"/>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Continuing operations</w:t>
            </w:r>
          </w:p>
        </w:tc>
        <w:tc>
          <w:tcPr>
            <w:tcW w:w="1417" w:type="dxa"/>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(0.32)</w:t>
            </w:r>
          </w:p>
        </w:tc>
        <w:tc>
          <w:tcPr>
            <w:tcW w:w="1275"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sz w:val="18"/>
                <w:szCs w:val="18"/>
                <w:lang w:val="en-IE"/>
              </w:rPr>
              <w:t>4.96</w:t>
            </w:r>
          </w:p>
        </w:tc>
      </w:tr>
      <w:tr w:rsidR="00F55B3A" w:rsidRPr="00040E7D" w:rsidTr="00027DF8">
        <w:trPr>
          <w:trHeight w:hRule="exact" w:val="295"/>
          <w:jc w:val="center"/>
        </w:trPr>
        <w:tc>
          <w:tcPr>
            <w:tcW w:w="8222" w:type="dxa"/>
            <w:tcBorders>
              <w:top w:val="single" w:sz="4" w:space="0" w:color="auto"/>
              <w:bottom w:val="single" w:sz="12"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 xml:space="preserve">From </w:t>
            </w:r>
            <w:r>
              <w:rPr>
                <w:rFonts w:ascii="Arial" w:hAnsi="Arial" w:cs="Arial"/>
                <w:b/>
                <w:sz w:val="18"/>
                <w:szCs w:val="18"/>
                <w:lang w:val="en-IE"/>
              </w:rPr>
              <w:t>(loss)/</w:t>
            </w:r>
            <w:r w:rsidRPr="006010C1">
              <w:rPr>
                <w:rFonts w:ascii="Arial" w:hAnsi="Arial" w:cs="Arial"/>
                <w:b/>
                <w:sz w:val="18"/>
                <w:szCs w:val="18"/>
                <w:lang w:val="en-IE"/>
              </w:rPr>
              <w:t>profit for the year</w:t>
            </w:r>
          </w:p>
        </w:tc>
        <w:tc>
          <w:tcPr>
            <w:tcW w:w="1417" w:type="dxa"/>
            <w:tcBorders>
              <w:top w:val="single" w:sz="4" w:space="0" w:color="auto"/>
              <w:bottom w:val="single" w:sz="12"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(0.32)</w:t>
            </w:r>
          </w:p>
        </w:tc>
        <w:tc>
          <w:tcPr>
            <w:tcW w:w="1275" w:type="dxa"/>
            <w:tcBorders>
              <w:top w:val="single" w:sz="4" w:space="0" w:color="auto"/>
              <w:bottom w:val="single" w:sz="12"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6010C1">
              <w:rPr>
                <w:rFonts w:ascii="Arial" w:hAnsi="Arial" w:cs="Arial"/>
                <w:b/>
                <w:sz w:val="18"/>
                <w:szCs w:val="18"/>
                <w:lang w:val="en-IE"/>
              </w:rPr>
              <w:t>4.96</w:t>
            </w:r>
          </w:p>
        </w:tc>
      </w:tr>
    </w:tbl>
    <w:p w:rsidR="00341B79" w:rsidRDefault="00341B79" w:rsidP="00C721AD">
      <w:pPr>
        <w:tabs>
          <w:tab w:val="left" w:pos="709"/>
        </w:tabs>
        <w:spacing w:after="0" w:line="240" w:lineRule="auto"/>
        <w:rPr>
          <w:rFonts w:ascii="Arial" w:hAnsi="Arial" w:cs="Arial"/>
          <w:sz w:val="20"/>
          <w:szCs w:val="20"/>
          <w:lang w:val="en-IE"/>
        </w:rPr>
      </w:pPr>
    </w:p>
    <w:p w:rsidR="008F1D9E" w:rsidRDefault="008F1D9E" w:rsidP="005B1DE1">
      <w:pPr>
        <w:pStyle w:val="ListParagraph"/>
        <w:widowControl w:val="0"/>
        <w:numPr>
          <w:ilvl w:val="0"/>
          <w:numId w:val="49"/>
        </w:numPr>
        <w:tabs>
          <w:tab w:val="left" w:pos="227"/>
          <w:tab w:val="left" w:pos="340"/>
        </w:tabs>
        <w:suppressAutoHyphens/>
        <w:autoSpaceDE w:val="0"/>
        <w:autoSpaceDN w:val="0"/>
        <w:adjustRightInd w:val="0"/>
        <w:spacing w:line="200" w:lineRule="atLeast"/>
        <w:textAlignment w:val="center"/>
        <w:rPr>
          <w:rFonts w:ascii="Arial" w:hAnsi="Arial" w:cs="Arial"/>
          <w:lang w:val="en-IE"/>
        </w:rPr>
      </w:pPr>
      <w:r w:rsidRPr="005B1DE1">
        <w:rPr>
          <w:rFonts w:ascii="Arial" w:hAnsi="Arial" w:cs="Arial"/>
          <w:b/>
          <w:color w:val="1F497D" w:themeColor="text2"/>
          <w:lang w:val="en-IE"/>
        </w:rPr>
        <w:t xml:space="preserve">Commitments, contingencies and guarantees </w:t>
      </w:r>
      <w:r w:rsidRPr="005B1DE1">
        <w:rPr>
          <w:rFonts w:ascii="Arial" w:hAnsi="Arial" w:cs="Arial"/>
          <w:lang w:val="en-IE"/>
        </w:rPr>
        <w:t xml:space="preserve"> </w:t>
      </w:r>
    </w:p>
    <w:p w:rsidR="008F1D9E" w:rsidRPr="005B1DE1" w:rsidRDefault="008F1D9E" w:rsidP="005B1DE1">
      <w:pPr>
        <w:pStyle w:val="ListParagraph"/>
        <w:widowControl w:val="0"/>
        <w:tabs>
          <w:tab w:val="left" w:pos="227"/>
          <w:tab w:val="left" w:pos="340"/>
        </w:tabs>
        <w:suppressAutoHyphens/>
        <w:autoSpaceDE w:val="0"/>
        <w:autoSpaceDN w:val="0"/>
        <w:adjustRightInd w:val="0"/>
        <w:spacing w:line="200" w:lineRule="atLeast"/>
        <w:ind w:left="360"/>
        <w:textAlignment w:val="center"/>
        <w:rPr>
          <w:rFonts w:ascii="Arial" w:hAnsi="Arial" w:cs="Arial"/>
          <w:lang w:val="en-IE"/>
        </w:rPr>
      </w:pPr>
    </w:p>
    <w:p w:rsidR="008E7B9A" w:rsidRPr="00567B94" w:rsidRDefault="008E7B9A" w:rsidP="008E7B9A">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67B94">
        <w:rPr>
          <w:rFonts w:ascii="Arial" w:hAnsi="Arial" w:cs="Arial"/>
          <w:color w:val="000000"/>
          <w:spacing w:val="-2"/>
          <w:sz w:val="18"/>
          <w:szCs w:val="18"/>
        </w:rPr>
        <w:t>Given the nature of the business the Group undertakes, it may from time to time receive complaints against it. The Group has procedures in place to assess the veracity of the claims and provision has been made to cover its best estimate of the exposure in respect of these matters. No provisions have been recorded for other contingencies, as the Group's obligations under them are not probable and estimable.</w:t>
      </w:r>
    </w:p>
    <w:p w:rsidR="008E7B9A" w:rsidRPr="00567B94" w:rsidRDefault="008E7B9A" w:rsidP="008E7B9A">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67B94">
        <w:rPr>
          <w:rFonts w:ascii="Arial" w:hAnsi="Arial" w:cs="Arial"/>
          <w:color w:val="000000"/>
          <w:spacing w:val="-2"/>
          <w:sz w:val="18"/>
          <w:szCs w:val="18"/>
        </w:rPr>
        <w:t xml:space="preserve">Following a review during 2017, the Group has identified a number of legacy matters which are still under consideration as set out below. </w:t>
      </w:r>
    </w:p>
    <w:p w:rsidR="008F1D9E" w:rsidRPr="005B1DE1" w:rsidRDefault="008F1D9E" w:rsidP="008F1D9E">
      <w:pPr>
        <w:widowControl w:val="0"/>
        <w:tabs>
          <w:tab w:val="left" w:pos="227"/>
          <w:tab w:val="left" w:pos="340"/>
        </w:tabs>
        <w:suppressAutoHyphens/>
        <w:autoSpaceDE w:val="0"/>
        <w:autoSpaceDN w:val="0"/>
        <w:adjustRightInd w:val="0"/>
        <w:spacing w:line="200" w:lineRule="atLeast"/>
        <w:textAlignment w:val="center"/>
        <w:rPr>
          <w:rFonts w:ascii="Arial" w:hAnsi="Arial" w:cs="Arial"/>
          <w:b/>
          <w:color w:val="000000"/>
          <w:spacing w:val="-2"/>
          <w:sz w:val="18"/>
          <w:szCs w:val="18"/>
        </w:rPr>
      </w:pPr>
      <w:r w:rsidRPr="005B1DE1">
        <w:rPr>
          <w:rFonts w:ascii="Arial" w:hAnsi="Arial" w:cs="Arial"/>
          <w:b/>
          <w:color w:val="000000"/>
          <w:spacing w:val="-2"/>
          <w:sz w:val="18"/>
          <w:szCs w:val="18"/>
        </w:rPr>
        <w:t>ELYSIAN FUELS</w:t>
      </w:r>
    </w:p>
    <w:p w:rsidR="008E7B9A" w:rsidRPr="00567B94" w:rsidRDefault="008E7B9A" w:rsidP="008E7B9A">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67B94">
        <w:rPr>
          <w:rFonts w:ascii="Arial" w:hAnsi="Arial" w:cs="Arial"/>
          <w:color w:val="000000"/>
          <w:spacing w:val="-2"/>
          <w:sz w:val="18"/>
          <w:szCs w:val="18"/>
        </w:rPr>
        <w:t xml:space="preserve">As previously disclosed, the Group is incurring material legal and remediation costs relating to James Hay's inception of Elysian Fuels investments between 2011-2015. James Hay has now received notices of assessment arising from Elysian Fuels for tax years 2011-2012 and 2012-2013, which have been appealed, and protective notices of assessment in respect of 2013-2014 and 2014-2015. Our discussions with HMRC seeking an acceptable resolution of James Hay's inception of Elysian Fuels investments over the overall 2011-2015 period are on-going.  </w:t>
      </w:r>
    </w:p>
    <w:p w:rsidR="008E7B9A" w:rsidRPr="00567B94" w:rsidRDefault="008E7B9A" w:rsidP="008E7B9A">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bookmarkStart w:id="20" w:name="_Hlk508975242"/>
      <w:r w:rsidRPr="00567B94">
        <w:rPr>
          <w:rFonts w:ascii="Arial" w:hAnsi="Arial" w:cs="Arial"/>
          <w:color w:val="000000"/>
          <w:spacing w:val="-2"/>
          <w:sz w:val="18"/>
          <w:szCs w:val="18"/>
        </w:rPr>
        <w:t xml:space="preserve">James Hay is committed to working collaboratively with HMRC to resolve this matter and will continue to do so. However, James Hay will apply to HMRC for the assessments to be discharged and pursue appeals to the Tax Tribunals as necessary to protect its position. The maximum potential sanction charge for the overall 2011-2015 period is approximately £20m, assuming all Elysian Fuels shares are deemed valueless at inception, and no underlying clients discharge their own tax liabilities. </w:t>
      </w:r>
    </w:p>
    <w:bookmarkEnd w:id="20"/>
    <w:p w:rsidR="008E7B9A" w:rsidRPr="00567B94" w:rsidRDefault="008E7B9A" w:rsidP="008E7B9A">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67B94">
        <w:rPr>
          <w:rFonts w:ascii="Arial" w:hAnsi="Arial" w:cs="Arial"/>
          <w:color w:val="000000"/>
          <w:spacing w:val="-2"/>
          <w:sz w:val="18"/>
          <w:szCs w:val="18"/>
        </w:rPr>
        <w:t>Based on advice from the Group's legal advisers, the directors are confident that the outcome at Tribunal and/or any settlement with HMRC would be substantially lower than the maximum potential sanction charge, and would be fundable from the Group's cash resources at the time an obligation is anticipated to crystallise. As a result of a range of disputed facts regarding our actions, any resulting liability, which would be a function of investment valuations, the level of any charge or client liability/recovery, the potential exposure is highly uncertain and unquantifiable and is expected to remain so whilst discussions with HMRC and/or any Tribunal proceedings continue. Therefore, no provision, other than for legal fees expected to be incurred in relation to this matter, are provided for as the liability remains contingent. The Group believes James Hay acted appropriately and in accordance with its clients’ instructions in relation to these investments.</w:t>
      </w:r>
    </w:p>
    <w:p w:rsidR="008F1D9E" w:rsidRPr="005B1DE1" w:rsidRDefault="008F1D9E" w:rsidP="008F1D9E">
      <w:pPr>
        <w:widowControl w:val="0"/>
        <w:tabs>
          <w:tab w:val="left" w:pos="227"/>
          <w:tab w:val="left" w:pos="340"/>
        </w:tabs>
        <w:suppressAutoHyphens/>
        <w:autoSpaceDE w:val="0"/>
        <w:autoSpaceDN w:val="0"/>
        <w:adjustRightInd w:val="0"/>
        <w:spacing w:line="200" w:lineRule="atLeast"/>
        <w:textAlignment w:val="center"/>
        <w:rPr>
          <w:rFonts w:ascii="Arial" w:hAnsi="Arial" w:cs="Arial"/>
          <w:b/>
          <w:color w:val="000000"/>
          <w:spacing w:val="-2"/>
          <w:sz w:val="18"/>
          <w:szCs w:val="18"/>
        </w:rPr>
      </w:pPr>
      <w:r w:rsidRPr="005B1DE1">
        <w:rPr>
          <w:rFonts w:ascii="Arial" w:hAnsi="Arial" w:cs="Arial"/>
          <w:b/>
          <w:color w:val="000000"/>
          <w:spacing w:val="-2"/>
          <w:sz w:val="18"/>
          <w:szCs w:val="18"/>
        </w:rPr>
        <w:t>OTHER LEGACY MATTERS</w:t>
      </w:r>
    </w:p>
    <w:p w:rsidR="008E7B9A" w:rsidRPr="00567B94" w:rsidRDefault="008E7B9A" w:rsidP="008E7B9A">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67B94">
        <w:rPr>
          <w:rFonts w:ascii="Arial" w:hAnsi="Arial" w:cs="Arial"/>
          <w:color w:val="000000"/>
          <w:spacing w:val="-2"/>
          <w:sz w:val="18"/>
          <w:szCs w:val="18"/>
        </w:rPr>
        <w:t>The Group has continued its reviews of other legacy business, to ensure that any other contingent exposures are identified and remediated. Over time these may result in further remediation costs, including legal costs for legacy claims, however, the exposures remain uncertain. These reviews remain in progress although some matters have been provided in Exceptional costs in respect of 2017, to the extent such liabilities have been deemed likely and capable of being estimated with reasonable certainty. The reviews being undertaken are designed to enable all identified legacy issues in those businesses to be assessed and remediated.</w:t>
      </w:r>
    </w:p>
    <w:p w:rsidR="008E7B9A" w:rsidRDefault="008E7B9A" w:rsidP="008F1D9E">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p>
    <w:p w:rsidR="008F1D9E" w:rsidRPr="005B1DE1" w:rsidRDefault="008F1D9E" w:rsidP="008F1D9E">
      <w:pPr>
        <w:widowControl w:val="0"/>
        <w:tabs>
          <w:tab w:val="left" w:pos="227"/>
          <w:tab w:val="left" w:pos="340"/>
        </w:tabs>
        <w:suppressAutoHyphens/>
        <w:autoSpaceDE w:val="0"/>
        <w:autoSpaceDN w:val="0"/>
        <w:adjustRightInd w:val="0"/>
        <w:spacing w:line="200" w:lineRule="atLeast"/>
        <w:textAlignment w:val="center"/>
        <w:rPr>
          <w:rFonts w:ascii="Arial" w:hAnsi="Arial" w:cs="Arial"/>
          <w:b/>
          <w:color w:val="000000"/>
          <w:spacing w:val="-2"/>
          <w:sz w:val="18"/>
          <w:szCs w:val="18"/>
        </w:rPr>
      </w:pPr>
      <w:r w:rsidRPr="005B1DE1">
        <w:rPr>
          <w:rFonts w:ascii="Arial" w:hAnsi="Arial" w:cs="Arial"/>
          <w:b/>
          <w:color w:val="000000"/>
          <w:spacing w:val="-2"/>
          <w:sz w:val="18"/>
          <w:szCs w:val="18"/>
        </w:rPr>
        <w:t>SALE OF THE INTERNATIONAL BUSINESS</w:t>
      </w:r>
    </w:p>
    <w:p w:rsidR="008E7B9A" w:rsidRPr="00567B94" w:rsidRDefault="008E7B9A" w:rsidP="008E7B9A">
      <w:pPr>
        <w:widowControl w:val="0"/>
        <w:tabs>
          <w:tab w:val="left" w:pos="227"/>
          <w:tab w:val="left" w:pos="340"/>
        </w:tabs>
        <w:suppressAutoHyphens/>
        <w:autoSpaceDE w:val="0"/>
        <w:autoSpaceDN w:val="0"/>
        <w:adjustRightInd w:val="0"/>
        <w:spacing w:line="200" w:lineRule="atLeast"/>
        <w:textAlignment w:val="center"/>
        <w:rPr>
          <w:rFonts w:ascii="Arial" w:hAnsi="Arial" w:cs="Arial"/>
          <w:color w:val="000000"/>
          <w:spacing w:val="-2"/>
          <w:sz w:val="18"/>
          <w:szCs w:val="18"/>
        </w:rPr>
      </w:pPr>
      <w:r w:rsidRPr="00567B94">
        <w:rPr>
          <w:rFonts w:ascii="Arial" w:hAnsi="Arial" w:cs="Arial"/>
          <w:color w:val="000000"/>
          <w:spacing w:val="-2"/>
          <w:sz w:val="18"/>
          <w:szCs w:val="18"/>
        </w:rPr>
        <w:t>The Group received a notice of a claim under the indemnities provided in the sale of the International Segment completed in 2012. The underlying claim was settled by the acquirer of the International segment during 2017 and the amount of the possible claim has reduced from £3.0 million to £1.3 million, before legal costs. The Group does not believe that the claim is valid. In light of our view, which is supported by legal advice, the Group does not currently believe a provision, other than for legal costs to defend the claim, is quantifiable or necessary, in respect of this matter.</w:t>
      </w:r>
    </w:p>
    <w:p w:rsidR="00341B79" w:rsidRPr="005B1DE1" w:rsidRDefault="00341B79" w:rsidP="005707A8">
      <w:pPr>
        <w:pStyle w:val="ListParagraph"/>
        <w:ind w:left="0"/>
        <w:rPr>
          <w:rFonts w:ascii="Arial" w:hAnsi="Arial" w:cs="Arial"/>
          <w:lang w:val="en-IE"/>
        </w:rPr>
      </w:pPr>
    </w:p>
    <w:p w:rsidR="006064F6" w:rsidRPr="006C3343" w:rsidRDefault="006064F6" w:rsidP="005B1DE1">
      <w:pPr>
        <w:pStyle w:val="ListParagraph"/>
        <w:numPr>
          <w:ilvl w:val="0"/>
          <w:numId w:val="84"/>
        </w:numPr>
        <w:ind w:left="0" w:firstLine="0"/>
        <w:rPr>
          <w:rFonts w:ascii="Arial" w:hAnsi="Arial" w:cs="Arial"/>
          <w:b/>
          <w:color w:val="1F497D" w:themeColor="text2"/>
          <w:lang w:val="en-IE"/>
        </w:rPr>
      </w:pPr>
      <w:r w:rsidRPr="00A95934">
        <w:rPr>
          <w:rFonts w:ascii="Arial" w:hAnsi="Arial" w:cs="Arial"/>
          <w:b/>
          <w:color w:val="1F497D" w:themeColor="text2"/>
          <w:lang w:val="en-IE"/>
        </w:rPr>
        <w:t>Cash generated from operations</w:t>
      </w:r>
    </w:p>
    <w:tbl>
      <w:tblPr>
        <w:tblStyle w:val="TableGrid2"/>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22"/>
        <w:gridCol w:w="1418"/>
        <w:gridCol w:w="1275"/>
      </w:tblGrid>
      <w:tr w:rsidR="00CB558E" w:rsidRPr="00CB558E" w:rsidTr="00027DF8">
        <w:trPr>
          <w:trHeight w:hRule="exact" w:val="284"/>
          <w:jc w:val="center"/>
        </w:trPr>
        <w:tc>
          <w:tcPr>
            <w:tcW w:w="8222" w:type="dxa"/>
            <w:vAlign w:val="center"/>
          </w:tcPr>
          <w:p w:rsidR="00CB558E" w:rsidRPr="006010C1" w:rsidRDefault="00CB558E" w:rsidP="00350583">
            <w:pPr>
              <w:tabs>
                <w:tab w:val="right" w:pos="5040"/>
                <w:tab w:val="right" w:pos="6480"/>
                <w:tab w:val="right" w:pos="7920"/>
                <w:tab w:val="right" w:pos="9356"/>
              </w:tabs>
              <w:spacing w:after="200"/>
              <w:jc w:val="both"/>
              <w:rPr>
                <w:rFonts w:ascii="Arial" w:hAnsi="Arial" w:cs="Arial"/>
                <w:sz w:val="18"/>
                <w:szCs w:val="18"/>
                <w:lang w:val="en-IE"/>
              </w:rPr>
            </w:pPr>
          </w:p>
        </w:tc>
        <w:tc>
          <w:tcPr>
            <w:tcW w:w="1418" w:type="dxa"/>
            <w:shd w:val="clear" w:color="auto" w:fill="auto"/>
            <w:vAlign w:val="center"/>
          </w:tcPr>
          <w:p w:rsidR="00CB558E" w:rsidRPr="006010C1" w:rsidRDefault="00CB558E">
            <w:pPr>
              <w:tabs>
                <w:tab w:val="right" w:pos="5040"/>
                <w:tab w:val="right" w:pos="6480"/>
                <w:tab w:val="right" w:pos="7920"/>
                <w:tab w:val="right" w:pos="9356"/>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201</w:t>
            </w:r>
            <w:r w:rsidR="00F55B3A">
              <w:rPr>
                <w:rFonts w:ascii="Arial" w:hAnsi="Arial" w:cs="Arial"/>
                <w:b/>
                <w:color w:val="1F497D" w:themeColor="text2"/>
                <w:sz w:val="18"/>
                <w:szCs w:val="18"/>
                <w:lang w:val="en-IE"/>
              </w:rPr>
              <w:t>7</w:t>
            </w:r>
          </w:p>
        </w:tc>
        <w:tc>
          <w:tcPr>
            <w:tcW w:w="1275" w:type="dxa"/>
            <w:vAlign w:val="center"/>
          </w:tcPr>
          <w:p w:rsidR="00CB558E" w:rsidRPr="006010C1" w:rsidRDefault="00CB558E">
            <w:pPr>
              <w:tabs>
                <w:tab w:val="right" w:pos="5040"/>
                <w:tab w:val="right" w:pos="6480"/>
                <w:tab w:val="right" w:pos="7920"/>
                <w:tab w:val="right" w:pos="9356"/>
              </w:tabs>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201</w:t>
            </w:r>
            <w:r w:rsidR="00F55B3A">
              <w:rPr>
                <w:rFonts w:ascii="Arial" w:hAnsi="Arial" w:cs="Arial"/>
                <w:color w:val="1F497D" w:themeColor="text2"/>
                <w:sz w:val="18"/>
                <w:szCs w:val="18"/>
                <w:lang w:val="en-IE"/>
              </w:rPr>
              <w:t>6</w:t>
            </w:r>
          </w:p>
        </w:tc>
      </w:tr>
      <w:tr w:rsidR="00CB558E" w:rsidRPr="00CB558E" w:rsidTr="00027DF8">
        <w:trPr>
          <w:trHeight w:hRule="exact" w:val="501"/>
          <w:jc w:val="center"/>
        </w:trPr>
        <w:tc>
          <w:tcPr>
            <w:tcW w:w="8222" w:type="dxa"/>
            <w:vAlign w:val="center"/>
          </w:tcPr>
          <w:p w:rsidR="00CB558E" w:rsidRPr="006010C1" w:rsidRDefault="006703FD" w:rsidP="00350583">
            <w:pPr>
              <w:tabs>
                <w:tab w:val="right" w:pos="5040"/>
                <w:tab w:val="right" w:pos="6480"/>
                <w:tab w:val="right" w:pos="7920"/>
                <w:tab w:val="right" w:pos="9356"/>
              </w:tabs>
              <w:spacing w:after="200"/>
              <w:jc w:val="both"/>
              <w:rPr>
                <w:rFonts w:ascii="Arial" w:hAnsi="Arial" w:cs="Arial"/>
                <w:b/>
                <w:sz w:val="18"/>
                <w:szCs w:val="18"/>
                <w:lang w:val="en-IE"/>
              </w:rPr>
            </w:pPr>
            <w:r>
              <w:rPr>
                <w:rFonts w:ascii="Arial" w:hAnsi="Arial" w:cs="Arial"/>
                <w:b/>
                <w:sz w:val="18"/>
                <w:szCs w:val="18"/>
                <w:lang w:val="en-IE"/>
              </w:rPr>
              <w:t>From</w:t>
            </w:r>
            <w:r w:rsidR="00832D9B" w:rsidRPr="006010C1">
              <w:rPr>
                <w:rFonts w:ascii="Arial" w:hAnsi="Arial" w:cs="Arial"/>
                <w:b/>
                <w:sz w:val="18"/>
                <w:szCs w:val="18"/>
                <w:lang w:val="en-IE"/>
              </w:rPr>
              <w:t xml:space="preserve"> operations</w:t>
            </w:r>
          </w:p>
        </w:tc>
        <w:tc>
          <w:tcPr>
            <w:tcW w:w="1418" w:type="dxa"/>
            <w:shd w:val="clear" w:color="auto" w:fill="auto"/>
            <w:vAlign w:val="center"/>
          </w:tcPr>
          <w:p w:rsidR="00CB558E" w:rsidRPr="006010C1" w:rsidRDefault="00CB558E" w:rsidP="00350583">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275" w:type="dxa"/>
            <w:vAlign w:val="center"/>
          </w:tcPr>
          <w:p w:rsidR="00CB558E" w:rsidRPr="006010C1" w:rsidRDefault="00CB558E" w:rsidP="00350583">
            <w:pPr>
              <w:tabs>
                <w:tab w:val="right" w:pos="5040"/>
                <w:tab w:val="right" w:pos="6480"/>
                <w:tab w:val="right" w:pos="7920"/>
                <w:tab w:val="right" w:pos="9356"/>
              </w:tabs>
              <w:autoSpaceDE w:val="0"/>
              <w:autoSpaceDN w:val="0"/>
              <w:adjustRightInd w:val="0"/>
              <w:spacing w:after="200"/>
              <w:jc w:val="right"/>
              <w:rPr>
                <w:rFonts w:ascii="Arial" w:hAnsi="Arial" w:cs="Arial"/>
                <w:color w:val="1F497D" w:themeColor="text2"/>
                <w:sz w:val="18"/>
                <w:szCs w:val="18"/>
                <w:lang w:val="en-IE"/>
              </w:rPr>
            </w:pPr>
            <w:r w:rsidRPr="006010C1">
              <w:rPr>
                <w:rFonts w:ascii="Arial" w:hAnsi="Arial" w:cs="Arial"/>
                <w:color w:val="1F497D" w:themeColor="text2"/>
                <w:sz w:val="18"/>
                <w:szCs w:val="18"/>
                <w:lang w:val="en-IE"/>
              </w:rPr>
              <w:t>£’000</w:t>
            </w:r>
          </w:p>
        </w:tc>
      </w:tr>
      <w:tr w:rsidR="00F55B3A" w:rsidRPr="00CB558E" w:rsidTr="00027DF8">
        <w:trPr>
          <w:trHeight w:hRule="exact" w:val="284"/>
          <w:jc w:val="center"/>
        </w:trPr>
        <w:tc>
          <w:tcPr>
            <w:tcW w:w="8222" w:type="dxa"/>
          </w:tcPr>
          <w:p w:rsidR="00F55B3A" w:rsidRPr="006010C1" w:rsidRDefault="006703FD"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(Loss)/p</w:t>
            </w:r>
            <w:r w:rsidR="00F55B3A" w:rsidRPr="006010C1">
              <w:rPr>
                <w:rFonts w:ascii="Arial" w:hAnsi="Arial" w:cs="Arial"/>
                <w:sz w:val="18"/>
                <w:szCs w:val="18"/>
                <w:lang w:val="en-IE"/>
              </w:rPr>
              <w:t>rofit before income tax</w:t>
            </w:r>
          </w:p>
        </w:tc>
        <w:tc>
          <w:tcPr>
            <w:tcW w:w="1418" w:type="dxa"/>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(381)</w:t>
            </w:r>
          </w:p>
        </w:tc>
        <w:tc>
          <w:tcPr>
            <w:tcW w:w="1275" w:type="dxa"/>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6,445</w:t>
            </w:r>
          </w:p>
        </w:tc>
      </w:tr>
      <w:tr w:rsidR="00F55B3A" w:rsidRPr="00CB558E" w:rsidTr="00027DF8">
        <w:trPr>
          <w:trHeight w:hRule="exact" w:val="284"/>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Depreciation and amortisation</w:t>
            </w:r>
          </w:p>
        </w:tc>
        <w:tc>
          <w:tcPr>
            <w:tcW w:w="1418" w:type="dxa"/>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5,332</w:t>
            </w:r>
          </w:p>
        </w:tc>
        <w:tc>
          <w:tcPr>
            <w:tcW w:w="1275" w:type="dxa"/>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4,764</w:t>
            </w:r>
          </w:p>
        </w:tc>
      </w:tr>
      <w:tr w:rsidR="00F55B3A" w:rsidRPr="00CB558E" w:rsidTr="00027DF8">
        <w:trPr>
          <w:trHeight w:hRule="exact" w:val="284"/>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jc w:val="both"/>
              <w:rPr>
                <w:rFonts w:ascii="Arial" w:hAnsi="Arial" w:cs="Arial"/>
                <w:sz w:val="18"/>
                <w:szCs w:val="18"/>
                <w:lang w:val="en-IE"/>
              </w:rPr>
            </w:pPr>
            <w:r w:rsidRPr="006010C1">
              <w:rPr>
                <w:rFonts w:ascii="Arial" w:hAnsi="Arial" w:cs="Arial"/>
                <w:sz w:val="18"/>
                <w:szCs w:val="18"/>
                <w:lang w:val="en-IE"/>
              </w:rPr>
              <w:t>Disposal of subsidiaries</w:t>
            </w:r>
          </w:p>
        </w:tc>
        <w:tc>
          <w:tcPr>
            <w:tcW w:w="1418" w:type="dxa"/>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jc w:val="right"/>
              <w:rPr>
                <w:rFonts w:ascii="Arial" w:hAnsi="Arial" w:cs="Arial"/>
                <w:b/>
                <w:sz w:val="18"/>
                <w:szCs w:val="18"/>
                <w:lang w:val="en-IE"/>
              </w:rPr>
            </w:pPr>
            <w:r>
              <w:rPr>
                <w:rFonts w:ascii="Arial" w:hAnsi="Arial" w:cs="Arial"/>
                <w:b/>
                <w:sz w:val="18"/>
                <w:szCs w:val="18"/>
                <w:lang w:val="en-IE"/>
              </w:rPr>
              <w:t>-</w:t>
            </w:r>
          </w:p>
        </w:tc>
        <w:tc>
          <w:tcPr>
            <w:tcW w:w="1275" w:type="dxa"/>
          </w:tcPr>
          <w:p w:rsidR="00F55B3A" w:rsidRPr="005B1DE1" w:rsidRDefault="00F55B3A" w:rsidP="00F55B3A">
            <w:pPr>
              <w:tabs>
                <w:tab w:val="right" w:pos="5040"/>
                <w:tab w:val="right" w:pos="6480"/>
                <w:tab w:val="right" w:pos="7920"/>
                <w:tab w:val="right" w:pos="9356"/>
              </w:tabs>
              <w:autoSpaceDE w:val="0"/>
              <w:autoSpaceDN w:val="0"/>
              <w:adjustRightInd w:val="0"/>
              <w:jc w:val="right"/>
              <w:rPr>
                <w:rFonts w:ascii="Arial" w:hAnsi="Arial" w:cs="Arial"/>
                <w:sz w:val="18"/>
                <w:szCs w:val="18"/>
                <w:lang w:val="en-IE"/>
              </w:rPr>
            </w:pPr>
            <w:r w:rsidRPr="005B1DE1">
              <w:rPr>
                <w:rFonts w:ascii="Arial" w:hAnsi="Arial" w:cs="Arial"/>
                <w:sz w:val="18"/>
                <w:szCs w:val="18"/>
                <w:lang w:val="en-IE"/>
              </w:rPr>
              <w:t>(48)</w:t>
            </w:r>
          </w:p>
        </w:tc>
      </w:tr>
      <w:tr w:rsidR="00F55B3A" w:rsidRPr="00CB558E" w:rsidTr="00027DF8">
        <w:trPr>
          <w:trHeight w:hRule="exact" w:val="284"/>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Finance costs</w:t>
            </w:r>
          </w:p>
        </w:tc>
        <w:tc>
          <w:tcPr>
            <w:tcW w:w="1418" w:type="dxa"/>
            <w:shd w:val="clear" w:color="auto" w:fill="auto"/>
          </w:tcPr>
          <w:p w:rsidR="00F55B3A" w:rsidRPr="006010C1" w:rsidRDefault="00C2098D" w:rsidP="00F55B3A">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w:t>
            </w:r>
          </w:p>
        </w:tc>
        <w:tc>
          <w:tcPr>
            <w:tcW w:w="1275" w:type="dxa"/>
          </w:tcPr>
          <w:p w:rsidR="00F55B3A" w:rsidRPr="005B1DE1" w:rsidRDefault="00F55B3A" w:rsidP="00F55B3A">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437</w:t>
            </w:r>
          </w:p>
        </w:tc>
      </w:tr>
      <w:tr w:rsidR="00F55B3A" w:rsidRPr="00CB558E" w:rsidTr="00027DF8">
        <w:trPr>
          <w:trHeight w:hRule="exact" w:val="284"/>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lastRenderedPageBreak/>
              <w:t>Finance income</w:t>
            </w:r>
          </w:p>
        </w:tc>
        <w:tc>
          <w:tcPr>
            <w:tcW w:w="1418" w:type="dxa"/>
            <w:shd w:val="clear" w:color="auto" w:fill="auto"/>
          </w:tcPr>
          <w:p w:rsidR="00F55B3A" w:rsidRPr="006010C1" w:rsidRDefault="00F55B3A" w:rsidP="00F55B3A">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w:t>
            </w:r>
            <w:r w:rsidR="00C2098D">
              <w:rPr>
                <w:rFonts w:ascii="Arial" w:hAnsi="Arial" w:cs="Arial"/>
                <w:b/>
                <w:sz w:val="18"/>
                <w:szCs w:val="18"/>
                <w:lang w:val="en-IE"/>
              </w:rPr>
              <w:t>52</w:t>
            </w:r>
            <w:r>
              <w:rPr>
                <w:rFonts w:ascii="Arial" w:hAnsi="Arial" w:cs="Arial"/>
                <w:b/>
                <w:sz w:val="18"/>
                <w:szCs w:val="18"/>
                <w:lang w:val="en-IE"/>
              </w:rPr>
              <w:t>)</w:t>
            </w:r>
          </w:p>
        </w:tc>
        <w:tc>
          <w:tcPr>
            <w:tcW w:w="1275" w:type="dxa"/>
          </w:tcPr>
          <w:p w:rsidR="00F55B3A" w:rsidRPr="005B1DE1" w:rsidRDefault="00F55B3A" w:rsidP="00F55B3A">
            <w:pPr>
              <w:tabs>
                <w:tab w:val="right" w:pos="5040"/>
                <w:tab w:val="left" w:pos="5400"/>
                <w:tab w:val="right" w:pos="6480"/>
                <w:tab w:val="center" w:pos="6840"/>
                <w:tab w:val="right" w:pos="7200"/>
                <w:tab w:val="right" w:pos="7920"/>
                <w:tab w:val="center" w:pos="8280"/>
                <w:tab w:val="right" w:pos="8640"/>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(414)</w:t>
            </w:r>
          </w:p>
        </w:tc>
      </w:tr>
      <w:tr w:rsidR="00F55B3A" w:rsidRPr="00CB558E" w:rsidTr="00027DF8">
        <w:trPr>
          <w:trHeight w:hRule="exact" w:val="284"/>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Foreign exchange movement</w:t>
            </w:r>
          </w:p>
        </w:tc>
        <w:tc>
          <w:tcPr>
            <w:tcW w:w="1418" w:type="dxa"/>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35</w:t>
            </w:r>
          </w:p>
        </w:tc>
        <w:tc>
          <w:tcPr>
            <w:tcW w:w="1275" w:type="dxa"/>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59</w:t>
            </w:r>
          </w:p>
        </w:tc>
      </w:tr>
      <w:tr w:rsidR="00F55B3A" w:rsidRPr="00CB558E" w:rsidTr="00027DF8">
        <w:trPr>
          <w:trHeight w:hRule="exact" w:val="284"/>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Non-cash share based payment compensation charges</w:t>
            </w:r>
          </w:p>
        </w:tc>
        <w:tc>
          <w:tcPr>
            <w:tcW w:w="1418" w:type="dxa"/>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(43)</w:t>
            </w:r>
          </w:p>
        </w:tc>
        <w:tc>
          <w:tcPr>
            <w:tcW w:w="1275" w:type="dxa"/>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134</w:t>
            </w:r>
          </w:p>
        </w:tc>
      </w:tr>
      <w:tr w:rsidR="00F55B3A" w:rsidRPr="00CB558E" w:rsidTr="00027DF8">
        <w:trPr>
          <w:trHeight w:hRule="exact" w:val="284"/>
          <w:jc w:val="center"/>
        </w:trPr>
        <w:tc>
          <w:tcPr>
            <w:tcW w:w="8222" w:type="dxa"/>
          </w:tcPr>
          <w:p w:rsidR="00F55B3A" w:rsidRPr="006010C1" w:rsidRDefault="00694766"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Decrease/(i</w:t>
            </w:r>
            <w:r w:rsidR="00F55B3A" w:rsidRPr="006010C1">
              <w:rPr>
                <w:rFonts w:ascii="Arial" w:hAnsi="Arial" w:cs="Arial"/>
                <w:sz w:val="18"/>
                <w:szCs w:val="18"/>
                <w:lang w:val="en-IE"/>
              </w:rPr>
              <w:t>ncrease</w:t>
            </w:r>
            <w:r>
              <w:rPr>
                <w:rFonts w:ascii="Arial" w:hAnsi="Arial" w:cs="Arial"/>
                <w:sz w:val="18"/>
                <w:szCs w:val="18"/>
                <w:lang w:val="en-IE"/>
              </w:rPr>
              <w:t>)</w:t>
            </w:r>
            <w:r w:rsidR="00F55B3A" w:rsidRPr="006010C1">
              <w:rPr>
                <w:rFonts w:ascii="Arial" w:hAnsi="Arial" w:cs="Arial"/>
                <w:sz w:val="18"/>
                <w:szCs w:val="18"/>
                <w:lang w:val="en-IE"/>
              </w:rPr>
              <w:t xml:space="preserve"> in trade and other receivables </w:t>
            </w:r>
          </w:p>
        </w:tc>
        <w:tc>
          <w:tcPr>
            <w:tcW w:w="1418" w:type="dxa"/>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750</w:t>
            </w:r>
          </w:p>
        </w:tc>
        <w:tc>
          <w:tcPr>
            <w:tcW w:w="1275" w:type="dxa"/>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(85)</w:t>
            </w:r>
          </w:p>
        </w:tc>
      </w:tr>
      <w:tr w:rsidR="00F55B3A" w:rsidRPr="00CB558E" w:rsidTr="00027DF8">
        <w:trPr>
          <w:trHeight w:hRule="exact" w:val="284"/>
          <w:jc w:val="center"/>
        </w:trPr>
        <w:tc>
          <w:tcPr>
            <w:tcW w:w="8222" w:type="dxa"/>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Pr>
                <w:rFonts w:ascii="Arial" w:hAnsi="Arial" w:cs="Arial"/>
                <w:sz w:val="18"/>
                <w:szCs w:val="18"/>
                <w:lang w:val="en-IE"/>
              </w:rPr>
              <w:t>Dividend from associate</w:t>
            </w:r>
          </w:p>
        </w:tc>
        <w:tc>
          <w:tcPr>
            <w:tcW w:w="1418" w:type="dxa"/>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w:t>
            </w:r>
          </w:p>
        </w:tc>
        <w:tc>
          <w:tcPr>
            <w:tcW w:w="1275" w:type="dxa"/>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(242)</w:t>
            </w:r>
          </w:p>
        </w:tc>
      </w:tr>
      <w:tr w:rsidR="00F55B3A" w:rsidRPr="00CB558E" w:rsidTr="00027DF8">
        <w:trPr>
          <w:trHeight w:hRule="exact" w:val="284"/>
          <w:jc w:val="center"/>
        </w:trPr>
        <w:tc>
          <w:tcPr>
            <w:tcW w:w="8222" w:type="dxa"/>
            <w:tcBorders>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Increase</w:t>
            </w:r>
            <w:r>
              <w:rPr>
                <w:rFonts w:ascii="Arial" w:hAnsi="Arial" w:cs="Arial"/>
                <w:sz w:val="18"/>
                <w:szCs w:val="18"/>
                <w:lang w:val="en-IE"/>
              </w:rPr>
              <w:t xml:space="preserve"> </w:t>
            </w:r>
            <w:r w:rsidRPr="006010C1">
              <w:rPr>
                <w:rFonts w:ascii="Arial" w:hAnsi="Arial" w:cs="Arial"/>
                <w:sz w:val="18"/>
                <w:szCs w:val="18"/>
                <w:lang w:val="en-IE"/>
              </w:rPr>
              <w:t>in current and non-current liabilities</w:t>
            </w:r>
          </w:p>
        </w:tc>
        <w:tc>
          <w:tcPr>
            <w:tcW w:w="1418" w:type="dxa"/>
            <w:tcBorders>
              <w:bottom w:val="single" w:sz="4" w:space="0" w:color="auto"/>
            </w:tcBorders>
            <w:shd w:val="clear" w:color="auto" w:fill="auto"/>
          </w:tcPr>
          <w:p w:rsidR="00F55B3A" w:rsidRPr="006010C1" w:rsidRDefault="00C2098D"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4,491</w:t>
            </w:r>
          </w:p>
        </w:tc>
        <w:tc>
          <w:tcPr>
            <w:tcW w:w="1275" w:type="dxa"/>
            <w:tcBorders>
              <w:bottom w:val="single" w:sz="4" w:space="0" w:color="auto"/>
            </w:tcBorders>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719</w:t>
            </w:r>
          </w:p>
        </w:tc>
      </w:tr>
      <w:tr w:rsidR="00F55B3A" w:rsidRPr="00CB558E" w:rsidTr="00027DF8">
        <w:trPr>
          <w:trHeight w:hRule="exact" w:val="284"/>
          <w:jc w:val="center"/>
        </w:trPr>
        <w:tc>
          <w:tcPr>
            <w:tcW w:w="8222" w:type="dxa"/>
            <w:tcBorders>
              <w:top w:val="single" w:sz="4" w:space="0" w:color="auto"/>
              <w:bottom w:val="single" w:sz="4" w:space="0" w:color="auto"/>
            </w:tcBorders>
          </w:tcPr>
          <w:p w:rsidR="00F55B3A" w:rsidRPr="006010C1" w:rsidRDefault="00F55B3A" w:rsidP="00F55B3A">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Cash generated from continuing operations</w:t>
            </w:r>
          </w:p>
        </w:tc>
        <w:tc>
          <w:tcPr>
            <w:tcW w:w="1418" w:type="dxa"/>
            <w:tcBorders>
              <w:top w:val="single" w:sz="4" w:space="0" w:color="auto"/>
              <w:bottom w:val="single" w:sz="4" w:space="0" w:color="auto"/>
            </w:tcBorders>
            <w:shd w:val="clear" w:color="auto" w:fill="auto"/>
          </w:tcPr>
          <w:p w:rsidR="00F55B3A" w:rsidRPr="006010C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b/>
                <w:sz w:val="18"/>
                <w:szCs w:val="18"/>
                <w:lang w:val="en-IE"/>
              </w:rPr>
            </w:pPr>
            <w:r>
              <w:rPr>
                <w:rFonts w:ascii="Arial" w:hAnsi="Arial" w:cs="Arial"/>
                <w:b/>
                <w:sz w:val="18"/>
                <w:szCs w:val="18"/>
                <w:lang w:val="en-IE"/>
              </w:rPr>
              <w:t>1</w:t>
            </w:r>
            <w:r w:rsidR="00C2098D">
              <w:rPr>
                <w:rFonts w:ascii="Arial" w:hAnsi="Arial" w:cs="Arial"/>
                <w:b/>
                <w:sz w:val="18"/>
                <w:szCs w:val="18"/>
                <w:lang w:val="en-IE"/>
              </w:rPr>
              <w:t>0</w:t>
            </w:r>
            <w:r>
              <w:rPr>
                <w:rFonts w:ascii="Arial" w:hAnsi="Arial" w:cs="Arial"/>
                <w:b/>
                <w:sz w:val="18"/>
                <w:szCs w:val="18"/>
                <w:lang w:val="en-IE"/>
              </w:rPr>
              <w:t>,</w:t>
            </w:r>
            <w:r w:rsidR="00C2098D">
              <w:rPr>
                <w:rFonts w:ascii="Arial" w:hAnsi="Arial" w:cs="Arial"/>
                <w:b/>
                <w:sz w:val="18"/>
                <w:szCs w:val="18"/>
                <w:lang w:val="en-IE"/>
              </w:rPr>
              <w:t>132</w:t>
            </w:r>
          </w:p>
        </w:tc>
        <w:tc>
          <w:tcPr>
            <w:tcW w:w="1275" w:type="dxa"/>
            <w:tcBorders>
              <w:top w:val="single" w:sz="4" w:space="0" w:color="auto"/>
              <w:bottom w:val="single" w:sz="4" w:space="0" w:color="auto"/>
            </w:tcBorders>
          </w:tcPr>
          <w:p w:rsidR="00F55B3A" w:rsidRPr="005B1DE1" w:rsidRDefault="00F55B3A" w:rsidP="00F55B3A">
            <w:pPr>
              <w:tabs>
                <w:tab w:val="right" w:pos="5040"/>
                <w:tab w:val="right" w:pos="6480"/>
                <w:tab w:val="right" w:pos="7920"/>
                <w:tab w:val="right" w:pos="9356"/>
              </w:tabs>
              <w:autoSpaceDE w:val="0"/>
              <w:autoSpaceDN w:val="0"/>
              <w:adjustRightInd w:val="0"/>
              <w:spacing w:after="200"/>
              <w:jc w:val="right"/>
              <w:rPr>
                <w:rFonts w:ascii="Arial" w:hAnsi="Arial" w:cs="Arial"/>
                <w:sz w:val="18"/>
                <w:szCs w:val="18"/>
                <w:lang w:val="en-IE"/>
              </w:rPr>
            </w:pPr>
            <w:r w:rsidRPr="005B1DE1">
              <w:rPr>
                <w:rFonts w:ascii="Arial" w:hAnsi="Arial" w:cs="Arial"/>
                <w:sz w:val="18"/>
                <w:szCs w:val="18"/>
                <w:lang w:val="en-IE"/>
              </w:rPr>
              <w:t>11,769</w:t>
            </w:r>
          </w:p>
        </w:tc>
      </w:tr>
      <w:tr w:rsidR="00CB558E" w:rsidRPr="00CB558E" w:rsidTr="005707A8">
        <w:trPr>
          <w:trHeight w:hRule="exact" w:val="284"/>
          <w:jc w:val="center"/>
        </w:trPr>
        <w:tc>
          <w:tcPr>
            <w:tcW w:w="8222" w:type="dxa"/>
            <w:tcBorders>
              <w:top w:val="single" w:sz="4" w:space="0" w:color="auto"/>
            </w:tcBorders>
            <w:shd w:val="clear" w:color="auto" w:fill="auto"/>
          </w:tcPr>
          <w:p w:rsidR="00CB558E" w:rsidRPr="006010C1" w:rsidRDefault="00CB558E" w:rsidP="00CB558E">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p>
        </w:tc>
        <w:tc>
          <w:tcPr>
            <w:tcW w:w="1418" w:type="dxa"/>
            <w:tcBorders>
              <w:top w:val="single" w:sz="4" w:space="0" w:color="auto"/>
            </w:tcBorders>
            <w:shd w:val="clear" w:color="auto" w:fill="auto"/>
          </w:tcPr>
          <w:p w:rsidR="00CB558E" w:rsidRPr="006010C1" w:rsidRDefault="00CB558E" w:rsidP="00CB558E">
            <w:pPr>
              <w:tabs>
                <w:tab w:val="right" w:pos="5040"/>
                <w:tab w:val="right" w:pos="6480"/>
                <w:tab w:val="right" w:pos="7920"/>
                <w:tab w:val="right" w:pos="9356"/>
              </w:tabs>
              <w:spacing w:after="200"/>
              <w:jc w:val="right"/>
              <w:rPr>
                <w:rFonts w:ascii="Arial" w:hAnsi="Arial" w:cs="Arial"/>
                <w:sz w:val="18"/>
                <w:szCs w:val="18"/>
                <w:lang w:val="en-IE"/>
              </w:rPr>
            </w:pPr>
          </w:p>
        </w:tc>
        <w:tc>
          <w:tcPr>
            <w:tcW w:w="1275" w:type="dxa"/>
            <w:tcBorders>
              <w:top w:val="single" w:sz="4" w:space="0" w:color="auto"/>
            </w:tcBorders>
          </w:tcPr>
          <w:p w:rsidR="00CB558E" w:rsidRPr="006010C1" w:rsidRDefault="00CB558E" w:rsidP="00CB558E">
            <w:pPr>
              <w:tabs>
                <w:tab w:val="right" w:pos="5040"/>
                <w:tab w:val="right" w:pos="6480"/>
                <w:tab w:val="right" w:pos="7920"/>
                <w:tab w:val="right" w:pos="9356"/>
              </w:tabs>
              <w:spacing w:after="200"/>
              <w:jc w:val="right"/>
              <w:rPr>
                <w:rFonts w:ascii="Arial" w:hAnsi="Arial" w:cs="Arial"/>
                <w:sz w:val="18"/>
                <w:szCs w:val="18"/>
                <w:lang w:val="en-IE"/>
              </w:rPr>
            </w:pPr>
          </w:p>
        </w:tc>
      </w:tr>
    </w:tbl>
    <w:p w:rsidR="00DD255C" w:rsidRPr="006C3343" w:rsidRDefault="00DD255C" w:rsidP="00C721AD">
      <w:pPr>
        <w:tabs>
          <w:tab w:val="left" w:pos="567"/>
        </w:tabs>
        <w:spacing w:after="0" w:line="240" w:lineRule="auto"/>
        <w:rPr>
          <w:rFonts w:ascii="Arial" w:hAnsi="Arial" w:cs="Arial"/>
          <w:b/>
          <w:sz w:val="20"/>
          <w:szCs w:val="20"/>
          <w:lang w:val="en-IE"/>
        </w:rPr>
      </w:pPr>
    </w:p>
    <w:p w:rsidR="00626053" w:rsidRPr="006C3343" w:rsidRDefault="001B0C82" w:rsidP="005B1DE1">
      <w:pPr>
        <w:pStyle w:val="ListParagraph"/>
        <w:numPr>
          <w:ilvl w:val="0"/>
          <w:numId w:val="84"/>
        </w:numPr>
        <w:ind w:left="0" w:firstLine="0"/>
        <w:rPr>
          <w:rFonts w:ascii="Arial" w:hAnsi="Arial" w:cs="Arial"/>
          <w:b/>
          <w:color w:val="1F497D" w:themeColor="text2"/>
          <w:lang w:val="en-IE"/>
        </w:rPr>
      </w:pPr>
      <w:r w:rsidRPr="00A95934">
        <w:rPr>
          <w:rFonts w:ascii="Arial" w:hAnsi="Arial" w:cs="Arial"/>
          <w:b/>
          <w:color w:val="1F497D" w:themeColor="text2"/>
          <w:lang w:val="en-IE"/>
        </w:rPr>
        <w:t>Analysis of net</w:t>
      </w:r>
      <w:r w:rsidR="00CE6382" w:rsidRPr="006C3343">
        <w:rPr>
          <w:rFonts w:ascii="Arial" w:hAnsi="Arial" w:cs="Arial"/>
          <w:b/>
          <w:color w:val="1F497D" w:themeColor="text2"/>
          <w:lang w:val="en-IE"/>
        </w:rPr>
        <w:t xml:space="preserve"> cash</w:t>
      </w:r>
      <w:r w:rsidR="00580D6C" w:rsidRPr="006C3343">
        <w:rPr>
          <w:rFonts w:ascii="Arial" w:hAnsi="Arial" w:cs="Arial"/>
          <w:b/>
          <w:color w:val="1F497D" w:themeColor="text2"/>
          <w:lang w:val="en-IE"/>
        </w:rPr>
        <w:t>/(</w:t>
      </w:r>
      <w:r w:rsidRPr="006C3343">
        <w:rPr>
          <w:rFonts w:ascii="Arial" w:hAnsi="Arial" w:cs="Arial"/>
          <w:b/>
          <w:color w:val="1F497D" w:themeColor="text2"/>
          <w:lang w:val="en-IE"/>
        </w:rPr>
        <w:t>debt</w:t>
      </w:r>
      <w:r w:rsidR="00580D6C" w:rsidRPr="006C3343">
        <w:rPr>
          <w:rFonts w:ascii="Arial" w:hAnsi="Arial" w:cs="Arial"/>
          <w:b/>
          <w:color w:val="1F497D" w:themeColor="text2"/>
          <w:lang w:val="en-IE"/>
        </w:rPr>
        <w:t>)</w:t>
      </w:r>
    </w:p>
    <w:tbl>
      <w:tblPr>
        <w:tblStyle w:val="TableGrid"/>
        <w:tblW w:w="11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95"/>
        <w:gridCol w:w="2693"/>
        <w:gridCol w:w="1276"/>
        <w:gridCol w:w="1361"/>
        <w:gridCol w:w="1405"/>
      </w:tblGrid>
      <w:tr w:rsidR="000E13D3" w:rsidRPr="00040E7D" w:rsidTr="00027DF8">
        <w:trPr>
          <w:trHeight w:hRule="exact" w:val="283"/>
          <w:jc w:val="center"/>
        </w:trPr>
        <w:tc>
          <w:tcPr>
            <w:tcW w:w="4395" w:type="dxa"/>
          </w:tcPr>
          <w:p w:rsidR="000E13D3" w:rsidRPr="006010C1" w:rsidRDefault="000E13D3" w:rsidP="00C721AD">
            <w:pPr>
              <w:tabs>
                <w:tab w:val="right" w:pos="5040"/>
                <w:tab w:val="right" w:pos="6480"/>
                <w:tab w:val="right" w:pos="7920"/>
                <w:tab w:val="right" w:pos="9356"/>
              </w:tabs>
              <w:spacing w:after="200"/>
              <w:jc w:val="both"/>
              <w:rPr>
                <w:rFonts w:ascii="Arial" w:hAnsi="Arial" w:cs="Arial"/>
                <w:sz w:val="18"/>
                <w:szCs w:val="18"/>
                <w:lang w:val="en-IE"/>
              </w:rPr>
            </w:pPr>
            <w:bookmarkStart w:id="21" w:name="OLE_LINK28"/>
            <w:bookmarkStart w:id="22" w:name="OLE_LINK29"/>
          </w:p>
        </w:tc>
        <w:tc>
          <w:tcPr>
            <w:tcW w:w="2693" w:type="dxa"/>
          </w:tcPr>
          <w:p w:rsidR="000E13D3" w:rsidRPr="006010C1" w:rsidRDefault="000A528E" w:rsidP="00C721AD">
            <w:pPr>
              <w:tabs>
                <w:tab w:val="right" w:pos="5040"/>
                <w:tab w:val="right" w:pos="6480"/>
                <w:tab w:val="right" w:pos="7920"/>
                <w:tab w:val="right" w:pos="9356"/>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Opening</w:t>
            </w:r>
          </w:p>
        </w:tc>
        <w:tc>
          <w:tcPr>
            <w:tcW w:w="1276" w:type="dxa"/>
          </w:tcPr>
          <w:p w:rsidR="000E13D3" w:rsidRPr="006010C1" w:rsidRDefault="000A528E" w:rsidP="00C721AD">
            <w:pPr>
              <w:tabs>
                <w:tab w:val="right" w:pos="5040"/>
                <w:tab w:val="right" w:pos="6480"/>
                <w:tab w:val="right" w:pos="7920"/>
                <w:tab w:val="right" w:pos="9356"/>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 xml:space="preserve">Cash </w:t>
            </w:r>
          </w:p>
        </w:tc>
        <w:tc>
          <w:tcPr>
            <w:tcW w:w="1361" w:type="dxa"/>
          </w:tcPr>
          <w:p w:rsidR="000E13D3" w:rsidRPr="006010C1" w:rsidRDefault="000A528E" w:rsidP="00C721AD">
            <w:pPr>
              <w:tabs>
                <w:tab w:val="right" w:pos="5040"/>
                <w:tab w:val="right" w:pos="6480"/>
                <w:tab w:val="right" w:pos="7920"/>
                <w:tab w:val="right" w:pos="9356"/>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Other</w:t>
            </w:r>
          </w:p>
        </w:tc>
        <w:tc>
          <w:tcPr>
            <w:tcW w:w="1405" w:type="dxa"/>
            <w:shd w:val="clear" w:color="auto" w:fill="auto"/>
          </w:tcPr>
          <w:p w:rsidR="000E13D3" w:rsidRPr="006010C1" w:rsidRDefault="000A528E" w:rsidP="00C721AD">
            <w:pPr>
              <w:tabs>
                <w:tab w:val="right" w:pos="5040"/>
                <w:tab w:val="right" w:pos="6480"/>
                <w:tab w:val="right" w:pos="7920"/>
                <w:tab w:val="right" w:pos="9356"/>
              </w:tabs>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Closing</w:t>
            </w:r>
          </w:p>
        </w:tc>
      </w:tr>
      <w:tr w:rsidR="000E13D3" w:rsidRPr="00040E7D" w:rsidTr="00027DF8">
        <w:trPr>
          <w:trHeight w:hRule="exact" w:val="283"/>
          <w:jc w:val="center"/>
        </w:trPr>
        <w:tc>
          <w:tcPr>
            <w:tcW w:w="4395" w:type="dxa"/>
          </w:tcPr>
          <w:p w:rsidR="000E13D3" w:rsidRPr="006010C1" w:rsidRDefault="000E13D3" w:rsidP="00C721AD">
            <w:pPr>
              <w:tabs>
                <w:tab w:val="right" w:pos="5040"/>
                <w:tab w:val="right" w:pos="6480"/>
                <w:tab w:val="right" w:pos="7920"/>
                <w:tab w:val="right" w:pos="9356"/>
              </w:tabs>
              <w:spacing w:after="200"/>
              <w:jc w:val="both"/>
              <w:rPr>
                <w:rFonts w:ascii="Arial" w:hAnsi="Arial" w:cs="Arial"/>
                <w:sz w:val="18"/>
                <w:szCs w:val="18"/>
                <w:lang w:val="en-IE"/>
              </w:rPr>
            </w:pPr>
          </w:p>
        </w:tc>
        <w:tc>
          <w:tcPr>
            <w:tcW w:w="2693" w:type="dxa"/>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balance</w:t>
            </w:r>
          </w:p>
        </w:tc>
        <w:tc>
          <w:tcPr>
            <w:tcW w:w="1276" w:type="dxa"/>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flow</w:t>
            </w:r>
          </w:p>
        </w:tc>
        <w:tc>
          <w:tcPr>
            <w:tcW w:w="1361" w:type="dxa"/>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movements</w:t>
            </w:r>
          </w:p>
        </w:tc>
        <w:tc>
          <w:tcPr>
            <w:tcW w:w="1405" w:type="dxa"/>
            <w:shd w:val="clear" w:color="auto" w:fill="auto"/>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balance</w:t>
            </w:r>
          </w:p>
        </w:tc>
      </w:tr>
      <w:tr w:rsidR="000E13D3" w:rsidRPr="00040E7D" w:rsidTr="00027DF8">
        <w:trPr>
          <w:trHeight w:hRule="exact" w:val="411"/>
          <w:jc w:val="center"/>
        </w:trPr>
        <w:tc>
          <w:tcPr>
            <w:tcW w:w="4395" w:type="dxa"/>
          </w:tcPr>
          <w:p w:rsidR="000E13D3" w:rsidRPr="006010C1" w:rsidRDefault="000E13D3" w:rsidP="00C721AD">
            <w:pPr>
              <w:tabs>
                <w:tab w:val="right" w:pos="5040"/>
                <w:tab w:val="right" w:pos="6480"/>
                <w:tab w:val="right" w:pos="7920"/>
                <w:tab w:val="right" w:pos="9356"/>
              </w:tabs>
              <w:spacing w:after="200"/>
              <w:jc w:val="both"/>
              <w:rPr>
                <w:rFonts w:ascii="Arial" w:hAnsi="Arial" w:cs="Arial"/>
                <w:sz w:val="18"/>
                <w:szCs w:val="18"/>
                <w:lang w:val="en-IE"/>
              </w:rPr>
            </w:pPr>
          </w:p>
        </w:tc>
        <w:tc>
          <w:tcPr>
            <w:tcW w:w="2693" w:type="dxa"/>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276" w:type="dxa"/>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361" w:type="dxa"/>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c>
          <w:tcPr>
            <w:tcW w:w="1405" w:type="dxa"/>
            <w:shd w:val="clear" w:color="auto" w:fill="auto"/>
          </w:tcPr>
          <w:p w:rsidR="000E13D3" w:rsidRPr="006010C1" w:rsidRDefault="000A528E" w:rsidP="00C721AD">
            <w:pPr>
              <w:tabs>
                <w:tab w:val="right" w:pos="5040"/>
                <w:tab w:val="right" w:pos="6480"/>
                <w:tab w:val="right" w:pos="7920"/>
                <w:tab w:val="right" w:pos="9356"/>
              </w:tabs>
              <w:autoSpaceDE w:val="0"/>
              <w:autoSpaceDN w:val="0"/>
              <w:adjustRightInd w:val="0"/>
              <w:spacing w:after="200"/>
              <w:jc w:val="right"/>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£’000</w:t>
            </w:r>
          </w:p>
        </w:tc>
      </w:tr>
      <w:tr w:rsidR="005B037F" w:rsidRPr="00040E7D" w:rsidTr="00027DF8">
        <w:trPr>
          <w:trHeight w:hRule="exact" w:val="283"/>
          <w:jc w:val="center"/>
        </w:trPr>
        <w:tc>
          <w:tcPr>
            <w:tcW w:w="4395" w:type="dxa"/>
          </w:tcPr>
          <w:p w:rsidR="005B037F" w:rsidRPr="006010C1" w:rsidRDefault="005B037F" w:rsidP="005B037F">
            <w:pPr>
              <w:tabs>
                <w:tab w:val="right" w:pos="5040"/>
                <w:tab w:val="right" w:pos="6480"/>
                <w:tab w:val="right" w:pos="7920"/>
                <w:tab w:val="right" w:pos="9356"/>
              </w:tabs>
              <w:autoSpaceDE w:val="0"/>
              <w:autoSpaceDN w:val="0"/>
              <w:adjustRightInd w:val="0"/>
              <w:spacing w:after="200"/>
              <w:jc w:val="both"/>
              <w:rPr>
                <w:rFonts w:ascii="Arial" w:hAnsi="Arial" w:cs="Arial"/>
                <w:sz w:val="18"/>
                <w:szCs w:val="18"/>
                <w:lang w:val="en-IE"/>
              </w:rPr>
            </w:pPr>
            <w:r w:rsidRPr="006010C1">
              <w:rPr>
                <w:rFonts w:ascii="Arial" w:hAnsi="Arial" w:cs="Arial"/>
                <w:sz w:val="18"/>
                <w:szCs w:val="18"/>
                <w:lang w:val="en-IE"/>
              </w:rPr>
              <w:t>Cash and short-term deposits</w:t>
            </w:r>
          </w:p>
        </w:tc>
        <w:tc>
          <w:tcPr>
            <w:tcW w:w="2693" w:type="dxa"/>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28,226</w:t>
            </w:r>
          </w:p>
        </w:tc>
        <w:tc>
          <w:tcPr>
            <w:tcW w:w="1276" w:type="dxa"/>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(3,784)</w:t>
            </w:r>
          </w:p>
        </w:tc>
        <w:tc>
          <w:tcPr>
            <w:tcW w:w="1361" w:type="dxa"/>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130</w:t>
            </w:r>
          </w:p>
        </w:tc>
        <w:tc>
          <w:tcPr>
            <w:tcW w:w="1405" w:type="dxa"/>
            <w:shd w:val="clear" w:color="auto" w:fill="auto"/>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24,572</w:t>
            </w:r>
          </w:p>
        </w:tc>
      </w:tr>
      <w:tr w:rsidR="005B037F" w:rsidRPr="00040E7D" w:rsidTr="00027DF8">
        <w:trPr>
          <w:trHeight w:hRule="exact" w:val="283"/>
          <w:jc w:val="center"/>
        </w:trPr>
        <w:tc>
          <w:tcPr>
            <w:tcW w:w="4395" w:type="dxa"/>
            <w:tcBorders>
              <w:top w:val="single" w:sz="4" w:space="0" w:color="auto"/>
              <w:bottom w:val="single" w:sz="8" w:space="0" w:color="auto"/>
            </w:tcBorders>
          </w:tcPr>
          <w:p w:rsidR="005B037F" w:rsidRPr="006010C1" w:rsidRDefault="005B037F" w:rsidP="005B037F">
            <w:pPr>
              <w:tabs>
                <w:tab w:val="right" w:pos="5040"/>
                <w:tab w:val="right" w:pos="6480"/>
                <w:tab w:val="right" w:pos="7920"/>
                <w:tab w:val="right" w:pos="9356"/>
              </w:tabs>
              <w:autoSpaceDE w:val="0"/>
              <w:autoSpaceDN w:val="0"/>
              <w:adjustRightInd w:val="0"/>
              <w:spacing w:after="200"/>
              <w:jc w:val="both"/>
              <w:rPr>
                <w:rFonts w:ascii="Arial" w:hAnsi="Arial" w:cs="Arial"/>
                <w:b/>
                <w:sz w:val="18"/>
                <w:szCs w:val="18"/>
                <w:lang w:val="en-IE"/>
              </w:rPr>
            </w:pPr>
            <w:r w:rsidRPr="006010C1">
              <w:rPr>
                <w:rFonts w:ascii="Arial" w:hAnsi="Arial" w:cs="Arial"/>
                <w:b/>
                <w:sz w:val="18"/>
                <w:szCs w:val="18"/>
                <w:lang w:val="en-IE"/>
              </w:rPr>
              <w:t>Total</w:t>
            </w:r>
          </w:p>
        </w:tc>
        <w:tc>
          <w:tcPr>
            <w:tcW w:w="2693" w:type="dxa"/>
            <w:tcBorders>
              <w:top w:val="single" w:sz="4" w:space="0" w:color="auto"/>
              <w:bottom w:val="single" w:sz="8" w:space="0" w:color="auto"/>
            </w:tcBorders>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28,226</w:t>
            </w:r>
          </w:p>
        </w:tc>
        <w:tc>
          <w:tcPr>
            <w:tcW w:w="1276" w:type="dxa"/>
            <w:tcBorders>
              <w:top w:val="single" w:sz="4" w:space="0" w:color="auto"/>
              <w:bottom w:val="single" w:sz="8" w:space="0" w:color="auto"/>
            </w:tcBorders>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(3,784)</w:t>
            </w:r>
          </w:p>
        </w:tc>
        <w:tc>
          <w:tcPr>
            <w:tcW w:w="1361" w:type="dxa"/>
            <w:tcBorders>
              <w:top w:val="single" w:sz="4" w:space="0" w:color="auto"/>
              <w:bottom w:val="single" w:sz="8" w:space="0" w:color="auto"/>
            </w:tcBorders>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130</w:t>
            </w:r>
          </w:p>
        </w:tc>
        <w:tc>
          <w:tcPr>
            <w:tcW w:w="1405" w:type="dxa"/>
            <w:tcBorders>
              <w:top w:val="single" w:sz="4" w:space="0" w:color="auto"/>
              <w:bottom w:val="single" w:sz="8" w:space="0" w:color="auto"/>
            </w:tcBorders>
            <w:shd w:val="clear" w:color="auto" w:fill="auto"/>
            <w:vAlign w:val="bottom"/>
          </w:tcPr>
          <w:p w:rsidR="005B037F" w:rsidRPr="005B1DE1" w:rsidRDefault="005B037F" w:rsidP="005B037F">
            <w:pPr>
              <w:widowControl w:val="0"/>
              <w:suppressAutoHyphens/>
              <w:autoSpaceDE w:val="0"/>
              <w:autoSpaceDN w:val="0"/>
              <w:adjustRightInd w:val="0"/>
              <w:spacing w:line="200" w:lineRule="atLeast"/>
              <w:jc w:val="right"/>
              <w:textAlignment w:val="center"/>
              <w:rPr>
                <w:rFonts w:ascii="Arial" w:hAnsi="Arial" w:cs="Arial"/>
                <w:b/>
                <w:color w:val="000000"/>
                <w:spacing w:val="-5"/>
                <w:sz w:val="18"/>
                <w:szCs w:val="18"/>
              </w:rPr>
            </w:pPr>
            <w:r w:rsidRPr="005B1DE1">
              <w:rPr>
                <w:rFonts w:ascii="Arial" w:hAnsi="Arial" w:cs="Arial"/>
                <w:b/>
                <w:color w:val="000000"/>
                <w:spacing w:val="-5"/>
                <w:sz w:val="18"/>
                <w:szCs w:val="18"/>
              </w:rPr>
              <w:t>24,572</w:t>
            </w:r>
          </w:p>
        </w:tc>
      </w:tr>
      <w:bookmarkEnd w:id="21"/>
      <w:bookmarkEnd w:id="22"/>
    </w:tbl>
    <w:p w:rsidR="00F020C0" w:rsidRPr="006C3343" w:rsidRDefault="00F020C0" w:rsidP="00C721AD">
      <w:pPr>
        <w:tabs>
          <w:tab w:val="left" w:pos="0"/>
        </w:tabs>
        <w:spacing w:after="0" w:line="240" w:lineRule="auto"/>
        <w:rPr>
          <w:rFonts w:ascii="Arial" w:hAnsi="Arial" w:cs="Arial"/>
          <w:b/>
          <w:color w:val="1F497D" w:themeColor="text2"/>
          <w:sz w:val="20"/>
          <w:szCs w:val="20"/>
          <w:lang w:val="en-IE"/>
        </w:rPr>
      </w:pPr>
    </w:p>
    <w:p w:rsidR="005A3314" w:rsidRDefault="005A3314" w:rsidP="00C721AD">
      <w:pPr>
        <w:tabs>
          <w:tab w:val="left" w:pos="0"/>
        </w:tabs>
        <w:spacing w:after="0" w:line="240" w:lineRule="auto"/>
        <w:rPr>
          <w:rFonts w:ascii="Arial" w:hAnsi="Arial" w:cs="Arial"/>
          <w:b/>
          <w:color w:val="1F497D" w:themeColor="text2"/>
          <w:sz w:val="18"/>
          <w:szCs w:val="18"/>
          <w:lang w:val="en-IE"/>
        </w:rPr>
      </w:pPr>
    </w:p>
    <w:p w:rsidR="00254A2F" w:rsidRPr="006010C1" w:rsidRDefault="00626053" w:rsidP="00C721AD">
      <w:pPr>
        <w:tabs>
          <w:tab w:val="left" w:pos="0"/>
        </w:tabs>
        <w:spacing w:after="0" w:line="240" w:lineRule="auto"/>
        <w:rPr>
          <w:rFonts w:ascii="Arial" w:hAnsi="Arial" w:cs="Arial"/>
          <w:b/>
          <w:color w:val="1F497D" w:themeColor="text2"/>
          <w:sz w:val="18"/>
          <w:szCs w:val="18"/>
          <w:lang w:val="en-IE"/>
        </w:rPr>
      </w:pPr>
      <w:r w:rsidRPr="006010C1">
        <w:rPr>
          <w:rFonts w:ascii="Arial" w:hAnsi="Arial" w:cs="Arial"/>
          <w:b/>
          <w:color w:val="1F497D" w:themeColor="text2"/>
          <w:sz w:val="18"/>
          <w:szCs w:val="18"/>
          <w:lang w:val="en-IE"/>
        </w:rPr>
        <w:t>O</w:t>
      </w:r>
      <w:r w:rsidR="000A528E" w:rsidRPr="006010C1">
        <w:rPr>
          <w:rFonts w:ascii="Arial" w:hAnsi="Arial" w:cs="Arial"/>
          <w:b/>
          <w:color w:val="1F497D" w:themeColor="text2"/>
          <w:sz w:val="18"/>
          <w:szCs w:val="18"/>
          <w:lang w:val="en-IE"/>
        </w:rPr>
        <w:t>ther movements</w:t>
      </w:r>
    </w:p>
    <w:p w:rsidR="00DD255C" w:rsidRPr="005B1DE1" w:rsidRDefault="005B037F" w:rsidP="00F53F18">
      <w:pPr>
        <w:widowControl w:val="0"/>
        <w:suppressAutoHyphens/>
        <w:autoSpaceDE w:val="0"/>
        <w:autoSpaceDN w:val="0"/>
        <w:adjustRightInd w:val="0"/>
        <w:spacing w:line="200" w:lineRule="atLeast"/>
        <w:textAlignment w:val="center"/>
        <w:rPr>
          <w:rFonts w:ascii="Arial" w:hAnsi="Arial" w:cs="Arial"/>
          <w:sz w:val="18"/>
          <w:szCs w:val="18"/>
          <w:lang w:val="en-IE"/>
        </w:rPr>
      </w:pPr>
      <w:r w:rsidRPr="005B1DE1">
        <w:rPr>
          <w:rFonts w:ascii="Arial" w:hAnsi="Arial" w:cs="Arial"/>
          <w:color w:val="000000"/>
          <w:spacing w:val="-2"/>
          <w:sz w:val="18"/>
          <w:szCs w:val="18"/>
        </w:rPr>
        <w:t xml:space="preserve">Other movements of £130,000 include the impact of exchange rate movements arising on balances denominated in currencies other than Sterling. </w:t>
      </w:r>
    </w:p>
    <w:p w:rsidR="008F652A" w:rsidRPr="006C3343" w:rsidRDefault="000A528E" w:rsidP="005B1DE1">
      <w:pPr>
        <w:pStyle w:val="ListParagraph"/>
        <w:numPr>
          <w:ilvl w:val="0"/>
          <w:numId w:val="84"/>
        </w:numPr>
        <w:ind w:left="0" w:firstLine="0"/>
        <w:rPr>
          <w:rFonts w:ascii="Arial" w:hAnsi="Arial" w:cs="Arial"/>
          <w:b/>
          <w:color w:val="1F497D" w:themeColor="text2"/>
          <w:lang w:val="en-IE"/>
        </w:rPr>
      </w:pPr>
      <w:r w:rsidRPr="00A95934">
        <w:rPr>
          <w:rFonts w:ascii="Arial" w:hAnsi="Arial" w:cs="Arial"/>
          <w:b/>
          <w:color w:val="1F497D" w:themeColor="text2"/>
          <w:lang w:val="en-IE"/>
        </w:rPr>
        <w:t xml:space="preserve">Events since the </w:t>
      </w:r>
      <w:r w:rsidR="00667E14" w:rsidRPr="006C3343">
        <w:rPr>
          <w:rFonts w:ascii="Arial" w:hAnsi="Arial" w:cs="Arial"/>
          <w:b/>
          <w:color w:val="1F497D" w:themeColor="text2"/>
          <w:lang w:val="en-IE"/>
        </w:rPr>
        <w:t>year</w:t>
      </w:r>
      <w:r w:rsidRPr="006C3343">
        <w:rPr>
          <w:rFonts w:ascii="Arial" w:hAnsi="Arial" w:cs="Arial"/>
          <w:b/>
          <w:color w:val="1F497D" w:themeColor="text2"/>
          <w:lang w:val="en-IE"/>
        </w:rPr>
        <w:t xml:space="preserve"> end</w:t>
      </w:r>
    </w:p>
    <w:p w:rsidR="007D41DE" w:rsidRPr="006C3343" w:rsidRDefault="007D41DE" w:rsidP="00426C55">
      <w:pPr>
        <w:pStyle w:val="ListParagraph"/>
        <w:ind w:left="0"/>
        <w:rPr>
          <w:rFonts w:ascii="Arial" w:hAnsi="Arial" w:cs="Arial"/>
          <w:b/>
          <w:color w:val="1F497D" w:themeColor="text2"/>
          <w:lang w:val="en-IE"/>
        </w:rPr>
      </w:pPr>
    </w:p>
    <w:p w:rsidR="008F1D9E" w:rsidRPr="005B1DE1" w:rsidRDefault="008F1D9E" w:rsidP="008F1D9E">
      <w:pPr>
        <w:widowControl w:val="0"/>
        <w:suppressAutoHyphens/>
        <w:autoSpaceDE w:val="0"/>
        <w:autoSpaceDN w:val="0"/>
        <w:adjustRightInd w:val="0"/>
        <w:spacing w:line="200" w:lineRule="atLeast"/>
        <w:textAlignment w:val="center"/>
        <w:rPr>
          <w:rFonts w:ascii="Arial" w:hAnsi="Arial" w:cs="Arial"/>
          <w:color w:val="000000"/>
          <w:spacing w:val="-2"/>
          <w:sz w:val="18"/>
          <w:szCs w:val="18"/>
        </w:rPr>
      </w:pPr>
      <w:r w:rsidRPr="005B1DE1">
        <w:rPr>
          <w:rFonts w:ascii="Arial" w:hAnsi="Arial" w:cs="Arial"/>
          <w:color w:val="000000"/>
          <w:spacing w:val="-2"/>
          <w:sz w:val="18"/>
          <w:szCs w:val="18"/>
        </w:rPr>
        <w:t>The Board has reluctantly taken a prudent decision that no final dividend will be paid in respect of 2017. There were no other significant events since year end.</w:t>
      </w:r>
    </w:p>
    <w:p w:rsidR="008F652A" w:rsidRPr="006C3343" w:rsidRDefault="00DD255C" w:rsidP="00E9215B">
      <w:pPr>
        <w:spacing w:after="0" w:line="240" w:lineRule="auto"/>
        <w:rPr>
          <w:rFonts w:ascii="Arial" w:eastAsia="Times New Roman" w:hAnsi="Arial" w:cs="Arial"/>
          <w:b/>
          <w:color w:val="1F497D" w:themeColor="text2"/>
          <w:sz w:val="20"/>
          <w:szCs w:val="20"/>
          <w:lang w:val="en-IE"/>
        </w:rPr>
      </w:pPr>
      <w:r w:rsidRPr="006C3343">
        <w:rPr>
          <w:rFonts w:ascii="Arial" w:eastAsia="Times New Roman" w:hAnsi="Arial" w:cs="Arial"/>
          <w:b/>
          <w:color w:val="1F497D" w:themeColor="text2"/>
          <w:sz w:val="20"/>
          <w:szCs w:val="20"/>
          <w:lang w:val="en-IE"/>
        </w:rPr>
        <w:t>1</w:t>
      </w:r>
      <w:r w:rsidR="008F1D9E">
        <w:rPr>
          <w:rFonts w:ascii="Arial" w:eastAsia="Times New Roman" w:hAnsi="Arial" w:cs="Arial"/>
          <w:b/>
          <w:color w:val="1F497D" w:themeColor="text2"/>
          <w:sz w:val="20"/>
          <w:szCs w:val="20"/>
          <w:lang w:val="en-IE"/>
        </w:rPr>
        <w:t>1</w:t>
      </w:r>
      <w:r w:rsidR="000A528E" w:rsidRPr="006C3343">
        <w:rPr>
          <w:rFonts w:ascii="Arial" w:eastAsia="Times New Roman" w:hAnsi="Arial" w:cs="Arial"/>
          <w:b/>
          <w:color w:val="1F497D" w:themeColor="text2"/>
          <w:sz w:val="20"/>
          <w:szCs w:val="20"/>
          <w:lang w:val="en-IE"/>
        </w:rPr>
        <w:t>.</w:t>
      </w:r>
      <w:r w:rsidR="000A528E" w:rsidRPr="006C3343">
        <w:rPr>
          <w:rFonts w:ascii="Arial" w:eastAsia="Times New Roman" w:hAnsi="Arial" w:cs="Arial"/>
          <w:b/>
          <w:color w:val="1F497D" w:themeColor="text2"/>
          <w:sz w:val="20"/>
          <w:szCs w:val="20"/>
          <w:lang w:val="en-IE"/>
        </w:rPr>
        <w:tab/>
      </w:r>
      <w:r w:rsidR="000A528E" w:rsidRPr="00A95934">
        <w:rPr>
          <w:rFonts w:ascii="Arial" w:eastAsia="Times New Roman" w:hAnsi="Arial" w:cs="Arial"/>
          <w:b/>
          <w:color w:val="1F497D" w:themeColor="text2"/>
          <w:sz w:val="20"/>
          <w:szCs w:val="20"/>
          <w:lang w:val="en-IE"/>
        </w:rPr>
        <w:t xml:space="preserve">Approval of </w:t>
      </w:r>
      <w:r w:rsidR="007362C6" w:rsidRPr="006C3343">
        <w:rPr>
          <w:rFonts w:ascii="Arial" w:eastAsia="Times New Roman" w:hAnsi="Arial" w:cs="Arial"/>
          <w:b/>
          <w:color w:val="1F497D" w:themeColor="text2"/>
          <w:sz w:val="20"/>
          <w:szCs w:val="20"/>
          <w:lang w:val="en-IE"/>
        </w:rPr>
        <w:t>financial statements</w:t>
      </w:r>
    </w:p>
    <w:p w:rsidR="00B01FC7" w:rsidRPr="006C3343" w:rsidRDefault="00E00494" w:rsidP="00E9215B">
      <w:pPr>
        <w:spacing w:after="0" w:line="240" w:lineRule="auto"/>
        <w:ind w:hanging="567"/>
        <w:rPr>
          <w:rFonts w:ascii="Arial" w:hAnsi="Arial" w:cs="Arial"/>
          <w:b/>
          <w:sz w:val="20"/>
          <w:szCs w:val="20"/>
          <w:lang w:val="en-IE"/>
        </w:rPr>
      </w:pPr>
      <w:r w:rsidRPr="006C3343">
        <w:rPr>
          <w:rFonts w:ascii="Arial" w:hAnsi="Arial" w:cs="Arial"/>
          <w:b/>
          <w:sz w:val="20"/>
          <w:szCs w:val="20"/>
          <w:lang w:val="en-IE"/>
        </w:rPr>
        <w:tab/>
      </w:r>
    </w:p>
    <w:p w:rsidR="00AF4964" w:rsidRPr="006010C1" w:rsidRDefault="004E6D3E">
      <w:pPr>
        <w:spacing w:after="0" w:line="240" w:lineRule="auto"/>
        <w:rPr>
          <w:rFonts w:ascii="Arial" w:hAnsi="Arial" w:cs="Arial"/>
          <w:sz w:val="18"/>
          <w:szCs w:val="18"/>
          <w:lang w:val="en-IE"/>
        </w:rPr>
      </w:pPr>
      <w:r w:rsidRPr="006010C1">
        <w:rPr>
          <w:rFonts w:ascii="Arial" w:hAnsi="Arial" w:cs="Arial"/>
          <w:sz w:val="18"/>
          <w:szCs w:val="18"/>
          <w:lang w:val="ga-IE"/>
        </w:rPr>
        <w:t>This preliminary announcement was approved by the</w:t>
      </w:r>
      <w:r w:rsidRPr="006010C1" w:rsidDel="004E6D3E">
        <w:rPr>
          <w:rFonts w:ascii="Arial" w:hAnsi="Arial" w:cs="Arial"/>
          <w:sz w:val="18"/>
          <w:szCs w:val="18"/>
          <w:lang w:val="en-IE"/>
        </w:rPr>
        <w:t xml:space="preserve"> </w:t>
      </w:r>
      <w:r w:rsidRPr="006010C1">
        <w:rPr>
          <w:rFonts w:ascii="Arial" w:hAnsi="Arial" w:cs="Arial"/>
          <w:sz w:val="18"/>
          <w:szCs w:val="18"/>
          <w:lang w:val="ga-IE"/>
        </w:rPr>
        <w:t xml:space="preserve">Board of Directors </w:t>
      </w:r>
      <w:r w:rsidR="00E00494" w:rsidRPr="006010C1">
        <w:rPr>
          <w:rFonts w:ascii="Arial" w:hAnsi="Arial" w:cs="Arial"/>
          <w:sz w:val="18"/>
          <w:szCs w:val="18"/>
          <w:lang w:val="en-IE"/>
        </w:rPr>
        <w:t xml:space="preserve">on </w:t>
      </w:r>
      <w:r w:rsidR="001733B7" w:rsidRPr="006010C1">
        <w:rPr>
          <w:rFonts w:ascii="Arial" w:hAnsi="Arial" w:cs="Arial"/>
          <w:sz w:val="18"/>
          <w:szCs w:val="18"/>
          <w:lang w:val="en-IE"/>
        </w:rPr>
        <w:t>2</w:t>
      </w:r>
      <w:r w:rsidR="008F1D9E">
        <w:rPr>
          <w:rFonts w:ascii="Arial" w:hAnsi="Arial" w:cs="Arial"/>
          <w:sz w:val="18"/>
          <w:szCs w:val="18"/>
          <w:lang w:val="en-IE"/>
        </w:rPr>
        <w:t>0</w:t>
      </w:r>
      <w:r w:rsidR="003E74DC" w:rsidRPr="006010C1">
        <w:rPr>
          <w:rFonts w:ascii="Arial" w:hAnsi="Arial" w:cs="Arial"/>
          <w:sz w:val="18"/>
          <w:szCs w:val="18"/>
          <w:lang w:val="en-IE"/>
        </w:rPr>
        <w:t xml:space="preserve"> </w:t>
      </w:r>
      <w:r w:rsidR="00181579" w:rsidRPr="006010C1">
        <w:rPr>
          <w:rFonts w:ascii="Arial" w:hAnsi="Arial" w:cs="Arial"/>
          <w:sz w:val="18"/>
          <w:szCs w:val="18"/>
          <w:lang w:val="en-IE"/>
        </w:rPr>
        <w:t xml:space="preserve">March </w:t>
      </w:r>
      <w:r w:rsidR="00BE6144" w:rsidRPr="006010C1">
        <w:rPr>
          <w:rFonts w:ascii="Arial" w:hAnsi="Arial" w:cs="Arial"/>
          <w:sz w:val="18"/>
          <w:szCs w:val="18"/>
          <w:lang w:val="en-IE"/>
        </w:rPr>
        <w:t>201</w:t>
      </w:r>
      <w:r w:rsidR="008F1D9E">
        <w:rPr>
          <w:rFonts w:ascii="Arial" w:hAnsi="Arial" w:cs="Arial"/>
          <w:sz w:val="18"/>
          <w:szCs w:val="18"/>
          <w:lang w:val="en-IE"/>
        </w:rPr>
        <w:t>8</w:t>
      </w:r>
      <w:r w:rsidR="00E00494" w:rsidRPr="006010C1">
        <w:rPr>
          <w:rFonts w:ascii="Arial" w:hAnsi="Arial" w:cs="Arial"/>
          <w:sz w:val="18"/>
          <w:szCs w:val="18"/>
          <w:lang w:val="en-IE"/>
        </w:rPr>
        <w:t>.</w:t>
      </w:r>
    </w:p>
    <w:sectPr w:rsidR="00AF4964" w:rsidRPr="006010C1" w:rsidSect="0011600F">
      <w:footnotePr>
        <w:numRestart w:val="eachPage"/>
      </w:footnotePr>
      <w:type w:val="continuous"/>
      <w:pgSz w:w="11907" w:h="16839" w:code="9"/>
      <w:pgMar w:top="284" w:right="567" w:bottom="227" w:left="567" w:header="142"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762" w:rsidRDefault="000A0762" w:rsidP="005639C2">
      <w:pPr>
        <w:spacing w:after="0" w:line="240" w:lineRule="auto"/>
      </w:pPr>
      <w:r>
        <w:separator/>
      </w:r>
    </w:p>
  </w:endnote>
  <w:endnote w:type="continuationSeparator" w:id="0">
    <w:p w:rsidR="000A0762" w:rsidRDefault="000A0762" w:rsidP="005639C2">
      <w:pPr>
        <w:spacing w:after="0" w:line="240" w:lineRule="auto"/>
      </w:pPr>
      <w:r>
        <w:continuationSeparator/>
      </w:r>
    </w:p>
  </w:endnote>
  <w:endnote w:type="continuationNotice" w:id="1">
    <w:p w:rsidR="000A0762" w:rsidRDefault="000A0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Zapf Dingbats ITC">
    <w:charset w:val="02"/>
    <w:family w:val="auto"/>
    <w:pitch w:val="variable"/>
    <w:sig w:usb0="00000000" w:usb1="10000000" w:usb2="00000000" w:usb3="00000000" w:csb0="80000000" w:csb1="00000000"/>
  </w:font>
  <w:font w:name="Helvetica 65 Medium">
    <w:charset w:val="00"/>
    <w:family w:val="auto"/>
    <w:pitch w:val="variable"/>
    <w:sig w:usb0="E00002FF" w:usb1="5000785B" w:usb2="00000000" w:usb3="00000000" w:csb0="0000019F" w:csb1="00000000"/>
  </w:font>
  <w:font w:name="Helvetica 45 Light">
    <w:charset w:val="00"/>
    <w:family w:val="auto"/>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Gotham-Light">
    <w:altName w:val="Calibri"/>
    <w:panose1 w:val="00000000000000000000"/>
    <w:charset w:val="4D"/>
    <w:family w:val="auto"/>
    <w:notTrueType/>
    <w:pitch w:val="default"/>
    <w:sig w:usb0="00000003" w:usb1="00000000" w:usb2="00000000" w:usb3="00000000" w:csb0="00000001" w:csb1="00000000"/>
  </w:font>
  <w:font w:name="Gotham-Bold">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762" w:rsidRDefault="000A0762" w:rsidP="005639C2">
      <w:pPr>
        <w:spacing w:after="0" w:line="240" w:lineRule="auto"/>
      </w:pPr>
      <w:r>
        <w:separator/>
      </w:r>
    </w:p>
  </w:footnote>
  <w:footnote w:type="continuationSeparator" w:id="0">
    <w:p w:rsidR="000A0762" w:rsidRDefault="000A0762" w:rsidP="005639C2">
      <w:pPr>
        <w:spacing w:after="0" w:line="240" w:lineRule="auto"/>
      </w:pPr>
      <w:r>
        <w:continuationSeparator/>
      </w:r>
    </w:p>
  </w:footnote>
  <w:footnote w:type="continuationNotice" w:id="1">
    <w:p w:rsidR="000A0762" w:rsidRDefault="000A07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1CB"/>
    <w:multiLevelType w:val="hybridMultilevel"/>
    <w:tmpl w:val="51C462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DD3A63"/>
    <w:multiLevelType w:val="hybridMultilevel"/>
    <w:tmpl w:val="6EB2FF2E"/>
    <w:lvl w:ilvl="0" w:tplc="37A40FD2">
      <w:start w:val="1"/>
      <w:numFmt w:val="decimal"/>
      <w:lvlText w:val="%1."/>
      <w:lvlJc w:val="left"/>
      <w:pPr>
        <w:ind w:left="1429" w:hanging="360"/>
      </w:pPr>
      <w:rPr>
        <w:rFonts w:hint="default"/>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 w15:restartNumberingAfterBreak="0">
    <w:nsid w:val="03FB68B5"/>
    <w:multiLevelType w:val="hybridMultilevel"/>
    <w:tmpl w:val="B7A4AD42"/>
    <w:lvl w:ilvl="0" w:tplc="33162F6C">
      <w:start w:val="1"/>
      <w:numFmt w:val="decimal"/>
      <w:lvlText w:val="%1."/>
      <w:lvlJc w:val="left"/>
      <w:pPr>
        <w:ind w:left="1211" w:hanging="360"/>
      </w:pPr>
      <w:rPr>
        <w:rFonts w:hint="default"/>
        <w:b/>
        <w:color w:val="1F497D" w:themeColor="text2"/>
        <w:sz w:val="26"/>
        <w:szCs w:val="26"/>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 w15:restartNumberingAfterBreak="0">
    <w:nsid w:val="04141ED4"/>
    <w:multiLevelType w:val="hybridMultilevel"/>
    <w:tmpl w:val="9EE662F0"/>
    <w:lvl w:ilvl="0" w:tplc="18090001">
      <w:start w:val="1"/>
      <w:numFmt w:val="bullet"/>
      <w:lvlText w:val=""/>
      <w:lvlJc w:val="left"/>
      <w:pPr>
        <w:ind w:left="2149" w:hanging="360"/>
      </w:pPr>
      <w:rPr>
        <w:rFonts w:ascii="Symbol" w:hAnsi="Symbol" w:hint="default"/>
      </w:rPr>
    </w:lvl>
    <w:lvl w:ilvl="1" w:tplc="18090003" w:tentative="1">
      <w:start w:val="1"/>
      <w:numFmt w:val="bullet"/>
      <w:lvlText w:val="o"/>
      <w:lvlJc w:val="left"/>
      <w:pPr>
        <w:ind w:left="2869" w:hanging="360"/>
      </w:pPr>
      <w:rPr>
        <w:rFonts w:ascii="Courier New" w:hAnsi="Courier New" w:cs="Courier New" w:hint="default"/>
      </w:rPr>
    </w:lvl>
    <w:lvl w:ilvl="2" w:tplc="18090005" w:tentative="1">
      <w:start w:val="1"/>
      <w:numFmt w:val="bullet"/>
      <w:lvlText w:val=""/>
      <w:lvlJc w:val="left"/>
      <w:pPr>
        <w:ind w:left="3589" w:hanging="360"/>
      </w:pPr>
      <w:rPr>
        <w:rFonts w:ascii="Wingdings" w:hAnsi="Wingdings" w:hint="default"/>
      </w:rPr>
    </w:lvl>
    <w:lvl w:ilvl="3" w:tplc="18090001" w:tentative="1">
      <w:start w:val="1"/>
      <w:numFmt w:val="bullet"/>
      <w:lvlText w:val=""/>
      <w:lvlJc w:val="left"/>
      <w:pPr>
        <w:ind w:left="4309" w:hanging="360"/>
      </w:pPr>
      <w:rPr>
        <w:rFonts w:ascii="Symbol" w:hAnsi="Symbol" w:hint="default"/>
      </w:rPr>
    </w:lvl>
    <w:lvl w:ilvl="4" w:tplc="18090003" w:tentative="1">
      <w:start w:val="1"/>
      <w:numFmt w:val="bullet"/>
      <w:lvlText w:val="o"/>
      <w:lvlJc w:val="left"/>
      <w:pPr>
        <w:ind w:left="5029" w:hanging="360"/>
      </w:pPr>
      <w:rPr>
        <w:rFonts w:ascii="Courier New" w:hAnsi="Courier New" w:cs="Courier New" w:hint="default"/>
      </w:rPr>
    </w:lvl>
    <w:lvl w:ilvl="5" w:tplc="18090005" w:tentative="1">
      <w:start w:val="1"/>
      <w:numFmt w:val="bullet"/>
      <w:lvlText w:val=""/>
      <w:lvlJc w:val="left"/>
      <w:pPr>
        <w:ind w:left="5749" w:hanging="360"/>
      </w:pPr>
      <w:rPr>
        <w:rFonts w:ascii="Wingdings" w:hAnsi="Wingdings" w:hint="default"/>
      </w:rPr>
    </w:lvl>
    <w:lvl w:ilvl="6" w:tplc="18090001" w:tentative="1">
      <w:start w:val="1"/>
      <w:numFmt w:val="bullet"/>
      <w:lvlText w:val=""/>
      <w:lvlJc w:val="left"/>
      <w:pPr>
        <w:ind w:left="6469" w:hanging="360"/>
      </w:pPr>
      <w:rPr>
        <w:rFonts w:ascii="Symbol" w:hAnsi="Symbol" w:hint="default"/>
      </w:rPr>
    </w:lvl>
    <w:lvl w:ilvl="7" w:tplc="18090003" w:tentative="1">
      <w:start w:val="1"/>
      <w:numFmt w:val="bullet"/>
      <w:lvlText w:val="o"/>
      <w:lvlJc w:val="left"/>
      <w:pPr>
        <w:ind w:left="7189" w:hanging="360"/>
      </w:pPr>
      <w:rPr>
        <w:rFonts w:ascii="Courier New" w:hAnsi="Courier New" w:cs="Courier New" w:hint="default"/>
      </w:rPr>
    </w:lvl>
    <w:lvl w:ilvl="8" w:tplc="18090005" w:tentative="1">
      <w:start w:val="1"/>
      <w:numFmt w:val="bullet"/>
      <w:lvlText w:val=""/>
      <w:lvlJc w:val="left"/>
      <w:pPr>
        <w:ind w:left="7909" w:hanging="360"/>
      </w:pPr>
      <w:rPr>
        <w:rFonts w:ascii="Wingdings" w:hAnsi="Wingdings" w:hint="default"/>
      </w:rPr>
    </w:lvl>
  </w:abstractNum>
  <w:abstractNum w:abstractNumId="4" w15:restartNumberingAfterBreak="0">
    <w:nsid w:val="06FF1160"/>
    <w:multiLevelType w:val="hybridMultilevel"/>
    <w:tmpl w:val="8308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177BD"/>
    <w:multiLevelType w:val="hybridMultilevel"/>
    <w:tmpl w:val="CE88C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877225"/>
    <w:multiLevelType w:val="hybridMultilevel"/>
    <w:tmpl w:val="7E1C751C"/>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7" w15:restartNumberingAfterBreak="0">
    <w:nsid w:val="0A936429"/>
    <w:multiLevelType w:val="hybridMultilevel"/>
    <w:tmpl w:val="65E6C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E56C3E"/>
    <w:multiLevelType w:val="hybridMultilevel"/>
    <w:tmpl w:val="B7F0E88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0E0213BE"/>
    <w:multiLevelType w:val="hybridMultilevel"/>
    <w:tmpl w:val="7FFED378"/>
    <w:lvl w:ilvl="0" w:tplc="1E8E8616">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387866"/>
    <w:multiLevelType w:val="hybridMultilevel"/>
    <w:tmpl w:val="AE4AEA86"/>
    <w:lvl w:ilvl="0" w:tplc="9FD4EE58">
      <w:start w:val="1"/>
      <w:numFmt w:val="decimal"/>
      <w:lvlText w:val="%1."/>
      <w:lvlJc w:val="left"/>
      <w:pPr>
        <w:ind w:left="360" w:hanging="360"/>
      </w:pPr>
      <w:rPr>
        <w:rFonts w:hint="default"/>
        <w:b/>
        <w:i w:val="0"/>
        <w:color w:val="1F497D" w:themeColor="text2"/>
        <w:sz w:val="20"/>
        <w:szCs w:val="20"/>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160332E"/>
    <w:multiLevelType w:val="hybridMultilevel"/>
    <w:tmpl w:val="3C5287E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2" w15:restartNumberingAfterBreak="0">
    <w:nsid w:val="1292215A"/>
    <w:multiLevelType w:val="hybridMultilevel"/>
    <w:tmpl w:val="0AA485AA"/>
    <w:lvl w:ilvl="0" w:tplc="926E1976">
      <w:start w:val="1"/>
      <w:numFmt w:val="bullet"/>
      <w:pStyle w:val="BodyTextBulletLevel1"/>
      <w:lvlText w:val=""/>
      <w:lvlJc w:val="left"/>
      <w:pPr>
        <w:ind w:left="312"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C580C"/>
    <w:multiLevelType w:val="hybridMultilevel"/>
    <w:tmpl w:val="33166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6743B6"/>
    <w:multiLevelType w:val="hybridMultilevel"/>
    <w:tmpl w:val="34D6497A"/>
    <w:lvl w:ilvl="0" w:tplc="27AC50D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192F63CB"/>
    <w:multiLevelType w:val="hybridMultilevel"/>
    <w:tmpl w:val="55449EC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ADD44F4"/>
    <w:multiLevelType w:val="hybridMultilevel"/>
    <w:tmpl w:val="2D4C14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1BEE20E4"/>
    <w:multiLevelType w:val="multilevel"/>
    <w:tmpl w:val="92F89B64"/>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5E78E1"/>
    <w:multiLevelType w:val="hybridMultilevel"/>
    <w:tmpl w:val="3B8A998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1F11164D"/>
    <w:multiLevelType w:val="hybridMultilevel"/>
    <w:tmpl w:val="3E883DB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4C0C5E"/>
    <w:multiLevelType w:val="hybridMultilevel"/>
    <w:tmpl w:val="43E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293EC1"/>
    <w:multiLevelType w:val="hybridMultilevel"/>
    <w:tmpl w:val="6CCC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D209AA"/>
    <w:multiLevelType w:val="hybridMultilevel"/>
    <w:tmpl w:val="FD287688"/>
    <w:lvl w:ilvl="0" w:tplc="4AB8E69E">
      <w:start w:val="201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31F0231"/>
    <w:multiLevelType w:val="hybridMultilevel"/>
    <w:tmpl w:val="A108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533063"/>
    <w:multiLevelType w:val="hybridMultilevel"/>
    <w:tmpl w:val="7354C672"/>
    <w:lvl w:ilvl="0" w:tplc="98905A92">
      <w:start w:val="5"/>
      <w:numFmt w:val="bullet"/>
      <w:lvlText w:val="-"/>
      <w:lvlJc w:val="left"/>
      <w:pPr>
        <w:ind w:left="360" w:hanging="360"/>
      </w:pPr>
      <w:rPr>
        <w:rFonts w:ascii="Times New Roman" w:eastAsia="Calibri" w:hAnsi="Times New Roman" w:cs="Times New Roman" w:hint="default"/>
        <w:b/>
        <w:color w:val="000000"/>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25BC5719"/>
    <w:multiLevelType w:val="hybridMultilevel"/>
    <w:tmpl w:val="BE462598"/>
    <w:lvl w:ilvl="0" w:tplc="B0C64712">
      <w:start w:val="1"/>
      <w:numFmt w:val="decimal"/>
      <w:lvlText w:val="%1."/>
      <w:lvlJc w:val="left"/>
      <w:pPr>
        <w:tabs>
          <w:tab w:val="num" w:pos="765"/>
        </w:tabs>
        <w:ind w:left="765" w:hanging="405"/>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6151EE5"/>
    <w:multiLevelType w:val="hybridMultilevel"/>
    <w:tmpl w:val="D1DA2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64F697E"/>
    <w:multiLevelType w:val="hybridMultilevel"/>
    <w:tmpl w:val="4A700EFE"/>
    <w:lvl w:ilvl="0" w:tplc="08E23456">
      <w:start w:val="3"/>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6BF3377"/>
    <w:multiLevelType w:val="hybridMultilevel"/>
    <w:tmpl w:val="80407A1A"/>
    <w:lvl w:ilvl="0" w:tplc="2A48933A">
      <w:numFmt w:val="bullet"/>
      <w:lvlText w:val="-"/>
      <w:lvlJc w:val="left"/>
      <w:pPr>
        <w:ind w:left="720" w:hanging="360"/>
      </w:pPr>
      <w:rPr>
        <w:rFonts w:ascii="Arial" w:eastAsiaTheme="minorEastAsia" w:hAnsi="Arial" w:cs="Arial" w:hint="default"/>
        <w:b w:val="0"/>
        <w:color w:val="31849B" w:themeColor="accent5" w:themeShade="BF"/>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A0B2E54"/>
    <w:multiLevelType w:val="hybridMultilevel"/>
    <w:tmpl w:val="57CC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163024"/>
    <w:multiLevelType w:val="hybridMultilevel"/>
    <w:tmpl w:val="1B42F850"/>
    <w:lvl w:ilvl="0" w:tplc="48B82122">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1" w15:restartNumberingAfterBreak="0">
    <w:nsid w:val="2B6B6A05"/>
    <w:multiLevelType w:val="hybridMultilevel"/>
    <w:tmpl w:val="820C9D6A"/>
    <w:lvl w:ilvl="0" w:tplc="E1E0F048">
      <w:numFmt w:val="bullet"/>
      <w:lvlText w:val="•"/>
      <w:lvlJc w:val="left"/>
      <w:pPr>
        <w:ind w:left="720" w:hanging="360"/>
      </w:pPr>
      <w:rPr>
        <w:rFonts w:asciiTheme="minorHAnsi" w:eastAsiaTheme="minorEastAsia" w:hAnsiTheme="minorHAns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B703608"/>
    <w:multiLevelType w:val="hybridMultilevel"/>
    <w:tmpl w:val="2F08AAB0"/>
    <w:lvl w:ilvl="0" w:tplc="A4049FF0">
      <w:start w:val="4"/>
      <w:numFmt w:val="decimal"/>
      <w:lvlText w:val="%1."/>
      <w:lvlJc w:val="left"/>
      <w:pPr>
        <w:tabs>
          <w:tab w:val="num" w:pos="405"/>
        </w:tabs>
        <w:ind w:left="405" w:hanging="405"/>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2C462A78"/>
    <w:multiLevelType w:val="hybridMultilevel"/>
    <w:tmpl w:val="FD241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1ED0972"/>
    <w:multiLevelType w:val="hybridMultilevel"/>
    <w:tmpl w:val="BB1C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8A241F"/>
    <w:multiLevelType w:val="hybridMultilevel"/>
    <w:tmpl w:val="EEC23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28D0A9F"/>
    <w:multiLevelType w:val="hybridMultilevel"/>
    <w:tmpl w:val="35F43928"/>
    <w:lvl w:ilvl="0" w:tplc="020010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535E0"/>
    <w:multiLevelType w:val="hybridMultilevel"/>
    <w:tmpl w:val="3BA8249C"/>
    <w:lvl w:ilvl="0" w:tplc="1764A9FA">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333826B9"/>
    <w:multiLevelType w:val="hybridMultilevel"/>
    <w:tmpl w:val="52E8F96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45020C0"/>
    <w:multiLevelType w:val="hybridMultilevel"/>
    <w:tmpl w:val="CCDE0F3C"/>
    <w:lvl w:ilvl="0" w:tplc="B3729662">
      <w:start w:val="1"/>
      <w:numFmt w:val="decimal"/>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0" w15:restartNumberingAfterBreak="0">
    <w:nsid w:val="34C228C6"/>
    <w:multiLevelType w:val="hybridMultilevel"/>
    <w:tmpl w:val="E3302DBE"/>
    <w:lvl w:ilvl="0" w:tplc="5A72524A">
      <w:start w:val="1"/>
      <w:numFmt w:val="bullet"/>
      <w:pStyle w:val="TableListBullet2"/>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34E91200"/>
    <w:multiLevelType w:val="hybridMultilevel"/>
    <w:tmpl w:val="9506B4F6"/>
    <w:lvl w:ilvl="0" w:tplc="C7B0321E">
      <w:start w:val="1"/>
      <w:numFmt w:val="lowerLetter"/>
      <w:lvlText w:val="(%1)"/>
      <w:lvlJc w:val="left"/>
      <w:pPr>
        <w:tabs>
          <w:tab w:val="num" w:pos="945"/>
        </w:tabs>
        <w:ind w:left="945" w:hanging="585"/>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A837252"/>
    <w:multiLevelType w:val="hybridMultilevel"/>
    <w:tmpl w:val="55782EA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B487A07"/>
    <w:multiLevelType w:val="hybridMultilevel"/>
    <w:tmpl w:val="5E541848"/>
    <w:lvl w:ilvl="0" w:tplc="B90EC1A8">
      <w:start w:val="5"/>
      <w:numFmt w:val="bullet"/>
      <w:lvlText w:val="-"/>
      <w:lvlJc w:val="left"/>
      <w:pPr>
        <w:ind w:left="720" w:hanging="360"/>
      </w:pPr>
      <w:rPr>
        <w:rFonts w:ascii="Times New Roman" w:eastAsia="Calibr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8E6EBA"/>
    <w:multiLevelType w:val="hybridMultilevel"/>
    <w:tmpl w:val="443A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8E4E7E"/>
    <w:multiLevelType w:val="hybridMultilevel"/>
    <w:tmpl w:val="9F46BFD2"/>
    <w:lvl w:ilvl="0" w:tplc="787C9F94">
      <w:start w:val="28"/>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2B97D31"/>
    <w:multiLevelType w:val="hybridMultilevel"/>
    <w:tmpl w:val="223E2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34E4D50"/>
    <w:multiLevelType w:val="hybridMultilevel"/>
    <w:tmpl w:val="43D476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71E7B56"/>
    <w:multiLevelType w:val="hybridMultilevel"/>
    <w:tmpl w:val="CA7EB9CA"/>
    <w:lvl w:ilvl="0" w:tplc="16EA53C2">
      <w:start w:val="1"/>
      <w:numFmt w:val="lowerLetter"/>
      <w:lvlText w:val="(%1)"/>
      <w:lvlJc w:val="left"/>
      <w:pPr>
        <w:ind w:left="1930" w:hanging="795"/>
      </w:pPr>
      <w:rPr>
        <w:rFonts w:hint="default"/>
        <w:b w:val="0"/>
      </w:rPr>
    </w:lvl>
    <w:lvl w:ilvl="1" w:tplc="18090019" w:tentative="1">
      <w:start w:val="1"/>
      <w:numFmt w:val="lowerLetter"/>
      <w:lvlText w:val="%2."/>
      <w:lvlJc w:val="left"/>
      <w:pPr>
        <w:ind w:left="2215" w:hanging="360"/>
      </w:pPr>
    </w:lvl>
    <w:lvl w:ilvl="2" w:tplc="1809001B" w:tentative="1">
      <w:start w:val="1"/>
      <w:numFmt w:val="lowerRoman"/>
      <w:lvlText w:val="%3."/>
      <w:lvlJc w:val="right"/>
      <w:pPr>
        <w:ind w:left="2935" w:hanging="180"/>
      </w:pPr>
    </w:lvl>
    <w:lvl w:ilvl="3" w:tplc="1809000F" w:tentative="1">
      <w:start w:val="1"/>
      <w:numFmt w:val="decimal"/>
      <w:lvlText w:val="%4."/>
      <w:lvlJc w:val="left"/>
      <w:pPr>
        <w:ind w:left="3655" w:hanging="360"/>
      </w:pPr>
    </w:lvl>
    <w:lvl w:ilvl="4" w:tplc="18090019" w:tentative="1">
      <w:start w:val="1"/>
      <w:numFmt w:val="lowerLetter"/>
      <w:lvlText w:val="%5."/>
      <w:lvlJc w:val="left"/>
      <w:pPr>
        <w:ind w:left="4375" w:hanging="360"/>
      </w:pPr>
    </w:lvl>
    <w:lvl w:ilvl="5" w:tplc="1809001B" w:tentative="1">
      <w:start w:val="1"/>
      <w:numFmt w:val="lowerRoman"/>
      <w:lvlText w:val="%6."/>
      <w:lvlJc w:val="right"/>
      <w:pPr>
        <w:ind w:left="5095" w:hanging="180"/>
      </w:pPr>
    </w:lvl>
    <w:lvl w:ilvl="6" w:tplc="1809000F" w:tentative="1">
      <w:start w:val="1"/>
      <w:numFmt w:val="decimal"/>
      <w:lvlText w:val="%7."/>
      <w:lvlJc w:val="left"/>
      <w:pPr>
        <w:ind w:left="5815" w:hanging="360"/>
      </w:pPr>
    </w:lvl>
    <w:lvl w:ilvl="7" w:tplc="18090019" w:tentative="1">
      <w:start w:val="1"/>
      <w:numFmt w:val="lowerLetter"/>
      <w:lvlText w:val="%8."/>
      <w:lvlJc w:val="left"/>
      <w:pPr>
        <w:ind w:left="6535" w:hanging="360"/>
      </w:pPr>
    </w:lvl>
    <w:lvl w:ilvl="8" w:tplc="1809001B" w:tentative="1">
      <w:start w:val="1"/>
      <w:numFmt w:val="lowerRoman"/>
      <w:lvlText w:val="%9."/>
      <w:lvlJc w:val="right"/>
      <w:pPr>
        <w:ind w:left="7255" w:hanging="180"/>
      </w:pPr>
    </w:lvl>
  </w:abstractNum>
  <w:abstractNum w:abstractNumId="49" w15:restartNumberingAfterBreak="0">
    <w:nsid w:val="4A6B31A1"/>
    <w:multiLevelType w:val="multilevel"/>
    <w:tmpl w:val="92F89B64"/>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B523D53"/>
    <w:multiLevelType w:val="hybridMultilevel"/>
    <w:tmpl w:val="4E38228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1" w15:restartNumberingAfterBreak="0">
    <w:nsid w:val="50A05F12"/>
    <w:multiLevelType w:val="hybridMultilevel"/>
    <w:tmpl w:val="C444005C"/>
    <w:lvl w:ilvl="0" w:tplc="CC72CACE">
      <w:numFmt w:val="bullet"/>
      <w:lvlText w:val="•"/>
      <w:lvlJc w:val="left"/>
      <w:pPr>
        <w:ind w:left="359" w:hanging="360"/>
      </w:pPr>
      <w:rPr>
        <w:rFonts w:ascii="Arial" w:eastAsia="Times New Roman" w:hAnsi="Arial" w:cs="Arial" w:hint="default"/>
      </w:rPr>
    </w:lvl>
    <w:lvl w:ilvl="1" w:tplc="18090003" w:tentative="1">
      <w:start w:val="1"/>
      <w:numFmt w:val="bullet"/>
      <w:lvlText w:val="o"/>
      <w:lvlJc w:val="left"/>
      <w:pPr>
        <w:ind w:left="1079" w:hanging="360"/>
      </w:pPr>
      <w:rPr>
        <w:rFonts w:ascii="Courier New" w:hAnsi="Courier New" w:cs="Courier New" w:hint="default"/>
      </w:rPr>
    </w:lvl>
    <w:lvl w:ilvl="2" w:tplc="18090005" w:tentative="1">
      <w:start w:val="1"/>
      <w:numFmt w:val="bullet"/>
      <w:lvlText w:val=""/>
      <w:lvlJc w:val="left"/>
      <w:pPr>
        <w:ind w:left="1799" w:hanging="360"/>
      </w:pPr>
      <w:rPr>
        <w:rFonts w:ascii="Wingdings" w:hAnsi="Wingdings" w:hint="default"/>
      </w:rPr>
    </w:lvl>
    <w:lvl w:ilvl="3" w:tplc="18090001" w:tentative="1">
      <w:start w:val="1"/>
      <w:numFmt w:val="bullet"/>
      <w:lvlText w:val=""/>
      <w:lvlJc w:val="left"/>
      <w:pPr>
        <w:ind w:left="2519" w:hanging="360"/>
      </w:pPr>
      <w:rPr>
        <w:rFonts w:ascii="Symbol" w:hAnsi="Symbol" w:hint="default"/>
      </w:rPr>
    </w:lvl>
    <w:lvl w:ilvl="4" w:tplc="18090003" w:tentative="1">
      <w:start w:val="1"/>
      <w:numFmt w:val="bullet"/>
      <w:lvlText w:val="o"/>
      <w:lvlJc w:val="left"/>
      <w:pPr>
        <w:ind w:left="3239" w:hanging="360"/>
      </w:pPr>
      <w:rPr>
        <w:rFonts w:ascii="Courier New" w:hAnsi="Courier New" w:cs="Courier New" w:hint="default"/>
      </w:rPr>
    </w:lvl>
    <w:lvl w:ilvl="5" w:tplc="18090005" w:tentative="1">
      <w:start w:val="1"/>
      <w:numFmt w:val="bullet"/>
      <w:lvlText w:val=""/>
      <w:lvlJc w:val="left"/>
      <w:pPr>
        <w:ind w:left="3959" w:hanging="360"/>
      </w:pPr>
      <w:rPr>
        <w:rFonts w:ascii="Wingdings" w:hAnsi="Wingdings" w:hint="default"/>
      </w:rPr>
    </w:lvl>
    <w:lvl w:ilvl="6" w:tplc="18090001" w:tentative="1">
      <w:start w:val="1"/>
      <w:numFmt w:val="bullet"/>
      <w:lvlText w:val=""/>
      <w:lvlJc w:val="left"/>
      <w:pPr>
        <w:ind w:left="4679" w:hanging="360"/>
      </w:pPr>
      <w:rPr>
        <w:rFonts w:ascii="Symbol" w:hAnsi="Symbol" w:hint="default"/>
      </w:rPr>
    </w:lvl>
    <w:lvl w:ilvl="7" w:tplc="18090003" w:tentative="1">
      <w:start w:val="1"/>
      <w:numFmt w:val="bullet"/>
      <w:lvlText w:val="o"/>
      <w:lvlJc w:val="left"/>
      <w:pPr>
        <w:ind w:left="5399" w:hanging="360"/>
      </w:pPr>
      <w:rPr>
        <w:rFonts w:ascii="Courier New" w:hAnsi="Courier New" w:cs="Courier New" w:hint="default"/>
      </w:rPr>
    </w:lvl>
    <w:lvl w:ilvl="8" w:tplc="18090005" w:tentative="1">
      <w:start w:val="1"/>
      <w:numFmt w:val="bullet"/>
      <w:lvlText w:val=""/>
      <w:lvlJc w:val="left"/>
      <w:pPr>
        <w:ind w:left="6119" w:hanging="360"/>
      </w:pPr>
      <w:rPr>
        <w:rFonts w:ascii="Wingdings" w:hAnsi="Wingdings" w:hint="default"/>
      </w:rPr>
    </w:lvl>
  </w:abstractNum>
  <w:abstractNum w:abstractNumId="52" w15:restartNumberingAfterBreak="0">
    <w:nsid w:val="574F43C0"/>
    <w:multiLevelType w:val="hybridMultilevel"/>
    <w:tmpl w:val="6E7E4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76926BD"/>
    <w:multiLevelType w:val="hybridMultilevel"/>
    <w:tmpl w:val="CF3A8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583D714A"/>
    <w:multiLevelType w:val="hybridMultilevel"/>
    <w:tmpl w:val="73D04BF4"/>
    <w:lvl w:ilvl="0" w:tplc="1E62E194">
      <w:start w:val="1"/>
      <w:numFmt w:val="decimal"/>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5" w15:restartNumberingAfterBreak="0">
    <w:nsid w:val="583E1986"/>
    <w:multiLevelType w:val="hybridMultilevel"/>
    <w:tmpl w:val="C9F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C10E81"/>
    <w:multiLevelType w:val="hybridMultilevel"/>
    <w:tmpl w:val="13DAFD9C"/>
    <w:lvl w:ilvl="0" w:tplc="49F21FA2">
      <w:numFmt w:val="bullet"/>
      <w:lvlText w:val="-"/>
      <w:lvlJc w:val="left"/>
      <w:pPr>
        <w:ind w:left="720" w:hanging="360"/>
      </w:pPr>
      <w:rPr>
        <w:rFonts w:ascii="Calibri" w:eastAsia="Calibri" w:hAnsi="Calibri"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7" w15:restartNumberingAfterBreak="0">
    <w:nsid w:val="5AFD584C"/>
    <w:multiLevelType w:val="hybridMultilevel"/>
    <w:tmpl w:val="EBD4DF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8" w15:restartNumberingAfterBreak="0">
    <w:nsid w:val="5B1578A0"/>
    <w:multiLevelType w:val="hybridMultilevel"/>
    <w:tmpl w:val="A628BE0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9" w15:restartNumberingAfterBreak="0">
    <w:nsid w:val="5CD235A7"/>
    <w:multiLevelType w:val="hybridMultilevel"/>
    <w:tmpl w:val="14901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5DDB6F2D"/>
    <w:multiLevelType w:val="hybridMultilevel"/>
    <w:tmpl w:val="BE068E04"/>
    <w:lvl w:ilvl="0" w:tplc="E482E4E4">
      <w:numFmt w:val="bullet"/>
      <w:lvlText w:val="•"/>
      <w:lvlJc w:val="left"/>
      <w:pPr>
        <w:ind w:left="519" w:hanging="360"/>
      </w:pPr>
      <w:rPr>
        <w:rFonts w:ascii="Trebuchet MS" w:eastAsia="Times New Roman" w:hAnsi="Trebuchet MS" w:cs="Times New Roman" w:hint="default"/>
      </w:rPr>
    </w:lvl>
    <w:lvl w:ilvl="1" w:tplc="18090003" w:tentative="1">
      <w:start w:val="1"/>
      <w:numFmt w:val="bullet"/>
      <w:lvlText w:val="o"/>
      <w:lvlJc w:val="left"/>
      <w:pPr>
        <w:ind w:left="1239" w:hanging="360"/>
      </w:pPr>
      <w:rPr>
        <w:rFonts w:ascii="Courier New" w:hAnsi="Courier New" w:cs="Courier New" w:hint="default"/>
      </w:rPr>
    </w:lvl>
    <w:lvl w:ilvl="2" w:tplc="18090005" w:tentative="1">
      <w:start w:val="1"/>
      <w:numFmt w:val="bullet"/>
      <w:lvlText w:val=""/>
      <w:lvlJc w:val="left"/>
      <w:pPr>
        <w:ind w:left="1959" w:hanging="360"/>
      </w:pPr>
      <w:rPr>
        <w:rFonts w:ascii="Wingdings" w:hAnsi="Wingdings" w:hint="default"/>
      </w:rPr>
    </w:lvl>
    <w:lvl w:ilvl="3" w:tplc="18090001" w:tentative="1">
      <w:start w:val="1"/>
      <w:numFmt w:val="bullet"/>
      <w:lvlText w:val=""/>
      <w:lvlJc w:val="left"/>
      <w:pPr>
        <w:ind w:left="2679" w:hanging="360"/>
      </w:pPr>
      <w:rPr>
        <w:rFonts w:ascii="Symbol" w:hAnsi="Symbol" w:hint="default"/>
      </w:rPr>
    </w:lvl>
    <w:lvl w:ilvl="4" w:tplc="18090003" w:tentative="1">
      <w:start w:val="1"/>
      <w:numFmt w:val="bullet"/>
      <w:lvlText w:val="o"/>
      <w:lvlJc w:val="left"/>
      <w:pPr>
        <w:ind w:left="3399" w:hanging="360"/>
      </w:pPr>
      <w:rPr>
        <w:rFonts w:ascii="Courier New" w:hAnsi="Courier New" w:cs="Courier New" w:hint="default"/>
      </w:rPr>
    </w:lvl>
    <w:lvl w:ilvl="5" w:tplc="18090005" w:tentative="1">
      <w:start w:val="1"/>
      <w:numFmt w:val="bullet"/>
      <w:lvlText w:val=""/>
      <w:lvlJc w:val="left"/>
      <w:pPr>
        <w:ind w:left="4119" w:hanging="360"/>
      </w:pPr>
      <w:rPr>
        <w:rFonts w:ascii="Wingdings" w:hAnsi="Wingdings" w:hint="default"/>
      </w:rPr>
    </w:lvl>
    <w:lvl w:ilvl="6" w:tplc="18090001" w:tentative="1">
      <w:start w:val="1"/>
      <w:numFmt w:val="bullet"/>
      <w:lvlText w:val=""/>
      <w:lvlJc w:val="left"/>
      <w:pPr>
        <w:ind w:left="4839" w:hanging="360"/>
      </w:pPr>
      <w:rPr>
        <w:rFonts w:ascii="Symbol" w:hAnsi="Symbol" w:hint="default"/>
      </w:rPr>
    </w:lvl>
    <w:lvl w:ilvl="7" w:tplc="18090003" w:tentative="1">
      <w:start w:val="1"/>
      <w:numFmt w:val="bullet"/>
      <w:lvlText w:val="o"/>
      <w:lvlJc w:val="left"/>
      <w:pPr>
        <w:ind w:left="5559" w:hanging="360"/>
      </w:pPr>
      <w:rPr>
        <w:rFonts w:ascii="Courier New" w:hAnsi="Courier New" w:cs="Courier New" w:hint="default"/>
      </w:rPr>
    </w:lvl>
    <w:lvl w:ilvl="8" w:tplc="18090005" w:tentative="1">
      <w:start w:val="1"/>
      <w:numFmt w:val="bullet"/>
      <w:lvlText w:val=""/>
      <w:lvlJc w:val="left"/>
      <w:pPr>
        <w:ind w:left="6279" w:hanging="360"/>
      </w:pPr>
      <w:rPr>
        <w:rFonts w:ascii="Wingdings" w:hAnsi="Wingdings" w:hint="default"/>
      </w:rPr>
    </w:lvl>
  </w:abstractNum>
  <w:abstractNum w:abstractNumId="61" w15:restartNumberingAfterBreak="0">
    <w:nsid w:val="5F3A7867"/>
    <w:multiLevelType w:val="hybridMultilevel"/>
    <w:tmpl w:val="F41ECE8C"/>
    <w:lvl w:ilvl="0" w:tplc="4D0AEEE6">
      <w:start w:val="1"/>
      <w:numFmt w:val="bullet"/>
      <w:lvlText w:val=""/>
      <w:lvlJc w:val="left"/>
      <w:pPr>
        <w:ind w:left="720" w:hanging="360"/>
      </w:pPr>
      <w:rPr>
        <w:rFonts w:ascii="Symbol" w:hAnsi="Symbol"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0014BE3"/>
    <w:multiLevelType w:val="hybridMultilevel"/>
    <w:tmpl w:val="2E3C1590"/>
    <w:lvl w:ilvl="0" w:tplc="F9389E0A">
      <w:start w:val="2009"/>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1FA11E3"/>
    <w:multiLevelType w:val="hybridMultilevel"/>
    <w:tmpl w:val="B016DEEA"/>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4" w15:restartNumberingAfterBreak="0">
    <w:nsid w:val="63AD1E2A"/>
    <w:multiLevelType w:val="hybridMultilevel"/>
    <w:tmpl w:val="67825028"/>
    <w:lvl w:ilvl="0" w:tplc="EAD0D43A">
      <w:start w:val="1"/>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659C5F94"/>
    <w:multiLevelType w:val="multilevel"/>
    <w:tmpl w:val="92F89B64"/>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A022AF3"/>
    <w:multiLevelType w:val="hybridMultilevel"/>
    <w:tmpl w:val="B45CCE98"/>
    <w:lvl w:ilvl="0" w:tplc="67327B82">
      <w:start w:val="31"/>
      <w:numFmt w:val="bullet"/>
      <w:lvlText w:val=""/>
      <w:lvlJc w:val="left"/>
      <w:pPr>
        <w:ind w:left="720" w:hanging="360"/>
      </w:pPr>
      <w:rPr>
        <w:rFonts w:ascii="Symbol" w:eastAsiaTheme="minorEastAsia" w:hAnsi="Symbo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6B5C7893"/>
    <w:multiLevelType w:val="hybridMultilevel"/>
    <w:tmpl w:val="C2524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6CF12039"/>
    <w:multiLevelType w:val="hybridMultilevel"/>
    <w:tmpl w:val="5A085156"/>
    <w:lvl w:ilvl="0" w:tplc="80B07C12">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700C3BCD"/>
    <w:multiLevelType w:val="hybridMultilevel"/>
    <w:tmpl w:val="5B8EC148"/>
    <w:lvl w:ilvl="0" w:tplc="F9389E0A">
      <w:start w:val="2009"/>
      <w:numFmt w:val="bullet"/>
      <w:lvlText w:val="-"/>
      <w:lvlJc w:val="left"/>
      <w:pPr>
        <w:ind w:left="927" w:hanging="360"/>
      </w:pPr>
      <w:rPr>
        <w:rFonts w:ascii="Calibri" w:eastAsiaTheme="minorHAnsi" w:hAnsi="Calibri" w:cstheme="minorBidi"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15:restartNumberingAfterBreak="0">
    <w:nsid w:val="704A0E2C"/>
    <w:multiLevelType w:val="hybridMultilevel"/>
    <w:tmpl w:val="B978B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BA63A1"/>
    <w:multiLevelType w:val="hybridMultilevel"/>
    <w:tmpl w:val="E2962010"/>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2" w15:restartNumberingAfterBreak="0">
    <w:nsid w:val="70D4467A"/>
    <w:multiLevelType w:val="hybridMultilevel"/>
    <w:tmpl w:val="E01089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4" w15:restartNumberingAfterBreak="0">
    <w:nsid w:val="729C2184"/>
    <w:multiLevelType w:val="hybridMultilevel"/>
    <w:tmpl w:val="206AE940"/>
    <w:lvl w:ilvl="0" w:tplc="1764A9FA">
      <w:numFmt w:val="bullet"/>
      <w:lvlText w:val="-"/>
      <w:lvlJc w:val="left"/>
      <w:pPr>
        <w:ind w:left="720" w:hanging="360"/>
      </w:pPr>
      <w:rPr>
        <w:rFonts w:ascii="Arial" w:eastAsiaTheme="minorEastAsia"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5" w15:restartNumberingAfterBreak="0">
    <w:nsid w:val="7328262B"/>
    <w:multiLevelType w:val="hybridMultilevel"/>
    <w:tmpl w:val="097C5A2E"/>
    <w:lvl w:ilvl="0" w:tplc="020010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C0293A"/>
    <w:multiLevelType w:val="hybridMultilevel"/>
    <w:tmpl w:val="C7FCB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92F56D7"/>
    <w:multiLevelType w:val="hybridMultilevel"/>
    <w:tmpl w:val="5A52537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78" w15:restartNumberingAfterBreak="0">
    <w:nsid w:val="79940097"/>
    <w:multiLevelType w:val="hybridMultilevel"/>
    <w:tmpl w:val="A9548E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B1A755F"/>
    <w:multiLevelType w:val="hybridMultilevel"/>
    <w:tmpl w:val="39EC6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7B2919DC"/>
    <w:multiLevelType w:val="hybridMultilevel"/>
    <w:tmpl w:val="0C32442A"/>
    <w:lvl w:ilvl="0" w:tplc="7018C332">
      <w:start w:val="2015"/>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7C0D63C2"/>
    <w:multiLevelType w:val="hybridMultilevel"/>
    <w:tmpl w:val="C13CC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7E315EB2"/>
    <w:multiLevelType w:val="hybridMultilevel"/>
    <w:tmpl w:val="27B846C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41"/>
  </w:num>
  <w:num w:numId="2">
    <w:abstractNumId w:val="71"/>
  </w:num>
  <w:num w:numId="3">
    <w:abstractNumId w:val="69"/>
  </w:num>
  <w:num w:numId="4">
    <w:abstractNumId w:val="4"/>
  </w:num>
  <w:num w:numId="5">
    <w:abstractNumId w:val="32"/>
  </w:num>
  <w:num w:numId="6">
    <w:abstractNumId w:val="63"/>
  </w:num>
  <w:num w:numId="7">
    <w:abstractNumId w:val="24"/>
  </w:num>
  <w:num w:numId="8">
    <w:abstractNumId w:val="0"/>
  </w:num>
  <w:num w:numId="9">
    <w:abstractNumId w:val="7"/>
  </w:num>
  <w:num w:numId="10">
    <w:abstractNumId w:val="46"/>
  </w:num>
  <w:num w:numId="11">
    <w:abstractNumId w:val="48"/>
  </w:num>
  <w:num w:numId="12">
    <w:abstractNumId w:val="81"/>
  </w:num>
  <w:num w:numId="13">
    <w:abstractNumId w:val="35"/>
  </w:num>
  <w:num w:numId="14">
    <w:abstractNumId w:val="6"/>
  </w:num>
  <w:num w:numId="15">
    <w:abstractNumId w:val="57"/>
  </w:num>
  <w:num w:numId="16">
    <w:abstractNumId w:val="3"/>
  </w:num>
  <w:num w:numId="17">
    <w:abstractNumId w:val="25"/>
  </w:num>
  <w:num w:numId="18">
    <w:abstractNumId w:val="16"/>
  </w:num>
  <w:num w:numId="19">
    <w:abstractNumId w:val="30"/>
  </w:num>
  <w:num w:numId="20">
    <w:abstractNumId w:val="82"/>
  </w:num>
  <w:num w:numId="21">
    <w:abstractNumId w:val="50"/>
  </w:num>
  <w:num w:numId="22">
    <w:abstractNumId w:val="73"/>
  </w:num>
  <w:num w:numId="23">
    <w:abstractNumId w:val="40"/>
  </w:num>
  <w:num w:numId="24">
    <w:abstractNumId w:val="47"/>
  </w:num>
  <w:num w:numId="25">
    <w:abstractNumId w:val="14"/>
  </w:num>
  <w:num w:numId="26">
    <w:abstractNumId w:val="39"/>
  </w:num>
  <w:num w:numId="27">
    <w:abstractNumId w:val="54"/>
  </w:num>
  <w:num w:numId="28">
    <w:abstractNumId w:val="1"/>
  </w:num>
  <w:num w:numId="29">
    <w:abstractNumId w:val="38"/>
  </w:num>
  <w:num w:numId="30">
    <w:abstractNumId w:val="37"/>
  </w:num>
  <w:num w:numId="31">
    <w:abstractNumId w:val="74"/>
  </w:num>
  <w:num w:numId="32">
    <w:abstractNumId w:val="61"/>
  </w:num>
  <w:num w:numId="33">
    <w:abstractNumId w:val="23"/>
  </w:num>
  <w:num w:numId="34">
    <w:abstractNumId w:val="11"/>
  </w:num>
  <w:num w:numId="35">
    <w:abstractNumId w:val="64"/>
  </w:num>
  <w:num w:numId="36">
    <w:abstractNumId w:val="9"/>
  </w:num>
  <w:num w:numId="37">
    <w:abstractNumId w:val="80"/>
  </w:num>
  <w:num w:numId="38">
    <w:abstractNumId w:val="22"/>
  </w:num>
  <w:num w:numId="39">
    <w:abstractNumId w:val="78"/>
  </w:num>
  <w:num w:numId="40">
    <w:abstractNumId w:val="51"/>
  </w:num>
  <w:num w:numId="41">
    <w:abstractNumId w:val="27"/>
  </w:num>
  <w:num w:numId="42">
    <w:abstractNumId w:val="72"/>
  </w:num>
  <w:num w:numId="43">
    <w:abstractNumId w:val="67"/>
  </w:num>
  <w:num w:numId="44">
    <w:abstractNumId w:val="31"/>
  </w:num>
  <w:num w:numId="45">
    <w:abstractNumId w:val="45"/>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num>
  <w:num w:numId="48">
    <w:abstractNumId w:val="66"/>
  </w:num>
  <w:num w:numId="49">
    <w:abstractNumId w:val="10"/>
  </w:num>
  <w:num w:numId="50">
    <w:abstractNumId w:val="2"/>
  </w:num>
  <w:num w:numId="51">
    <w:abstractNumId w:val="5"/>
  </w:num>
  <w:num w:numId="52">
    <w:abstractNumId w:val="20"/>
  </w:num>
  <w:num w:numId="53">
    <w:abstractNumId w:val="21"/>
  </w:num>
  <w:num w:numId="54">
    <w:abstractNumId w:val="8"/>
  </w:num>
  <w:num w:numId="55">
    <w:abstractNumId w:val="77"/>
  </w:num>
  <w:num w:numId="56">
    <w:abstractNumId w:val="58"/>
  </w:num>
  <w:num w:numId="57">
    <w:abstractNumId w:val="18"/>
  </w:num>
  <w:num w:numId="58">
    <w:abstractNumId w:val="42"/>
  </w:num>
  <w:num w:numId="59">
    <w:abstractNumId w:val="49"/>
  </w:num>
  <w:num w:numId="60">
    <w:abstractNumId w:val="29"/>
  </w:num>
  <w:num w:numId="61">
    <w:abstractNumId w:val="65"/>
  </w:num>
  <w:num w:numId="62">
    <w:abstractNumId w:val="15"/>
  </w:num>
  <w:num w:numId="63">
    <w:abstractNumId w:val="26"/>
  </w:num>
  <w:num w:numId="64">
    <w:abstractNumId w:val="17"/>
  </w:num>
  <w:num w:numId="65">
    <w:abstractNumId w:val="33"/>
  </w:num>
  <w:num w:numId="66">
    <w:abstractNumId w:val="59"/>
  </w:num>
  <w:num w:numId="67">
    <w:abstractNumId w:val="13"/>
  </w:num>
  <w:num w:numId="68">
    <w:abstractNumId w:val="60"/>
  </w:num>
  <w:num w:numId="69">
    <w:abstractNumId w:val="44"/>
  </w:num>
  <w:num w:numId="70">
    <w:abstractNumId w:val="34"/>
  </w:num>
  <w:num w:numId="71">
    <w:abstractNumId w:val="70"/>
  </w:num>
  <w:num w:numId="72">
    <w:abstractNumId w:val="53"/>
  </w:num>
  <w:num w:numId="73">
    <w:abstractNumId w:val="28"/>
  </w:num>
  <w:num w:numId="74">
    <w:abstractNumId w:val="56"/>
  </w:num>
  <w:num w:numId="75">
    <w:abstractNumId w:val="52"/>
  </w:num>
  <w:num w:numId="76">
    <w:abstractNumId w:val="62"/>
  </w:num>
  <w:num w:numId="77">
    <w:abstractNumId w:val="79"/>
  </w:num>
  <w:num w:numId="78">
    <w:abstractNumId w:val="55"/>
  </w:num>
  <w:num w:numId="79">
    <w:abstractNumId w:val="12"/>
  </w:num>
  <w:num w:numId="80">
    <w:abstractNumId w:val="12"/>
  </w:num>
  <w:num w:numId="81">
    <w:abstractNumId w:val="36"/>
  </w:num>
  <w:num w:numId="82">
    <w:abstractNumId w:val="75"/>
  </w:num>
  <w:num w:numId="83">
    <w:abstractNumId w:val="43"/>
  </w:num>
  <w:num w:numId="84">
    <w:abstractNumId w:val="1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characterSpacingControl w:val="doNotCompress"/>
  <w:hdrShapeDefaults>
    <o:shapedefaults v:ext="edit" spidmax="2049">
      <o:colormru v:ext="edit" colors="#f6f9fc,white"/>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2F"/>
    <w:rsid w:val="00000181"/>
    <w:rsid w:val="00000507"/>
    <w:rsid w:val="00000713"/>
    <w:rsid w:val="00000769"/>
    <w:rsid w:val="000009C2"/>
    <w:rsid w:val="00000B37"/>
    <w:rsid w:val="000011EC"/>
    <w:rsid w:val="000011F2"/>
    <w:rsid w:val="0000124C"/>
    <w:rsid w:val="000014EA"/>
    <w:rsid w:val="00001500"/>
    <w:rsid w:val="0000172B"/>
    <w:rsid w:val="0000174B"/>
    <w:rsid w:val="00001ADC"/>
    <w:rsid w:val="00001BCC"/>
    <w:rsid w:val="00001BE7"/>
    <w:rsid w:val="00001C3B"/>
    <w:rsid w:val="00002211"/>
    <w:rsid w:val="000022C7"/>
    <w:rsid w:val="0000281C"/>
    <w:rsid w:val="00002872"/>
    <w:rsid w:val="00002B09"/>
    <w:rsid w:val="00002BBF"/>
    <w:rsid w:val="00002CF5"/>
    <w:rsid w:val="00002D17"/>
    <w:rsid w:val="00002DA2"/>
    <w:rsid w:val="00002E2E"/>
    <w:rsid w:val="000036B9"/>
    <w:rsid w:val="000040C2"/>
    <w:rsid w:val="000042A8"/>
    <w:rsid w:val="0000448E"/>
    <w:rsid w:val="000044C2"/>
    <w:rsid w:val="00004752"/>
    <w:rsid w:val="00004961"/>
    <w:rsid w:val="000049BD"/>
    <w:rsid w:val="00004DA6"/>
    <w:rsid w:val="00004E65"/>
    <w:rsid w:val="00005018"/>
    <w:rsid w:val="000051C8"/>
    <w:rsid w:val="000052DD"/>
    <w:rsid w:val="0000536F"/>
    <w:rsid w:val="000054C5"/>
    <w:rsid w:val="0000556E"/>
    <w:rsid w:val="00005E2E"/>
    <w:rsid w:val="00005F13"/>
    <w:rsid w:val="00005F26"/>
    <w:rsid w:val="0000624D"/>
    <w:rsid w:val="0000640C"/>
    <w:rsid w:val="00006644"/>
    <w:rsid w:val="00006740"/>
    <w:rsid w:val="000067D2"/>
    <w:rsid w:val="000067FD"/>
    <w:rsid w:val="000068FB"/>
    <w:rsid w:val="00006991"/>
    <w:rsid w:val="00006B58"/>
    <w:rsid w:val="00006BE8"/>
    <w:rsid w:val="00007055"/>
    <w:rsid w:val="000071C9"/>
    <w:rsid w:val="00007916"/>
    <w:rsid w:val="000079C8"/>
    <w:rsid w:val="00007ABC"/>
    <w:rsid w:val="00007C22"/>
    <w:rsid w:val="00010130"/>
    <w:rsid w:val="000101CC"/>
    <w:rsid w:val="000103FD"/>
    <w:rsid w:val="00010644"/>
    <w:rsid w:val="0001079D"/>
    <w:rsid w:val="000108AE"/>
    <w:rsid w:val="00010902"/>
    <w:rsid w:val="00010A55"/>
    <w:rsid w:val="00010AD5"/>
    <w:rsid w:val="00010DCB"/>
    <w:rsid w:val="0001104E"/>
    <w:rsid w:val="000110D8"/>
    <w:rsid w:val="000111C2"/>
    <w:rsid w:val="0001131A"/>
    <w:rsid w:val="00011365"/>
    <w:rsid w:val="000113BD"/>
    <w:rsid w:val="0001149A"/>
    <w:rsid w:val="000115C2"/>
    <w:rsid w:val="00011914"/>
    <w:rsid w:val="0001196F"/>
    <w:rsid w:val="00011BAC"/>
    <w:rsid w:val="0001258C"/>
    <w:rsid w:val="00012A99"/>
    <w:rsid w:val="00012C25"/>
    <w:rsid w:val="000131C7"/>
    <w:rsid w:val="0001339B"/>
    <w:rsid w:val="000133C8"/>
    <w:rsid w:val="00013677"/>
    <w:rsid w:val="000136ED"/>
    <w:rsid w:val="000136FB"/>
    <w:rsid w:val="0001375E"/>
    <w:rsid w:val="000138D2"/>
    <w:rsid w:val="00013953"/>
    <w:rsid w:val="00013BF3"/>
    <w:rsid w:val="00013D99"/>
    <w:rsid w:val="00013FFD"/>
    <w:rsid w:val="00014010"/>
    <w:rsid w:val="00014188"/>
    <w:rsid w:val="00014283"/>
    <w:rsid w:val="000142AB"/>
    <w:rsid w:val="000142D9"/>
    <w:rsid w:val="000143F7"/>
    <w:rsid w:val="00014570"/>
    <w:rsid w:val="0001461F"/>
    <w:rsid w:val="000147B2"/>
    <w:rsid w:val="00014A3A"/>
    <w:rsid w:val="00014A48"/>
    <w:rsid w:val="00014D4C"/>
    <w:rsid w:val="00014FBA"/>
    <w:rsid w:val="0001518F"/>
    <w:rsid w:val="000151BA"/>
    <w:rsid w:val="000151D4"/>
    <w:rsid w:val="000154E6"/>
    <w:rsid w:val="00015C83"/>
    <w:rsid w:val="00015F95"/>
    <w:rsid w:val="000161E9"/>
    <w:rsid w:val="0001634B"/>
    <w:rsid w:val="0001643E"/>
    <w:rsid w:val="000164D9"/>
    <w:rsid w:val="00016673"/>
    <w:rsid w:val="000168B9"/>
    <w:rsid w:val="00016CE0"/>
    <w:rsid w:val="00016D3C"/>
    <w:rsid w:val="00017121"/>
    <w:rsid w:val="0001719A"/>
    <w:rsid w:val="0001722D"/>
    <w:rsid w:val="0001756E"/>
    <w:rsid w:val="000177B7"/>
    <w:rsid w:val="00017B16"/>
    <w:rsid w:val="00017E89"/>
    <w:rsid w:val="00017EC8"/>
    <w:rsid w:val="0002061E"/>
    <w:rsid w:val="00020722"/>
    <w:rsid w:val="0002078D"/>
    <w:rsid w:val="00020C27"/>
    <w:rsid w:val="00020D3C"/>
    <w:rsid w:val="00020D61"/>
    <w:rsid w:val="0002103A"/>
    <w:rsid w:val="00021298"/>
    <w:rsid w:val="00021661"/>
    <w:rsid w:val="000218E5"/>
    <w:rsid w:val="0002190A"/>
    <w:rsid w:val="00021AE4"/>
    <w:rsid w:val="00021CC5"/>
    <w:rsid w:val="00021E5F"/>
    <w:rsid w:val="00022287"/>
    <w:rsid w:val="000222DC"/>
    <w:rsid w:val="000223C3"/>
    <w:rsid w:val="00022408"/>
    <w:rsid w:val="0002262A"/>
    <w:rsid w:val="000228AF"/>
    <w:rsid w:val="00022979"/>
    <w:rsid w:val="00022DEA"/>
    <w:rsid w:val="00022F23"/>
    <w:rsid w:val="00023032"/>
    <w:rsid w:val="000230AF"/>
    <w:rsid w:val="00023354"/>
    <w:rsid w:val="0002348B"/>
    <w:rsid w:val="000237DD"/>
    <w:rsid w:val="000239E7"/>
    <w:rsid w:val="00023BBC"/>
    <w:rsid w:val="00023C16"/>
    <w:rsid w:val="00023D37"/>
    <w:rsid w:val="00023E26"/>
    <w:rsid w:val="00023FBE"/>
    <w:rsid w:val="00024022"/>
    <w:rsid w:val="00024215"/>
    <w:rsid w:val="000246ED"/>
    <w:rsid w:val="0002471B"/>
    <w:rsid w:val="0002472A"/>
    <w:rsid w:val="0002473B"/>
    <w:rsid w:val="00024859"/>
    <w:rsid w:val="000248C4"/>
    <w:rsid w:val="00024BAB"/>
    <w:rsid w:val="00024CD5"/>
    <w:rsid w:val="00024F0B"/>
    <w:rsid w:val="00024F36"/>
    <w:rsid w:val="000252E9"/>
    <w:rsid w:val="0002534F"/>
    <w:rsid w:val="000254C3"/>
    <w:rsid w:val="0002559B"/>
    <w:rsid w:val="000255E7"/>
    <w:rsid w:val="000256AD"/>
    <w:rsid w:val="00025724"/>
    <w:rsid w:val="00025761"/>
    <w:rsid w:val="0002589F"/>
    <w:rsid w:val="000258F2"/>
    <w:rsid w:val="00025963"/>
    <w:rsid w:val="00025DD8"/>
    <w:rsid w:val="00025FCF"/>
    <w:rsid w:val="000261B3"/>
    <w:rsid w:val="00026585"/>
    <w:rsid w:val="000267AD"/>
    <w:rsid w:val="00026921"/>
    <w:rsid w:val="00026BEF"/>
    <w:rsid w:val="00026BF2"/>
    <w:rsid w:val="00027350"/>
    <w:rsid w:val="0002778D"/>
    <w:rsid w:val="000277B7"/>
    <w:rsid w:val="00027927"/>
    <w:rsid w:val="00027A07"/>
    <w:rsid w:val="00027DF8"/>
    <w:rsid w:val="00030086"/>
    <w:rsid w:val="000303EB"/>
    <w:rsid w:val="00030869"/>
    <w:rsid w:val="000308E6"/>
    <w:rsid w:val="0003090F"/>
    <w:rsid w:val="00030BC0"/>
    <w:rsid w:val="00030CA8"/>
    <w:rsid w:val="000319AF"/>
    <w:rsid w:val="000319C7"/>
    <w:rsid w:val="00031A0F"/>
    <w:rsid w:val="00031CE5"/>
    <w:rsid w:val="00031D0D"/>
    <w:rsid w:val="00031D31"/>
    <w:rsid w:val="00031D9D"/>
    <w:rsid w:val="00031EAE"/>
    <w:rsid w:val="00032056"/>
    <w:rsid w:val="00032548"/>
    <w:rsid w:val="0003297E"/>
    <w:rsid w:val="00032985"/>
    <w:rsid w:val="00032E6B"/>
    <w:rsid w:val="000335A9"/>
    <w:rsid w:val="0003393F"/>
    <w:rsid w:val="00033FB4"/>
    <w:rsid w:val="0003404C"/>
    <w:rsid w:val="000340D3"/>
    <w:rsid w:val="00034198"/>
    <w:rsid w:val="00034215"/>
    <w:rsid w:val="0003461E"/>
    <w:rsid w:val="00034FC1"/>
    <w:rsid w:val="000350EC"/>
    <w:rsid w:val="000354C7"/>
    <w:rsid w:val="00035B40"/>
    <w:rsid w:val="00035B48"/>
    <w:rsid w:val="00035E5A"/>
    <w:rsid w:val="00035FC5"/>
    <w:rsid w:val="00036053"/>
    <w:rsid w:val="000360D3"/>
    <w:rsid w:val="00036295"/>
    <w:rsid w:val="00036514"/>
    <w:rsid w:val="000365A0"/>
    <w:rsid w:val="0003675E"/>
    <w:rsid w:val="000367B1"/>
    <w:rsid w:val="00036976"/>
    <w:rsid w:val="00036AC0"/>
    <w:rsid w:val="0003710D"/>
    <w:rsid w:val="000373C0"/>
    <w:rsid w:val="000373E6"/>
    <w:rsid w:val="000377E1"/>
    <w:rsid w:val="000379B9"/>
    <w:rsid w:val="00037A61"/>
    <w:rsid w:val="00037C9F"/>
    <w:rsid w:val="00037DFB"/>
    <w:rsid w:val="00037EDC"/>
    <w:rsid w:val="00037EE3"/>
    <w:rsid w:val="00037F7C"/>
    <w:rsid w:val="00040484"/>
    <w:rsid w:val="00040E7D"/>
    <w:rsid w:val="00040E82"/>
    <w:rsid w:val="00040F26"/>
    <w:rsid w:val="00040F28"/>
    <w:rsid w:val="000414ED"/>
    <w:rsid w:val="00041702"/>
    <w:rsid w:val="00041708"/>
    <w:rsid w:val="00041846"/>
    <w:rsid w:val="00041995"/>
    <w:rsid w:val="00041A4E"/>
    <w:rsid w:val="00041B4B"/>
    <w:rsid w:val="0004245E"/>
    <w:rsid w:val="00042819"/>
    <w:rsid w:val="00042E18"/>
    <w:rsid w:val="00042EDB"/>
    <w:rsid w:val="0004322A"/>
    <w:rsid w:val="0004328E"/>
    <w:rsid w:val="000434AE"/>
    <w:rsid w:val="00043608"/>
    <w:rsid w:val="000436D3"/>
    <w:rsid w:val="000437E1"/>
    <w:rsid w:val="00043A7B"/>
    <w:rsid w:val="00043B60"/>
    <w:rsid w:val="00043C00"/>
    <w:rsid w:val="00043CA6"/>
    <w:rsid w:val="00043F34"/>
    <w:rsid w:val="00043F8B"/>
    <w:rsid w:val="00044321"/>
    <w:rsid w:val="00044327"/>
    <w:rsid w:val="00044488"/>
    <w:rsid w:val="000444A7"/>
    <w:rsid w:val="0004456E"/>
    <w:rsid w:val="000449B5"/>
    <w:rsid w:val="00044BE7"/>
    <w:rsid w:val="00044DB4"/>
    <w:rsid w:val="00044DEC"/>
    <w:rsid w:val="00044EA5"/>
    <w:rsid w:val="00044EF5"/>
    <w:rsid w:val="000452D7"/>
    <w:rsid w:val="0004544B"/>
    <w:rsid w:val="00045491"/>
    <w:rsid w:val="000456CE"/>
    <w:rsid w:val="000456DB"/>
    <w:rsid w:val="00045AAD"/>
    <w:rsid w:val="00045B97"/>
    <w:rsid w:val="00045D40"/>
    <w:rsid w:val="00045DFD"/>
    <w:rsid w:val="000461A0"/>
    <w:rsid w:val="000462D2"/>
    <w:rsid w:val="000463AE"/>
    <w:rsid w:val="0004655D"/>
    <w:rsid w:val="000465A1"/>
    <w:rsid w:val="000469A0"/>
    <w:rsid w:val="00046A59"/>
    <w:rsid w:val="00046F40"/>
    <w:rsid w:val="00046FEA"/>
    <w:rsid w:val="00047509"/>
    <w:rsid w:val="00047734"/>
    <w:rsid w:val="0004776D"/>
    <w:rsid w:val="00047A22"/>
    <w:rsid w:val="00047B42"/>
    <w:rsid w:val="00047C6C"/>
    <w:rsid w:val="00050080"/>
    <w:rsid w:val="0005010B"/>
    <w:rsid w:val="00050125"/>
    <w:rsid w:val="0005018C"/>
    <w:rsid w:val="00050239"/>
    <w:rsid w:val="0005037F"/>
    <w:rsid w:val="000503BE"/>
    <w:rsid w:val="000504DB"/>
    <w:rsid w:val="00050751"/>
    <w:rsid w:val="00050E1D"/>
    <w:rsid w:val="00050E3D"/>
    <w:rsid w:val="000512F1"/>
    <w:rsid w:val="000512FD"/>
    <w:rsid w:val="000515D3"/>
    <w:rsid w:val="00051606"/>
    <w:rsid w:val="00051768"/>
    <w:rsid w:val="000518DE"/>
    <w:rsid w:val="00051A49"/>
    <w:rsid w:val="00051A6D"/>
    <w:rsid w:val="00051F56"/>
    <w:rsid w:val="00052021"/>
    <w:rsid w:val="00052606"/>
    <w:rsid w:val="00052826"/>
    <w:rsid w:val="00052CA6"/>
    <w:rsid w:val="00052D62"/>
    <w:rsid w:val="00053206"/>
    <w:rsid w:val="0005325D"/>
    <w:rsid w:val="000532AA"/>
    <w:rsid w:val="00053516"/>
    <w:rsid w:val="0005376D"/>
    <w:rsid w:val="000539B2"/>
    <w:rsid w:val="00053AF0"/>
    <w:rsid w:val="00053BD2"/>
    <w:rsid w:val="00053BFB"/>
    <w:rsid w:val="00053DC0"/>
    <w:rsid w:val="00053FA1"/>
    <w:rsid w:val="0005466F"/>
    <w:rsid w:val="00054744"/>
    <w:rsid w:val="00054BC8"/>
    <w:rsid w:val="00054D6C"/>
    <w:rsid w:val="00054DCE"/>
    <w:rsid w:val="00054FD0"/>
    <w:rsid w:val="0005503B"/>
    <w:rsid w:val="0005508F"/>
    <w:rsid w:val="000554B9"/>
    <w:rsid w:val="000557C5"/>
    <w:rsid w:val="00055B88"/>
    <w:rsid w:val="00055D7F"/>
    <w:rsid w:val="00055FF7"/>
    <w:rsid w:val="00056005"/>
    <w:rsid w:val="00056346"/>
    <w:rsid w:val="000566C7"/>
    <w:rsid w:val="00056862"/>
    <w:rsid w:val="000569F9"/>
    <w:rsid w:val="00056C1F"/>
    <w:rsid w:val="00056C9A"/>
    <w:rsid w:val="00056CFC"/>
    <w:rsid w:val="00056FBC"/>
    <w:rsid w:val="000570A0"/>
    <w:rsid w:val="000570F0"/>
    <w:rsid w:val="00057106"/>
    <w:rsid w:val="000573AF"/>
    <w:rsid w:val="00057615"/>
    <w:rsid w:val="00057AA3"/>
    <w:rsid w:val="00057B61"/>
    <w:rsid w:val="00057C8B"/>
    <w:rsid w:val="00057E8A"/>
    <w:rsid w:val="000605C8"/>
    <w:rsid w:val="000607D3"/>
    <w:rsid w:val="00060D49"/>
    <w:rsid w:val="00060EC9"/>
    <w:rsid w:val="00061002"/>
    <w:rsid w:val="000611AF"/>
    <w:rsid w:val="000612CA"/>
    <w:rsid w:val="00061804"/>
    <w:rsid w:val="00061859"/>
    <w:rsid w:val="00061948"/>
    <w:rsid w:val="00061E64"/>
    <w:rsid w:val="000620C2"/>
    <w:rsid w:val="000620F5"/>
    <w:rsid w:val="000621BF"/>
    <w:rsid w:val="000623D3"/>
    <w:rsid w:val="00062469"/>
    <w:rsid w:val="000626DB"/>
    <w:rsid w:val="000627EB"/>
    <w:rsid w:val="00062948"/>
    <w:rsid w:val="00062EC5"/>
    <w:rsid w:val="00062FA4"/>
    <w:rsid w:val="000630B2"/>
    <w:rsid w:val="00063158"/>
    <w:rsid w:val="00063370"/>
    <w:rsid w:val="000639A5"/>
    <w:rsid w:val="00063C26"/>
    <w:rsid w:val="000640BF"/>
    <w:rsid w:val="0006411C"/>
    <w:rsid w:val="0006423C"/>
    <w:rsid w:val="00064372"/>
    <w:rsid w:val="00064382"/>
    <w:rsid w:val="000643E4"/>
    <w:rsid w:val="00064574"/>
    <w:rsid w:val="0006491C"/>
    <w:rsid w:val="000651D7"/>
    <w:rsid w:val="0006520B"/>
    <w:rsid w:val="0006526C"/>
    <w:rsid w:val="000652EE"/>
    <w:rsid w:val="000655D7"/>
    <w:rsid w:val="000656E4"/>
    <w:rsid w:val="00065707"/>
    <w:rsid w:val="0006582B"/>
    <w:rsid w:val="00065873"/>
    <w:rsid w:val="00065AF4"/>
    <w:rsid w:val="00065F99"/>
    <w:rsid w:val="00066134"/>
    <w:rsid w:val="00066280"/>
    <w:rsid w:val="000662FE"/>
    <w:rsid w:val="0006651D"/>
    <w:rsid w:val="000666C8"/>
    <w:rsid w:val="0006689B"/>
    <w:rsid w:val="000668A8"/>
    <w:rsid w:val="00066A3D"/>
    <w:rsid w:val="00066B5E"/>
    <w:rsid w:val="00066BC1"/>
    <w:rsid w:val="00066C24"/>
    <w:rsid w:val="00066CD9"/>
    <w:rsid w:val="00066ED1"/>
    <w:rsid w:val="0006749F"/>
    <w:rsid w:val="0006789E"/>
    <w:rsid w:val="000679AE"/>
    <w:rsid w:val="000679FB"/>
    <w:rsid w:val="00067BF5"/>
    <w:rsid w:val="00067FD7"/>
    <w:rsid w:val="0007007D"/>
    <w:rsid w:val="000700AE"/>
    <w:rsid w:val="000701F7"/>
    <w:rsid w:val="00070289"/>
    <w:rsid w:val="0007033A"/>
    <w:rsid w:val="00070411"/>
    <w:rsid w:val="00070500"/>
    <w:rsid w:val="00070603"/>
    <w:rsid w:val="00070688"/>
    <w:rsid w:val="0007080C"/>
    <w:rsid w:val="000708D1"/>
    <w:rsid w:val="00070B98"/>
    <w:rsid w:val="00070EF4"/>
    <w:rsid w:val="00070F81"/>
    <w:rsid w:val="00070F9E"/>
    <w:rsid w:val="00070FAC"/>
    <w:rsid w:val="00070FD0"/>
    <w:rsid w:val="00070FF2"/>
    <w:rsid w:val="000713F8"/>
    <w:rsid w:val="0007140A"/>
    <w:rsid w:val="00071422"/>
    <w:rsid w:val="00071883"/>
    <w:rsid w:val="0007189B"/>
    <w:rsid w:val="00071915"/>
    <w:rsid w:val="000721E2"/>
    <w:rsid w:val="00072830"/>
    <w:rsid w:val="00072970"/>
    <w:rsid w:val="000729E3"/>
    <w:rsid w:val="00072AA9"/>
    <w:rsid w:val="00073377"/>
    <w:rsid w:val="00073624"/>
    <w:rsid w:val="00073653"/>
    <w:rsid w:val="00073C1D"/>
    <w:rsid w:val="00073D69"/>
    <w:rsid w:val="00073DC3"/>
    <w:rsid w:val="00073DF6"/>
    <w:rsid w:val="00073EE6"/>
    <w:rsid w:val="0007406D"/>
    <w:rsid w:val="00074164"/>
    <w:rsid w:val="000742A9"/>
    <w:rsid w:val="000748D0"/>
    <w:rsid w:val="000749E5"/>
    <w:rsid w:val="00074A60"/>
    <w:rsid w:val="00074BF6"/>
    <w:rsid w:val="00074C88"/>
    <w:rsid w:val="00074CC9"/>
    <w:rsid w:val="000750F8"/>
    <w:rsid w:val="00075219"/>
    <w:rsid w:val="0007574D"/>
    <w:rsid w:val="0007587F"/>
    <w:rsid w:val="000759C4"/>
    <w:rsid w:val="00075AAA"/>
    <w:rsid w:val="00075B99"/>
    <w:rsid w:val="00076081"/>
    <w:rsid w:val="000761DA"/>
    <w:rsid w:val="00076356"/>
    <w:rsid w:val="0007637C"/>
    <w:rsid w:val="0007649A"/>
    <w:rsid w:val="000767FD"/>
    <w:rsid w:val="00076B28"/>
    <w:rsid w:val="00076B90"/>
    <w:rsid w:val="00076C8B"/>
    <w:rsid w:val="00076F5E"/>
    <w:rsid w:val="0007756B"/>
    <w:rsid w:val="0007767F"/>
    <w:rsid w:val="000776FE"/>
    <w:rsid w:val="0007782F"/>
    <w:rsid w:val="00077B60"/>
    <w:rsid w:val="000804D7"/>
    <w:rsid w:val="000804DD"/>
    <w:rsid w:val="00080500"/>
    <w:rsid w:val="00080683"/>
    <w:rsid w:val="00080806"/>
    <w:rsid w:val="0008080C"/>
    <w:rsid w:val="000808D9"/>
    <w:rsid w:val="00080B24"/>
    <w:rsid w:val="00080D0A"/>
    <w:rsid w:val="00080D59"/>
    <w:rsid w:val="00080F80"/>
    <w:rsid w:val="00081087"/>
    <w:rsid w:val="000810B2"/>
    <w:rsid w:val="0008122E"/>
    <w:rsid w:val="000813B1"/>
    <w:rsid w:val="0008154B"/>
    <w:rsid w:val="000816FF"/>
    <w:rsid w:val="0008171C"/>
    <w:rsid w:val="000818F8"/>
    <w:rsid w:val="00081B0D"/>
    <w:rsid w:val="00081DE6"/>
    <w:rsid w:val="00081E7B"/>
    <w:rsid w:val="00082046"/>
    <w:rsid w:val="00082083"/>
    <w:rsid w:val="000821F1"/>
    <w:rsid w:val="00082329"/>
    <w:rsid w:val="0008244E"/>
    <w:rsid w:val="000824FE"/>
    <w:rsid w:val="0008256B"/>
    <w:rsid w:val="000825CE"/>
    <w:rsid w:val="00082B2A"/>
    <w:rsid w:val="00082C25"/>
    <w:rsid w:val="00082F08"/>
    <w:rsid w:val="00082FEB"/>
    <w:rsid w:val="00083008"/>
    <w:rsid w:val="000833A4"/>
    <w:rsid w:val="0008359A"/>
    <w:rsid w:val="0008364B"/>
    <w:rsid w:val="000839F1"/>
    <w:rsid w:val="00083B99"/>
    <w:rsid w:val="00083CB3"/>
    <w:rsid w:val="00083D39"/>
    <w:rsid w:val="00083D62"/>
    <w:rsid w:val="00083ED1"/>
    <w:rsid w:val="00083EDA"/>
    <w:rsid w:val="00083FA5"/>
    <w:rsid w:val="00084597"/>
    <w:rsid w:val="0008484A"/>
    <w:rsid w:val="00084A6F"/>
    <w:rsid w:val="00084ADD"/>
    <w:rsid w:val="00085028"/>
    <w:rsid w:val="00085090"/>
    <w:rsid w:val="000851C4"/>
    <w:rsid w:val="000851D3"/>
    <w:rsid w:val="000855C1"/>
    <w:rsid w:val="00085912"/>
    <w:rsid w:val="00085957"/>
    <w:rsid w:val="000859B7"/>
    <w:rsid w:val="000859DA"/>
    <w:rsid w:val="00085CF3"/>
    <w:rsid w:val="00085D5F"/>
    <w:rsid w:val="00085D79"/>
    <w:rsid w:val="0008600D"/>
    <w:rsid w:val="0008603E"/>
    <w:rsid w:val="00086053"/>
    <w:rsid w:val="000861E7"/>
    <w:rsid w:val="0008624D"/>
    <w:rsid w:val="00086552"/>
    <w:rsid w:val="000865C5"/>
    <w:rsid w:val="00086762"/>
    <w:rsid w:val="00086EEB"/>
    <w:rsid w:val="00086F2F"/>
    <w:rsid w:val="00086F65"/>
    <w:rsid w:val="00087002"/>
    <w:rsid w:val="000876DE"/>
    <w:rsid w:val="000876F7"/>
    <w:rsid w:val="00087764"/>
    <w:rsid w:val="00087873"/>
    <w:rsid w:val="00087A58"/>
    <w:rsid w:val="00087ABB"/>
    <w:rsid w:val="00087ADE"/>
    <w:rsid w:val="00087F0B"/>
    <w:rsid w:val="00087F82"/>
    <w:rsid w:val="000903BD"/>
    <w:rsid w:val="0009060F"/>
    <w:rsid w:val="00090616"/>
    <w:rsid w:val="000906E8"/>
    <w:rsid w:val="00090A71"/>
    <w:rsid w:val="00090B06"/>
    <w:rsid w:val="00090D11"/>
    <w:rsid w:val="00090F25"/>
    <w:rsid w:val="00091289"/>
    <w:rsid w:val="0009131F"/>
    <w:rsid w:val="00091964"/>
    <w:rsid w:val="000920B9"/>
    <w:rsid w:val="000925B0"/>
    <w:rsid w:val="00092618"/>
    <w:rsid w:val="00092CE1"/>
    <w:rsid w:val="000930EA"/>
    <w:rsid w:val="000934A4"/>
    <w:rsid w:val="000937DB"/>
    <w:rsid w:val="000938ED"/>
    <w:rsid w:val="00093BF0"/>
    <w:rsid w:val="00094498"/>
    <w:rsid w:val="000944F7"/>
    <w:rsid w:val="0009454C"/>
    <w:rsid w:val="0009492D"/>
    <w:rsid w:val="000949C5"/>
    <w:rsid w:val="00094A33"/>
    <w:rsid w:val="00094BA2"/>
    <w:rsid w:val="00094BBD"/>
    <w:rsid w:val="00094D49"/>
    <w:rsid w:val="00095127"/>
    <w:rsid w:val="000951A4"/>
    <w:rsid w:val="0009527D"/>
    <w:rsid w:val="00095366"/>
    <w:rsid w:val="000953FF"/>
    <w:rsid w:val="0009554D"/>
    <w:rsid w:val="0009588C"/>
    <w:rsid w:val="0009590C"/>
    <w:rsid w:val="00095B5C"/>
    <w:rsid w:val="00095CDD"/>
    <w:rsid w:val="00095F9A"/>
    <w:rsid w:val="00096122"/>
    <w:rsid w:val="00096C62"/>
    <w:rsid w:val="00096DFB"/>
    <w:rsid w:val="00096EFE"/>
    <w:rsid w:val="000972A8"/>
    <w:rsid w:val="000973DE"/>
    <w:rsid w:val="0009756A"/>
    <w:rsid w:val="000976CE"/>
    <w:rsid w:val="000976D8"/>
    <w:rsid w:val="0009770F"/>
    <w:rsid w:val="0009786D"/>
    <w:rsid w:val="000978E8"/>
    <w:rsid w:val="000978EE"/>
    <w:rsid w:val="00097A31"/>
    <w:rsid w:val="00097B46"/>
    <w:rsid w:val="00097D01"/>
    <w:rsid w:val="00097D1C"/>
    <w:rsid w:val="00097EF0"/>
    <w:rsid w:val="000A0010"/>
    <w:rsid w:val="000A050F"/>
    <w:rsid w:val="000A06FA"/>
    <w:rsid w:val="000A0762"/>
    <w:rsid w:val="000A0A89"/>
    <w:rsid w:val="000A1230"/>
    <w:rsid w:val="000A1355"/>
    <w:rsid w:val="000A1446"/>
    <w:rsid w:val="000A156F"/>
    <w:rsid w:val="000A1704"/>
    <w:rsid w:val="000A1861"/>
    <w:rsid w:val="000A18DB"/>
    <w:rsid w:val="000A1AD9"/>
    <w:rsid w:val="000A1C58"/>
    <w:rsid w:val="000A1DCE"/>
    <w:rsid w:val="000A1EC9"/>
    <w:rsid w:val="000A1F89"/>
    <w:rsid w:val="000A2375"/>
    <w:rsid w:val="000A23AD"/>
    <w:rsid w:val="000A250E"/>
    <w:rsid w:val="000A2812"/>
    <w:rsid w:val="000A28A5"/>
    <w:rsid w:val="000A2902"/>
    <w:rsid w:val="000A2A98"/>
    <w:rsid w:val="000A2C51"/>
    <w:rsid w:val="000A2D09"/>
    <w:rsid w:val="000A2DBD"/>
    <w:rsid w:val="000A3009"/>
    <w:rsid w:val="000A30CB"/>
    <w:rsid w:val="000A32BC"/>
    <w:rsid w:val="000A3402"/>
    <w:rsid w:val="000A359A"/>
    <w:rsid w:val="000A37F7"/>
    <w:rsid w:val="000A381C"/>
    <w:rsid w:val="000A38AD"/>
    <w:rsid w:val="000A3901"/>
    <w:rsid w:val="000A3D8C"/>
    <w:rsid w:val="000A3E88"/>
    <w:rsid w:val="000A3FF1"/>
    <w:rsid w:val="000A42B8"/>
    <w:rsid w:val="000A48A1"/>
    <w:rsid w:val="000A4B3E"/>
    <w:rsid w:val="000A4D3C"/>
    <w:rsid w:val="000A528E"/>
    <w:rsid w:val="000A5304"/>
    <w:rsid w:val="000A54B2"/>
    <w:rsid w:val="000A5678"/>
    <w:rsid w:val="000A56A2"/>
    <w:rsid w:val="000A5819"/>
    <w:rsid w:val="000A581B"/>
    <w:rsid w:val="000A5DCC"/>
    <w:rsid w:val="000A6197"/>
    <w:rsid w:val="000A64CA"/>
    <w:rsid w:val="000A659D"/>
    <w:rsid w:val="000A6723"/>
    <w:rsid w:val="000A6822"/>
    <w:rsid w:val="000A6881"/>
    <w:rsid w:val="000A6A04"/>
    <w:rsid w:val="000A6A1F"/>
    <w:rsid w:val="000A6C50"/>
    <w:rsid w:val="000A7149"/>
    <w:rsid w:val="000A7221"/>
    <w:rsid w:val="000A7243"/>
    <w:rsid w:val="000A7464"/>
    <w:rsid w:val="000A7943"/>
    <w:rsid w:val="000A7A01"/>
    <w:rsid w:val="000A7CB7"/>
    <w:rsid w:val="000A7D1D"/>
    <w:rsid w:val="000A7FD6"/>
    <w:rsid w:val="000B012B"/>
    <w:rsid w:val="000B0259"/>
    <w:rsid w:val="000B0403"/>
    <w:rsid w:val="000B0450"/>
    <w:rsid w:val="000B092F"/>
    <w:rsid w:val="000B0CAE"/>
    <w:rsid w:val="000B0D39"/>
    <w:rsid w:val="000B0EC6"/>
    <w:rsid w:val="000B129F"/>
    <w:rsid w:val="000B1340"/>
    <w:rsid w:val="000B154F"/>
    <w:rsid w:val="000B1564"/>
    <w:rsid w:val="000B1610"/>
    <w:rsid w:val="000B1645"/>
    <w:rsid w:val="000B1A59"/>
    <w:rsid w:val="000B1B1A"/>
    <w:rsid w:val="000B1C5A"/>
    <w:rsid w:val="000B2074"/>
    <w:rsid w:val="000B2333"/>
    <w:rsid w:val="000B23ED"/>
    <w:rsid w:val="000B2484"/>
    <w:rsid w:val="000B248A"/>
    <w:rsid w:val="000B2521"/>
    <w:rsid w:val="000B273C"/>
    <w:rsid w:val="000B2A18"/>
    <w:rsid w:val="000B2EF4"/>
    <w:rsid w:val="000B2F1D"/>
    <w:rsid w:val="000B2F53"/>
    <w:rsid w:val="000B31F1"/>
    <w:rsid w:val="000B364E"/>
    <w:rsid w:val="000B365F"/>
    <w:rsid w:val="000B382A"/>
    <w:rsid w:val="000B3B9E"/>
    <w:rsid w:val="000B3D83"/>
    <w:rsid w:val="000B3F55"/>
    <w:rsid w:val="000B41AF"/>
    <w:rsid w:val="000B4253"/>
    <w:rsid w:val="000B45AF"/>
    <w:rsid w:val="000B46C4"/>
    <w:rsid w:val="000B4AED"/>
    <w:rsid w:val="000B4DDE"/>
    <w:rsid w:val="000B5039"/>
    <w:rsid w:val="000B503F"/>
    <w:rsid w:val="000B5686"/>
    <w:rsid w:val="000B5989"/>
    <w:rsid w:val="000B5E98"/>
    <w:rsid w:val="000B602B"/>
    <w:rsid w:val="000B6240"/>
    <w:rsid w:val="000B62F8"/>
    <w:rsid w:val="000B636D"/>
    <w:rsid w:val="000B677C"/>
    <w:rsid w:val="000B6803"/>
    <w:rsid w:val="000B68F4"/>
    <w:rsid w:val="000B6C49"/>
    <w:rsid w:val="000B6CD7"/>
    <w:rsid w:val="000B6D47"/>
    <w:rsid w:val="000B6F59"/>
    <w:rsid w:val="000B71F6"/>
    <w:rsid w:val="000B7350"/>
    <w:rsid w:val="000B7555"/>
    <w:rsid w:val="000B78ED"/>
    <w:rsid w:val="000B7A5E"/>
    <w:rsid w:val="000B7BEA"/>
    <w:rsid w:val="000B7E3B"/>
    <w:rsid w:val="000C01CB"/>
    <w:rsid w:val="000C040F"/>
    <w:rsid w:val="000C05C4"/>
    <w:rsid w:val="000C0837"/>
    <w:rsid w:val="000C103D"/>
    <w:rsid w:val="000C10F4"/>
    <w:rsid w:val="000C1373"/>
    <w:rsid w:val="000C14D7"/>
    <w:rsid w:val="000C15B8"/>
    <w:rsid w:val="000C1650"/>
    <w:rsid w:val="000C1671"/>
    <w:rsid w:val="000C186D"/>
    <w:rsid w:val="000C18F3"/>
    <w:rsid w:val="000C1D53"/>
    <w:rsid w:val="000C1F44"/>
    <w:rsid w:val="000C2053"/>
    <w:rsid w:val="000C21FD"/>
    <w:rsid w:val="000C26FC"/>
    <w:rsid w:val="000C2884"/>
    <w:rsid w:val="000C2AAF"/>
    <w:rsid w:val="000C2E41"/>
    <w:rsid w:val="000C30E5"/>
    <w:rsid w:val="000C31F3"/>
    <w:rsid w:val="000C33B7"/>
    <w:rsid w:val="000C35AF"/>
    <w:rsid w:val="000C366B"/>
    <w:rsid w:val="000C377E"/>
    <w:rsid w:val="000C3AEA"/>
    <w:rsid w:val="000C3BFD"/>
    <w:rsid w:val="000C411F"/>
    <w:rsid w:val="000C4571"/>
    <w:rsid w:val="000C4709"/>
    <w:rsid w:val="000C48B1"/>
    <w:rsid w:val="000C48E3"/>
    <w:rsid w:val="000C4AE9"/>
    <w:rsid w:val="000C4B57"/>
    <w:rsid w:val="000C4C8C"/>
    <w:rsid w:val="000C4D2B"/>
    <w:rsid w:val="000C5136"/>
    <w:rsid w:val="000C555D"/>
    <w:rsid w:val="000C55B7"/>
    <w:rsid w:val="000C5644"/>
    <w:rsid w:val="000C56C4"/>
    <w:rsid w:val="000C58FF"/>
    <w:rsid w:val="000C5B01"/>
    <w:rsid w:val="000C5C65"/>
    <w:rsid w:val="000C5EE4"/>
    <w:rsid w:val="000C6180"/>
    <w:rsid w:val="000C641F"/>
    <w:rsid w:val="000C64A7"/>
    <w:rsid w:val="000C6790"/>
    <w:rsid w:val="000C67E2"/>
    <w:rsid w:val="000C6ECF"/>
    <w:rsid w:val="000C6F29"/>
    <w:rsid w:val="000C6F3D"/>
    <w:rsid w:val="000C71DB"/>
    <w:rsid w:val="000C7398"/>
    <w:rsid w:val="000C7677"/>
    <w:rsid w:val="000C774D"/>
    <w:rsid w:val="000C7BF5"/>
    <w:rsid w:val="000C7D00"/>
    <w:rsid w:val="000C7DC7"/>
    <w:rsid w:val="000C7FBF"/>
    <w:rsid w:val="000D01E0"/>
    <w:rsid w:val="000D01E8"/>
    <w:rsid w:val="000D01F0"/>
    <w:rsid w:val="000D036A"/>
    <w:rsid w:val="000D0718"/>
    <w:rsid w:val="000D0885"/>
    <w:rsid w:val="000D09E4"/>
    <w:rsid w:val="000D0C7B"/>
    <w:rsid w:val="000D0F67"/>
    <w:rsid w:val="000D12A7"/>
    <w:rsid w:val="000D145F"/>
    <w:rsid w:val="000D15AF"/>
    <w:rsid w:val="000D1968"/>
    <w:rsid w:val="000D1AAC"/>
    <w:rsid w:val="000D1AB7"/>
    <w:rsid w:val="000D1C18"/>
    <w:rsid w:val="000D1DD1"/>
    <w:rsid w:val="000D1DD9"/>
    <w:rsid w:val="000D20E8"/>
    <w:rsid w:val="000D21B8"/>
    <w:rsid w:val="000D2233"/>
    <w:rsid w:val="000D226B"/>
    <w:rsid w:val="000D2320"/>
    <w:rsid w:val="000D245C"/>
    <w:rsid w:val="000D27CC"/>
    <w:rsid w:val="000D299E"/>
    <w:rsid w:val="000D29CD"/>
    <w:rsid w:val="000D2AE8"/>
    <w:rsid w:val="000D2D93"/>
    <w:rsid w:val="000D3021"/>
    <w:rsid w:val="000D3961"/>
    <w:rsid w:val="000D39CF"/>
    <w:rsid w:val="000D3F4C"/>
    <w:rsid w:val="000D40C2"/>
    <w:rsid w:val="000D40C7"/>
    <w:rsid w:val="000D4290"/>
    <w:rsid w:val="000D4BB4"/>
    <w:rsid w:val="000D4BD2"/>
    <w:rsid w:val="000D4F46"/>
    <w:rsid w:val="000D519D"/>
    <w:rsid w:val="000D551A"/>
    <w:rsid w:val="000D5735"/>
    <w:rsid w:val="000D581C"/>
    <w:rsid w:val="000D5873"/>
    <w:rsid w:val="000D5B4C"/>
    <w:rsid w:val="000D5D30"/>
    <w:rsid w:val="000D5D66"/>
    <w:rsid w:val="000D5F6A"/>
    <w:rsid w:val="000D6482"/>
    <w:rsid w:val="000D64CE"/>
    <w:rsid w:val="000D6546"/>
    <w:rsid w:val="000D667E"/>
    <w:rsid w:val="000D67A5"/>
    <w:rsid w:val="000D6932"/>
    <w:rsid w:val="000D6E25"/>
    <w:rsid w:val="000D6F59"/>
    <w:rsid w:val="000D6F5C"/>
    <w:rsid w:val="000D6FDD"/>
    <w:rsid w:val="000D719D"/>
    <w:rsid w:val="000D769C"/>
    <w:rsid w:val="000D792D"/>
    <w:rsid w:val="000D796D"/>
    <w:rsid w:val="000D799B"/>
    <w:rsid w:val="000D7BA3"/>
    <w:rsid w:val="000D7E24"/>
    <w:rsid w:val="000D7F3F"/>
    <w:rsid w:val="000E0151"/>
    <w:rsid w:val="000E0193"/>
    <w:rsid w:val="000E03A5"/>
    <w:rsid w:val="000E0445"/>
    <w:rsid w:val="000E0671"/>
    <w:rsid w:val="000E06AB"/>
    <w:rsid w:val="000E0913"/>
    <w:rsid w:val="000E0B09"/>
    <w:rsid w:val="000E0BA9"/>
    <w:rsid w:val="000E0FC7"/>
    <w:rsid w:val="000E11C3"/>
    <w:rsid w:val="000E122D"/>
    <w:rsid w:val="000E13D3"/>
    <w:rsid w:val="000E14D3"/>
    <w:rsid w:val="000E16CB"/>
    <w:rsid w:val="000E1878"/>
    <w:rsid w:val="000E1C0F"/>
    <w:rsid w:val="000E1D1C"/>
    <w:rsid w:val="000E1D52"/>
    <w:rsid w:val="000E20CD"/>
    <w:rsid w:val="000E20D9"/>
    <w:rsid w:val="000E213B"/>
    <w:rsid w:val="000E21FE"/>
    <w:rsid w:val="000E228A"/>
    <w:rsid w:val="000E2332"/>
    <w:rsid w:val="000E2374"/>
    <w:rsid w:val="000E23C3"/>
    <w:rsid w:val="000E2581"/>
    <w:rsid w:val="000E2698"/>
    <w:rsid w:val="000E270B"/>
    <w:rsid w:val="000E28D3"/>
    <w:rsid w:val="000E2A37"/>
    <w:rsid w:val="000E2A4F"/>
    <w:rsid w:val="000E2AF9"/>
    <w:rsid w:val="000E2C07"/>
    <w:rsid w:val="000E2C4F"/>
    <w:rsid w:val="000E2C87"/>
    <w:rsid w:val="000E3035"/>
    <w:rsid w:val="000E3135"/>
    <w:rsid w:val="000E313F"/>
    <w:rsid w:val="000E3271"/>
    <w:rsid w:val="000E32A6"/>
    <w:rsid w:val="000E330C"/>
    <w:rsid w:val="000E353A"/>
    <w:rsid w:val="000E3583"/>
    <w:rsid w:val="000E384B"/>
    <w:rsid w:val="000E3A4C"/>
    <w:rsid w:val="000E3A9D"/>
    <w:rsid w:val="000E3AF7"/>
    <w:rsid w:val="000E3C57"/>
    <w:rsid w:val="000E3EF9"/>
    <w:rsid w:val="000E3F81"/>
    <w:rsid w:val="000E4258"/>
    <w:rsid w:val="000E42CE"/>
    <w:rsid w:val="000E4425"/>
    <w:rsid w:val="000E47AB"/>
    <w:rsid w:val="000E49EA"/>
    <w:rsid w:val="000E4A64"/>
    <w:rsid w:val="000E4A8D"/>
    <w:rsid w:val="000E4B7E"/>
    <w:rsid w:val="000E4D0A"/>
    <w:rsid w:val="000E4E6C"/>
    <w:rsid w:val="000E4F53"/>
    <w:rsid w:val="000E4FA0"/>
    <w:rsid w:val="000E54C5"/>
    <w:rsid w:val="000E59AB"/>
    <w:rsid w:val="000E5D02"/>
    <w:rsid w:val="000E5EEE"/>
    <w:rsid w:val="000E6050"/>
    <w:rsid w:val="000E6380"/>
    <w:rsid w:val="000E63E8"/>
    <w:rsid w:val="000E6556"/>
    <w:rsid w:val="000E65FC"/>
    <w:rsid w:val="000E6613"/>
    <w:rsid w:val="000E6699"/>
    <w:rsid w:val="000E6B54"/>
    <w:rsid w:val="000E6BD2"/>
    <w:rsid w:val="000E6C43"/>
    <w:rsid w:val="000E6CD4"/>
    <w:rsid w:val="000E6DB9"/>
    <w:rsid w:val="000E6F62"/>
    <w:rsid w:val="000E6FCF"/>
    <w:rsid w:val="000E70BE"/>
    <w:rsid w:val="000E7839"/>
    <w:rsid w:val="000E7940"/>
    <w:rsid w:val="000E7F39"/>
    <w:rsid w:val="000F018D"/>
    <w:rsid w:val="000F0447"/>
    <w:rsid w:val="000F0478"/>
    <w:rsid w:val="000F079A"/>
    <w:rsid w:val="000F0926"/>
    <w:rsid w:val="000F0A12"/>
    <w:rsid w:val="000F0AB3"/>
    <w:rsid w:val="000F0C5D"/>
    <w:rsid w:val="000F0F10"/>
    <w:rsid w:val="000F1047"/>
    <w:rsid w:val="000F1249"/>
    <w:rsid w:val="000F140C"/>
    <w:rsid w:val="000F1917"/>
    <w:rsid w:val="000F1C73"/>
    <w:rsid w:val="000F1CA3"/>
    <w:rsid w:val="000F246B"/>
    <w:rsid w:val="000F2723"/>
    <w:rsid w:val="000F2919"/>
    <w:rsid w:val="000F2A3F"/>
    <w:rsid w:val="000F2BAD"/>
    <w:rsid w:val="000F2CB8"/>
    <w:rsid w:val="000F3021"/>
    <w:rsid w:val="000F3048"/>
    <w:rsid w:val="000F30C1"/>
    <w:rsid w:val="000F3614"/>
    <w:rsid w:val="000F371F"/>
    <w:rsid w:val="000F3742"/>
    <w:rsid w:val="000F3778"/>
    <w:rsid w:val="000F3845"/>
    <w:rsid w:val="000F3BE9"/>
    <w:rsid w:val="000F3DC2"/>
    <w:rsid w:val="000F3E67"/>
    <w:rsid w:val="000F3E86"/>
    <w:rsid w:val="000F4254"/>
    <w:rsid w:val="000F4404"/>
    <w:rsid w:val="000F4599"/>
    <w:rsid w:val="000F475A"/>
    <w:rsid w:val="000F481A"/>
    <w:rsid w:val="000F4821"/>
    <w:rsid w:val="000F482C"/>
    <w:rsid w:val="000F4ADA"/>
    <w:rsid w:val="000F4C69"/>
    <w:rsid w:val="000F54CC"/>
    <w:rsid w:val="000F560F"/>
    <w:rsid w:val="000F5678"/>
    <w:rsid w:val="000F58D4"/>
    <w:rsid w:val="000F59AA"/>
    <w:rsid w:val="000F59F4"/>
    <w:rsid w:val="000F5C9B"/>
    <w:rsid w:val="000F5F8D"/>
    <w:rsid w:val="000F60EA"/>
    <w:rsid w:val="000F61E9"/>
    <w:rsid w:val="000F63A9"/>
    <w:rsid w:val="000F65BB"/>
    <w:rsid w:val="000F684D"/>
    <w:rsid w:val="000F6949"/>
    <w:rsid w:val="000F6C8E"/>
    <w:rsid w:val="000F6DDD"/>
    <w:rsid w:val="000F748A"/>
    <w:rsid w:val="000F7616"/>
    <w:rsid w:val="000F7681"/>
    <w:rsid w:val="000F782F"/>
    <w:rsid w:val="000F7AA1"/>
    <w:rsid w:val="000F7B8D"/>
    <w:rsid w:val="000F7FE7"/>
    <w:rsid w:val="00100163"/>
    <w:rsid w:val="0010017F"/>
    <w:rsid w:val="00100316"/>
    <w:rsid w:val="00100505"/>
    <w:rsid w:val="0010050A"/>
    <w:rsid w:val="001008BF"/>
    <w:rsid w:val="00100AB1"/>
    <w:rsid w:val="00100D3D"/>
    <w:rsid w:val="00100FD3"/>
    <w:rsid w:val="00101238"/>
    <w:rsid w:val="001019F5"/>
    <w:rsid w:val="00101A6D"/>
    <w:rsid w:val="00101F1A"/>
    <w:rsid w:val="0010231F"/>
    <w:rsid w:val="00102482"/>
    <w:rsid w:val="001029ED"/>
    <w:rsid w:val="001030A9"/>
    <w:rsid w:val="00103175"/>
    <w:rsid w:val="0010384B"/>
    <w:rsid w:val="00103B22"/>
    <w:rsid w:val="00103B6B"/>
    <w:rsid w:val="00103C7A"/>
    <w:rsid w:val="00103D73"/>
    <w:rsid w:val="00104274"/>
    <w:rsid w:val="00104455"/>
    <w:rsid w:val="00104589"/>
    <w:rsid w:val="001045BC"/>
    <w:rsid w:val="00104B7C"/>
    <w:rsid w:val="00104CFD"/>
    <w:rsid w:val="00104E29"/>
    <w:rsid w:val="00104F40"/>
    <w:rsid w:val="00104FA8"/>
    <w:rsid w:val="001053EE"/>
    <w:rsid w:val="001058A2"/>
    <w:rsid w:val="00105B7F"/>
    <w:rsid w:val="00105D72"/>
    <w:rsid w:val="00105F7A"/>
    <w:rsid w:val="001060B7"/>
    <w:rsid w:val="001062E6"/>
    <w:rsid w:val="00106361"/>
    <w:rsid w:val="001068EE"/>
    <w:rsid w:val="00106977"/>
    <w:rsid w:val="001069C4"/>
    <w:rsid w:val="00106AB3"/>
    <w:rsid w:val="00106B6F"/>
    <w:rsid w:val="00106D60"/>
    <w:rsid w:val="0010725F"/>
    <w:rsid w:val="001072EF"/>
    <w:rsid w:val="001076D3"/>
    <w:rsid w:val="00107712"/>
    <w:rsid w:val="00107D11"/>
    <w:rsid w:val="00107F38"/>
    <w:rsid w:val="00110023"/>
    <w:rsid w:val="001100B2"/>
    <w:rsid w:val="001100F5"/>
    <w:rsid w:val="00110440"/>
    <w:rsid w:val="001105C9"/>
    <w:rsid w:val="0011091E"/>
    <w:rsid w:val="0011097B"/>
    <w:rsid w:val="00110BB5"/>
    <w:rsid w:val="00110BFD"/>
    <w:rsid w:val="00110E7D"/>
    <w:rsid w:val="00111032"/>
    <w:rsid w:val="0011107A"/>
    <w:rsid w:val="001110DB"/>
    <w:rsid w:val="00111405"/>
    <w:rsid w:val="0011140B"/>
    <w:rsid w:val="001115FE"/>
    <w:rsid w:val="0011188B"/>
    <w:rsid w:val="00111B7C"/>
    <w:rsid w:val="00112051"/>
    <w:rsid w:val="0011218F"/>
    <w:rsid w:val="00112272"/>
    <w:rsid w:val="0011227D"/>
    <w:rsid w:val="00112450"/>
    <w:rsid w:val="001124A1"/>
    <w:rsid w:val="001127FB"/>
    <w:rsid w:val="0011294C"/>
    <w:rsid w:val="00113479"/>
    <w:rsid w:val="00113492"/>
    <w:rsid w:val="001134AB"/>
    <w:rsid w:val="0011351F"/>
    <w:rsid w:val="0011388D"/>
    <w:rsid w:val="00113B41"/>
    <w:rsid w:val="00113F3B"/>
    <w:rsid w:val="00113FCE"/>
    <w:rsid w:val="00114121"/>
    <w:rsid w:val="00114465"/>
    <w:rsid w:val="00114635"/>
    <w:rsid w:val="0011474F"/>
    <w:rsid w:val="001147C3"/>
    <w:rsid w:val="001149DE"/>
    <w:rsid w:val="00114F1E"/>
    <w:rsid w:val="00115023"/>
    <w:rsid w:val="0011505B"/>
    <w:rsid w:val="00115283"/>
    <w:rsid w:val="00115532"/>
    <w:rsid w:val="001155D7"/>
    <w:rsid w:val="00115BB6"/>
    <w:rsid w:val="00115BC0"/>
    <w:rsid w:val="00115C26"/>
    <w:rsid w:val="00115F55"/>
    <w:rsid w:val="0011600F"/>
    <w:rsid w:val="0011629F"/>
    <w:rsid w:val="001166D3"/>
    <w:rsid w:val="001166D7"/>
    <w:rsid w:val="001169D7"/>
    <w:rsid w:val="001169DF"/>
    <w:rsid w:val="00116A1E"/>
    <w:rsid w:val="00117075"/>
    <w:rsid w:val="00117241"/>
    <w:rsid w:val="001174A0"/>
    <w:rsid w:val="00117AA6"/>
    <w:rsid w:val="00117B45"/>
    <w:rsid w:val="00117C2C"/>
    <w:rsid w:val="00120072"/>
    <w:rsid w:val="001208DA"/>
    <w:rsid w:val="001208F4"/>
    <w:rsid w:val="00120CA7"/>
    <w:rsid w:val="00120F99"/>
    <w:rsid w:val="00121027"/>
    <w:rsid w:val="00121028"/>
    <w:rsid w:val="00121076"/>
    <w:rsid w:val="0012143B"/>
    <w:rsid w:val="00121BBB"/>
    <w:rsid w:val="00121BF5"/>
    <w:rsid w:val="00121E63"/>
    <w:rsid w:val="001220E9"/>
    <w:rsid w:val="00122525"/>
    <w:rsid w:val="00122716"/>
    <w:rsid w:val="001227C8"/>
    <w:rsid w:val="00122D82"/>
    <w:rsid w:val="00123055"/>
    <w:rsid w:val="0012328A"/>
    <w:rsid w:val="0012329D"/>
    <w:rsid w:val="00123400"/>
    <w:rsid w:val="0012340D"/>
    <w:rsid w:val="001234CD"/>
    <w:rsid w:val="001235BE"/>
    <w:rsid w:val="00123665"/>
    <w:rsid w:val="00123675"/>
    <w:rsid w:val="0012385A"/>
    <w:rsid w:val="001238E1"/>
    <w:rsid w:val="001239AA"/>
    <w:rsid w:val="00123E24"/>
    <w:rsid w:val="0012410D"/>
    <w:rsid w:val="00124302"/>
    <w:rsid w:val="0012432C"/>
    <w:rsid w:val="00124564"/>
    <w:rsid w:val="00124630"/>
    <w:rsid w:val="00124A36"/>
    <w:rsid w:val="00124B82"/>
    <w:rsid w:val="00124BC6"/>
    <w:rsid w:val="00124D85"/>
    <w:rsid w:val="0012542A"/>
    <w:rsid w:val="001255D2"/>
    <w:rsid w:val="0012588C"/>
    <w:rsid w:val="001258F8"/>
    <w:rsid w:val="0012596A"/>
    <w:rsid w:val="00125C61"/>
    <w:rsid w:val="00125D13"/>
    <w:rsid w:val="00125EC9"/>
    <w:rsid w:val="0012602E"/>
    <w:rsid w:val="0012666C"/>
    <w:rsid w:val="001267C1"/>
    <w:rsid w:val="00126804"/>
    <w:rsid w:val="0012683F"/>
    <w:rsid w:val="001268B8"/>
    <w:rsid w:val="00126B34"/>
    <w:rsid w:val="00126CE1"/>
    <w:rsid w:val="00126E21"/>
    <w:rsid w:val="00127358"/>
    <w:rsid w:val="0012765A"/>
    <w:rsid w:val="00127676"/>
    <w:rsid w:val="00127686"/>
    <w:rsid w:val="001278F9"/>
    <w:rsid w:val="0012791A"/>
    <w:rsid w:val="00127F0A"/>
    <w:rsid w:val="001304FB"/>
    <w:rsid w:val="001305AF"/>
    <w:rsid w:val="00130A6A"/>
    <w:rsid w:val="00130B2E"/>
    <w:rsid w:val="00130C21"/>
    <w:rsid w:val="001310D7"/>
    <w:rsid w:val="001310F8"/>
    <w:rsid w:val="00131119"/>
    <w:rsid w:val="00131260"/>
    <w:rsid w:val="0013131E"/>
    <w:rsid w:val="0013135F"/>
    <w:rsid w:val="00131BEE"/>
    <w:rsid w:val="00131F8E"/>
    <w:rsid w:val="001324DA"/>
    <w:rsid w:val="001326CF"/>
    <w:rsid w:val="00132C44"/>
    <w:rsid w:val="00132D71"/>
    <w:rsid w:val="001330BB"/>
    <w:rsid w:val="00133202"/>
    <w:rsid w:val="001334CB"/>
    <w:rsid w:val="00133A35"/>
    <w:rsid w:val="00133AC2"/>
    <w:rsid w:val="00133C28"/>
    <w:rsid w:val="00133D52"/>
    <w:rsid w:val="00133D8A"/>
    <w:rsid w:val="001340C0"/>
    <w:rsid w:val="00134110"/>
    <w:rsid w:val="00134171"/>
    <w:rsid w:val="0013453D"/>
    <w:rsid w:val="00134721"/>
    <w:rsid w:val="00134A08"/>
    <w:rsid w:val="00134C11"/>
    <w:rsid w:val="00134EBF"/>
    <w:rsid w:val="00134F5B"/>
    <w:rsid w:val="00135540"/>
    <w:rsid w:val="0013578C"/>
    <w:rsid w:val="0013594F"/>
    <w:rsid w:val="00135960"/>
    <w:rsid w:val="00135A4E"/>
    <w:rsid w:val="00135CEB"/>
    <w:rsid w:val="00135FCA"/>
    <w:rsid w:val="001365C4"/>
    <w:rsid w:val="001369C6"/>
    <w:rsid w:val="00136AFF"/>
    <w:rsid w:val="00136C10"/>
    <w:rsid w:val="00136C40"/>
    <w:rsid w:val="00136D1A"/>
    <w:rsid w:val="00136D94"/>
    <w:rsid w:val="00136E9C"/>
    <w:rsid w:val="00137375"/>
    <w:rsid w:val="0013739B"/>
    <w:rsid w:val="001374BE"/>
    <w:rsid w:val="00137563"/>
    <w:rsid w:val="00137B7D"/>
    <w:rsid w:val="00137F63"/>
    <w:rsid w:val="00137FA0"/>
    <w:rsid w:val="001402EA"/>
    <w:rsid w:val="0014060D"/>
    <w:rsid w:val="00140692"/>
    <w:rsid w:val="00140AEF"/>
    <w:rsid w:val="00140E6C"/>
    <w:rsid w:val="001410AE"/>
    <w:rsid w:val="0014122C"/>
    <w:rsid w:val="0014191E"/>
    <w:rsid w:val="001419F2"/>
    <w:rsid w:val="00141AE6"/>
    <w:rsid w:val="00141B25"/>
    <w:rsid w:val="00141E80"/>
    <w:rsid w:val="00141F32"/>
    <w:rsid w:val="00142096"/>
    <w:rsid w:val="0014218D"/>
    <w:rsid w:val="001423F8"/>
    <w:rsid w:val="0014248E"/>
    <w:rsid w:val="0014262D"/>
    <w:rsid w:val="00142975"/>
    <w:rsid w:val="001429F9"/>
    <w:rsid w:val="00142A1D"/>
    <w:rsid w:val="00142A44"/>
    <w:rsid w:val="00142A99"/>
    <w:rsid w:val="00143229"/>
    <w:rsid w:val="001432A2"/>
    <w:rsid w:val="00143330"/>
    <w:rsid w:val="00143858"/>
    <w:rsid w:val="00143A17"/>
    <w:rsid w:val="00143A86"/>
    <w:rsid w:val="00143AD0"/>
    <w:rsid w:val="00143AE8"/>
    <w:rsid w:val="00143D07"/>
    <w:rsid w:val="00143E97"/>
    <w:rsid w:val="00143EA4"/>
    <w:rsid w:val="00144344"/>
    <w:rsid w:val="00144610"/>
    <w:rsid w:val="00144A99"/>
    <w:rsid w:val="00144B4A"/>
    <w:rsid w:val="00145102"/>
    <w:rsid w:val="0014564D"/>
    <w:rsid w:val="00145AB8"/>
    <w:rsid w:val="00145C11"/>
    <w:rsid w:val="00145CD6"/>
    <w:rsid w:val="00145DA8"/>
    <w:rsid w:val="00145EB4"/>
    <w:rsid w:val="00146452"/>
    <w:rsid w:val="00146683"/>
    <w:rsid w:val="001466A8"/>
    <w:rsid w:val="00146CD5"/>
    <w:rsid w:val="00146D64"/>
    <w:rsid w:val="00146F7F"/>
    <w:rsid w:val="001471E4"/>
    <w:rsid w:val="00147254"/>
    <w:rsid w:val="00147261"/>
    <w:rsid w:val="00147298"/>
    <w:rsid w:val="001475E0"/>
    <w:rsid w:val="0014782A"/>
    <w:rsid w:val="001478DA"/>
    <w:rsid w:val="001478EA"/>
    <w:rsid w:val="00147A75"/>
    <w:rsid w:val="00147EEA"/>
    <w:rsid w:val="00150449"/>
    <w:rsid w:val="001505E3"/>
    <w:rsid w:val="00150941"/>
    <w:rsid w:val="001509AC"/>
    <w:rsid w:val="00150B01"/>
    <w:rsid w:val="00150D70"/>
    <w:rsid w:val="0015143F"/>
    <w:rsid w:val="001516EE"/>
    <w:rsid w:val="0015178E"/>
    <w:rsid w:val="00151843"/>
    <w:rsid w:val="001518CB"/>
    <w:rsid w:val="001518D9"/>
    <w:rsid w:val="00151B53"/>
    <w:rsid w:val="00151C39"/>
    <w:rsid w:val="00151DCB"/>
    <w:rsid w:val="00151DE7"/>
    <w:rsid w:val="00151E06"/>
    <w:rsid w:val="00151F05"/>
    <w:rsid w:val="00151FE7"/>
    <w:rsid w:val="00152098"/>
    <w:rsid w:val="001520B4"/>
    <w:rsid w:val="001520BD"/>
    <w:rsid w:val="00152225"/>
    <w:rsid w:val="0015268E"/>
    <w:rsid w:val="001527E4"/>
    <w:rsid w:val="00152C06"/>
    <w:rsid w:val="00152CEA"/>
    <w:rsid w:val="00152F1E"/>
    <w:rsid w:val="00152FFA"/>
    <w:rsid w:val="00153969"/>
    <w:rsid w:val="00153AA1"/>
    <w:rsid w:val="00153EE4"/>
    <w:rsid w:val="00153F40"/>
    <w:rsid w:val="0015437C"/>
    <w:rsid w:val="0015448C"/>
    <w:rsid w:val="00154655"/>
    <w:rsid w:val="0015479E"/>
    <w:rsid w:val="001547CB"/>
    <w:rsid w:val="001548B6"/>
    <w:rsid w:val="00154AE0"/>
    <w:rsid w:val="00154C69"/>
    <w:rsid w:val="00154F28"/>
    <w:rsid w:val="001550AB"/>
    <w:rsid w:val="0015526C"/>
    <w:rsid w:val="00155704"/>
    <w:rsid w:val="00155D42"/>
    <w:rsid w:val="00155DA9"/>
    <w:rsid w:val="00155E3B"/>
    <w:rsid w:val="00155ECC"/>
    <w:rsid w:val="0015603B"/>
    <w:rsid w:val="001560BC"/>
    <w:rsid w:val="00156152"/>
    <w:rsid w:val="0015616F"/>
    <w:rsid w:val="00156514"/>
    <w:rsid w:val="0015651D"/>
    <w:rsid w:val="001566AD"/>
    <w:rsid w:val="0015672F"/>
    <w:rsid w:val="001567B3"/>
    <w:rsid w:val="001567CF"/>
    <w:rsid w:val="0015683A"/>
    <w:rsid w:val="00156B55"/>
    <w:rsid w:val="0015742A"/>
    <w:rsid w:val="00157605"/>
    <w:rsid w:val="001576D1"/>
    <w:rsid w:val="00157A45"/>
    <w:rsid w:val="00157C23"/>
    <w:rsid w:val="00157C30"/>
    <w:rsid w:val="00157C45"/>
    <w:rsid w:val="00157E22"/>
    <w:rsid w:val="00157FAB"/>
    <w:rsid w:val="00160001"/>
    <w:rsid w:val="00160530"/>
    <w:rsid w:val="001605A5"/>
    <w:rsid w:val="00160636"/>
    <w:rsid w:val="001607BA"/>
    <w:rsid w:val="001607E0"/>
    <w:rsid w:val="001608C6"/>
    <w:rsid w:val="00160F94"/>
    <w:rsid w:val="00161A51"/>
    <w:rsid w:val="00161B28"/>
    <w:rsid w:val="00161B47"/>
    <w:rsid w:val="00161BCE"/>
    <w:rsid w:val="00161CF9"/>
    <w:rsid w:val="00161DE6"/>
    <w:rsid w:val="00162263"/>
    <w:rsid w:val="001629E2"/>
    <w:rsid w:val="00162AB1"/>
    <w:rsid w:val="00162BB0"/>
    <w:rsid w:val="001638A4"/>
    <w:rsid w:val="001639BC"/>
    <w:rsid w:val="00163BC6"/>
    <w:rsid w:val="00163C36"/>
    <w:rsid w:val="00163F92"/>
    <w:rsid w:val="001642C8"/>
    <w:rsid w:val="001646E1"/>
    <w:rsid w:val="00164730"/>
    <w:rsid w:val="0016475D"/>
    <w:rsid w:val="00164D2C"/>
    <w:rsid w:val="00165070"/>
    <w:rsid w:val="00165269"/>
    <w:rsid w:val="001652FC"/>
    <w:rsid w:val="001653CC"/>
    <w:rsid w:val="001653EE"/>
    <w:rsid w:val="00165451"/>
    <w:rsid w:val="001655C3"/>
    <w:rsid w:val="001657F9"/>
    <w:rsid w:val="001658AA"/>
    <w:rsid w:val="001659C6"/>
    <w:rsid w:val="00165A60"/>
    <w:rsid w:val="00165DF2"/>
    <w:rsid w:val="00165F70"/>
    <w:rsid w:val="001660EC"/>
    <w:rsid w:val="00166328"/>
    <w:rsid w:val="0016638D"/>
    <w:rsid w:val="00166774"/>
    <w:rsid w:val="001667CD"/>
    <w:rsid w:val="001667EB"/>
    <w:rsid w:val="00166852"/>
    <w:rsid w:val="00166947"/>
    <w:rsid w:val="00166EF5"/>
    <w:rsid w:val="00166FDF"/>
    <w:rsid w:val="001670FC"/>
    <w:rsid w:val="00167601"/>
    <w:rsid w:val="00167818"/>
    <w:rsid w:val="00167907"/>
    <w:rsid w:val="0016798B"/>
    <w:rsid w:val="00167B20"/>
    <w:rsid w:val="00167C9A"/>
    <w:rsid w:val="0017014D"/>
    <w:rsid w:val="00170246"/>
    <w:rsid w:val="00170C6F"/>
    <w:rsid w:val="00170D5D"/>
    <w:rsid w:val="00170E49"/>
    <w:rsid w:val="00170F67"/>
    <w:rsid w:val="001710A5"/>
    <w:rsid w:val="001712A3"/>
    <w:rsid w:val="001714E4"/>
    <w:rsid w:val="00171B9E"/>
    <w:rsid w:val="00171BD9"/>
    <w:rsid w:val="00171E9E"/>
    <w:rsid w:val="00171F7A"/>
    <w:rsid w:val="0017204D"/>
    <w:rsid w:val="001720CA"/>
    <w:rsid w:val="0017221D"/>
    <w:rsid w:val="00172279"/>
    <w:rsid w:val="001723D4"/>
    <w:rsid w:val="001727F9"/>
    <w:rsid w:val="0017295F"/>
    <w:rsid w:val="00172968"/>
    <w:rsid w:val="00172983"/>
    <w:rsid w:val="001729CD"/>
    <w:rsid w:val="00173098"/>
    <w:rsid w:val="00173173"/>
    <w:rsid w:val="001731CC"/>
    <w:rsid w:val="001733B7"/>
    <w:rsid w:val="001738FF"/>
    <w:rsid w:val="00173978"/>
    <w:rsid w:val="00173B31"/>
    <w:rsid w:val="00173F46"/>
    <w:rsid w:val="00174179"/>
    <w:rsid w:val="00174508"/>
    <w:rsid w:val="0017458D"/>
    <w:rsid w:val="00174CE0"/>
    <w:rsid w:val="00174FA1"/>
    <w:rsid w:val="00175216"/>
    <w:rsid w:val="0017526C"/>
    <w:rsid w:val="0017539C"/>
    <w:rsid w:val="001754A7"/>
    <w:rsid w:val="00175635"/>
    <w:rsid w:val="00175681"/>
    <w:rsid w:val="0017576A"/>
    <w:rsid w:val="001757E5"/>
    <w:rsid w:val="00175CA2"/>
    <w:rsid w:val="00175EDA"/>
    <w:rsid w:val="001764CD"/>
    <w:rsid w:val="0017666E"/>
    <w:rsid w:val="001766B9"/>
    <w:rsid w:val="001769FE"/>
    <w:rsid w:val="00176BD9"/>
    <w:rsid w:val="00176D24"/>
    <w:rsid w:val="001773DD"/>
    <w:rsid w:val="00177436"/>
    <w:rsid w:val="001776EB"/>
    <w:rsid w:val="00177FD4"/>
    <w:rsid w:val="0018022E"/>
    <w:rsid w:val="00180343"/>
    <w:rsid w:val="00180889"/>
    <w:rsid w:val="001808F1"/>
    <w:rsid w:val="00180A05"/>
    <w:rsid w:val="00181329"/>
    <w:rsid w:val="001814F9"/>
    <w:rsid w:val="0018154F"/>
    <w:rsid w:val="00181579"/>
    <w:rsid w:val="00181713"/>
    <w:rsid w:val="0018188F"/>
    <w:rsid w:val="001819BC"/>
    <w:rsid w:val="00181CAF"/>
    <w:rsid w:val="00181D0A"/>
    <w:rsid w:val="001820BF"/>
    <w:rsid w:val="00182174"/>
    <w:rsid w:val="0018284E"/>
    <w:rsid w:val="001828B6"/>
    <w:rsid w:val="00182A39"/>
    <w:rsid w:val="00182B9D"/>
    <w:rsid w:val="00182F2A"/>
    <w:rsid w:val="00182FB0"/>
    <w:rsid w:val="00182FCB"/>
    <w:rsid w:val="00182FF4"/>
    <w:rsid w:val="00183537"/>
    <w:rsid w:val="00183788"/>
    <w:rsid w:val="00183A0A"/>
    <w:rsid w:val="00183B60"/>
    <w:rsid w:val="00183E1D"/>
    <w:rsid w:val="00184007"/>
    <w:rsid w:val="0018413C"/>
    <w:rsid w:val="00184227"/>
    <w:rsid w:val="00184760"/>
    <w:rsid w:val="001847ED"/>
    <w:rsid w:val="00184A6F"/>
    <w:rsid w:val="00184C59"/>
    <w:rsid w:val="00184DDE"/>
    <w:rsid w:val="001850A7"/>
    <w:rsid w:val="0018575B"/>
    <w:rsid w:val="00185ED4"/>
    <w:rsid w:val="00186031"/>
    <w:rsid w:val="001860CE"/>
    <w:rsid w:val="001864A5"/>
    <w:rsid w:val="00186613"/>
    <w:rsid w:val="001866FF"/>
    <w:rsid w:val="00186B28"/>
    <w:rsid w:val="00186BD0"/>
    <w:rsid w:val="00186BE2"/>
    <w:rsid w:val="00186C41"/>
    <w:rsid w:val="00186C50"/>
    <w:rsid w:val="00186CA7"/>
    <w:rsid w:val="00186E8E"/>
    <w:rsid w:val="001874CB"/>
    <w:rsid w:val="00187BA5"/>
    <w:rsid w:val="00187EC8"/>
    <w:rsid w:val="0019034F"/>
    <w:rsid w:val="0019047B"/>
    <w:rsid w:val="00190846"/>
    <w:rsid w:val="00190A90"/>
    <w:rsid w:val="00190B1A"/>
    <w:rsid w:val="00190BF0"/>
    <w:rsid w:val="00190EA4"/>
    <w:rsid w:val="00191481"/>
    <w:rsid w:val="001915B3"/>
    <w:rsid w:val="001915B8"/>
    <w:rsid w:val="00191B10"/>
    <w:rsid w:val="00191F3D"/>
    <w:rsid w:val="0019205C"/>
    <w:rsid w:val="001921E3"/>
    <w:rsid w:val="00192448"/>
    <w:rsid w:val="0019288A"/>
    <w:rsid w:val="0019296C"/>
    <w:rsid w:val="00192D2A"/>
    <w:rsid w:val="00192DCD"/>
    <w:rsid w:val="00192F84"/>
    <w:rsid w:val="001930BB"/>
    <w:rsid w:val="00193349"/>
    <w:rsid w:val="0019347C"/>
    <w:rsid w:val="00193728"/>
    <w:rsid w:val="001937EA"/>
    <w:rsid w:val="001938AE"/>
    <w:rsid w:val="00193AD0"/>
    <w:rsid w:val="001942E6"/>
    <w:rsid w:val="001944B5"/>
    <w:rsid w:val="00194614"/>
    <w:rsid w:val="00194622"/>
    <w:rsid w:val="0019471E"/>
    <w:rsid w:val="001947BA"/>
    <w:rsid w:val="00194995"/>
    <w:rsid w:val="00194BF5"/>
    <w:rsid w:val="00194EED"/>
    <w:rsid w:val="0019514F"/>
    <w:rsid w:val="00195219"/>
    <w:rsid w:val="001956AF"/>
    <w:rsid w:val="00195C16"/>
    <w:rsid w:val="00195E50"/>
    <w:rsid w:val="00195EF7"/>
    <w:rsid w:val="00195F8A"/>
    <w:rsid w:val="00195FAF"/>
    <w:rsid w:val="0019620F"/>
    <w:rsid w:val="001963E2"/>
    <w:rsid w:val="0019666B"/>
    <w:rsid w:val="001966F6"/>
    <w:rsid w:val="00196719"/>
    <w:rsid w:val="00196742"/>
    <w:rsid w:val="00196926"/>
    <w:rsid w:val="00196CA7"/>
    <w:rsid w:val="00196E55"/>
    <w:rsid w:val="001972CC"/>
    <w:rsid w:val="001972EA"/>
    <w:rsid w:val="00197615"/>
    <w:rsid w:val="00197635"/>
    <w:rsid w:val="0019784A"/>
    <w:rsid w:val="001978DE"/>
    <w:rsid w:val="00197C7E"/>
    <w:rsid w:val="00197C96"/>
    <w:rsid w:val="00197D93"/>
    <w:rsid w:val="00197DBC"/>
    <w:rsid w:val="00197DEA"/>
    <w:rsid w:val="001A0276"/>
    <w:rsid w:val="001A043F"/>
    <w:rsid w:val="001A0538"/>
    <w:rsid w:val="001A05A6"/>
    <w:rsid w:val="001A0822"/>
    <w:rsid w:val="001A0A81"/>
    <w:rsid w:val="001A0BE1"/>
    <w:rsid w:val="001A0CFB"/>
    <w:rsid w:val="001A0E97"/>
    <w:rsid w:val="001A0F7F"/>
    <w:rsid w:val="001A128F"/>
    <w:rsid w:val="001A1434"/>
    <w:rsid w:val="001A14C0"/>
    <w:rsid w:val="001A15D9"/>
    <w:rsid w:val="001A17B4"/>
    <w:rsid w:val="001A196B"/>
    <w:rsid w:val="001A1E77"/>
    <w:rsid w:val="001A2022"/>
    <w:rsid w:val="001A2035"/>
    <w:rsid w:val="001A23F4"/>
    <w:rsid w:val="001A2643"/>
    <w:rsid w:val="001A287C"/>
    <w:rsid w:val="001A28AC"/>
    <w:rsid w:val="001A2D8E"/>
    <w:rsid w:val="001A2EDF"/>
    <w:rsid w:val="001A32A6"/>
    <w:rsid w:val="001A34B1"/>
    <w:rsid w:val="001A3505"/>
    <w:rsid w:val="001A3555"/>
    <w:rsid w:val="001A38D8"/>
    <w:rsid w:val="001A3D6A"/>
    <w:rsid w:val="001A3DB6"/>
    <w:rsid w:val="001A3E86"/>
    <w:rsid w:val="001A3F40"/>
    <w:rsid w:val="001A3F99"/>
    <w:rsid w:val="001A3FEE"/>
    <w:rsid w:val="001A4235"/>
    <w:rsid w:val="001A43EC"/>
    <w:rsid w:val="001A46E0"/>
    <w:rsid w:val="001A47E1"/>
    <w:rsid w:val="001A48BF"/>
    <w:rsid w:val="001A4B9A"/>
    <w:rsid w:val="001A4E1D"/>
    <w:rsid w:val="001A4FD7"/>
    <w:rsid w:val="001A50EE"/>
    <w:rsid w:val="001A520F"/>
    <w:rsid w:val="001A547A"/>
    <w:rsid w:val="001A57BF"/>
    <w:rsid w:val="001A5973"/>
    <w:rsid w:val="001A5B8D"/>
    <w:rsid w:val="001A5E07"/>
    <w:rsid w:val="001A6231"/>
    <w:rsid w:val="001A649C"/>
    <w:rsid w:val="001A64B4"/>
    <w:rsid w:val="001A664A"/>
    <w:rsid w:val="001A67C1"/>
    <w:rsid w:val="001A688D"/>
    <w:rsid w:val="001A6A5F"/>
    <w:rsid w:val="001A6BB5"/>
    <w:rsid w:val="001A6D9F"/>
    <w:rsid w:val="001A6DB2"/>
    <w:rsid w:val="001A6ECB"/>
    <w:rsid w:val="001A6F7C"/>
    <w:rsid w:val="001A7314"/>
    <w:rsid w:val="001A74A7"/>
    <w:rsid w:val="001A7818"/>
    <w:rsid w:val="001A7A3B"/>
    <w:rsid w:val="001A7BF1"/>
    <w:rsid w:val="001A7CD3"/>
    <w:rsid w:val="001A7D42"/>
    <w:rsid w:val="001B00B7"/>
    <w:rsid w:val="001B02FC"/>
    <w:rsid w:val="001B0B32"/>
    <w:rsid w:val="001B0B92"/>
    <w:rsid w:val="001B0C82"/>
    <w:rsid w:val="001B0CD4"/>
    <w:rsid w:val="001B0D9B"/>
    <w:rsid w:val="001B0F5F"/>
    <w:rsid w:val="001B0FC7"/>
    <w:rsid w:val="001B10AA"/>
    <w:rsid w:val="001B1582"/>
    <w:rsid w:val="001B1840"/>
    <w:rsid w:val="001B1DD2"/>
    <w:rsid w:val="001B1E56"/>
    <w:rsid w:val="001B20C8"/>
    <w:rsid w:val="001B21C8"/>
    <w:rsid w:val="001B224C"/>
    <w:rsid w:val="001B2313"/>
    <w:rsid w:val="001B2371"/>
    <w:rsid w:val="001B251C"/>
    <w:rsid w:val="001B26C8"/>
    <w:rsid w:val="001B2959"/>
    <w:rsid w:val="001B298E"/>
    <w:rsid w:val="001B2BCF"/>
    <w:rsid w:val="001B2C09"/>
    <w:rsid w:val="001B2CEA"/>
    <w:rsid w:val="001B3051"/>
    <w:rsid w:val="001B322A"/>
    <w:rsid w:val="001B323E"/>
    <w:rsid w:val="001B32BD"/>
    <w:rsid w:val="001B35AF"/>
    <w:rsid w:val="001B36C9"/>
    <w:rsid w:val="001B3733"/>
    <w:rsid w:val="001B373A"/>
    <w:rsid w:val="001B397E"/>
    <w:rsid w:val="001B3E67"/>
    <w:rsid w:val="001B3F7B"/>
    <w:rsid w:val="001B3FF4"/>
    <w:rsid w:val="001B4222"/>
    <w:rsid w:val="001B4752"/>
    <w:rsid w:val="001B4BA4"/>
    <w:rsid w:val="001B4BD1"/>
    <w:rsid w:val="001B51E5"/>
    <w:rsid w:val="001B52FF"/>
    <w:rsid w:val="001B54F1"/>
    <w:rsid w:val="001B554F"/>
    <w:rsid w:val="001B56A2"/>
    <w:rsid w:val="001B5836"/>
    <w:rsid w:val="001B5D31"/>
    <w:rsid w:val="001B5DB6"/>
    <w:rsid w:val="001B61D9"/>
    <w:rsid w:val="001B6389"/>
    <w:rsid w:val="001B639D"/>
    <w:rsid w:val="001B6BCE"/>
    <w:rsid w:val="001B6C67"/>
    <w:rsid w:val="001B6CB9"/>
    <w:rsid w:val="001B6D8A"/>
    <w:rsid w:val="001B6FE2"/>
    <w:rsid w:val="001B6FF9"/>
    <w:rsid w:val="001B7084"/>
    <w:rsid w:val="001B70AC"/>
    <w:rsid w:val="001B7308"/>
    <w:rsid w:val="001B73C9"/>
    <w:rsid w:val="001B7473"/>
    <w:rsid w:val="001B7CFC"/>
    <w:rsid w:val="001B7E49"/>
    <w:rsid w:val="001C022B"/>
    <w:rsid w:val="001C03C0"/>
    <w:rsid w:val="001C054A"/>
    <w:rsid w:val="001C0704"/>
    <w:rsid w:val="001C0741"/>
    <w:rsid w:val="001C0945"/>
    <w:rsid w:val="001C0CF5"/>
    <w:rsid w:val="001C15E3"/>
    <w:rsid w:val="001C1717"/>
    <w:rsid w:val="001C1881"/>
    <w:rsid w:val="001C1DA7"/>
    <w:rsid w:val="001C1EAA"/>
    <w:rsid w:val="001C1EFA"/>
    <w:rsid w:val="001C1F16"/>
    <w:rsid w:val="001C1F27"/>
    <w:rsid w:val="001C1FE0"/>
    <w:rsid w:val="001C20C9"/>
    <w:rsid w:val="001C2258"/>
    <w:rsid w:val="001C23D6"/>
    <w:rsid w:val="001C2472"/>
    <w:rsid w:val="001C25C6"/>
    <w:rsid w:val="001C2900"/>
    <w:rsid w:val="001C2C16"/>
    <w:rsid w:val="001C2C48"/>
    <w:rsid w:val="001C31A0"/>
    <w:rsid w:val="001C31CC"/>
    <w:rsid w:val="001C3512"/>
    <w:rsid w:val="001C3547"/>
    <w:rsid w:val="001C362D"/>
    <w:rsid w:val="001C383A"/>
    <w:rsid w:val="001C3867"/>
    <w:rsid w:val="001C38A8"/>
    <w:rsid w:val="001C39D5"/>
    <w:rsid w:val="001C3E06"/>
    <w:rsid w:val="001C3F9F"/>
    <w:rsid w:val="001C3FCB"/>
    <w:rsid w:val="001C40E8"/>
    <w:rsid w:val="001C4269"/>
    <w:rsid w:val="001C4271"/>
    <w:rsid w:val="001C4280"/>
    <w:rsid w:val="001C46F8"/>
    <w:rsid w:val="001C4A4B"/>
    <w:rsid w:val="001C4D55"/>
    <w:rsid w:val="001C4EA3"/>
    <w:rsid w:val="001C50E8"/>
    <w:rsid w:val="001C51A1"/>
    <w:rsid w:val="001C53D5"/>
    <w:rsid w:val="001C5602"/>
    <w:rsid w:val="001C5713"/>
    <w:rsid w:val="001C5978"/>
    <w:rsid w:val="001C5E62"/>
    <w:rsid w:val="001C6121"/>
    <w:rsid w:val="001C6454"/>
    <w:rsid w:val="001C658A"/>
    <w:rsid w:val="001C6599"/>
    <w:rsid w:val="001C65BB"/>
    <w:rsid w:val="001C6731"/>
    <w:rsid w:val="001C67CB"/>
    <w:rsid w:val="001C68B9"/>
    <w:rsid w:val="001C68EE"/>
    <w:rsid w:val="001C69E1"/>
    <w:rsid w:val="001C6D3A"/>
    <w:rsid w:val="001C7092"/>
    <w:rsid w:val="001C7184"/>
    <w:rsid w:val="001C71F9"/>
    <w:rsid w:val="001C76DE"/>
    <w:rsid w:val="001C7702"/>
    <w:rsid w:val="001C773B"/>
    <w:rsid w:val="001C78A3"/>
    <w:rsid w:val="001C7A03"/>
    <w:rsid w:val="001C7A19"/>
    <w:rsid w:val="001C7AC3"/>
    <w:rsid w:val="001C7B5B"/>
    <w:rsid w:val="001C7CDE"/>
    <w:rsid w:val="001D0368"/>
    <w:rsid w:val="001D0381"/>
    <w:rsid w:val="001D0462"/>
    <w:rsid w:val="001D0791"/>
    <w:rsid w:val="001D0BA7"/>
    <w:rsid w:val="001D0BC7"/>
    <w:rsid w:val="001D0BCE"/>
    <w:rsid w:val="001D121E"/>
    <w:rsid w:val="001D129D"/>
    <w:rsid w:val="001D146A"/>
    <w:rsid w:val="001D17C2"/>
    <w:rsid w:val="001D1A65"/>
    <w:rsid w:val="001D1D0A"/>
    <w:rsid w:val="001D2221"/>
    <w:rsid w:val="001D231F"/>
    <w:rsid w:val="001D23C9"/>
    <w:rsid w:val="001D27A6"/>
    <w:rsid w:val="001D2896"/>
    <w:rsid w:val="001D29F4"/>
    <w:rsid w:val="001D2D0E"/>
    <w:rsid w:val="001D2FBD"/>
    <w:rsid w:val="001D2FEB"/>
    <w:rsid w:val="001D3111"/>
    <w:rsid w:val="001D32A8"/>
    <w:rsid w:val="001D3345"/>
    <w:rsid w:val="001D37D7"/>
    <w:rsid w:val="001D3B37"/>
    <w:rsid w:val="001D3B54"/>
    <w:rsid w:val="001D3D74"/>
    <w:rsid w:val="001D3E92"/>
    <w:rsid w:val="001D3E93"/>
    <w:rsid w:val="001D3F4B"/>
    <w:rsid w:val="001D4075"/>
    <w:rsid w:val="001D42C5"/>
    <w:rsid w:val="001D442E"/>
    <w:rsid w:val="001D45B8"/>
    <w:rsid w:val="001D4BD8"/>
    <w:rsid w:val="001D4E4B"/>
    <w:rsid w:val="001D4FB6"/>
    <w:rsid w:val="001D53A7"/>
    <w:rsid w:val="001D542D"/>
    <w:rsid w:val="001D5438"/>
    <w:rsid w:val="001D54FB"/>
    <w:rsid w:val="001D5513"/>
    <w:rsid w:val="001D55B8"/>
    <w:rsid w:val="001D592A"/>
    <w:rsid w:val="001D5968"/>
    <w:rsid w:val="001D5A36"/>
    <w:rsid w:val="001D5EB2"/>
    <w:rsid w:val="001D62D6"/>
    <w:rsid w:val="001D62EC"/>
    <w:rsid w:val="001D637F"/>
    <w:rsid w:val="001D6491"/>
    <w:rsid w:val="001D6AAB"/>
    <w:rsid w:val="001D6B21"/>
    <w:rsid w:val="001D6B96"/>
    <w:rsid w:val="001D6D13"/>
    <w:rsid w:val="001D6D51"/>
    <w:rsid w:val="001D6E41"/>
    <w:rsid w:val="001D6E7A"/>
    <w:rsid w:val="001D70A4"/>
    <w:rsid w:val="001D7390"/>
    <w:rsid w:val="001D745C"/>
    <w:rsid w:val="001D7706"/>
    <w:rsid w:val="001D77FD"/>
    <w:rsid w:val="001D789C"/>
    <w:rsid w:val="001D78C6"/>
    <w:rsid w:val="001D7E73"/>
    <w:rsid w:val="001E0222"/>
    <w:rsid w:val="001E08C8"/>
    <w:rsid w:val="001E08CE"/>
    <w:rsid w:val="001E0A93"/>
    <w:rsid w:val="001E0B1B"/>
    <w:rsid w:val="001E0B9D"/>
    <w:rsid w:val="001E0C34"/>
    <w:rsid w:val="001E0F79"/>
    <w:rsid w:val="001E1050"/>
    <w:rsid w:val="001E156E"/>
    <w:rsid w:val="001E22F4"/>
    <w:rsid w:val="001E27CA"/>
    <w:rsid w:val="001E2AD8"/>
    <w:rsid w:val="001E2BE3"/>
    <w:rsid w:val="001E2C7B"/>
    <w:rsid w:val="001E2CC0"/>
    <w:rsid w:val="001E3178"/>
    <w:rsid w:val="001E3F5F"/>
    <w:rsid w:val="001E4070"/>
    <w:rsid w:val="001E4432"/>
    <w:rsid w:val="001E46B7"/>
    <w:rsid w:val="001E4702"/>
    <w:rsid w:val="001E495B"/>
    <w:rsid w:val="001E4DCA"/>
    <w:rsid w:val="001E4E21"/>
    <w:rsid w:val="001E4EA1"/>
    <w:rsid w:val="001E56A1"/>
    <w:rsid w:val="001E58F8"/>
    <w:rsid w:val="001E59D6"/>
    <w:rsid w:val="001E5D3E"/>
    <w:rsid w:val="001E5D99"/>
    <w:rsid w:val="001E5EA1"/>
    <w:rsid w:val="001E5F71"/>
    <w:rsid w:val="001E5FE0"/>
    <w:rsid w:val="001E6001"/>
    <w:rsid w:val="001E639B"/>
    <w:rsid w:val="001E6818"/>
    <w:rsid w:val="001E69EA"/>
    <w:rsid w:val="001E6A43"/>
    <w:rsid w:val="001E6EFE"/>
    <w:rsid w:val="001E705B"/>
    <w:rsid w:val="001E70E1"/>
    <w:rsid w:val="001E7221"/>
    <w:rsid w:val="001E73FA"/>
    <w:rsid w:val="001E7811"/>
    <w:rsid w:val="001E7941"/>
    <w:rsid w:val="001E7AA2"/>
    <w:rsid w:val="001E7AD4"/>
    <w:rsid w:val="001E7BB6"/>
    <w:rsid w:val="001E7DE8"/>
    <w:rsid w:val="001E7EF1"/>
    <w:rsid w:val="001E7FF7"/>
    <w:rsid w:val="001F00DE"/>
    <w:rsid w:val="001F0131"/>
    <w:rsid w:val="001F0331"/>
    <w:rsid w:val="001F04C3"/>
    <w:rsid w:val="001F0645"/>
    <w:rsid w:val="001F0BA4"/>
    <w:rsid w:val="001F0D4E"/>
    <w:rsid w:val="001F0F2E"/>
    <w:rsid w:val="001F120B"/>
    <w:rsid w:val="001F1290"/>
    <w:rsid w:val="001F132C"/>
    <w:rsid w:val="001F140A"/>
    <w:rsid w:val="001F14E3"/>
    <w:rsid w:val="001F151B"/>
    <w:rsid w:val="001F15F3"/>
    <w:rsid w:val="001F1808"/>
    <w:rsid w:val="001F187A"/>
    <w:rsid w:val="001F1A3C"/>
    <w:rsid w:val="001F1BC6"/>
    <w:rsid w:val="001F1E69"/>
    <w:rsid w:val="001F1EF5"/>
    <w:rsid w:val="001F1F6B"/>
    <w:rsid w:val="001F24CE"/>
    <w:rsid w:val="001F2828"/>
    <w:rsid w:val="001F2B99"/>
    <w:rsid w:val="001F2DB6"/>
    <w:rsid w:val="001F2E29"/>
    <w:rsid w:val="001F2E56"/>
    <w:rsid w:val="001F2F4D"/>
    <w:rsid w:val="001F3567"/>
    <w:rsid w:val="001F49F3"/>
    <w:rsid w:val="001F4A31"/>
    <w:rsid w:val="001F4B30"/>
    <w:rsid w:val="001F52B5"/>
    <w:rsid w:val="001F5420"/>
    <w:rsid w:val="001F5539"/>
    <w:rsid w:val="001F57E6"/>
    <w:rsid w:val="001F5C34"/>
    <w:rsid w:val="001F5D26"/>
    <w:rsid w:val="001F6118"/>
    <w:rsid w:val="001F611D"/>
    <w:rsid w:val="001F6282"/>
    <w:rsid w:val="001F6474"/>
    <w:rsid w:val="001F6511"/>
    <w:rsid w:val="001F68E2"/>
    <w:rsid w:val="001F6960"/>
    <w:rsid w:val="001F6AEE"/>
    <w:rsid w:val="001F6CD1"/>
    <w:rsid w:val="001F7047"/>
    <w:rsid w:val="001F7057"/>
    <w:rsid w:val="001F7188"/>
    <w:rsid w:val="001F71B8"/>
    <w:rsid w:val="001F73C9"/>
    <w:rsid w:val="001F75F2"/>
    <w:rsid w:val="001F773A"/>
    <w:rsid w:val="001F78AC"/>
    <w:rsid w:val="001F7F31"/>
    <w:rsid w:val="002001CE"/>
    <w:rsid w:val="002004D2"/>
    <w:rsid w:val="002007EF"/>
    <w:rsid w:val="00200831"/>
    <w:rsid w:val="0020097C"/>
    <w:rsid w:val="00200C71"/>
    <w:rsid w:val="00200CDE"/>
    <w:rsid w:val="00200D37"/>
    <w:rsid w:val="00200D85"/>
    <w:rsid w:val="0020131F"/>
    <w:rsid w:val="002016C5"/>
    <w:rsid w:val="002016F1"/>
    <w:rsid w:val="0020170B"/>
    <w:rsid w:val="002017EF"/>
    <w:rsid w:val="002017FC"/>
    <w:rsid w:val="00201985"/>
    <w:rsid w:val="00201AD0"/>
    <w:rsid w:val="00201AE1"/>
    <w:rsid w:val="00201BCB"/>
    <w:rsid w:val="00201CA7"/>
    <w:rsid w:val="00201F8A"/>
    <w:rsid w:val="002020CF"/>
    <w:rsid w:val="0020215A"/>
    <w:rsid w:val="00202267"/>
    <w:rsid w:val="002022B8"/>
    <w:rsid w:val="00202451"/>
    <w:rsid w:val="002025C5"/>
    <w:rsid w:val="002025D2"/>
    <w:rsid w:val="0020265A"/>
    <w:rsid w:val="00202696"/>
    <w:rsid w:val="00202AB1"/>
    <w:rsid w:val="00202CC2"/>
    <w:rsid w:val="00202CDD"/>
    <w:rsid w:val="00202D7A"/>
    <w:rsid w:val="00203115"/>
    <w:rsid w:val="0020322E"/>
    <w:rsid w:val="0020327C"/>
    <w:rsid w:val="0020337D"/>
    <w:rsid w:val="00203585"/>
    <w:rsid w:val="002035BC"/>
    <w:rsid w:val="00203780"/>
    <w:rsid w:val="002037C6"/>
    <w:rsid w:val="002037D9"/>
    <w:rsid w:val="0020384E"/>
    <w:rsid w:val="00203B7E"/>
    <w:rsid w:val="002041C6"/>
    <w:rsid w:val="00204200"/>
    <w:rsid w:val="002043FF"/>
    <w:rsid w:val="0020441A"/>
    <w:rsid w:val="0020441B"/>
    <w:rsid w:val="00204689"/>
    <w:rsid w:val="002047D3"/>
    <w:rsid w:val="00204A5E"/>
    <w:rsid w:val="00204AC0"/>
    <w:rsid w:val="0020501B"/>
    <w:rsid w:val="0020508C"/>
    <w:rsid w:val="002051B4"/>
    <w:rsid w:val="002052CD"/>
    <w:rsid w:val="00205368"/>
    <w:rsid w:val="00205450"/>
    <w:rsid w:val="002057F3"/>
    <w:rsid w:val="002059D8"/>
    <w:rsid w:val="00205C1E"/>
    <w:rsid w:val="00205D02"/>
    <w:rsid w:val="00205E91"/>
    <w:rsid w:val="00206180"/>
    <w:rsid w:val="00206438"/>
    <w:rsid w:val="00206442"/>
    <w:rsid w:val="00206446"/>
    <w:rsid w:val="0020650C"/>
    <w:rsid w:val="00206558"/>
    <w:rsid w:val="002066AF"/>
    <w:rsid w:val="00206B22"/>
    <w:rsid w:val="00206C2B"/>
    <w:rsid w:val="00206CFE"/>
    <w:rsid w:val="00206F3F"/>
    <w:rsid w:val="00207133"/>
    <w:rsid w:val="00207195"/>
    <w:rsid w:val="0020740A"/>
    <w:rsid w:val="0020770F"/>
    <w:rsid w:val="0020774F"/>
    <w:rsid w:val="002078CE"/>
    <w:rsid w:val="00207C65"/>
    <w:rsid w:val="00207F59"/>
    <w:rsid w:val="00207F78"/>
    <w:rsid w:val="0021002C"/>
    <w:rsid w:val="00210039"/>
    <w:rsid w:val="0021019D"/>
    <w:rsid w:val="002101E7"/>
    <w:rsid w:val="00210235"/>
    <w:rsid w:val="002104C9"/>
    <w:rsid w:val="002107AC"/>
    <w:rsid w:val="00210998"/>
    <w:rsid w:val="00210A67"/>
    <w:rsid w:val="00210C31"/>
    <w:rsid w:val="00210C39"/>
    <w:rsid w:val="00210DFE"/>
    <w:rsid w:val="00211075"/>
    <w:rsid w:val="002111C4"/>
    <w:rsid w:val="00211337"/>
    <w:rsid w:val="00211489"/>
    <w:rsid w:val="002115A2"/>
    <w:rsid w:val="00211715"/>
    <w:rsid w:val="00211A83"/>
    <w:rsid w:val="00211CB6"/>
    <w:rsid w:val="00212132"/>
    <w:rsid w:val="002121E1"/>
    <w:rsid w:val="0021241B"/>
    <w:rsid w:val="00212684"/>
    <w:rsid w:val="00212875"/>
    <w:rsid w:val="00212943"/>
    <w:rsid w:val="00212E4B"/>
    <w:rsid w:val="00212FC9"/>
    <w:rsid w:val="002131FE"/>
    <w:rsid w:val="00213297"/>
    <w:rsid w:val="002132FD"/>
    <w:rsid w:val="002137BC"/>
    <w:rsid w:val="00213A37"/>
    <w:rsid w:val="00213B68"/>
    <w:rsid w:val="00213C24"/>
    <w:rsid w:val="00213FB8"/>
    <w:rsid w:val="00213FF0"/>
    <w:rsid w:val="00214224"/>
    <w:rsid w:val="00214256"/>
    <w:rsid w:val="0021431A"/>
    <w:rsid w:val="00214AA1"/>
    <w:rsid w:val="00214CFD"/>
    <w:rsid w:val="00214D74"/>
    <w:rsid w:val="00214DBC"/>
    <w:rsid w:val="0021519B"/>
    <w:rsid w:val="00215515"/>
    <w:rsid w:val="00215600"/>
    <w:rsid w:val="0021589A"/>
    <w:rsid w:val="00215EB6"/>
    <w:rsid w:val="002164BD"/>
    <w:rsid w:val="00216878"/>
    <w:rsid w:val="002168D8"/>
    <w:rsid w:val="00216DB7"/>
    <w:rsid w:val="00216FD0"/>
    <w:rsid w:val="00217379"/>
    <w:rsid w:val="0021748D"/>
    <w:rsid w:val="00217692"/>
    <w:rsid w:val="0021776D"/>
    <w:rsid w:val="002178EF"/>
    <w:rsid w:val="002200A2"/>
    <w:rsid w:val="00220702"/>
    <w:rsid w:val="002209AE"/>
    <w:rsid w:val="00220A4D"/>
    <w:rsid w:val="00220ACA"/>
    <w:rsid w:val="00220DE5"/>
    <w:rsid w:val="00220F0C"/>
    <w:rsid w:val="0022113E"/>
    <w:rsid w:val="002211FA"/>
    <w:rsid w:val="00221270"/>
    <w:rsid w:val="0022129D"/>
    <w:rsid w:val="002217AE"/>
    <w:rsid w:val="00221A91"/>
    <w:rsid w:val="00221E75"/>
    <w:rsid w:val="00222194"/>
    <w:rsid w:val="002225C7"/>
    <w:rsid w:val="00222651"/>
    <w:rsid w:val="0022278A"/>
    <w:rsid w:val="0022317D"/>
    <w:rsid w:val="00223285"/>
    <w:rsid w:val="0022328A"/>
    <w:rsid w:val="002233AC"/>
    <w:rsid w:val="0022362D"/>
    <w:rsid w:val="002237B8"/>
    <w:rsid w:val="00223841"/>
    <w:rsid w:val="00223BA2"/>
    <w:rsid w:val="00223E02"/>
    <w:rsid w:val="00223F4F"/>
    <w:rsid w:val="00224031"/>
    <w:rsid w:val="0022461E"/>
    <w:rsid w:val="002246E1"/>
    <w:rsid w:val="00224810"/>
    <w:rsid w:val="00224B0D"/>
    <w:rsid w:val="00224EA1"/>
    <w:rsid w:val="00225273"/>
    <w:rsid w:val="00225536"/>
    <w:rsid w:val="002258CC"/>
    <w:rsid w:val="00225ABD"/>
    <w:rsid w:val="00225B4F"/>
    <w:rsid w:val="00225C02"/>
    <w:rsid w:val="00225CDD"/>
    <w:rsid w:val="00225D93"/>
    <w:rsid w:val="00225E94"/>
    <w:rsid w:val="00225FB6"/>
    <w:rsid w:val="0022603B"/>
    <w:rsid w:val="0022612E"/>
    <w:rsid w:val="002262A9"/>
    <w:rsid w:val="002263CF"/>
    <w:rsid w:val="002264A0"/>
    <w:rsid w:val="00226702"/>
    <w:rsid w:val="002267B0"/>
    <w:rsid w:val="00226A09"/>
    <w:rsid w:val="00226D21"/>
    <w:rsid w:val="00226D46"/>
    <w:rsid w:val="00227144"/>
    <w:rsid w:val="002274B6"/>
    <w:rsid w:val="002274F8"/>
    <w:rsid w:val="0022781A"/>
    <w:rsid w:val="00227C30"/>
    <w:rsid w:val="00230102"/>
    <w:rsid w:val="0023020F"/>
    <w:rsid w:val="002303B2"/>
    <w:rsid w:val="00230409"/>
    <w:rsid w:val="002304F6"/>
    <w:rsid w:val="00230752"/>
    <w:rsid w:val="002308B2"/>
    <w:rsid w:val="0023097A"/>
    <w:rsid w:val="00230A25"/>
    <w:rsid w:val="00230A7E"/>
    <w:rsid w:val="00230DAE"/>
    <w:rsid w:val="00230E74"/>
    <w:rsid w:val="00230F25"/>
    <w:rsid w:val="00230FBA"/>
    <w:rsid w:val="00231120"/>
    <w:rsid w:val="00231181"/>
    <w:rsid w:val="002311DF"/>
    <w:rsid w:val="00231299"/>
    <w:rsid w:val="00231344"/>
    <w:rsid w:val="0023141A"/>
    <w:rsid w:val="0023148F"/>
    <w:rsid w:val="00231567"/>
    <w:rsid w:val="002315F5"/>
    <w:rsid w:val="002315FC"/>
    <w:rsid w:val="00231637"/>
    <w:rsid w:val="00231DB2"/>
    <w:rsid w:val="00231F0D"/>
    <w:rsid w:val="002322A2"/>
    <w:rsid w:val="0023242A"/>
    <w:rsid w:val="00232513"/>
    <w:rsid w:val="00232861"/>
    <w:rsid w:val="0023299A"/>
    <w:rsid w:val="00232B08"/>
    <w:rsid w:val="00232D75"/>
    <w:rsid w:val="00233435"/>
    <w:rsid w:val="002334A9"/>
    <w:rsid w:val="0023353F"/>
    <w:rsid w:val="0023375C"/>
    <w:rsid w:val="00233776"/>
    <w:rsid w:val="00233781"/>
    <w:rsid w:val="00233858"/>
    <w:rsid w:val="00233975"/>
    <w:rsid w:val="00233B90"/>
    <w:rsid w:val="00233F23"/>
    <w:rsid w:val="0023407D"/>
    <w:rsid w:val="002342CC"/>
    <w:rsid w:val="0023434D"/>
    <w:rsid w:val="00234D28"/>
    <w:rsid w:val="00234D7E"/>
    <w:rsid w:val="00234F5B"/>
    <w:rsid w:val="00235177"/>
    <w:rsid w:val="00235191"/>
    <w:rsid w:val="002352B6"/>
    <w:rsid w:val="0023548F"/>
    <w:rsid w:val="002358B0"/>
    <w:rsid w:val="00236601"/>
    <w:rsid w:val="002366E6"/>
    <w:rsid w:val="00236AB7"/>
    <w:rsid w:val="00236D1D"/>
    <w:rsid w:val="00236D41"/>
    <w:rsid w:val="002372CA"/>
    <w:rsid w:val="00237614"/>
    <w:rsid w:val="00237868"/>
    <w:rsid w:val="002379D2"/>
    <w:rsid w:val="00237A73"/>
    <w:rsid w:val="00237B40"/>
    <w:rsid w:val="00237C24"/>
    <w:rsid w:val="00237CAF"/>
    <w:rsid w:val="0024034D"/>
    <w:rsid w:val="002403B2"/>
    <w:rsid w:val="0024042A"/>
    <w:rsid w:val="0024042E"/>
    <w:rsid w:val="002404C5"/>
    <w:rsid w:val="00240552"/>
    <w:rsid w:val="00240781"/>
    <w:rsid w:val="00240CA7"/>
    <w:rsid w:val="0024120E"/>
    <w:rsid w:val="002414F9"/>
    <w:rsid w:val="0024164B"/>
    <w:rsid w:val="002416AF"/>
    <w:rsid w:val="00241762"/>
    <w:rsid w:val="00241A74"/>
    <w:rsid w:val="00241B29"/>
    <w:rsid w:val="00241B6A"/>
    <w:rsid w:val="00241C11"/>
    <w:rsid w:val="0024248E"/>
    <w:rsid w:val="002426D0"/>
    <w:rsid w:val="002428CD"/>
    <w:rsid w:val="00243180"/>
    <w:rsid w:val="00243197"/>
    <w:rsid w:val="002439D1"/>
    <w:rsid w:val="00243AFE"/>
    <w:rsid w:val="00243D00"/>
    <w:rsid w:val="002444E8"/>
    <w:rsid w:val="0024450F"/>
    <w:rsid w:val="00244547"/>
    <w:rsid w:val="002445EF"/>
    <w:rsid w:val="0024478D"/>
    <w:rsid w:val="00244AB9"/>
    <w:rsid w:val="00244D00"/>
    <w:rsid w:val="00245017"/>
    <w:rsid w:val="00245733"/>
    <w:rsid w:val="00245983"/>
    <w:rsid w:val="002459C2"/>
    <w:rsid w:val="00245B10"/>
    <w:rsid w:val="00245CA6"/>
    <w:rsid w:val="00245DCD"/>
    <w:rsid w:val="00246797"/>
    <w:rsid w:val="002468D2"/>
    <w:rsid w:val="002469DE"/>
    <w:rsid w:val="00246A1E"/>
    <w:rsid w:val="00246CF9"/>
    <w:rsid w:val="00246DD0"/>
    <w:rsid w:val="00246E1A"/>
    <w:rsid w:val="00246EB7"/>
    <w:rsid w:val="00246FB7"/>
    <w:rsid w:val="0024705D"/>
    <w:rsid w:val="0024727C"/>
    <w:rsid w:val="002472BC"/>
    <w:rsid w:val="0024732A"/>
    <w:rsid w:val="002474D8"/>
    <w:rsid w:val="002476E4"/>
    <w:rsid w:val="002478C2"/>
    <w:rsid w:val="002479FD"/>
    <w:rsid w:val="00247A0A"/>
    <w:rsid w:val="002500F0"/>
    <w:rsid w:val="0025020D"/>
    <w:rsid w:val="00250277"/>
    <w:rsid w:val="0025044E"/>
    <w:rsid w:val="00250571"/>
    <w:rsid w:val="0025059C"/>
    <w:rsid w:val="002505C0"/>
    <w:rsid w:val="002508E9"/>
    <w:rsid w:val="00250CED"/>
    <w:rsid w:val="00250CFE"/>
    <w:rsid w:val="00250D50"/>
    <w:rsid w:val="00251071"/>
    <w:rsid w:val="0025135E"/>
    <w:rsid w:val="002515E1"/>
    <w:rsid w:val="00251784"/>
    <w:rsid w:val="002518B1"/>
    <w:rsid w:val="002519D8"/>
    <w:rsid w:val="00251BCC"/>
    <w:rsid w:val="00251D28"/>
    <w:rsid w:val="00251E90"/>
    <w:rsid w:val="00251FE0"/>
    <w:rsid w:val="002521BD"/>
    <w:rsid w:val="00252216"/>
    <w:rsid w:val="002522D5"/>
    <w:rsid w:val="0025286B"/>
    <w:rsid w:val="00252888"/>
    <w:rsid w:val="00252B33"/>
    <w:rsid w:val="00252B52"/>
    <w:rsid w:val="00252F39"/>
    <w:rsid w:val="00253333"/>
    <w:rsid w:val="0025337C"/>
    <w:rsid w:val="002534EF"/>
    <w:rsid w:val="00253555"/>
    <w:rsid w:val="002536DF"/>
    <w:rsid w:val="002536EA"/>
    <w:rsid w:val="002537FE"/>
    <w:rsid w:val="00253BDE"/>
    <w:rsid w:val="00253CF4"/>
    <w:rsid w:val="00253DA8"/>
    <w:rsid w:val="002540C9"/>
    <w:rsid w:val="00254508"/>
    <w:rsid w:val="0025460A"/>
    <w:rsid w:val="00254621"/>
    <w:rsid w:val="0025466F"/>
    <w:rsid w:val="00254992"/>
    <w:rsid w:val="00254A2F"/>
    <w:rsid w:val="00254E07"/>
    <w:rsid w:val="00254E1B"/>
    <w:rsid w:val="002554EB"/>
    <w:rsid w:val="00255B88"/>
    <w:rsid w:val="00255D33"/>
    <w:rsid w:val="00255D9C"/>
    <w:rsid w:val="00255DAA"/>
    <w:rsid w:val="00255E11"/>
    <w:rsid w:val="00255EBA"/>
    <w:rsid w:val="002562AA"/>
    <w:rsid w:val="00256313"/>
    <w:rsid w:val="00256353"/>
    <w:rsid w:val="002566B9"/>
    <w:rsid w:val="00256AFB"/>
    <w:rsid w:val="00256C97"/>
    <w:rsid w:val="00256CF6"/>
    <w:rsid w:val="0025713F"/>
    <w:rsid w:val="0025722D"/>
    <w:rsid w:val="0025773C"/>
    <w:rsid w:val="00257CEC"/>
    <w:rsid w:val="00257D22"/>
    <w:rsid w:val="00257E50"/>
    <w:rsid w:val="0026043F"/>
    <w:rsid w:val="0026065B"/>
    <w:rsid w:val="0026069A"/>
    <w:rsid w:val="002608FB"/>
    <w:rsid w:val="00260984"/>
    <w:rsid w:val="002610C9"/>
    <w:rsid w:val="002611AA"/>
    <w:rsid w:val="00261224"/>
    <w:rsid w:val="00261418"/>
    <w:rsid w:val="002615CB"/>
    <w:rsid w:val="002616B3"/>
    <w:rsid w:val="00261780"/>
    <w:rsid w:val="0026193D"/>
    <w:rsid w:val="00261D69"/>
    <w:rsid w:val="00261F17"/>
    <w:rsid w:val="00261FDE"/>
    <w:rsid w:val="00261FF0"/>
    <w:rsid w:val="002621B0"/>
    <w:rsid w:val="0026244F"/>
    <w:rsid w:val="002624B6"/>
    <w:rsid w:val="00263147"/>
    <w:rsid w:val="00263193"/>
    <w:rsid w:val="002635F5"/>
    <w:rsid w:val="002636A7"/>
    <w:rsid w:val="002638D1"/>
    <w:rsid w:val="00263C9F"/>
    <w:rsid w:val="00263CBA"/>
    <w:rsid w:val="00263CC5"/>
    <w:rsid w:val="00263D3A"/>
    <w:rsid w:val="00263DA3"/>
    <w:rsid w:val="002641F3"/>
    <w:rsid w:val="00264212"/>
    <w:rsid w:val="00264498"/>
    <w:rsid w:val="00264677"/>
    <w:rsid w:val="002647A8"/>
    <w:rsid w:val="00264A21"/>
    <w:rsid w:val="00264B3E"/>
    <w:rsid w:val="00264C38"/>
    <w:rsid w:val="00264E29"/>
    <w:rsid w:val="00265230"/>
    <w:rsid w:val="00265376"/>
    <w:rsid w:val="002659C4"/>
    <w:rsid w:val="00265C65"/>
    <w:rsid w:val="00265CC1"/>
    <w:rsid w:val="00265D30"/>
    <w:rsid w:val="00265E45"/>
    <w:rsid w:val="002662E7"/>
    <w:rsid w:val="00266689"/>
    <w:rsid w:val="002668B0"/>
    <w:rsid w:val="002668D4"/>
    <w:rsid w:val="00266D86"/>
    <w:rsid w:val="00266FDB"/>
    <w:rsid w:val="00267244"/>
    <w:rsid w:val="00267390"/>
    <w:rsid w:val="0026750A"/>
    <w:rsid w:val="0026752D"/>
    <w:rsid w:val="0026774C"/>
    <w:rsid w:val="00267780"/>
    <w:rsid w:val="00267848"/>
    <w:rsid w:val="00267B1A"/>
    <w:rsid w:val="00267E57"/>
    <w:rsid w:val="00267FEC"/>
    <w:rsid w:val="0027049A"/>
    <w:rsid w:val="002706CF"/>
    <w:rsid w:val="00270795"/>
    <w:rsid w:val="00270D84"/>
    <w:rsid w:val="0027104D"/>
    <w:rsid w:val="00271059"/>
    <w:rsid w:val="002711B5"/>
    <w:rsid w:val="002713A8"/>
    <w:rsid w:val="0027187C"/>
    <w:rsid w:val="0027190F"/>
    <w:rsid w:val="00271DC2"/>
    <w:rsid w:val="0027208C"/>
    <w:rsid w:val="00272469"/>
    <w:rsid w:val="002724BD"/>
    <w:rsid w:val="00272A47"/>
    <w:rsid w:val="00272A7A"/>
    <w:rsid w:val="00272A9A"/>
    <w:rsid w:val="00272EED"/>
    <w:rsid w:val="00272FA3"/>
    <w:rsid w:val="0027305C"/>
    <w:rsid w:val="0027345B"/>
    <w:rsid w:val="002734BB"/>
    <w:rsid w:val="00273B45"/>
    <w:rsid w:val="00273C46"/>
    <w:rsid w:val="0027437C"/>
    <w:rsid w:val="002744E7"/>
    <w:rsid w:val="00274579"/>
    <w:rsid w:val="0027495E"/>
    <w:rsid w:val="002749E9"/>
    <w:rsid w:val="00274A67"/>
    <w:rsid w:val="00274B09"/>
    <w:rsid w:val="00274D5F"/>
    <w:rsid w:val="00274E5E"/>
    <w:rsid w:val="002751BE"/>
    <w:rsid w:val="002752F6"/>
    <w:rsid w:val="00275465"/>
    <w:rsid w:val="00275732"/>
    <w:rsid w:val="002759DA"/>
    <w:rsid w:val="00275A99"/>
    <w:rsid w:val="00275B98"/>
    <w:rsid w:val="00276049"/>
    <w:rsid w:val="00276433"/>
    <w:rsid w:val="002767AD"/>
    <w:rsid w:val="00276877"/>
    <w:rsid w:val="00276AD4"/>
    <w:rsid w:val="00276B06"/>
    <w:rsid w:val="00276EB3"/>
    <w:rsid w:val="00276F11"/>
    <w:rsid w:val="0027726C"/>
    <w:rsid w:val="002778A9"/>
    <w:rsid w:val="00277BFA"/>
    <w:rsid w:val="00277C1A"/>
    <w:rsid w:val="00277F89"/>
    <w:rsid w:val="00280060"/>
    <w:rsid w:val="00280066"/>
    <w:rsid w:val="002804D4"/>
    <w:rsid w:val="00280563"/>
    <w:rsid w:val="00280837"/>
    <w:rsid w:val="00281398"/>
    <w:rsid w:val="00281483"/>
    <w:rsid w:val="002816A3"/>
    <w:rsid w:val="00281707"/>
    <w:rsid w:val="0028172C"/>
    <w:rsid w:val="0028191B"/>
    <w:rsid w:val="0028197C"/>
    <w:rsid w:val="00281CD7"/>
    <w:rsid w:val="00282151"/>
    <w:rsid w:val="0028261C"/>
    <w:rsid w:val="0028276D"/>
    <w:rsid w:val="002827A3"/>
    <w:rsid w:val="00282913"/>
    <w:rsid w:val="002829EB"/>
    <w:rsid w:val="00282BD8"/>
    <w:rsid w:val="00282F34"/>
    <w:rsid w:val="00282F38"/>
    <w:rsid w:val="00282FD7"/>
    <w:rsid w:val="00283201"/>
    <w:rsid w:val="00283222"/>
    <w:rsid w:val="00283977"/>
    <w:rsid w:val="00283ACC"/>
    <w:rsid w:val="00283D75"/>
    <w:rsid w:val="00283E68"/>
    <w:rsid w:val="00283F50"/>
    <w:rsid w:val="002841C6"/>
    <w:rsid w:val="002841D8"/>
    <w:rsid w:val="0028421D"/>
    <w:rsid w:val="002842F5"/>
    <w:rsid w:val="0028432D"/>
    <w:rsid w:val="002845B1"/>
    <w:rsid w:val="002845CB"/>
    <w:rsid w:val="00284629"/>
    <w:rsid w:val="002846B8"/>
    <w:rsid w:val="002846DB"/>
    <w:rsid w:val="0028494F"/>
    <w:rsid w:val="002849CF"/>
    <w:rsid w:val="00284A73"/>
    <w:rsid w:val="00284BB0"/>
    <w:rsid w:val="00284E89"/>
    <w:rsid w:val="00284F94"/>
    <w:rsid w:val="002850B3"/>
    <w:rsid w:val="00285350"/>
    <w:rsid w:val="00285660"/>
    <w:rsid w:val="00285765"/>
    <w:rsid w:val="00285773"/>
    <w:rsid w:val="00285980"/>
    <w:rsid w:val="002859CF"/>
    <w:rsid w:val="00285A04"/>
    <w:rsid w:val="00285A0B"/>
    <w:rsid w:val="00285AC3"/>
    <w:rsid w:val="00285B02"/>
    <w:rsid w:val="00285E37"/>
    <w:rsid w:val="00286016"/>
    <w:rsid w:val="002866F2"/>
    <w:rsid w:val="0028675D"/>
    <w:rsid w:val="002869BA"/>
    <w:rsid w:val="002869D1"/>
    <w:rsid w:val="00286C52"/>
    <w:rsid w:val="00286E07"/>
    <w:rsid w:val="00286E63"/>
    <w:rsid w:val="00286FC4"/>
    <w:rsid w:val="00286FDB"/>
    <w:rsid w:val="00287325"/>
    <w:rsid w:val="00287770"/>
    <w:rsid w:val="0028783B"/>
    <w:rsid w:val="002879F9"/>
    <w:rsid w:val="00287B22"/>
    <w:rsid w:val="00287D9F"/>
    <w:rsid w:val="00287EED"/>
    <w:rsid w:val="00287FEC"/>
    <w:rsid w:val="002901A3"/>
    <w:rsid w:val="00290843"/>
    <w:rsid w:val="00290CA0"/>
    <w:rsid w:val="00290DA7"/>
    <w:rsid w:val="00291457"/>
    <w:rsid w:val="002917AE"/>
    <w:rsid w:val="002918F2"/>
    <w:rsid w:val="002919F7"/>
    <w:rsid w:val="00291DAB"/>
    <w:rsid w:val="00291E02"/>
    <w:rsid w:val="00291F1A"/>
    <w:rsid w:val="0029209C"/>
    <w:rsid w:val="002921C6"/>
    <w:rsid w:val="00292203"/>
    <w:rsid w:val="00292275"/>
    <w:rsid w:val="0029249C"/>
    <w:rsid w:val="002926D5"/>
    <w:rsid w:val="00292984"/>
    <w:rsid w:val="00292A4E"/>
    <w:rsid w:val="00292AE3"/>
    <w:rsid w:val="00292C84"/>
    <w:rsid w:val="00292D48"/>
    <w:rsid w:val="0029311A"/>
    <w:rsid w:val="00293562"/>
    <w:rsid w:val="00293E28"/>
    <w:rsid w:val="00293E4B"/>
    <w:rsid w:val="00293EDD"/>
    <w:rsid w:val="00293FCB"/>
    <w:rsid w:val="0029439C"/>
    <w:rsid w:val="00294406"/>
    <w:rsid w:val="00294953"/>
    <w:rsid w:val="00294A45"/>
    <w:rsid w:val="00295036"/>
    <w:rsid w:val="0029508A"/>
    <w:rsid w:val="002951DF"/>
    <w:rsid w:val="00295329"/>
    <w:rsid w:val="002954B4"/>
    <w:rsid w:val="00295714"/>
    <w:rsid w:val="00295903"/>
    <w:rsid w:val="00295A39"/>
    <w:rsid w:val="00295A9C"/>
    <w:rsid w:val="002960C4"/>
    <w:rsid w:val="0029619C"/>
    <w:rsid w:val="00296296"/>
    <w:rsid w:val="00296881"/>
    <w:rsid w:val="002968B7"/>
    <w:rsid w:val="0029690F"/>
    <w:rsid w:val="00297040"/>
    <w:rsid w:val="00297C90"/>
    <w:rsid w:val="002A00B4"/>
    <w:rsid w:val="002A033F"/>
    <w:rsid w:val="002A0380"/>
    <w:rsid w:val="002A040C"/>
    <w:rsid w:val="002A0569"/>
    <w:rsid w:val="002A0637"/>
    <w:rsid w:val="002A0690"/>
    <w:rsid w:val="002A0A21"/>
    <w:rsid w:val="002A0BE3"/>
    <w:rsid w:val="002A128A"/>
    <w:rsid w:val="002A1292"/>
    <w:rsid w:val="002A1324"/>
    <w:rsid w:val="002A14DB"/>
    <w:rsid w:val="002A19AF"/>
    <w:rsid w:val="002A1BBA"/>
    <w:rsid w:val="002A1DB9"/>
    <w:rsid w:val="002A2144"/>
    <w:rsid w:val="002A2317"/>
    <w:rsid w:val="002A237E"/>
    <w:rsid w:val="002A240D"/>
    <w:rsid w:val="002A24C1"/>
    <w:rsid w:val="002A268C"/>
    <w:rsid w:val="002A2887"/>
    <w:rsid w:val="002A2963"/>
    <w:rsid w:val="002A2BCB"/>
    <w:rsid w:val="002A2C9C"/>
    <w:rsid w:val="002A2FF2"/>
    <w:rsid w:val="002A301D"/>
    <w:rsid w:val="002A30CA"/>
    <w:rsid w:val="002A3846"/>
    <w:rsid w:val="002A3A03"/>
    <w:rsid w:val="002A3FCB"/>
    <w:rsid w:val="002A4506"/>
    <w:rsid w:val="002A4559"/>
    <w:rsid w:val="002A455E"/>
    <w:rsid w:val="002A46FB"/>
    <w:rsid w:val="002A473A"/>
    <w:rsid w:val="002A4818"/>
    <w:rsid w:val="002A48F5"/>
    <w:rsid w:val="002A4A58"/>
    <w:rsid w:val="002A4AA2"/>
    <w:rsid w:val="002A4EDC"/>
    <w:rsid w:val="002A51AD"/>
    <w:rsid w:val="002A5437"/>
    <w:rsid w:val="002A5449"/>
    <w:rsid w:val="002A549D"/>
    <w:rsid w:val="002A56D9"/>
    <w:rsid w:val="002A5D23"/>
    <w:rsid w:val="002A5F67"/>
    <w:rsid w:val="002A6071"/>
    <w:rsid w:val="002A60C2"/>
    <w:rsid w:val="002A61A3"/>
    <w:rsid w:val="002A6377"/>
    <w:rsid w:val="002A63D0"/>
    <w:rsid w:val="002A649A"/>
    <w:rsid w:val="002A65BA"/>
    <w:rsid w:val="002A67C6"/>
    <w:rsid w:val="002A6946"/>
    <w:rsid w:val="002A6D3A"/>
    <w:rsid w:val="002A6FF1"/>
    <w:rsid w:val="002A7093"/>
    <w:rsid w:val="002A709B"/>
    <w:rsid w:val="002A736B"/>
    <w:rsid w:val="002A78B0"/>
    <w:rsid w:val="002A7917"/>
    <w:rsid w:val="002A7A7B"/>
    <w:rsid w:val="002A7AF8"/>
    <w:rsid w:val="002A7AFD"/>
    <w:rsid w:val="002A7B30"/>
    <w:rsid w:val="002A7BC0"/>
    <w:rsid w:val="002A7D32"/>
    <w:rsid w:val="002A7F25"/>
    <w:rsid w:val="002B045A"/>
    <w:rsid w:val="002B0525"/>
    <w:rsid w:val="002B09E2"/>
    <w:rsid w:val="002B09FD"/>
    <w:rsid w:val="002B0E34"/>
    <w:rsid w:val="002B11C0"/>
    <w:rsid w:val="002B1883"/>
    <w:rsid w:val="002B1936"/>
    <w:rsid w:val="002B1967"/>
    <w:rsid w:val="002B1977"/>
    <w:rsid w:val="002B1BE4"/>
    <w:rsid w:val="002B1E3D"/>
    <w:rsid w:val="002B1E5E"/>
    <w:rsid w:val="002B2419"/>
    <w:rsid w:val="002B2442"/>
    <w:rsid w:val="002B24F9"/>
    <w:rsid w:val="002B268D"/>
    <w:rsid w:val="002B2802"/>
    <w:rsid w:val="002B2970"/>
    <w:rsid w:val="002B2A48"/>
    <w:rsid w:val="002B2D15"/>
    <w:rsid w:val="002B2E69"/>
    <w:rsid w:val="002B307B"/>
    <w:rsid w:val="002B332F"/>
    <w:rsid w:val="002B356B"/>
    <w:rsid w:val="002B35BD"/>
    <w:rsid w:val="002B36A5"/>
    <w:rsid w:val="002B36B3"/>
    <w:rsid w:val="002B424E"/>
    <w:rsid w:val="002B42C9"/>
    <w:rsid w:val="002B441B"/>
    <w:rsid w:val="002B4C85"/>
    <w:rsid w:val="002B4CFA"/>
    <w:rsid w:val="002B518F"/>
    <w:rsid w:val="002B577F"/>
    <w:rsid w:val="002B57A9"/>
    <w:rsid w:val="002B5B5B"/>
    <w:rsid w:val="002B5D15"/>
    <w:rsid w:val="002B5D6D"/>
    <w:rsid w:val="002B5DDB"/>
    <w:rsid w:val="002B5E00"/>
    <w:rsid w:val="002B5E3A"/>
    <w:rsid w:val="002B6036"/>
    <w:rsid w:val="002B6AA0"/>
    <w:rsid w:val="002B6B26"/>
    <w:rsid w:val="002B6B4B"/>
    <w:rsid w:val="002B6E0F"/>
    <w:rsid w:val="002B70BB"/>
    <w:rsid w:val="002B725C"/>
    <w:rsid w:val="002B738F"/>
    <w:rsid w:val="002B777C"/>
    <w:rsid w:val="002B7BCE"/>
    <w:rsid w:val="002B7C5A"/>
    <w:rsid w:val="002B7C85"/>
    <w:rsid w:val="002B7E39"/>
    <w:rsid w:val="002C00CA"/>
    <w:rsid w:val="002C013E"/>
    <w:rsid w:val="002C0414"/>
    <w:rsid w:val="002C06F0"/>
    <w:rsid w:val="002C0B8D"/>
    <w:rsid w:val="002C0F3B"/>
    <w:rsid w:val="002C0F8A"/>
    <w:rsid w:val="002C1206"/>
    <w:rsid w:val="002C125B"/>
    <w:rsid w:val="002C1357"/>
    <w:rsid w:val="002C1475"/>
    <w:rsid w:val="002C16EE"/>
    <w:rsid w:val="002C17B1"/>
    <w:rsid w:val="002C1D7F"/>
    <w:rsid w:val="002C1F0D"/>
    <w:rsid w:val="002C23F0"/>
    <w:rsid w:val="002C24B0"/>
    <w:rsid w:val="002C277F"/>
    <w:rsid w:val="002C2801"/>
    <w:rsid w:val="002C28FB"/>
    <w:rsid w:val="002C2D30"/>
    <w:rsid w:val="002C2E2C"/>
    <w:rsid w:val="002C2E3C"/>
    <w:rsid w:val="002C2E3E"/>
    <w:rsid w:val="002C2F6F"/>
    <w:rsid w:val="002C3311"/>
    <w:rsid w:val="002C3520"/>
    <w:rsid w:val="002C3657"/>
    <w:rsid w:val="002C3ACE"/>
    <w:rsid w:val="002C3C7E"/>
    <w:rsid w:val="002C3D10"/>
    <w:rsid w:val="002C3DCF"/>
    <w:rsid w:val="002C3E4A"/>
    <w:rsid w:val="002C44F5"/>
    <w:rsid w:val="002C46CD"/>
    <w:rsid w:val="002C4727"/>
    <w:rsid w:val="002C4D0C"/>
    <w:rsid w:val="002C4E7D"/>
    <w:rsid w:val="002C5549"/>
    <w:rsid w:val="002C5901"/>
    <w:rsid w:val="002C5961"/>
    <w:rsid w:val="002C5F98"/>
    <w:rsid w:val="002C6450"/>
    <w:rsid w:val="002C64C9"/>
    <w:rsid w:val="002C65EE"/>
    <w:rsid w:val="002C673D"/>
    <w:rsid w:val="002C67E6"/>
    <w:rsid w:val="002C6813"/>
    <w:rsid w:val="002C6E74"/>
    <w:rsid w:val="002C71C5"/>
    <w:rsid w:val="002C76DC"/>
    <w:rsid w:val="002C7AD1"/>
    <w:rsid w:val="002C7B1E"/>
    <w:rsid w:val="002C7D1C"/>
    <w:rsid w:val="002C7E80"/>
    <w:rsid w:val="002C7F11"/>
    <w:rsid w:val="002C7FAC"/>
    <w:rsid w:val="002D03E6"/>
    <w:rsid w:val="002D052C"/>
    <w:rsid w:val="002D06BB"/>
    <w:rsid w:val="002D0AB4"/>
    <w:rsid w:val="002D0B31"/>
    <w:rsid w:val="002D0D93"/>
    <w:rsid w:val="002D0E2C"/>
    <w:rsid w:val="002D0F37"/>
    <w:rsid w:val="002D0F6E"/>
    <w:rsid w:val="002D1170"/>
    <w:rsid w:val="002D119D"/>
    <w:rsid w:val="002D11BE"/>
    <w:rsid w:val="002D14E0"/>
    <w:rsid w:val="002D1768"/>
    <w:rsid w:val="002D17F1"/>
    <w:rsid w:val="002D19CD"/>
    <w:rsid w:val="002D1A0A"/>
    <w:rsid w:val="002D1A53"/>
    <w:rsid w:val="002D1BAD"/>
    <w:rsid w:val="002D1BD6"/>
    <w:rsid w:val="002D1F39"/>
    <w:rsid w:val="002D2124"/>
    <w:rsid w:val="002D21D8"/>
    <w:rsid w:val="002D23FD"/>
    <w:rsid w:val="002D250A"/>
    <w:rsid w:val="002D257E"/>
    <w:rsid w:val="002D26BC"/>
    <w:rsid w:val="002D2960"/>
    <w:rsid w:val="002D298E"/>
    <w:rsid w:val="002D2C08"/>
    <w:rsid w:val="002D2C27"/>
    <w:rsid w:val="002D2D45"/>
    <w:rsid w:val="002D2FDE"/>
    <w:rsid w:val="002D3167"/>
    <w:rsid w:val="002D32C9"/>
    <w:rsid w:val="002D3458"/>
    <w:rsid w:val="002D3467"/>
    <w:rsid w:val="002D359C"/>
    <w:rsid w:val="002D3A49"/>
    <w:rsid w:val="002D3AB0"/>
    <w:rsid w:val="002D3AB9"/>
    <w:rsid w:val="002D3D66"/>
    <w:rsid w:val="002D3DE4"/>
    <w:rsid w:val="002D3EC6"/>
    <w:rsid w:val="002D41BB"/>
    <w:rsid w:val="002D4343"/>
    <w:rsid w:val="002D46BA"/>
    <w:rsid w:val="002D4764"/>
    <w:rsid w:val="002D4B5D"/>
    <w:rsid w:val="002D4DFD"/>
    <w:rsid w:val="002D53DC"/>
    <w:rsid w:val="002D551E"/>
    <w:rsid w:val="002D5530"/>
    <w:rsid w:val="002D5A62"/>
    <w:rsid w:val="002D5BB8"/>
    <w:rsid w:val="002D5D9B"/>
    <w:rsid w:val="002D6184"/>
    <w:rsid w:val="002D61EE"/>
    <w:rsid w:val="002D62FC"/>
    <w:rsid w:val="002D64DB"/>
    <w:rsid w:val="002D6753"/>
    <w:rsid w:val="002D6881"/>
    <w:rsid w:val="002D68B6"/>
    <w:rsid w:val="002D6E61"/>
    <w:rsid w:val="002D7033"/>
    <w:rsid w:val="002D7048"/>
    <w:rsid w:val="002D7109"/>
    <w:rsid w:val="002D73F5"/>
    <w:rsid w:val="002D76E2"/>
    <w:rsid w:val="002D7808"/>
    <w:rsid w:val="002D793A"/>
    <w:rsid w:val="002D7A1C"/>
    <w:rsid w:val="002D7BBB"/>
    <w:rsid w:val="002D7F04"/>
    <w:rsid w:val="002D7FAC"/>
    <w:rsid w:val="002E00F9"/>
    <w:rsid w:val="002E0209"/>
    <w:rsid w:val="002E04F8"/>
    <w:rsid w:val="002E0804"/>
    <w:rsid w:val="002E08C9"/>
    <w:rsid w:val="002E0A33"/>
    <w:rsid w:val="002E0C60"/>
    <w:rsid w:val="002E0D3E"/>
    <w:rsid w:val="002E0DB4"/>
    <w:rsid w:val="002E1028"/>
    <w:rsid w:val="002E1053"/>
    <w:rsid w:val="002E1078"/>
    <w:rsid w:val="002E16C5"/>
    <w:rsid w:val="002E18C2"/>
    <w:rsid w:val="002E1912"/>
    <w:rsid w:val="002E19D1"/>
    <w:rsid w:val="002E1B88"/>
    <w:rsid w:val="002E1DF0"/>
    <w:rsid w:val="002E2540"/>
    <w:rsid w:val="002E25BC"/>
    <w:rsid w:val="002E2606"/>
    <w:rsid w:val="002E2C39"/>
    <w:rsid w:val="002E2CA3"/>
    <w:rsid w:val="002E2CB6"/>
    <w:rsid w:val="002E326C"/>
    <w:rsid w:val="002E364D"/>
    <w:rsid w:val="002E37CE"/>
    <w:rsid w:val="002E3C03"/>
    <w:rsid w:val="002E3D88"/>
    <w:rsid w:val="002E3F31"/>
    <w:rsid w:val="002E44EB"/>
    <w:rsid w:val="002E45C3"/>
    <w:rsid w:val="002E47D9"/>
    <w:rsid w:val="002E4944"/>
    <w:rsid w:val="002E49B9"/>
    <w:rsid w:val="002E49D1"/>
    <w:rsid w:val="002E4AE6"/>
    <w:rsid w:val="002E4C54"/>
    <w:rsid w:val="002E4EA2"/>
    <w:rsid w:val="002E5265"/>
    <w:rsid w:val="002E551E"/>
    <w:rsid w:val="002E572E"/>
    <w:rsid w:val="002E57DC"/>
    <w:rsid w:val="002E59A5"/>
    <w:rsid w:val="002E59E0"/>
    <w:rsid w:val="002E5A69"/>
    <w:rsid w:val="002E5C51"/>
    <w:rsid w:val="002E5D19"/>
    <w:rsid w:val="002E5D7A"/>
    <w:rsid w:val="002E5E44"/>
    <w:rsid w:val="002E6521"/>
    <w:rsid w:val="002E657F"/>
    <w:rsid w:val="002E680A"/>
    <w:rsid w:val="002E6873"/>
    <w:rsid w:val="002E6A15"/>
    <w:rsid w:val="002E6D39"/>
    <w:rsid w:val="002E6F75"/>
    <w:rsid w:val="002E757F"/>
    <w:rsid w:val="002E7D79"/>
    <w:rsid w:val="002F03AD"/>
    <w:rsid w:val="002F0ABA"/>
    <w:rsid w:val="002F0EE3"/>
    <w:rsid w:val="002F0F7E"/>
    <w:rsid w:val="002F0FD1"/>
    <w:rsid w:val="002F1C0E"/>
    <w:rsid w:val="002F1C49"/>
    <w:rsid w:val="002F1D9A"/>
    <w:rsid w:val="002F1E10"/>
    <w:rsid w:val="002F1FC4"/>
    <w:rsid w:val="002F2199"/>
    <w:rsid w:val="002F240F"/>
    <w:rsid w:val="002F29A0"/>
    <w:rsid w:val="002F2DA1"/>
    <w:rsid w:val="002F31C8"/>
    <w:rsid w:val="002F34A1"/>
    <w:rsid w:val="002F3642"/>
    <w:rsid w:val="002F37E6"/>
    <w:rsid w:val="002F39DD"/>
    <w:rsid w:val="002F3B01"/>
    <w:rsid w:val="002F3B08"/>
    <w:rsid w:val="002F3EB1"/>
    <w:rsid w:val="002F3FCD"/>
    <w:rsid w:val="002F4662"/>
    <w:rsid w:val="002F4712"/>
    <w:rsid w:val="002F4795"/>
    <w:rsid w:val="002F48C1"/>
    <w:rsid w:val="002F4983"/>
    <w:rsid w:val="002F4A78"/>
    <w:rsid w:val="002F4B11"/>
    <w:rsid w:val="002F4D4A"/>
    <w:rsid w:val="002F4FC9"/>
    <w:rsid w:val="002F56D2"/>
    <w:rsid w:val="002F5815"/>
    <w:rsid w:val="002F6107"/>
    <w:rsid w:val="002F6289"/>
    <w:rsid w:val="002F62F6"/>
    <w:rsid w:val="002F63C8"/>
    <w:rsid w:val="002F63E4"/>
    <w:rsid w:val="002F6564"/>
    <w:rsid w:val="002F6599"/>
    <w:rsid w:val="002F672C"/>
    <w:rsid w:val="002F6889"/>
    <w:rsid w:val="002F68B1"/>
    <w:rsid w:val="002F6DF8"/>
    <w:rsid w:val="002F6E10"/>
    <w:rsid w:val="002F6F6C"/>
    <w:rsid w:val="002F6FC7"/>
    <w:rsid w:val="002F7075"/>
    <w:rsid w:val="002F7135"/>
    <w:rsid w:val="002F75AA"/>
    <w:rsid w:val="002F7631"/>
    <w:rsid w:val="002F78CC"/>
    <w:rsid w:val="002F79D5"/>
    <w:rsid w:val="002F7C05"/>
    <w:rsid w:val="002F7C3D"/>
    <w:rsid w:val="002F7C4B"/>
    <w:rsid w:val="00300306"/>
    <w:rsid w:val="003007A4"/>
    <w:rsid w:val="003007C7"/>
    <w:rsid w:val="00300B02"/>
    <w:rsid w:val="00300BF1"/>
    <w:rsid w:val="00300F2B"/>
    <w:rsid w:val="003011DB"/>
    <w:rsid w:val="00301257"/>
    <w:rsid w:val="003016CA"/>
    <w:rsid w:val="00301935"/>
    <w:rsid w:val="003019DB"/>
    <w:rsid w:val="00301A0A"/>
    <w:rsid w:val="00301A8E"/>
    <w:rsid w:val="00301B19"/>
    <w:rsid w:val="00301B90"/>
    <w:rsid w:val="00301F61"/>
    <w:rsid w:val="0030201E"/>
    <w:rsid w:val="003020C9"/>
    <w:rsid w:val="00302302"/>
    <w:rsid w:val="0030233A"/>
    <w:rsid w:val="00302680"/>
    <w:rsid w:val="003026BD"/>
    <w:rsid w:val="0030271D"/>
    <w:rsid w:val="00302951"/>
    <w:rsid w:val="00302C3E"/>
    <w:rsid w:val="00302D7C"/>
    <w:rsid w:val="00302DB4"/>
    <w:rsid w:val="00302FFA"/>
    <w:rsid w:val="0030343E"/>
    <w:rsid w:val="00303441"/>
    <w:rsid w:val="0030370F"/>
    <w:rsid w:val="003038BE"/>
    <w:rsid w:val="0030394B"/>
    <w:rsid w:val="0030395D"/>
    <w:rsid w:val="00303A57"/>
    <w:rsid w:val="00303AE1"/>
    <w:rsid w:val="00303D2F"/>
    <w:rsid w:val="00303F6B"/>
    <w:rsid w:val="0030415B"/>
    <w:rsid w:val="00304175"/>
    <w:rsid w:val="0030454E"/>
    <w:rsid w:val="00304DA4"/>
    <w:rsid w:val="00304FEC"/>
    <w:rsid w:val="00305051"/>
    <w:rsid w:val="0030506D"/>
    <w:rsid w:val="0030524F"/>
    <w:rsid w:val="003054D1"/>
    <w:rsid w:val="00305838"/>
    <w:rsid w:val="00305AA6"/>
    <w:rsid w:val="00305AC8"/>
    <w:rsid w:val="00305BC5"/>
    <w:rsid w:val="00305BD0"/>
    <w:rsid w:val="00305CF0"/>
    <w:rsid w:val="00305D14"/>
    <w:rsid w:val="00305F60"/>
    <w:rsid w:val="00306394"/>
    <w:rsid w:val="003065FF"/>
    <w:rsid w:val="00306684"/>
    <w:rsid w:val="003066A2"/>
    <w:rsid w:val="003066C0"/>
    <w:rsid w:val="00306839"/>
    <w:rsid w:val="003068EB"/>
    <w:rsid w:val="00306941"/>
    <w:rsid w:val="00306A8E"/>
    <w:rsid w:val="00306B95"/>
    <w:rsid w:val="00306EE7"/>
    <w:rsid w:val="00307071"/>
    <w:rsid w:val="0030709B"/>
    <w:rsid w:val="003073D2"/>
    <w:rsid w:val="003074CF"/>
    <w:rsid w:val="003075AB"/>
    <w:rsid w:val="00307A0E"/>
    <w:rsid w:val="00307A95"/>
    <w:rsid w:val="00307B0A"/>
    <w:rsid w:val="00310105"/>
    <w:rsid w:val="003102E1"/>
    <w:rsid w:val="00310777"/>
    <w:rsid w:val="003109F5"/>
    <w:rsid w:val="00310D63"/>
    <w:rsid w:val="00310DF1"/>
    <w:rsid w:val="00310F8F"/>
    <w:rsid w:val="0031107B"/>
    <w:rsid w:val="0031109D"/>
    <w:rsid w:val="00311595"/>
    <w:rsid w:val="003115F9"/>
    <w:rsid w:val="00311667"/>
    <w:rsid w:val="0031169E"/>
    <w:rsid w:val="00311A24"/>
    <w:rsid w:val="00311F37"/>
    <w:rsid w:val="00311F56"/>
    <w:rsid w:val="00311F7C"/>
    <w:rsid w:val="00311FE6"/>
    <w:rsid w:val="0031206E"/>
    <w:rsid w:val="003120A3"/>
    <w:rsid w:val="003120FB"/>
    <w:rsid w:val="0031242F"/>
    <w:rsid w:val="00312906"/>
    <w:rsid w:val="00312918"/>
    <w:rsid w:val="00312ACB"/>
    <w:rsid w:val="00312C19"/>
    <w:rsid w:val="00312CD9"/>
    <w:rsid w:val="00312D20"/>
    <w:rsid w:val="00312D49"/>
    <w:rsid w:val="00312D86"/>
    <w:rsid w:val="00312F87"/>
    <w:rsid w:val="003130C7"/>
    <w:rsid w:val="00313170"/>
    <w:rsid w:val="00313688"/>
    <w:rsid w:val="003136BA"/>
    <w:rsid w:val="00313A49"/>
    <w:rsid w:val="00313D6D"/>
    <w:rsid w:val="00313D9C"/>
    <w:rsid w:val="00314559"/>
    <w:rsid w:val="003147AA"/>
    <w:rsid w:val="0031494D"/>
    <w:rsid w:val="00314D4F"/>
    <w:rsid w:val="00314D90"/>
    <w:rsid w:val="00314D9D"/>
    <w:rsid w:val="00314E5E"/>
    <w:rsid w:val="00314EA6"/>
    <w:rsid w:val="00314EBA"/>
    <w:rsid w:val="0031506F"/>
    <w:rsid w:val="00315314"/>
    <w:rsid w:val="00315549"/>
    <w:rsid w:val="0031573D"/>
    <w:rsid w:val="00315875"/>
    <w:rsid w:val="00315B3B"/>
    <w:rsid w:val="00315BA9"/>
    <w:rsid w:val="00315D8B"/>
    <w:rsid w:val="00315EAC"/>
    <w:rsid w:val="00316039"/>
    <w:rsid w:val="0031615F"/>
    <w:rsid w:val="0031621A"/>
    <w:rsid w:val="00316389"/>
    <w:rsid w:val="00316444"/>
    <w:rsid w:val="003165E4"/>
    <w:rsid w:val="003166CA"/>
    <w:rsid w:val="00316938"/>
    <w:rsid w:val="0031694F"/>
    <w:rsid w:val="0031698A"/>
    <w:rsid w:val="003169C3"/>
    <w:rsid w:val="00316ACB"/>
    <w:rsid w:val="00316C62"/>
    <w:rsid w:val="00316E2B"/>
    <w:rsid w:val="00317072"/>
    <w:rsid w:val="00317246"/>
    <w:rsid w:val="00317354"/>
    <w:rsid w:val="00317391"/>
    <w:rsid w:val="003175AD"/>
    <w:rsid w:val="00317631"/>
    <w:rsid w:val="00317790"/>
    <w:rsid w:val="00317817"/>
    <w:rsid w:val="003179D0"/>
    <w:rsid w:val="00317CD2"/>
    <w:rsid w:val="00317EC4"/>
    <w:rsid w:val="0032007E"/>
    <w:rsid w:val="003204AD"/>
    <w:rsid w:val="003205E5"/>
    <w:rsid w:val="003205FA"/>
    <w:rsid w:val="003207D5"/>
    <w:rsid w:val="003208B5"/>
    <w:rsid w:val="00320C00"/>
    <w:rsid w:val="00320C24"/>
    <w:rsid w:val="00321419"/>
    <w:rsid w:val="003214CB"/>
    <w:rsid w:val="0032174D"/>
    <w:rsid w:val="0032193A"/>
    <w:rsid w:val="00321F8C"/>
    <w:rsid w:val="00322007"/>
    <w:rsid w:val="00322091"/>
    <w:rsid w:val="003221E6"/>
    <w:rsid w:val="003223CC"/>
    <w:rsid w:val="003223D3"/>
    <w:rsid w:val="003225DF"/>
    <w:rsid w:val="0032286A"/>
    <w:rsid w:val="003229D2"/>
    <w:rsid w:val="00322AB4"/>
    <w:rsid w:val="00322AD0"/>
    <w:rsid w:val="00322C65"/>
    <w:rsid w:val="00322C7D"/>
    <w:rsid w:val="0032335C"/>
    <w:rsid w:val="0032340C"/>
    <w:rsid w:val="003234D3"/>
    <w:rsid w:val="003235AC"/>
    <w:rsid w:val="0032370B"/>
    <w:rsid w:val="00323780"/>
    <w:rsid w:val="003238EF"/>
    <w:rsid w:val="00323BAE"/>
    <w:rsid w:val="00324102"/>
    <w:rsid w:val="00324628"/>
    <w:rsid w:val="003247E7"/>
    <w:rsid w:val="003248B5"/>
    <w:rsid w:val="0032491F"/>
    <w:rsid w:val="00324B5B"/>
    <w:rsid w:val="00324ECC"/>
    <w:rsid w:val="003251A9"/>
    <w:rsid w:val="003257EA"/>
    <w:rsid w:val="00325850"/>
    <w:rsid w:val="00325910"/>
    <w:rsid w:val="00325948"/>
    <w:rsid w:val="00326257"/>
    <w:rsid w:val="0032637E"/>
    <w:rsid w:val="00326416"/>
    <w:rsid w:val="0032662F"/>
    <w:rsid w:val="00326709"/>
    <w:rsid w:val="00326B69"/>
    <w:rsid w:val="00327273"/>
    <w:rsid w:val="00327519"/>
    <w:rsid w:val="0032751C"/>
    <w:rsid w:val="0032757E"/>
    <w:rsid w:val="003275B1"/>
    <w:rsid w:val="00327642"/>
    <w:rsid w:val="00327793"/>
    <w:rsid w:val="00327807"/>
    <w:rsid w:val="00327BCF"/>
    <w:rsid w:val="00327F03"/>
    <w:rsid w:val="00327F8C"/>
    <w:rsid w:val="00330312"/>
    <w:rsid w:val="003304A2"/>
    <w:rsid w:val="003304F7"/>
    <w:rsid w:val="00330EF7"/>
    <w:rsid w:val="00330F79"/>
    <w:rsid w:val="0033144F"/>
    <w:rsid w:val="0033146C"/>
    <w:rsid w:val="00331507"/>
    <w:rsid w:val="00331552"/>
    <w:rsid w:val="00331714"/>
    <w:rsid w:val="00331982"/>
    <w:rsid w:val="00331C00"/>
    <w:rsid w:val="00331D1B"/>
    <w:rsid w:val="00331E2B"/>
    <w:rsid w:val="00332049"/>
    <w:rsid w:val="00332199"/>
    <w:rsid w:val="00332450"/>
    <w:rsid w:val="003324CC"/>
    <w:rsid w:val="003326BF"/>
    <w:rsid w:val="00332A0F"/>
    <w:rsid w:val="00332B25"/>
    <w:rsid w:val="00332BF2"/>
    <w:rsid w:val="00332D18"/>
    <w:rsid w:val="00332F20"/>
    <w:rsid w:val="00332F25"/>
    <w:rsid w:val="00332FAC"/>
    <w:rsid w:val="00332FBD"/>
    <w:rsid w:val="00333108"/>
    <w:rsid w:val="003333A8"/>
    <w:rsid w:val="00333460"/>
    <w:rsid w:val="0033348C"/>
    <w:rsid w:val="003335D5"/>
    <w:rsid w:val="003338DB"/>
    <w:rsid w:val="00333B6C"/>
    <w:rsid w:val="00333DBD"/>
    <w:rsid w:val="00333ED7"/>
    <w:rsid w:val="00334427"/>
    <w:rsid w:val="00334851"/>
    <w:rsid w:val="003348B7"/>
    <w:rsid w:val="0033492F"/>
    <w:rsid w:val="00334AEF"/>
    <w:rsid w:val="00334BC5"/>
    <w:rsid w:val="00334E12"/>
    <w:rsid w:val="00334E1A"/>
    <w:rsid w:val="00334E8A"/>
    <w:rsid w:val="0033544D"/>
    <w:rsid w:val="0033560E"/>
    <w:rsid w:val="003357AE"/>
    <w:rsid w:val="003358AA"/>
    <w:rsid w:val="003358C3"/>
    <w:rsid w:val="00335900"/>
    <w:rsid w:val="00335AAB"/>
    <w:rsid w:val="00335CD6"/>
    <w:rsid w:val="0033618D"/>
    <w:rsid w:val="003367A4"/>
    <w:rsid w:val="003367E1"/>
    <w:rsid w:val="003369BE"/>
    <w:rsid w:val="00336D8B"/>
    <w:rsid w:val="00336EA8"/>
    <w:rsid w:val="00337081"/>
    <w:rsid w:val="003370AD"/>
    <w:rsid w:val="003370D5"/>
    <w:rsid w:val="00337161"/>
    <w:rsid w:val="0033729A"/>
    <w:rsid w:val="0033740B"/>
    <w:rsid w:val="003374EC"/>
    <w:rsid w:val="00337A91"/>
    <w:rsid w:val="00337B28"/>
    <w:rsid w:val="0034055E"/>
    <w:rsid w:val="003406D9"/>
    <w:rsid w:val="0034070D"/>
    <w:rsid w:val="0034082F"/>
    <w:rsid w:val="00340A4B"/>
    <w:rsid w:val="00340D51"/>
    <w:rsid w:val="003410FE"/>
    <w:rsid w:val="00341191"/>
    <w:rsid w:val="003411C8"/>
    <w:rsid w:val="0034123C"/>
    <w:rsid w:val="00341303"/>
    <w:rsid w:val="003414E5"/>
    <w:rsid w:val="00341638"/>
    <w:rsid w:val="00341812"/>
    <w:rsid w:val="0034182E"/>
    <w:rsid w:val="00341B79"/>
    <w:rsid w:val="00341C20"/>
    <w:rsid w:val="00341FCE"/>
    <w:rsid w:val="00342058"/>
    <w:rsid w:val="00342306"/>
    <w:rsid w:val="0034236F"/>
    <w:rsid w:val="00342458"/>
    <w:rsid w:val="0034247D"/>
    <w:rsid w:val="0034269C"/>
    <w:rsid w:val="0034277F"/>
    <w:rsid w:val="00342A68"/>
    <w:rsid w:val="00342E1B"/>
    <w:rsid w:val="00342FC4"/>
    <w:rsid w:val="00343011"/>
    <w:rsid w:val="003430C4"/>
    <w:rsid w:val="003435C3"/>
    <w:rsid w:val="00343721"/>
    <w:rsid w:val="0034387B"/>
    <w:rsid w:val="00343934"/>
    <w:rsid w:val="00343F0F"/>
    <w:rsid w:val="00344172"/>
    <w:rsid w:val="00344478"/>
    <w:rsid w:val="0034467C"/>
    <w:rsid w:val="003446A1"/>
    <w:rsid w:val="00344778"/>
    <w:rsid w:val="003448AA"/>
    <w:rsid w:val="00344EE6"/>
    <w:rsid w:val="00344F28"/>
    <w:rsid w:val="00345271"/>
    <w:rsid w:val="00345352"/>
    <w:rsid w:val="0034547E"/>
    <w:rsid w:val="00345933"/>
    <w:rsid w:val="00345A7B"/>
    <w:rsid w:val="00345ECA"/>
    <w:rsid w:val="00346065"/>
    <w:rsid w:val="00346248"/>
    <w:rsid w:val="00346386"/>
    <w:rsid w:val="003464BE"/>
    <w:rsid w:val="003466A6"/>
    <w:rsid w:val="00346AC0"/>
    <w:rsid w:val="00346AD2"/>
    <w:rsid w:val="00346BD3"/>
    <w:rsid w:val="00346D14"/>
    <w:rsid w:val="00346F89"/>
    <w:rsid w:val="00347199"/>
    <w:rsid w:val="0034741A"/>
    <w:rsid w:val="003474C0"/>
    <w:rsid w:val="003474D6"/>
    <w:rsid w:val="0034751A"/>
    <w:rsid w:val="00347540"/>
    <w:rsid w:val="003475E7"/>
    <w:rsid w:val="0034760C"/>
    <w:rsid w:val="003476BF"/>
    <w:rsid w:val="00347D25"/>
    <w:rsid w:val="003500EC"/>
    <w:rsid w:val="00350583"/>
    <w:rsid w:val="0035070F"/>
    <w:rsid w:val="0035079D"/>
    <w:rsid w:val="003511BB"/>
    <w:rsid w:val="00351366"/>
    <w:rsid w:val="0035171B"/>
    <w:rsid w:val="0035190F"/>
    <w:rsid w:val="003519E1"/>
    <w:rsid w:val="003520B9"/>
    <w:rsid w:val="003520F6"/>
    <w:rsid w:val="00352167"/>
    <w:rsid w:val="003523EC"/>
    <w:rsid w:val="0035252A"/>
    <w:rsid w:val="00352535"/>
    <w:rsid w:val="00352540"/>
    <w:rsid w:val="003526AB"/>
    <w:rsid w:val="00352780"/>
    <w:rsid w:val="00352F99"/>
    <w:rsid w:val="003531CC"/>
    <w:rsid w:val="0035333C"/>
    <w:rsid w:val="003533EF"/>
    <w:rsid w:val="00353600"/>
    <w:rsid w:val="0035377B"/>
    <w:rsid w:val="0035381A"/>
    <w:rsid w:val="0035384D"/>
    <w:rsid w:val="0035392F"/>
    <w:rsid w:val="00353A5D"/>
    <w:rsid w:val="00353C23"/>
    <w:rsid w:val="00353CFD"/>
    <w:rsid w:val="00353D5E"/>
    <w:rsid w:val="00353F81"/>
    <w:rsid w:val="00353FC1"/>
    <w:rsid w:val="003540C2"/>
    <w:rsid w:val="0035454B"/>
    <w:rsid w:val="00354A5E"/>
    <w:rsid w:val="00354CE2"/>
    <w:rsid w:val="00355114"/>
    <w:rsid w:val="0035519C"/>
    <w:rsid w:val="0035522C"/>
    <w:rsid w:val="00355310"/>
    <w:rsid w:val="00355448"/>
    <w:rsid w:val="0035548F"/>
    <w:rsid w:val="003559B7"/>
    <w:rsid w:val="00355C22"/>
    <w:rsid w:val="00355D6B"/>
    <w:rsid w:val="00355DD2"/>
    <w:rsid w:val="003562A5"/>
    <w:rsid w:val="003563F5"/>
    <w:rsid w:val="00356724"/>
    <w:rsid w:val="0035683A"/>
    <w:rsid w:val="003569EC"/>
    <w:rsid w:val="00356B73"/>
    <w:rsid w:val="00356B8D"/>
    <w:rsid w:val="0035727D"/>
    <w:rsid w:val="0035737B"/>
    <w:rsid w:val="00357E14"/>
    <w:rsid w:val="00357ED6"/>
    <w:rsid w:val="00357F3B"/>
    <w:rsid w:val="00357F69"/>
    <w:rsid w:val="003601CA"/>
    <w:rsid w:val="00360265"/>
    <w:rsid w:val="0036047E"/>
    <w:rsid w:val="003604EC"/>
    <w:rsid w:val="00360595"/>
    <w:rsid w:val="003607FA"/>
    <w:rsid w:val="00360B9C"/>
    <w:rsid w:val="003610D1"/>
    <w:rsid w:val="00361368"/>
    <w:rsid w:val="003613E2"/>
    <w:rsid w:val="0036171F"/>
    <w:rsid w:val="00361926"/>
    <w:rsid w:val="0036194D"/>
    <w:rsid w:val="00361DCB"/>
    <w:rsid w:val="00361E0E"/>
    <w:rsid w:val="00361E42"/>
    <w:rsid w:val="00361F62"/>
    <w:rsid w:val="00362043"/>
    <w:rsid w:val="003622D1"/>
    <w:rsid w:val="0036247A"/>
    <w:rsid w:val="00362483"/>
    <w:rsid w:val="003626AE"/>
    <w:rsid w:val="00362976"/>
    <w:rsid w:val="00362CC7"/>
    <w:rsid w:val="00362E7A"/>
    <w:rsid w:val="00362EE2"/>
    <w:rsid w:val="00363084"/>
    <w:rsid w:val="0036335A"/>
    <w:rsid w:val="0036350A"/>
    <w:rsid w:val="00363A38"/>
    <w:rsid w:val="00363E88"/>
    <w:rsid w:val="00364069"/>
    <w:rsid w:val="00364460"/>
    <w:rsid w:val="003648F5"/>
    <w:rsid w:val="00364B4F"/>
    <w:rsid w:val="003650C1"/>
    <w:rsid w:val="003653BC"/>
    <w:rsid w:val="00365553"/>
    <w:rsid w:val="0036596F"/>
    <w:rsid w:val="00365C88"/>
    <w:rsid w:val="00365D71"/>
    <w:rsid w:val="00365DEE"/>
    <w:rsid w:val="00365DF8"/>
    <w:rsid w:val="00365ED0"/>
    <w:rsid w:val="00365ED5"/>
    <w:rsid w:val="00365FD9"/>
    <w:rsid w:val="00365FF7"/>
    <w:rsid w:val="003660DF"/>
    <w:rsid w:val="0036612D"/>
    <w:rsid w:val="00366330"/>
    <w:rsid w:val="003663F9"/>
    <w:rsid w:val="00366463"/>
    <w:rsid w:val="003665A1"/>
    <w:rsid w:val="003665D2"/>
    <w:rsid w:val="003668C4"/>
    <w:rsid w:val="003668D0"/>
    <w:rsid w:val="003668DD"/>
    <w:rsid w:val="00366940"/>
    <w:rsid w:val="00366B6D"/>
    <w:rsid w:val="00366DB0"/>
    <w:rsid w:val="00366DEC"/>
    <w:rsid w:val="00366FFB"/>
    <w:rsid w:val="0036701F"/>
    <w:rsid w:val="00367093"/>
    <w:rsid w:val="00367330"/>
    <w:rsid w:val="00367776"/>
    <w:rsid w:val="003677B0"/>
    <w:rsid w:val="0036786A"/>
    <w:rsid w:val="00367938"/>
    <w:rsid w:val="00367D8C"/>
    <w:rsid w:val="00367F31"/>
    <w:rsid w:val="00370108"/>
    <w:rsid w:val="00370685"/>
    <w:rsid w:val="00370A46"/>
    <w:rsid w:val="00370C1A"/>
    <w:rsid w:val="0037112D"/>
    <w:rsid w:val="0037168B"/>
    <w:rsid w:val="00371820"/>
    <w:rsid w:val="003719B6"/>
    <w:rsid w:val="00371C9E"/>
    <w:rsid w:val="00371E63"/>
    <w:rsid w:val="00371F5D"/>
    <w:rsid w:val="0037279B"/>
    <w:rsid w:val="00372AED"/>
    <w:rsid w:val="00372F74"/>
    <w:rsid w:val="00373152"/>
    <w:rsid w:val="003734B9"/>
    <w:rsid w:val="0037352E"/>
    <w:rsid w:val="0037358D"/>
    <w:rsid w:val="003735A4"/>
    <w:rsid w:val="003738F5"/>
    <w:rsid w:val="00373AD7"/>
    <w:rsid w:val="00373BFD"/>
    <w:rsid w:val="00373CD8"/>
    <w:rsid w:val="0037419A"/>
    <w:rsid w:val="0037435F"/>
    <w:rsid w:val="00374543"/>
    <w:rsid w:val="00374544"/>
    <w:rsid w:val="003745FA"/>
    <w:rsid w:val="00374769"/>
    <w:rsid w:val="003748ED"/>
    <w:rsid w:val="0037492D"/>
    <w:rsid w:val="00374ABC"/>
    <w:rsid w:val="00374D4A"/>
    <w:rsid w:val="00374D86"/>
    <w:rsid w:val="00375202"/>
    <w:rsid w:val="0037538A"/>
    <w:rsid w:val="0037539A"/>
    <w:rsid w:val="00375406"/>
    <w:rsid w:val="0037546C"/>
    <w:rsid w:val="0037551C"/>
    <w:rsid w:val="00375563"/>
    <w:rsid w:val="00375703"/>
    <w:rsid w:val="003759EE"/>
    <w:rsid w:val="00375EA5"/>
    <w:rsid w:val="0037641C"/>
    <w:rsid w:val="00376559"/>
    <w:rsid w:val="00376878"/>
    <w:rsid w:val="00376AC8"/>
    <w:rsid w:val="00376AFC"/>
    <w:rsid w:val="00376C57"/>
    <w:rsid w:val="00376E2E"/>
    <w:rsid w:val="003772F9"/>
    <w:rsid w:val="0037751E"/>
    <w:rsid w:val="003778EB"/>
    <w:rsid w:val="003779A0"/>
    <w:rsid w:val="00377C16"/>
    <w:rsid w:val="00377C42"/>
    <w:rsid w:val="00377D28"/>
    <w:rsid w:val="00377E12"/>
    <w:rsid w:val="00377F2A"/>
    <w:rsid w:val="0038015A"/>
    <w:rsid w:val="0038029A"/>
    <w:rsid w:val="00380484"/>
    <w:rsid w:val="003804BE"/>
    <w:rsid w:val="0038064E"/>
    <w:rsid w:val="0038080E"/>
    <w:rsid w:val="00380C02"/>
    <w:rsid w:val="00380CA7"/>
    <w:rsid w:val="003812B4"/>
    <w:rsid w:val="003812EE"/>
    <w:rsid w:val="0038140B"/>
    <w:rsid w:val="003814E6"/>
    <w:rsid w:val="0038157F"/>
    <w:rsid w:val="003818B0"/>
    <w:rsid w:val="00381AA9"/>
    <w:rsid w:val="00381E15"/>
    <w:rsid w:val="00381EC0"/>
    <w:rsid w:val="00382384"/>
    <w:rsid w:val="003823D6"/>
    <w:rsid w:val="0038253A"/>
    <w:rsid w:val="003825FE"/>
    <w:rsid w:val="00382A86"/>
    <w:rsid w:val="00382ACA"/>
    <w:rsid w:val="00383183"/>
    <w:rsid w:val="003833AF"/>
    <w:rsid w:val="003833C6"/>
    <w:rsid w:val="0038348C"/>
    <w:rsid w:val="003834E2"/>
    <w:rsid w:val="003834E7"/>
    <w:rsid w:val="00384002"/>
    <w:rsid w:val="0038412E"/>
    <w:rsid w:val="00384207"/>
    <w:rsid w:val="0038420B"/>
    <w:rsid w:val="00384274"/>
    <w:rsid w:val="00384275"/>
    <w:rsid w:val="0038431E"/>
    <w:rsid w:val="0038453A"/>
    <w:rsid w:val="00384658"/>
    <w:rsid w:val="00384779"/>
    <w:rsid w:val="003849B0"/>
    <w:rsid w:val="003849D4"/>
    <w:rsid w:val="00384A98"/>
    <w:rsid w:val="00384C9B"/>
    <w:rsid w:val="00384EDE"/>
    <w:rsid w:val="00384FA4"/>
    <w:rsid w:val="00385026"/>
    <w:rsid w:val="003854D2"/>
    <w:rsid w:val="003857A4"/>
    <w:rsid w:val="0038593A"/>
    <w:rsid w:val="00385C85"/>
    <w:rsid w:val="00385DFA"/>
    <w:rsid w:val="0038613F"/>
    <w:rsid w:val="0038621A"/>
    <w:rsid w:val="00386274"/>
    <w:rsid w:val="0038681A"/>
    <w:rsid w:val="0038695B"/>
    <w:rsid w:val="00386A2F"/>
    <w:rsid w:val="00386F86"/>
    <w:rsid w:val="00386FAE"/>
    <w:rsid w:val="0038727E"/>
    <w:rsid w:val="00387515"/>
    <w:rsid w:val="0038759E"/>
    <w:rsid w:val="0038761A"/>
    <w:rsid w:val="003876D0"/>
    <w:rsid w:val="0038784C"/>
    <w:rsid w:val="003879F2"/>
    <w:rsid w:val="00387BBA"/>
    <w:rsid w:val="00387CAE"/>
    <w:rsid w:val="0039031C"/>
    <w:rsid w:val="0039050F"/>
    <w:rsid w:val="00390918"/>
    <w:rsid w:val="00390B35"/>
    <w:rsid w:val="00390C02"/>
    <w:rsid w:val="00390EE2"/>
    <w:rsid w:val="00390F04"/>
    <w:rsid w:val="00390F9E"/>
    <w:rsid w:val="00390FF0"/>
    <w:rsid w:val="003910CE"/>
    <w:rsid w:val="003917C7"/>
    <w:rsid w:val="00391BCB"/>
    <w:rsid w:val="00391DF0"/>
    <w:rsid w:val="00391E81"/>
    <w:rsid w:val="00391EFE"/>
    <w:rsid w:val="00392100"/>
    <w:rsid w:val="00392254"/>
    <w:rsid w:val="003923FC"/>
    <w:rsid w:val="003926D3"/>
    <w:rsid w:val="0039271B"/>
    <w:rsid w:val="003929C9"/>
    <w:rsid w:val="003929FC"/>
    <w:rsid w:val="00392BA9"/>
    <w:rsid w:val="00392D5D"/>
    <w:rsid w:val="00392FD4"/>
    <w:rsid w:val="00392FFE"/>
    <w:rsid w:val="00393268"/>
    <w:rsid w:val="00393631"/>
    <w:rsid w:val="003939B1"/>
    <w:rsid w:val="00393C3A"/>
    <w:rsid w:val="00393CE8"/>
    <w:rsid w:val="00393E72"/>
    <w:rsid w:val="00393EF5"/>
    <w:rsid w:val="003940DE"/>
    <w:rsid w:val="0039448F"/>
    <w:rsid w:val="00394770"/>
    <w:rsid w:val="003949F8"/>
    <w:rsid w:val="00394A25"/>
    <w:rsid w:val="00394A30"/>
    <w:rsid w:val="00394AFA"/>
    <w:rsid w:val="00394B12"/>
    <w:rsid w:val="00394F3C"/>
    <w:rsid w:val="00394F5F"/>
    <w:rsid w:val="00394FDF"/>
    <w:rsid w:val="003952B2"/>
    <w:rsid w:val="0039539B"/>
    <w:rsid w:val="00395481"/>
    <w:rsid w:val="003955CE"/>
    <w:rsid w:val="00395696"/>
    <w:rsid w:val="00395974"/>
    <w:rsid w:val="00395A25"/>
    <w:rsid w:val="00395BC7"/>
    <w:rsid w:val="0039614A"/>
    <w:rsid w:val="00396361"/>
    <w:rsid w:val="00396385"/>
    <w:rsid w:val="00396580"/>
    <w:rsid w:val="0039686A"/>
    <w:rsid w:val="00396E2A"/>
    <w:rsid w:val="003970D8"/>
    <w:rsid w:val="003971CC"/>
    <w:rsid w:val="00397D26"/>
    <w:rsid w:val="00397EC3"/>
    <w:rsid w:val="003A0025"/>
    <w:rsid w:val="003A004E"/>
    <w:rsid w:val="003A016E"/>
    <w:rsid w:val="003A019E"/>
    <w:rsid w:val="003A01A5"/>
    <w:rsid w:val="003A01F7"/>
    <w:rsid w:val="003A0487"/>
    <w:rsid w:val="003A058A"/>
    <w:rsid w:val="003A07CE"/>
    <w:rsid w:val="003A0D31"/>
    <w:rsid w:val="003A1319"/>
    <w:rsid w:val="003A1549"/>
    <w:rsid w:val="003A1835"/>
    <w:rsid w:val="003A18D5"/>
    <w:rsid w:val="003A1ACE"/>
    <w:rsid w:val="003A1BA1"/>
    <w:rsid w:val="003A1BB7"/>
    <w:rsid w:val="003A1D83"/>
    <w:rsid w:val="003A1DD5"/>
    <w:rsid w:val="003A1E50"/>
    <w:rsid w:val="003A1F85"/>
    <w:rsid w:val="003A1FB2"/>
    <w:rsid w:val="003A2355"/>
    <w:rsid w:val="003A2609"/>
    <w:rsid w:val="003A2867"/>
    <w:rsid w:val="003A286A"/>
    <w:rsid w:val="003A298A"/>
    <w:rsid w:val="003A2F84"/>
    <w:rsid w:val="003A2FD9"/>
    <w:rsid w:val="003A3719"/>
    <w:rsid w:val="003A39B1"/>
    <w:rsid w:val="003A3A5C"/>
    <w:rsid w:val="003A3B0D"/>
    <w:rsid w:val="003A3CA8"/>
    <w:rsid w:val="003A414E"/>
    <w:rsid w:val="003A4175"/>
    <w:rsid w:val="003A4246"/>
    <w:rsid w:val="003A4930"/>
    <w:rsid w:val="003A4A53"/>
    <w:rsid w:val="003A4A7E"/>
    <w:rsid w:val="003A4B04"/>
    <w:rsid w:val="003A4CBF"/>
    <w:rsid w:val="003A4F4A"/>
    <w:rsid w:val="003A5408"/>
    <w:rsid w:val="003A5420"/>
    <w:rsid w:val="003A5785"/>
    <w:rsid w:val="003A584E"/>
    <w:rsid w:val="003A5EB5"/>
    <w:rsid w:val="003A5FF3"/>
    <w:rsid w:val="003A62B8"/>
    <w:rsid w:val="003A6303"/>
    <w:rsid w:val="003A68FE"/>
    <w:rsid w:val="003A6BAE"/>
    <w:rsid w:val="003A72D1"/>
    <w:rsid w:val="003A7512"/>
    <w:rsid w:val="003A7788"/>
    <w:rsid w:val="003A789B"/>
    <w:rsid w:val="003A7A11"/>
    <w:rsid w:val="003A7CDC"/>
    <w:rsid w:val="003A7E28"/>
    <w:rsid w:val="003A7EE7"/>
    <w:rsid w:val="003B0048"/>
    <w:rsid w:val="003B0075"/>
    <w:rsid w:val="003B0335"/>
    <w:rsid w:val="003B064D"/>
    <w:rsid w:val="003B077D"/>
    <w:rsid w:val="003B08BC"/>
    <w:rsid w:val="003B0AE6"/>
    <w:rsid w:val="003B0B8C"/>
    <w:rsid w:val="003B0BA0"/>
    <w:rsid w:val="003B0C12"/>
    <w:rsid w:val="003B0D95"/>
    <w:rsid w:val="003B16CC"/>
    <w:rsid w:val="003B1828"/>
    <w:rsid w:val="003B1850"/>
    <w:rsid w:val="003B194D"/>
    <w:rsid w:val="003B1EDE"/>
    <w:rsid w:val="003B210A"/>
    <w:rsid w:val="003B2690"/>
    <w:rsid w:val="003B275F"/>
    <w:rsid w:val="003B27DF"/>
    <w:rsid w:val="003B2951"/>
    <w:rsid w:val="003B2A4B"/>
    <w:rsid w:val="003B2E92"/>
    <w:rsid w:val="003B2EC5"/>
    <w:rsid w:val="003B338E"/>
    <w:rsid w:val="003B3450"/>
    <w:rsid w:val="003B3507"/>
    <w:rsid w:val="003B362C"/>
    <w:rsid w:val="003B38EE"/>
    <w:rsid w:val="003B390C"/>
    <w:rsid w:val="003B3980"/>
    <w:rsid w:val="003B3B42"/>
    <w:rsid w:val="003B3B88"/>
    <w:rsid w:val="003B402B"/>
    <w:rsid w:val="003B41D4"/>
    <w:rsid w:val="003B423C"/>
    <w:rsid w:val="003B42BF"/>
    <w:rsid w:val="003B460A"/>
    <w:rsid w:val="003B495C"/>
    <w:rsid w:val="003B4BDC"/>
    <w:rsid w:val="003B4E16"/>
    <w:rsid w:val="003B5356"/>
    <w:rsid w:val="003B542D"/>
    <w:rsid w:val="003B5965"/>
    <w:rsid w:val="003B5AF7"/>
    <w:rsid w:val="003B5C8C"/>
    <w:rsid w:val="003B5D7B"/>
    <w:rsid w:val="003B5DAD"/>
    <w:rsid w:val="003B5F21"/>
    <w:rsid w:val="003B5FD2"/>
    <w:rsid w:val="003B6269"/>
    <w:rsid w:val="003B68B5"/>
    <w:rsid w:val="003B6A81"/>
    <w:rsid w:val="003B6BFE"/>
    <w:rsid w:val="003B6C1C"/>
    <w:rsid w:val="003B6D9D"/>
    <w:rsid w:val="003B6E3E"/>
    <w:rsid w:val="003B6EB4"/>
    <w:rsid w:val="003B727D"/>
    <w:rsid w:val="003B759E"/>
    <w:rsid w:val="003B7718"/>
    <w:rsid w:val="003B7886"/>
    <w:rsid w:val="003B7CBB"/>
    <w:rsid w:val="003B7FCC"/>
    <w:rsid w:val="003C003B"/>
    <w:rsid w:val="003C0187"/>
    <w:rsid w:val="003C068C"/>
    <w:rsid w:val="003C0A7C"/>
    <w:rsid w:val="003C0C1D"/>
    <w:rsid w:val="003C0DF6"/>
    <w:rsid w:val="003C0EBF"/>
    <w:rsid w:val="003C13F1"/>
    <w:rsid w:val="003C142C"/>
    <w:rsid w:val="003C18F9"/>
    <w:rsid w:val="003C1AAE"/>
    <w:rsid w:val="003C1C75"/>
    <w:rsid w:val="003C1D43"/>
    <w:rsid w:val="003C1E23"/>
    <w:rsid w:val="003C22C5"/>
    <w:rsid w:val="003C2317"/>
    <w:rsid w:val="003C2770"/>
    <w:rsid w:val="003C2830"/>
    <w:rsid w:val="003C2838"/>
    <w:rsid w:val="003C28F2"/>
    <w:rsid w:val="003C2978"/>
    <w:rsid w:val="003C2A25"/>
    <w:rsid w:val="003C2ACD"/>
    <w:rsid w:val="003C2E32"/>
    <w:rsid w:val="003C2E65"/>
    <w:rsid w:val="003C2EE3"/>
    <w:rsid w:val="003C32AD"/>
    <w:rsid w:val="003C330D"/>
    <w:rsid w:val="003C338F"/>
    <w:rsid w:val="003C37BA"/>
    <w:rsid w:val="003C38E2"/>
    <w:rsid w:val="003C3B01"/>
    <w:rsid w:val="003C3C68"/>
    <w:rsid w:val="003C3F29"/>
    <w:rsid w:val="003C3FA3"/>
    <w:rsid w:val="003C413A"/>
    <w:rsid w:val="003C436F"/>
    <w:rsid w:val="003C4442"/>
    <w:rsid w:val="003C4479"/>
    <w:rsid w:val="003C4485"/>
    <w:rsid w:val="003C449E"/>
    <w:rsid w:val="003C44A8"/>
    <w:rsid w:val="003C46B4"/>
    <w:rsid w:val="003C49CE"/>
    <w:rsid w:val="003C4F41"/>
    <w:rsid w:val="003C527C"/>
    <w:rsid w:val="003C537F"/>
    <w:rsid w:val="003C555A"/>
    <w:rsid w:val="003C58FF"/>
    <w:rsid w:val="003C5A25"/>
    <w:rsid w:val="003C5BE0"/>
    <w:rsid w:val="003C5F0D"/>
    <w:rsid w:val="003C5FD1"/>
    <w:rsid w:val="003C5FE2"/>
    <w:rsid w:val="003C66D4"/>
    <w:rsid w:val="003C67E0"/>
    <w:rsid w:val="003C67FC"/>
    <w:rsid w:val="003C683E"/>
    <w:rsid w:val="003C6935"/>
    <w:rsid w:val="003C6E9E"/>
    <w:rsid w:val="003C6F2C"/>
    <w:rsid w:val="003C706E"/>
    <w:rsid w:val="003C769A"/>
    <w:rsid w:val="003C76D0"/>
    <w:rsid w:val="003C76F3"/>
    <w:rsid w:val="003C784C"/>
    <w:rsid w:val="003C78A1"/>
    <w:rsid w:val="003C7C24"/>
    <w:rsid w:val="003C7E5B"/>
    <w:rsid w:val="003D0013"/>
    <w:rsid w:val="003D027F"/>
    <w:rsid w:val="003D058B"/>
    <w:rsid w:val="003D071C"/>
    <w:rsid w:val="003D075F"/>
    <w:rsid w:val="003D0767"/>
    <w:rsid w:val="003D09B4"/>
    <w:rsid w:val="003D0B13"/>
    <w:rsid w:val="003D0B79"/>
    <w:rsid w:val="003D0BD3"/>
    <w:rsid w:val="003D0F09"/>
    <w:rsid w:val="003D152E"/>
    <w:rsid w:val="003D15E7"/>
    <w:rsid w:val="003D1C15"/>
    <w:rsid w:val="003D1E44"/>
    <w:rsid w:val="003D1E48"/>
    <w:rsid w:val="003D202B"/>
    <w:rsid w:val="003D204C"/>
    <w:rsid w:val="003D24E7"/>
    <w:rsid w:val="003D25F4"/>
    <w:rsid w:val="003D272B"/>
    <w:rsid w:val="003D2846"/>
    <w:rsid w:val="003D29A9"/>
    <w:rsid w:val="003D2C10"/>
    <w:rsid w:val="003D2C14"/>
    <w:rsid w:val="003D2C85"/>
    <w:rsid w:val="003D32E1"/>
    <w:rsid w:val="003D3319"/>
    <w:rsid w:val="003D3372"/>
    <w:rsid w:val="003D3457"/>
    <w:rsid w:val="003D3606"/>
    <w:rsid w:val="003D3780"/>
    <w:rsid w:val="003D3A47"/>
    <w:rsid w:val="003D3A5F"/>
    <w:rsid w:val="003D3CCC"/>
    <w:rsid w:val="003D4472"/>
    <w:rsid w:val="003D471C"/>
    <w:rsid w:val="003D4804"/>
    <w:rsid w:val="003D48DB"/>
    <w:rsid w:val="003D48FC"/>
    <w:rsid w:val="003D490C"/>
    <w:rsid w:val="003D4D61"/>
    <w:rsid w:val="003D4F1F"/>
    <w:rsid w:val="003D4FED"/>
    <w:rsid w:val="003D5021"/>
    <w:rsid w:val="003D51C0"/>
    <w:rsid w:val="003D5480"/>
    <w:rsid w:val="003D57F0"/>
    <w:rsid w:val="003D5B3A"/>
    <w:rsid w:val="003D5C44"/>
    <w:rsid w:val="003D5D67"/>
    <w:rsid w:val="003D5DC5"/>
    <w:rsid w:val="003D6612"/>
    <w:rsid w:val="003D6C17"/>
    <w:rsid w:val="003D6FBB"/>
    <w:rsid w:val="003D73A8"/>
    <w:rsid w:val="003D7417"/>
    <w:rsid w:val="003D7814"/>
    <w:rsid w:val="003D7B08"/>
    <w:rsid w:val="003D7D42"/>
    <w:rsid w:val="003E0006"/>
    <w:rsid w:val="003E0519"/>
    <w:rsid w:val="003E061F"/>
    <w:rsid w:val="003E0707"/>
    <w:rsid w:val="003E07D7"/>
    <w:rsid w:val="003E0993"/>
    <w:rsid w:val="003E0AD7"/>
    <w:rsid w:val="003E0DFF"/>
    <w:rsid w:val="003E0ECE"/>
    <w:rsid w:val="003E1147"/>
    <w:rsid w:val="003E1715"/>
    <w:rsid w:val="003E17AD"/>
    <w:rsid w:val="003E18BC"/>
    <w:rsid w:val="003E1B4D"/>
    <w:rsid w:val="003E1C54"/>
    <w:rsid w:val="003E1CEF"/>
    <w:rsid w:val="003E1E80"/>
    <w:rsid w:val="003E1FBC"/>
    <w:rsid w:val="003E227E"/>
    <w:rsid w:val="003E27E1"/>
    <w:rsid w:val="003E29FE"/>
    <w:rsid w:val="003E2A51"/>
    <w:rsid w:val="003E2B1A"/>
    <w:rsid w:val="003E2C34"/>
    <w:rsid w:val="003E2CEC"/>
    <w:rsid w:val="003E2E90"/>
    <w:rsid w:val="003E2FB9"/>
    <w:rsid w:val="003E30AA"/>
    <w:rsid w:val="003E3308"/>
    <w:rsid w:val="003E3315"/>
    <w:rsid w:val="003E336C"/>
    <w:rsid w:val="003E347A"/>
    <w:rsid w:val="003E350D"/>
    <w:rsid w:val="003E3606"/>
    <w:rsid w:val="003E398C"/>
    <w:rsid w:val="003E3A29"/>
    <w:rsid w:val="003E3D53"/>
    <w:rsid w:val="003E3DDE"/>
    <w:rsid w:val="003E3DFF"/>
    <w:rsid w:val="003E3EAB"/>
    <w:rsid w:val="003E3F97"/>
    <w:rsid w:val="003E40A4"/>
    <w:rsid w:val="003E431E"/>
    <w:rsid w:val="003E4369"/>
    <w:rsid w:val="003E456F"/>
    <w:rsid w:val="003E4596"/>
    <w:rsid w:val="003E48B5"/>
    <w:rsid w:val="003E48E8"/>
    <w:rsid w:val="003E49CA"/>
    <w:rsid w:val="003E4B22"/>
    <w:rsid w:val="003E4F0D"/>
    <w:rsid w:val="003E504B"/>
    <w:rsid w:val="003E5219"/>
    <w:rsid w:val="003E56C6"/>
    <w:rsid w:val="003E572E"/>
    <w:rsid w:val="003E59D9"/>
    <w:rsid w:val="003E5A10"/>
    <w:rsid w:val="003E5C1E"/>
    <w:rsid w:val="003E5C3B"/>
    <w:rsid w:val="003E5F4C"/>
    <w:rsid w:val="003E6083"/>
    <w:rsid w:val="003E616C"/>
    <w:rsid w:val="003E6371"/>
    <w:rsid w:val="003E63E5"/>
    <w:rsid w:val="003E669C"/>
    <w:rsid w:val="003E66D6"/>
    <w:rsid w:val="003E670E"/>
    <w:rsid w:val="003E672F"/>
    <w:rsid w:val="003E67C0"/>
    <w:rsid w:val="003E682B"/>
    <w:rsid w:val="003E686D"/>
    <w:rsid w:val="003E7074"/>
    <w:rsid w:val="003E721D"/>
    <w:rsid w:val="003E74DC"/>
    <w:rsid w:val="003E7770"/>
    <w:rsid w:val="003E79A8"/>
    <w:rsid w:val="003E7E50"/>
    <w:rsid w:val="003F007D"/>
    <w:rsid w:val="003F0540"/>
    <w:rsid w:val="003F0557"/>
    <w:rsid w:val="003F0659"/>
    <w:rsid w:val="003F07C8"/>
    <w:rsid w:val="003F083B"/>
    <w:rsid w:val="003F085E"/>
    <w:rsid w:val="003F08E9"/>
    <w:rsid w:val="003F09EE"/>
    <w:rsid w:val="003F0ABA"/>
    <w:rsid w:val="003F1082"/>
    <w:rsid w:val="003F135A"/>
    <w:rsid w:val="003F1473"/>
    <w:rsid w:val="003F148F"/>
    <w:rsid w:val="003F1507"/>
    <w:rsid w:val="003F1575"/>
    <w:rsid w:val="003F1699"/>
    <w:rsid w:val="003F17A0"/>
    <w:rsid w:val="003F1BBA"/>
    <w:rsid w:val="003F203A"/>
    <w:rsid w:val="003F23AE"/>
    <w:rsid w:val="003F26DE"/>
    <w:rsid w:val="003F270F"/>
    <w:rsid w:val="003F28FB"/>
    <w:rsid w:val="003F29C0"/>
    <w:rsid w:val="003F2AB4"/>
    <w:rsid w:val="003F2E86"/>
    <w:rsid w:val="003F2EB9"/>
    <w:rsid w:val="003F3283"/>
    <w:rsid w:val="003F3345"/>
    <w:rsid w:val="003F3769"/>
    <w:rsid w:val="003F3A31"/>
    <w:rsid w:val="003F3CE4"/>
    <w:rsid w:val="003F443B"/>
    <w:rsid w:val="003F44A7"/>
    <w:rsid w:val="003F47D0"/>
    <w:rsid w:val="003F4870"/>
    <w:rsid w:val="003F4ABC"/>
    <w:rsid w:val="003F4B54"/>
    <w:rsid w:val="003F4BAC"/>
    <w:rsid w:val="003F4C88"/>
    <w:rsid w:val="003F4D64"/>
    <w:rsid w:val="003F4F00"/>
    <w:rsid w:val="003F5182"/>
    <w:rsid w:val="003F51D6"/>
    <w:rsid w:val="003F5200"/>
    <w:rsid w:val="003F55A2"/>
    <w:rsid w:val="003F5A24"/>
    <w:rsid w:val="003F5A6E"/>
    <w:rsid w:val="003F5B3C"/>
    <w:rsid w:val="003F5CA1"/>
    <w:rsid w:val="003F5CA3"/>
    <w:rsid w:val="003F5DC4"/>
    <w:rsid w:val="003F5EA3"/>
    <w:rsid w:val="003F5F35"/>
    <w:rsid w:val="003F5F3C"/>
    <w:rsid w:val="003F604F"/>
    <w:rsid w:val="003F6124"/>
    <w:rsid w:val="003F6220"/>
    <w:rsid w:val="003F64E4"/>
    <w:rsid w:val="003F6973"/>
    <w:rsid w:val="003F6A40"/>
    <w:rsid w:val="003F6B1C"/>
    <w:rsid w:val="003F6B21"/>
    <w:rsid w:val="003F6BE5"/>
    <w:rsid w:val="003F6FDE"/>
    <w:rsid w:val="003F718F"/>
    <w:rsid w:val="003F7353"/>
    <w:rsid w:val="003F7535"/>
    <w:rsid w:val="003F7911"/>
    <w:rsid w:val="003F79C5"/>
    <w:rsid w:val="003F7A49"/>
    <w:rsid w:val="003F7E2A"/>
    <w:rsid w:val="004004DD"/>
    <w:rsid w:val="004006BB"/>
    <w:rsid w:val="00400934"/>
    <w:rsid w:val="0040093A"/>
    <w:rsid w:val="0040114B"/>
    <w:rsid w:val="004013D3"/>
    <w:rsid w:val="00401665"/>
    <w:rsid w:val="00401709"/>
    <w:rsid w:val="00401734"/>
    <w:rsid w:val="00401AFA"/>
    <w:rsid w:val="00401E10"/>
    <w:rsid w:val="00401E2A"/>
    <w:rsid w:val="00401F5F"/>
    <w:rsid w:val="00402171"/>
    <w:rsid w:val="004023A7"/>
    <w:rsid w:val="00402AE3"/>
    <w:rsid w:val="00403020"/>
    <w:rsid w:val="004031BE"/>
    <w:rsid w:val="004031C9"/>
    <w:rsid w:val="00403CBA"/>
    <w:rsid w:val="00403D74"/>
    <w:rsid w:val="0040401C"/>
    <w:rsid w:val="004040C3"/>
    <w:rsid w:val="00404123"/>
    <w:rsid w:val="00404257"/>
    <w:rsid w:val="0040430C"/>
    <w:rsid w:val="004043EE"/>
    <w:rsid w:val="004045FC"/>
    <w:rsid w:val="0040482C"/>
    <w:rsid w:val="00404BC1"/>
    <w:rsid w:val="00404BE4"/>
    <w:rsid w:val="00404F81"/>
    <w:rsid w:val="00405245"/>
    <w:rsid w:val="00405259"/>
    <w:rsid w:val="0040551F"/>
    <w:rsid w:val="0040572B"/>
    <w:rsid w:val="0040593D"/>
    <w:rsid w:val="00405B24"/>
    <w:rsid w:val="00405B9E"/>
    <w:rsid w:val="00405C23"/>
    <w:rsid w:val="00405E3B"/>
    <w:rsid w:val="00406021"/>
    <w:rsid w:val="0040658D"/>
    <w:rsid w:val="0040671C"/>
    <w:rsid w:val="004069A1"/>
    <w:rsid w:val="00406D0E"/>
    <w:rsid w:val="00406EE6"/>
    <w:rsid w:val="004070D9"/>
    <w:rsid w:val="00407115"/>
    <w:rsid w:val="00407392"/>
    <w:rsid w:val="004075CB"/>
    <w:rsid w:val="00407649"/>
    <w:rsid w:val="00407825"/>
    <w:rsid w:val="00407B51"/>
    <w:rsid w:val="00407E72"/>
    <w:rsid w:val="00407F4A"/>
    <w:rsid w:val="00407FAB"/>
    <w:rsid w:val="0041005B"/>
    <w:rsid w:val="00410146"/>
    <w:rsid w:val="00410379"/>
    <w:rsid w:val="004104C1"/>
    <w:rsid w:val="004107CF"/>
    <w:rsid w:val="004108B9"/>
    <w:rsid w:val="00410974"/>
    <w:rsid w:val="00410A60"/>
    <w:rsid w:val="00410C9C"/>
    <w:rsid w:val="0041105E"/>
    <w:rsid w:val="004111AB"/>
    <w:rsid w:val="004116A2"/>
    <w:rsid w:val="00411E4E"/>
    <w:rsid w:val="00412206"/>
    <w:rsid w:val="00412618"/>
    <w:rsid w:val="0041263C"/>
    <w:rsid w:val="004127E2"/>
    <w:rsid w:val="0041290E"/>
    <w:rsid w:val="00412B9A"/>
    <w:rsid w:val="004131A2"/>
    <w:rsid w:val="004131A8"/>
    <w:rsid w:val="0041350C"/>
    <w:rsid w:val="00413788"/>
    <w:rsid w:val="00413F61"/>
    <w:rsid w:val="00413FC9"/>
    <w:rsid w:val="00413FCB"/>
    <w:rsid w:val="004141E8"/>
    <w:rsid w:val="00414244"/>
    <w:rsid w:val="0041488B"/>
    <w:rsid w:val="00414A58"/>
    <w:rsid w:val="00414A8D"/>
    <w:rsid w:val="00414AF5"/>
    <w:rsid w:val="00414C10"/>
    <w:rsid w:val="00414E19"/>
    <w:rsid w:val="00414E1D"/>
    <w:rsid w:val="00414FBB"/>
    <w:rsid w:val="00415244"/>
    <w:rsid w:val="00415730"/>
    <w:rsid w:val="0041579B"/>
    <w:rsid w:val="004157D6"/>
    <w:rsid w:val="004158C6"/>
    <w:rsid w:val="0041599B"/>
    <w:rsid w:val="00415F91"/>
    <w:rsid w:val="004160C8"/>
    <w:rsid w:val="004160E6"/>
    <w:rsid w:val="0041615F"/>
    <w:rsid w:val="0041632E"/>
    <w:rsid w:val="0041647A"/>
    <w:rsid w:val="004165C6"/>
    <w:rsid w:val="00416716"/>
    <w:rsid w:val="0041672D"/>
    <w:rsid w:val="004167DA"/>
    <w:rsid w:val="0041693D"/>
    <w:rsid w:val="00416B75"/>
    <w:rsid w:val="00416F1E"/>
    <w:rsid w:val="00417061"/>
    <w:rsid w:val="004172BF"/>
    <w:rsid w:val="004172E6"/>
    <w:rsid w:val="004173F7"/>
    <w:rsid w:val="00417708"/>
    <w:rsid w:val="004178C3"/>
    <w:rsid w:val="00417A8A"/>
    <w:rsid w:val="00417B0A"/>
    <w:rsid w:val="00417CB0"/>
    <w:rsid w:val="00417D3D"/>
    <w:rsid w:val="00417EE8"/>
    <w:rsid w:val="00420237"/>
    <w:rsid w:val="00420D86"/>
    <w:rsid w:val="00420ECE"/>
    <w:rsid w:val="00420EE8"/>
    <w:rsid w:val="00420FFA"/>
    <w:rsid w:val="0042109D"/>
    <w:rsid w:val="00421114"/>
    <w:rsid w:val="004212BF"/>
    <w:rsid w:val="0042146F"/>
    <w:rsid w:val="0042156F"/>
    <w:rsid w:val="004215FA"/>
    <w:rsid w:val="0042173E"/>
    <w:rsid w:val="00421886"/>
    <w:rsid w:val="00421FD3"/>
    <w:rsid w:val="004221D3"/>
    <w:rsid w:val="004221FC"/>
    <w:rsid w:val="004223C5"/>
    <w:rsid w:val="00422D22"/>
    <w:rsid w:val="00422D86"/>
    <w:rsid w:val="00423015"/>
    <w:rsid w:val="004234DE"/>
    <w:rsid w:val="004237DF"/>
    <w:rsid w:val="00423AC5"/>
    <w:rsid w:val="00423CA1"/>
    <w:rsid w:val="00423CB8"/>
    <w:rsid w:val="00423CD3"/>
    <w:rsid w:val="00424212"/>
    <w:rsid w:val="004245B2"/>
    <w:rsid w:val="0042469A"/>
    <w:rsid w:val="00424842"/>
    <w:rsid w:val="00424FA6"/>
    <w:rsid w:val="004252C9"/>
    <w:rsid w:val="004253BB"/>
    <w:rsid w:val="00425446"/>
    <w:rsid w:val="004254A0"/>
    <w:rsid w:val="00425A40"/>
    <w:rsid w:val="00425AFC"/>
    <w:rsid w:val="00425B58"/>
    <w:rsid w:val="00425FD3"/>
    <w:rsid w:val="00426088"/>
    <w:rsid w:val="004261B4"/>
    <w:rsid w:val="004265A5"/>
    <w:rsid w:val="004266A7"/>
    <w:rsid w:val="00426917"/>
    <w:rsid w:val="00426929"/>
    <w:rsid w:val="004269B1"/>
    <w:rsid w:val="00426A2B"/>
    <w:rsid w:val="00426C55"/>
    <w:rsid w:val="004270FB"/>
    <w:rsid w:val="0042712E"/>
    <w:rsid w:val="004271C7"/>
    <w:rsid w:val="004274F6"/>
    <w:rsid w:val="004279F7"/>
    <w:rsid w:val="00427A21"/>
    <w:rsid w:val="00427B04"/>
    <w:rsid w:val="00427BDD"/>
    <w:rsid w:val="00427DA3"/>
    <w:rsid w:val="00427EA1"/>
    <w:rsid w:val="0043024A"/>
    <w:rsid w:val="0043029C"/>
    <w:rsid w:val="0043031C"/>
    <w:rsid w:val="00430409"/>
    <w:rsid w:val="0043054D"/>
    <w:rsid w:val="00430701"/>
    <w:rsid w:val="00430AA3"/>
    <w:rsid w:val="00430B8B"/>
    <w:rsid w:val="00430DAE"/>
    <w:rsid w:val="00430F13"/>
    <w:rsid w:val="00430F56"/>
    <w:rsid w:val="00430F7E"/>
    <w:rsid w:val="004311A6"/>
    <w:rsid w:val="0043122B"/>
    <w:rsid w:val="004314E5"/>
    <w:rsid w:val="00431781"/>
    <w:rsid w:val="00431950"/>
    <w:rsid w:val="00431B2F"/>
    <w:rsid w:val="00431DDC"/>
    <w:rsid w:val="00431E06"/>
    <w:rsid w:val="00431EED"/>
    <w:rsid w:val="00432116"/>
    <w:rsid w:val="00432166"/>
    <w:rsid w:val="004321B8"/>
    <w:rsid w:val="0043248A"/>
    <w:rsid w:val="0043250E"/>
    <w:rsid w:val="004327CD"/>
    <w:rsid w:val="004328CE"/>
    <w:rsid w:val="00432921"/>
    <w:rsid w:val="00432F4D"/>
    <w:rsid w:val="0043317C"/>
    <w:rsid w:val="004331CD"/>
    <w:rsid w:val="004334A4"/>
    <w:rsid w:val="00433855"/>
    <w:rsid w:val="004339D4"/>
    <w:rsid w:val="00433D33"/>
    <w:rsid w:val="00433F1B"/>
    <w:rsid w:val="0043418E"/>
    <w:rsid w:val="004341F0"/>
    <w:rsid w:val="00434254"/>
    <w:rsid w:val="00434321"/>
    <w:rsid w:val="00434345"/>
    <w:rsid w:val="0043444C"/>
    <w:rsid w:val="00434458"/>
    <w:rsid w:val="00434607"/>
    <w:rsid w:val="00434B5C"/>
    <w:rsid w:val="00434B69"/>
    <w:rsid w:val="00434D14"/>
    <w:rsid w:val="00434E04"/>
    <w:rsid w:val="00435085"/>
    <w:rsid w:val="0043518A"/>
    <w:rsid w:val="00435193"/>
    <w:rsid w:val="00435582"/>
    <w:rsid w:val="0043570C"/>
    <w:rsid w:val="0043595F"/>
    <w:rsid w:val="00435A7C"/>
    <w:rsid w:val="00435C55"/>
    <w:rsid w:val="00435FEA"/>
    <w:rsid w:val="004361F4"/>
    <w:rsid w:val="00436773"/>
    <w:rsid w:val="0043694D"/>
    <w:rsid w:val="00436CEB"/>
    <w:rsid w:val="00436F57"/>
    <w:rsid w:val="00436FCB"/>
    <w:rsid w:val="00437389"/>
    <w:rsid w:val="004374E2"/>
    <w:rsid w:val="004374F7"/>
    <w:rsid w:val="004376EB"/>
    <w:rsid w:val="00437874"/>
    <w:rsid w:val="00437AB7"/>
    <w:rsid w:val="00437D37"/>
    <w:rsid w:val="00437FEE"/>
    <w:rsid w:val="00440045"/>
    <w:rsid w:val="004400A0"/>
    <w:rsid w:val="004400D1"/>
    <w:rsid w:val="004403DF"/>
    <w:rsid w:val="00440609"/>
    <w:rsid w:val="00440BDE"/>
    <w:rsid w:val="00440BF2"/>
    <w:rsid w:val="00440E17"/>
    <w:rsid w:val="0044124E"/>
    <w:rsid w:val="00441473"/>
    <w:rsid w:val="0044147D"/>
    <w:rsid w:val="0044162C"/>
    <w:rsid w:val="00441B81"/>
    <w:rsid w:val="00441EC5"/>
    <w:rsid w:val="00441F82"/>
    <w:rsid w:val="00441FE2"/>
    <w:rsid w:val="0044216A"/>
    <w:rsid w:val="00442170"/>
    <w:rsid w:val="0044243F"/>
    <w:rsid w:val="004424F8"/>
    <w:rsid w:val="00442784"/>
    <w:rsid w:val="00442945"/>
    <w:rsid w:val="004429EC"/>
    <w:rsid w:val="00442DA2"/>
    <w:rsid w:val="00442DEE"/>
    <w:rsid w:val="00442E5F"/>
    <w:rsid w:val="00442E89"/>
    <w:rsid w:val="00443503"/>
    <w:rsid w:val="0044377C"/>
    <w:rsid w:val="0044392A"/>
    <w:rsid w:val="00443A5D"/>
    <w:rsid w:val="00444021"/>
    <w:rsid w:val="0044407C"/>
    <w:rsid w:val="004442E0"/>
    <w:rsid w:val="004443D8"/>
    <w:rsid w:val="00444406"/>
    <w:rsid w:val="004444BE"/>
    <w:rsid w:val="00444531"/>
    <w:rsid w:val="00444D95"/>
    <w:rsid w:val="00444E4B"/>
    <w:rsid w:val="004457CD"/>
    <w:rsid w:val="00445866"/>
    <w:rsid w:val="004459C9"/>
    <w:rsid w:val="00445A09"/>
    <w:rsid w:val="00445DEB"/>
    <w:rsid w:val="00446089"/>
    <w:rsid w:val="0044645A"/>
    <w:rsid w:val="004464A1"/>
    <w:rsid w:val="004466C0"/>
    <w:rsid w:val="00446787"/>
    <w:rsid w:val="004468F8"/>
    <w:rsid w:val="004469B1"/>
    <w:rsid w:val="00446B9D"/>
    <w:rsid w:val="00446C53"/>
    <w:rsid w:val="00446CA9"/>
    <w:rsid w:val="00446D72"/>
    <w:rsid w:val="004471D4"/>
    <w:rsid w:val="0044759D"/>
    <w:rsid w:val="00447621"/>
    <w:rsid w:val="00447AF2"/>
    <w:rsid w:val="00447E8E"/>
    <w:rsid w:val="004503FE"/>
    <w:rsid w:val="0045058C"/>
    <w:rsid w:val="004505A4"/>
    <w:rsid w:val="004507A3"/>
    <w:rsid w:val="00450807"/>
    <w:rsid w:val="004508BE"/>
    <w:rsid w:val="004508CB"/>
    <w:rsid w:val="004509FE"/>
    <w:rsid w:val="00450C6A"/>
    <w:rsid w:val="00450D34"/>
    <w:rsid w:val="00450D96"/>
    <w:rsid w:val="00450DA5"/>
    <w:rsid w:val="00451123"/>
    <w:rsid w:val="00451412"/>
    <w:rsid w:val="0045164A"/>
    <w:rsid w:val="004516AC"/>
    <w:rsid w:val="0045176D"/>
    <w:rsid w:val="00451FE4"/>
    <w:rsid w:val="00452384"/>
    <w:rsid w:val="004523BD"/>
    <w:rsid w:val="0045247B"/>
    <w:rsid w:val="004524BD"/>
    <w:rsid w:val="00452694"/>
    <w:rsid w:val="00452791"/>
    <w:rsid w:val="0045279E"/>
    <w:rsid w:val="004528A8"/>
    <w:rsid w:val="00452988"/>
    <w:rsid w:val="00452A40"/>
    <w:rsid w:val="00452A85"/>
    <w:rsid w:val="00452F4C"/>
    <w:rsid w:val="004533C5"/>
    <w:rsid w:val="00453736"/>
    <w:rsid w:val="004538EC"/>
    <w:rsid w:val="00453A72"/>
    <w:rsid w:val="00453D5E"/>
    <w:rsid w:val="00453DE2"/>
    <w:rsid w:val="00454176"/>
    <w:rsid w:val="00454291"/>
    <w:rsid w:val="004543F1"/>
    <w:rsid w:val="004545FE"/>
    <w:rsid w:val="00454794"/>
    <w:rsid w:val="00454D12"/>
    <w:rsid w:val="00454D89"/>
    <w:rsid w:val="004551FA"/>
    <w:rsid w:val="00455214"/>
    <w:rsid w:val="0045536C"/>
    <w:rsid w:val="0045537A"/>
    <w:rsid w:val="00455632"/>
    <w:rsid w:val="0045563D"/>
    <w:rsid w:val="004557C6"/>
    <w:rsid w:val="00455890"/>
    <w:rsid w:val="004559AD"/>
    <w:rsid w:val="00455AEA"/>
    <w:rsid w:val="00455C97"/>
    <w:rsid w:val="00456029"/>
    <w:rsid w:val="00456441"/>
    <w:rsid w:val="00456958"/>
    <w:rsid w:val="00456F91"/>
    <w:rsid w:val="004570EE"/>
    <w:rsid w:val="00457152"/>
    <w:rsid w:val="004574CF"/>
    <w:rsid w:val="00457635"/>
    <w:rsid w:val="004577C8"/>
    <w:rsid w:val="004578FE"/>
    <w:rsid w:val="004579B3"/>
    <w:rsid w:val="00457A48"/>
    <w:rsid w:val="00457AE0"/>
    <w:rsid w:val="00457B13"/>
    <w:rsid w:val="00457BEC"/>
    <w:rsid w:val="00457D9C"/>
    <w:rsid w:val="0046007E"/>
    <w:rsid w:val="004603A7"/>
    <w:rsid w:val="0046046C"/>
    <w:rsid w:val="0046069E"/>
    <w:rsid w:val="00460743"/>
    <w:rsid w:val="00460765"/>
    <w:rsid w:val="00460A24"/>
    <w:rsid w:val="00460D8E"/>
    <w:rsid w:val="00460E3B"/>
    <w:rsid w:val="00460E54"/>
    <w:rsid w:val="00460E96"/>
    <w:rsid w:val="00460FFB"/>
    <w:rsid w:val="004611E1"/>
    <w:rsid w:val="0046123C"/>
    <w:rsid w:val="004615BC"/>
    <w:rsid w:val="004615CA"/>
    <w:rsid w:val="00461B5E"/>
    <w:rsid w:val="00461F86"/>
    <w:rsid w:val="0046200E"/>
    <w:rsid w:val="0046204D"/>
    <w:rsid w:val="00462401"/>
    <w:rsid w:val="00462414"/>
    <w:rsid w:val="00462580"/>
    <w:rsid w:val="00462A16"/>
    <w:rsid w:val="00462AD3"/>
    <w:rsid w:val="00462D24"/>
    <w:rsid w:val="00463110"/>
    <w:rsid w:val="0046336D"/>
    <w:rsid w:val="00463668"/>
    <w:rsid w:val="00463682"/>
    <w:rsid w:val="004638B8"/>
    <w:rsid w:val="00463F7D"/>
    <w:rsid w:val="0046435F"/>
    <w:rsid w:val="004643F4"/>
    <w:rsid w:val="00464487"/>
    <w:rsid w:val="00464902"/>
    <w:rsid w:val="00464FC0"/>
    <w:rsid w:val="00465272"/>
    <w:rsid w:val="004652AB"/>
    <w:rsid w:val="004653C2"/>
    <w:rsid w:val="00465524"/>
    <w:rsid w:val="00465546"/>
    <w:rsid w:val="00465930"/>
    <w:rsid w:val="004659FF"/>
    <w:rsid w:val="00465A45"/>
    <w:rsid w:val="00465A4A"/>
    <w:rsid w:val="00465AE9"/>
    <w:rsid w:val="00465C79"/>
    <w:rsid w:val="00465CCC"/>
    <w:rsid w:val="00465FD4"/>
    <w:rsid w:val="0046611D"/>
    <w:rsid w:val="004661AF"/>
    <w:rsid w:val="004661B1"/>
    <w:rsid w:val="004663E2"/>
    <w:rsid w:val="00466A2D"/>
    <w:rsid w:val="00466AE0"/>
    <w:rsid w:val="00466E63"/>
    <w:rsid w:val="00466FE0"/>
    <w:rsid w:val="0046731B"/>
    <w:rsid w:val="00467477"/>
    <w:rsid w:val="00467A1D"/>
    <w:rsid w:val="00467C47"/>
    <w:rsid w:val="00467DDD"/>
    <w:rsid w:val="00467FF1"/>
    <w:rsid w:val="00470083"/>
    <w:rsid w:val="004700AB"/>
    <w:rsid w:val="00470421"/>
    <w:rsid w:val="00470CB3"/>
    <w:rsid w:val="00470DA4"/>
    <w:rsid w:val="004710D5"/>
    <w:rsid w:val="00471271"/>
    <w:rsid w:val="004712D3"/>
    <w:rsid w:val="0047143A"/>
    <w:rsid w:val="0047170D"/>
    <w:rsid w:val="00471833"/>
    <w:rsid w:val="004719F2"/>
    <w:rsid w:val="00471C5D"/>
    <w:rsid w:val="00471EA6"/>
    <w:rsid w:val="00471EE5"/>
    <w:rsid w:val="00472457"/>
    <w:rsid w:val="004724F9"/>
    <w:rsid w:val="004727AA"/>
    <w:rsid w:val="004727F1"/>
    <w:rsid w:val="00472963"/>
    <w:rsid w:val="0047296E"/>
    <w:rsid w:val="00472A1F"/>
    <w:rsid w:val="00472AD0"/>
    <w:rsid w:val="00472CF9"/>
    <w:rsid w:val="00472DB3"/>
    <w:rsid w:val="00472F6A"/>
    <w:rsid w:val="00473200"/>
    <w:rsid w:val="00473304"/>
    <w:rsid w:val="0047340B"/>
    <w:rsid w:val="004734C1"/>
    <w:rsid w:val="00473C4E"/>
    <w:rsid w:val="00473E58"/>
    <w:rsid w:val="00473EF1"/>
    <w:rsid w:val="00473FED"/>
    <w:rsid w:val="0047406D"/>
    <w:rsid w:val="004741F3"/>
    <w:rsid w:val="00474545"/>
    <w:rsid w:val="00474C2B"/>
    <w:rsid w:val="00474D60"/>
    <w:rsid w:val="004755D7"/>
    <w:rsid w:val="00475B52"/>
    <w:rsid w:val="00475BDE"/>
    <w:rsid w:val="00475C3D"/>
    <w:rsid w:val="00475F7E"/>
    <w:rsid w:val="004761BE"/>
    <w:rsid w:val="0047629C"/>
    <w:rsid w:val="004762DA"/>
    <w:rsid w:val="00476406"/>
    <w:rsid w:val="0047660F"/>
    <w:rsid w:val="004766C4"/>
    <w:rsid w:val="004766D8"/>
    <w:rsid w:val="0047685D"/>
    <w:rsid w:val="00476AAB"/>
    <w:rsid w:val="00476EC0"/>
    <w:rsid w:val="00477021"/>
    <w:rsid w:val="00477328"/>
    <w:rsid w:val="00477335"/>
    <w:rsid w:val="004773BA"/>
    <w:rsid w:val="00477437"/>
    <w:rsid w:val="00477449"/>
    <w:rsid w:val="0047750F"/>
    <w:rsid w:val="004777B9"/>
    <w:rsid w:val="00477875"/>
    <w:rsid w:val="0047794F"/>
    <w:rsid w:val="004779D6"/>
    <w:rsid w:val="00477CBC"/>
    <w:rsid w:val="00477CF5"/>
    <w:rsid w:val="00477D1A"/>
    <w:rsid w:val="00480573"/>
    <w:rsid w:val="004806F8"/>
    <w:rsid w:val="00480764"/>
    <w:rsid w:val="004807DB"/>
    <w:rsid w:val="00480843"/>
    <w:rsid w:val="00480A8A"/>
    <w:rsid w:val="00480E64"/>
    <w:rsid w:val="004810C1"/>
    <w:rsid w:val="00481655"/>
    <w:rsid w:val="00481882"/>
    <w:rsid w:val="00481A1E"/>
    <w:rsid w:val="00481D5D"/>
    <w:rsid w:val="00481FE8"/>
    <w:rsid w:val="00481FEB"/>
    <w:rsid w:val="0048203C"/>
    <w:rsid w:val="00482061"/>
    <w:rsid w:val="004822A9"/>
    <w:rsid w:val="0048244E"/>
    <w:rsid w:val="004826D8"/>
    <w:rsid w:val="00482704"/>
    <w:rsid w:val="004827FD"/>
    <w:rsid w:val="00482E84"/>
    <w:rsid w:val="0048318D"/>
    <w:rsid w:val="004831B6"/>
    <w:rsid w:val="00483346"/>
    <w:rsid w:val="00483864"/>
    <w:rsid w:val="00483A59"/>
    <w:rsid w:val="00483DD8"/>
    <w:rsid w:val="00484193"/>
    <w:rsid w:val="004841DF"/>
    <w:rsid w:val="0048427F"/>
    <w:rsid w:val="004842C7"/>
    <w:rsid w:val="00484354"/>
    <w:rsid w:val="00484413"/>
    <w:rsid w:val="00484425"/>
    <w:rsid w:val="0048444F"/>
    <w:rsid w:val="004844BD"/>
    <w:rsid w:val="00484738"/>
    <w:rsid w:val="00484F4F"/>
    <w:rsid w:val="004850F2"/>
    <w:rsid w:val="00485133"/>
    <w:rsid w:val="0048530A"/>
    <w:rsid w:val="00485329"/>
    <w:rsid w:val="0048534F"/>
    <w:rsid w:val="00485425"/>
    <w:rsid w:val="00485A34"/>
    <w:rsid w:val="00485DDF"/>
    <w:rsid w:val="00485FF1"/>
    <w:rsid w:val="0048602C"/>
    <w:rsid w:val="004860AD"/>
    <w:rsid w:val="00486418"/>
    <w:rsid w:val="0048654B"/>
    <w:rsid w:val="004865CF"/>
    <w:rsid w:val="0048670D"/>
    <w:rsid w:val="00486744"/>
    <w:rsid w:val="004869AF"/>
    <w:rsid w:val="00486B12"/>
    <w:rsid w:val="00486E43"/>
    <w:rsid w:val="00486FFD"/>
    <w:rsid w:val="00487025"/>
    <w:rsid w:val="00487091"/>
    <w:rsid w:val="004870BC"/>
    <w:rsid w:val="004871C8"/>
    <w:rsid w:val="00487202"/>
    <w:rsid w:val="0048721A"/>
    <w:rsid w:val="0048729B"/>
    <w:rsid w:val="004874E0"/>
    <w:rsid w:val="0048755C"/>
    <w:rsid w:val="004879E3"/>
    <w:rsid w:val="00487AE9"/>
    <w:rsid w:val="00487BAF"/>
    <w:rsid w:val="00487BD8"/>
    <w:rsid w:val="00487C92"/>
    <w:rsid w:val="00487DC6"/>
    <w:rsid w:val="00487E3E"/>
    <w:rsid w:val="00487E61"/>
    <w:rsid w:val="00487F39"/>
    <w:rsid w:val="004900D9"/>
    <w:rsid w:val="004900EC"/>
    <w:rsid w:val="004901F7"/>
    <w:rsid w:val="004902B0"/>
    <w:rsid w:val="0049080B"/>
    <w:rsid w:val="00490A0B"/>
    <w:rsid w:val="00491013"/>
    <w:rsid w:val="00491176"/>
    <w:rsid w:val="00491314"/>
    <w:rsid w:val="0049135A"/>
    <w:rsid w:val="004913BD"/>
    <w:rsid w:val="004915C4"/>
    <w:rsid w:val="0049188E"/>
    <w:rsid w:val="0049198E"/>
    <w:rsid w:val="00491A08"/>
    <w:rsid w:val="00491A48"/>
    <w:rsid w:val="00491AF8"/>
    <w:rsid w:val="00491C1D"/>
    <w:rsid w:val="00491D4C"/>
    <w:rsid w:val="00491E2B"/>
    <w:rsid w:val="00491F62"/>
    <w:rsid w:val="004925F9"/>
    <w:rsid w:val="00492630"/>
    <w:rsid w:val="0049267D"/>
    <w:rsid w:val="0049297A"/>
    <w:rsid w:val="00492AFE"/>
    <w:rsid w:val="00492ED9"/>
    <w:rsid w:val="00492FE2"/>
    <w:rsid w:val="004930D5"/>
    <w:rsid w:val="004934F8"/>
    <w:rsid w:val="00493692"/>
    <w:rsid w:val="00493A4B"/>
    <w:rsid w:val="00493EFF"/>
    <w:rsid w:val="004940A8"/>
    <w:rsid w:val="0049420B"/>
    <w:rsid w:val="0049423D"/>
    <w:rsid w:val="00494514"/>
    <w:rsid w:val="0049454A"/>
    <w:rsid w:val="00494C94"/>
    <w:rsid w:val="00494CF6"/>
    <w:rsid w:val="00494D41"/>
    <w:rsid w:val="00494E23"/>
    <w:rsid w:val="00494F5F"/>
    <w:rsid w:val="00494FCD"/>
    <w:rsid w:val="004950C5"/>
    <w:rsid w:val="0049539A"/>
    <w:rsid w:val="004954A2"/>
    <w:rsid w:val="00495798"/>
    <w:rsid w:val="00495AA0"/>
    <w:rsid w:val="00495B90"/>
    <w:rsid w:val="00495B94"/>
    <w:rsid w:val="00495C3A"/>
    <w:rsid w:val="00496004"/>
    <w:rsid w:val="004960ED"/>
    <w:rsid w:val="004961F6"/>
    <w:rsid w:val="0049633A"/>
    <w:rsid w:val="00496534"/>
    <w:rsid w:val="00496581"/>
    <w:rsid w:val="00496613"/>
    <w:rsid w:val="0049696B"/>
    <w:rsid w:val="00496B23"/>
    <w:rsid w:val="00496D9D"/>
    <w:rsid w:val="00496DB6"/>
    <w:rsid w:val="00496F26"/>
    <w:rsid w:val="00496FE4"/>
    <w:rsid w:val="00497087"/>
    <w:rsid w:val="00497104"/>
    <w:rsid w:val="00497269"/>
    <w:rsid w:val="00497308"/>
    <w:rsid w:val="0049791E"/>
    <w:rsid w:val="00497BDD"/>
    <w:rsid w:val="00497FFB"/>
    <w:rsid w:val="004A0224"/>
    <w:rsid w:val="004A02A5"/>
    <w:rsid w:val="004A03A7"/>
    <w:rsid w:val="004A0429"/>
    <w:rsid w:val="004A042D"/>
    <w:rsid w:val="004A0C02"/>
    <w:rsid w:val="004A0DAE"/>
    <w:rsid w:val="004A0F2D"/>
    <w:rsid w:val="004A108E"/>
    <w:rsid w:val="004A1246"/>
    <w:rsid w:val="004A14DD"/>
    <w:rsid w:val="004A16AD"/>
    <w:rsid w:val="004A17E5"/>
    <w:rsid w:val="004A1A01"/>
    <w:rsid w:val="004A1F49"/>
    <w:rsid w:val="004A2169"/>
    <w:rsid w:val="004A23F5"/>
    <w:rsid w:val="004A2560"/>
    <w:rsid w:val="004A2791"/>
    <w:rsid w:val="004A2F22"/>
    <w:rsid w:val="004A2F39"/>
    <w:rsid w:val="004A2FBB"/>
    <w:rsid w:val="004A308A"/>
    <w:rsid w:val="004A3393"/>
    <w:rsid w:val="004A33C9"/>
    <w:rsid w:val="004A377C"/>
    <w:rsid w:val="004A37A0"/>
    <w:rsid w:val="004A38BB"/>
    <w:rsid w:val="004A396C"/>
    <w:rsid w:val="004A3ACC"/>
    <w:rsid w:val="004A3AD4"/>
    <w:rsid w:val="004A3CC4"/>
    <w:rsid w:val="004A3D7B"/>
    <w:rsid w:val="004A3E85"/>
    <w:rsid w:val="004A405C"/>
    <w:rsid w:val="004A40B9"/>
    <w:rsid w:val="004A4249"/>
    <w:rsid w:val="004A47FC"/>
    <w:rsid w:val="004A4934"/>
    <w:rsid w:val="004A4C7F"/>
    <w:rsid w:val="004A4D5F"/>
    <w:rsid w:val="004A4E56"/>
    <w:rsid w:val="004A50B9"/>
    <w:rsid w:val="004A50BE"/>
    <w:rsid w:val="004A50D8"/>
    <w:rsid w:val="004A5167"/>
    <w:rsid w:val="004A529A"/>
    <w:rsid w:val="004A529C"/>
    <w:rsid w:val="004A52E4"/>
    <w:rsid w:val="004A5778"/>
    <w:rsid w:val="004A5B38"/>
    <w:rsid w:val="004A5C1B"/>
    <w:rsid w:val="004A5CC7"/>
    <w:rsid w:val="004A5EA5"/>
    <w:rsid w:val="004A5EB2"/>
    <w:rsid w:val="004A5FB9"/>
    <w:rsid w:val="004A62BC"/>
    <w:rsid w:val="004A62FE"/>
    <w:rsid w:val="004A644E"/>
    <w:rsid w:val="004A64A6"/>
    <w:rsid w:val="004A69D0"/>
    <w:rsid w:val="004A6A82"/>
    <w:rsid w:val="004A757D"/>
    <w:rsid w:val="004A76BB"/>
    <w:rsid w:val="004A76C4"/>
    <w:rsid w:val="004A7919"/>
    <w:rsid w:val="004A7A56"/>
    <w:rsid w:val="004B0151"/>
    <w:rsid w:val="004B0486"/>
    <w:rsid w:val="004B0569"/>
    <w:rsid w:val="004B0974"/>
    <w:rsid w:val="004B0A62"/>
    <w:rsid w:val="004B0A7D"/>
    <w:rsid w:val="004B0B7A"/>
    <w:rsid w:val="004B0ED8"/>
    <w:rsid w:val="004B0FF0"/>
    <w:rsid w:val="004B177B"/>
    <w:rsid w:val="004B1974"/>
    <w:rsid w:val="004B1AB2"/>
    <w:rsid w:val="004B1DAE"/>
    <w:rsid w:val="004B1EF1"/>
    <w:rsid w:val="004B2704"/>
    <w:rsid w:val="004B290E"/>
    <w:rsid w:val="004B2BDD"/>
    <w:rsid w:val="004B2D9B"/>
    <w:rsid w:val="004B2E0B"/>
    <w:rsid w:val="004B2E4F"/>
    <w:rsid w:val="004B2F34"/>
    <w:rsid w:val="004B3083"/>
    <w:rsid w:val="004B3361"/>
    <w:rsid w:val="004B341D"/>
    <w:rsid w:val="004B3537"/>
    <w:rsid w:val="004B3621"/>
    <w:rsid w:val="004B3766"/>
    <w:rsid w:val="004B3849"/>
    <w:rsid w:val="004B3BA4"/>
    <w:rsid w:val="004B3E49"/>
    <w:rsid w:val="004B3F06"/>
    <w:rsid w:val="004B3F27"/>
    <w:rsid w:val="004B41F8"/>
    <w:rsid w:val="004B422B"/>
    <w:rsid w:val="004B43EE"/>
    <w:rsid w:val="004B441F"/>
    <w:rsid w:val="004B4486"/>
    <w:rsid w:val="004B45C6"/>
    <w:rsid w:val="004B47A8"/>
    <w:rsid w:val="004B47E2"/>
    <w:rsid w:val="004B48D8"/>
    <w:rsid w:val="004B4996"/>
    <w:rsid w:val="004B4BB5"/>
    <w:rsid w:val="004B4BC6"/>
    <w:rsid w:val="004B4C9B"/>
    <w:rsid w:val="004B4F04"/>
    <w:rsid w:val="004B50B4"/>
    <w:rsid w:val="004B556D"/>
    <w:rsid w:val="004B56FA"/>
    <w:rsid w:val="004B5768"/>
    <w:rsid w:val="004B5AE1"/>
    <w:rsid w:val="004B5C85"/>
    <w:rsid w:val="004B5E25"/>
    <w:rsid w:val="004B5FC4"/>
    <w:rsid w:val="004B6635"/>
    <w:rsid w:val="004B66D3"/>
    <w:rsid w:val="004B6B1B"/>
    <w:rsid w:val="004B6BD3"/>
    <w:rsid w:val="004B6BF5"/>
    <w:rsid w:val="004B6C5E"/>
    <w:rsid w:val="004B6CFC"/>
    <w:rsid w:val="004B7099"/>
    <w:rsid w:val="004B72C9"/>
    <w:rsid w:val="004B7583"/>
    <w:rsid w:val="004B79F5"/>
    <w:rsid w:val="004C01A3"/>
    <w:rsid w:val="004C01FA"/>
    <w:rsid w:val="004C0514"/>
    <w:rsid w:val="004C062E"/>
    <w:rsid w:val="004C0734"/>
    <w:rsid w:val="004C09C6"/>
    <w:rsid w:val="004C0AFF"/>
    <w:rsid w:val="004C0BBB"/>
    <w:rsid w:val="004C0CE0"/>
    <w:rsid w:val="004C0FA4"/>
    <w:rsid w:val="004C10F8"/>
    <w:rsid w:val="004C1249"/>
    <w:rsid w:val="004C1E81"/>
    <w:rsid w:val="004C22C9"/>
    <w:rsid w:val="004C27FD"/>
    <w:rsid w:val="004C2810"/>
    <w:rsid w:val="004C2937"/>
    <w:rsid w:val="004C29A6"/>
    <w:rsid w:val="004C2A0F"/>
    <w:rsid w:val="004C2C0B"/>
    <w:rsid w:val="004C2CDB"/>
    <w:rsid w:val="004C2DCD"/>
    <w:rsid w:val="004C2EF4"/>
    <w:rsid w:val="004C2F8D"/>
    <w:rsid w:val="004C30FA"/>
    <w:rsid w:val="004C34EC"/>
    <w:rsid w:val="004C3629"/>
    <w:rsid w:val="004C368A"/>
    <w:rsid w:val="004C3971"/>
    <w:rsid w:val="004C4088"/>
    <w:rsid w:val="004C4560"/>
    <w:rsid w:val="004C4617"/>
    <w:rsid w:val="004C480B"/>
    <w:rsid w:val="004C4950"/>
    <w:rsid w:val="004C4B2F"/>
    <w:rsid w:val="004C4E06"/>
    <w:rsid w:val="004C4ECA"/>
    <w:rsid w:val="004C4F19"/>
    <w:rsid w:val="004C5212"/>
    <w:rsid w:val="004C526F"/>
    <w:rsid w:val="004C54AD"/>
    <w:rsid w:val="004C54EC"/>
    <w:rsid w:val="004C5515"/>
    <w:rsid w:val="004C57AE"/>
    <w:rsid w:val="004C5851"/>
    <w:rsid w:val="004C5BB3"/>
    <w:rsid w:val="004C5D3E"/>
    <w:rsid w:val="004C5D67"/>
    <w:rsid w:val="004C5E97"/>
    <w:rsid w:val="004C608E"/>
    <w:rsid w:val="004C61CD"/>
    <w:rsid w:val="004C676B"/>
    <w:rsid w:val="004C7174"/>
    <w:rsid w:val="004C73BC"/>
    <w:rsid w:val="004C73D1"/>
    <w:rsid w:val="004C74D5"/>
    <w:rsid w:val="004C77B5"/>
    <w:rsid w:val="004C7B2E"/>
    <w:rsid w:val="004C7B55"/>
    <w:rsid w:val="004C7BB1"/>
    <w:rsid w:val="004C7C87"/>
    <w:rsid w:val="004C7F88"/>
    <w:rsid w:val="004D03EC"/>
    <w:rsid w:val="004D086C"/>
    <w:rsid w:val="004D0CC1"/>
    <w:rsid w:val="004D11AB"/>
    <w:rsid w:val="004D13D4"/>
    <w:rsid w:val="004D1564"/>
    <w:rsid w:val="004D1574"/>
    <w:rsid w:val="004D15A6"/>
    <w:rsid w:val="004D1BF2"/>
    <w:rsid w:val="004D1D42"/>
    <w:rsid w:val="004D2097"/>
    <w:rsid w:val="004D2662"/>
    <w:rsid w:val="004D27BC"/>
    <w:rsid w:val="004D27FF"/>
    <w:rsid w:val="004D2E3F"/>
    <w:rsid w:val="004D2E43"/>
    <w:rsid w:val="004D2EE0"/>
    <w:rsid w:val="004D2EFD"/>
    <w:rsid w:val="004D306E"/>
    <w:rsid w:val="004D3880"/>
    <w:rsid w:val="004D398C"/>
    <w:rsid w:val="004D3E53"/>
    <w:rsid w:val="004D3EE9"/>
    <w:rsid w:val="004D3FF9"/>
    <w:rsid w:val="004D4063"/>
    <w:rsid w:val="004D439F"/>
    <w:rsid w:val="004D4602"/>
    <w:rsid w:val="004D4764"/>
    <w:rsid w:val="004D47B4"/>
    <w:rsid w:val="004D4C52"/>
    <w:rsid w:val="004D4E05"/>
    <w:rsid w:val="004D4E2B"/>
    <w:rsid w:val="004D4ECA"/>
    <w:rsid w:val="004D5F49"/>
    <w:rsid w:val="004D60E3"/>
    <w:rsid w:val="004D6185"/>
    <w:rsid w:val="004D6213"/>
    <w:rsid w:val="004D6303"/>
    <w:rsid w:val="004D6B4C"/>
    <w:rsid w:val="004D6D72"/>
    <w:rsid w:val="004D6FDE"/>
    <w:rsid w:val="004D7467"/>
    <w:rsid w:val="004D7790"/>
    <w:rsid w:val="004D78E8"/>
    <w:rsid w:val="004D7D72"/>
    <w:rsid w:val="004E041A"/>
    <w:rsid w:val="004E04A1"/>
    <w:rsid w:val="004E066E"/>
    <w:rsid w:val="004E0B99"/>
    <w:rsid w:val="004E0D80"/>
    <w:rsid w:val="004E11D1"/>
    <w:rsid w:val="004E11FB"/>
    <w:rsid w:val="004E1533"/>
    <w:rsid w:val="004E16DF"/>
    <w:rsid w:val="004E170D"/>
    <w:rsid w:val="004E1742"/>
    <w:rsid w:val="004E18B1"/>
    <w:rsid w:val="004E18EB"/>
    <w:rsid w:val="004E1CC4"/>
    <w:rsid w:val="004E1D8E"/>
    <w:rsid w:val="004E1E45"/>
    <w:rsid w:val="004E2175"/>
    <w:rsid w:val="004E238C"/>
    <w:rsid w:val="004E248B"/>
    <w:rsid w:val="004E26AD"/>
    <w:rsid w:val="004E28A9"/>
    <w:rsid w:val="004E2C59"/>
    <w:rsid w:val="004E3012"/>
    <w:rsid w:val="004E321C"/>
    <w:rsid w:val="004E37CF"/>
    <w:rsid w:val="004E38DC"/>
    <w:rsid w:val="004E399B"/>
    <w:rsid w:val="004E4073"/>
    <w:rsid w:val="004E4211"/>
    <w:rsid w:val="004E433F"/>
    <w:rsid w:val="004E4640"/>
    <w:rsid w:val="004E498C"/>
    <w:rsid w:val="004E4DA6"/>
    <w:rsid w:val="004E5009"/>
    <w:rsid w:val="004E50B5"/>
    <w:rsid w:val="004E5439"/>
    <w:rsid w:val="004E5570"/>
    <w:rsid w:val="004E5739"/>
    <w:rsid w:val="004E5823"/>
    <w:rsid w:val="004E5967"/>
    <w:rsid w:val="004E5F5E"/>
    <w:rsid w:val="004E6113"/>
    <w:rsid w:val="004E62BA"/>
    <w:rsid w:val="004E63EE"/>
    <w:rsid w:val="004E6D3E"/>
    <w:rsid w:val="004E6F56"/>
    <w:rsid w:val="004E6F9A"/>
    <w:rsid w:val="004E6F9C"/>
    <w:rsid w:val="004E6FAC"/>
    <w:rsid w:val="004E6FE4"/>
    <w:rsid w:val="004E708B"/>
    <w:rsid w:val="004E7126"/>
    <w:rsid w:val="004E74AA"/>
    <w:rsid w:val="004E774C"/>
    <w:rsid w:val="004E7AB2"/>
    <w:rsid w:val="004E7B89"/>
    <w:rsid w:val="004E7D10"/>
    <w:rsid w:val="004E7D99"/>
    <w:rsid w:val="004E7DFF"/>
    <w:rsid w:val="004E7E76"/>
    <w:rsid w:val="004E7F82"/>
    <w:rsid w:val="004F002C"/>
    <w:rsid w:val="004F02AA"/>
    <w:rsid w:val="004F09C8"/>
    <w:rsid w:val="004F0C94"/>
    <w:rsid w:val="004F0D2E"/>
    <w:rsid w:val="004F0DDF"/>
    <w:rsid w:val="004F136C"/>
    <w:rsid w:val="004F175B"/>
    <w:rsid w:val="004F1A13"/>
    <w:rsid w:val="004F1EE6"/>
    <w:rsid w:val="004F1F6C"/>
    <w:rsid w:val="004F204E"/>
    <w:rsid w:val="004F2282"/>
    <w:rsid w:val="004F2306"/>
    <w:rsid w:val="004F2320"/>
    <w:rsid w:val="004F24A7"/>
    <w:rsid w:val="004F254C"/>
    <w:rsid w:val="004F270E"/>
    <w:rsid w:val="004F2773"/>
    <w:rsid w:val="004F27FA"/>
    <w:rsid w:val="004F2A5B"/>
    <w:rsid w:val="004F2C1A"/>
    <w:rsid w:val="004F2C29"/>
    <w:rsid w:val="004F30C5"/>
    <w:rsid w:val="004F31F2"/>
    <w:rsid w:val="004F3420"/>
    <w:rsid w:val="004F3554"/>
    <w:rsid w:val="004F36C5"/>
    <w:rsid w:val="004F3A90"/>
    <w:rsid w:val="004F3B2F"/>
    <w:rsid w:val="004F3B54"/>
    <w:rsid w:val="004F3B7A"/>
    <w:rsid w:val="004F3B7B"/>
    <w:rsid w:val="004F3C14"/>
    <w:rsid w:val="004F425D"/>
    <w:rsid w:val="004F42DC"/>
    <w:rsid w:val="004F4415"/>
    <w:rsid w:val="004F45D4"/>
    <w:rsid w:val="004F461F"/>
    <w:rsid w:val="004F4892"/>
    <w:rsid w:val="004F4DA0"/>
    <w:rsid w:val="004F4FA3"/>
    <w:rsid w:val="004F5096"/>
    <w:rsid w:val="004F50B0"/>
    <w:rsid w:val="004F51BF"/>
    <w:rsid w:val="004F51D7"/>
    <w:rsid w:val="004F5367"/>
    <w:rsid w:val="004F55B1"/>
    <w:rsid w:val="004F567C"/>
    <w:rsid w:val="004F579D"/>
    <w:rsid w:val="004F582B"/>
    <w:rsid w:val="004F597B"/>
    <w:rsid w:val="004F59C0"/>
    <w:rsid w:val="004F59DA"/>
    <w:rsid w:val="004F5A5D"/>
    <w:rsid w:val="004F5AD2"/>
    <w:rsid w:val="004F5AED"/>
    <w:rsid w:val="004F5C94"/>
    <w:rsid w:val="004F5EEE"/>
    <w:rsid w:val="004F5FBF"/>
    <w:rsid w:val="004F5FF1"/>
    <w:rsid w:val="004F64EB"/>
    <w:rsid w:val="004F6603"/>
    <w:rsid w:val="004F663D"/>
    <w:rsid w:val="004F66EB"/>
    <w:rsid w:val="004F6792"/>
    <w:rsid w:val="004F68EE"/>
    <w:rsid w:val="004F6919"/>
    <w:rsid w:val="004F69ED"/>
    <w:rsid w:val="004F6BC2"/>
    <w:rsid w:val="004F6DE0"/>
    <w:rsid w:val="004F70F8"/>
    <w:rsid w:val="004F7179"/>
    <w:rsid w:val="004F71F3"/>
    <w:rsid w:val="004F744C"/>
    <w:rsid w:val="004F7518"/>
    <w:rsid w:val="004F76A3"/>
    <w:rsid w:val="004F7894"/>
    <w:rsid w:val="004F78A1"/>
    <w:rsid w:val="004F79B7"/>
    <w:rsid w:val="004F7B95"/>
    <w:rsid w:val="004F7F01"/>
    <w:rsid w:val="005004B5"/>
    <w:rsid w:val="005006A5"/>
    <w:rsid w:val="0050096E"/>
    <w:rsid w:val="00500A3F"/>
    <w:rsid w:val="00500AD7"/>
    <w:rsid w:val="00500D42"/>
    <w:rsid w:val="00500E37"/>
    <w:rsid w:val="00500EE6"/>
    <w:rsid w:val="005012B3"/>
    <w:rsid w:val="005012E5"/>
    <w:rsid w:val="005012F4"/>
    <w:rsid w:val="0050139C"/>
    <w:rsid w:val="0050164C"/>
    <w:rsid w:val="005017F5"/>
    <w:rsid w:val="00501808"/>
    <w:rsid w:val="00501996"/>
    <w:rsid w:val="00501C71"/>
    <w:rsid w:val="00501CB2"/>
    <w:rsid w:val="00501D32"/>
    <w:rsid w:val="00501F47"/>
    <w:rsid w:val="00501F7F"/>
    <w:rsid w:val="00501F92"/>
    <w:rsid w:val="00502544"/>
    <w:rsid w:val="005025EF"/>
    <w:rsid w:val="00502612"/>
    <w:rsid w:val="0050298F"/>
    <w:rsid w:val="00502BE4"/>
    <w:rsid w:val="00502D4F"/>
    <w:rsid w:val="00502D8E"/>
    <w:rsid w:val="00502DAF"/>
    <w:rsid w:val="00502FE8"/>
    <w:rsid w:val="00503152"/>
    <w:rsid w:val="0050343D"/>
    <w:rsid w:val="0050367C"/>
    <w:rsid w:val="00503686"/>
    <w:rsid w:val="00503756"/>
    <w:rsid w:val="005037D4"/>
    <w:rsid w:val="005038FE"/>
    <w:rsid w:val="00503EC0"/>
    <w:rsid w:val="00504210"/>
    <w:rsid w:val="005044BF"/>
    <w:rsid w:val="005044FF"/>
    <w:rsid w:val="00504690"/>
    <w:rsid w:val="00504807"/>
    <w:rsid w:val="00504882"/>
    <w:rsid w:val="0050496D"/>
    <w:rsid w:val="00504A09"/>
    <w:rsid w:val="00504BF0"/>
    <w:rsid w:val="00504E85"/>
    <w:rsid w:val="00505052"/>
    <w:rsid w:val="0050555E"/>
    <w:rsid w:val="005055FA"/>
    <w:rsid w:val="00505872"/>
    <w:rsid w:val="00505A28"/>
    <w:rsid w:val="00505D10"/>
    <w:rsid w:val="00505DBD"/>
    <w:rsid w:val="00505DD3"/>
    <w:rsid w:val="005060B8"/>
    <w:rsid w:val="0050625B"/>
    <w:rsid w:val="00506270"/>
    <w:rsid w:val="005064F0"/>
    <w:rsid w:val="00506535"/>
    <w:rsid w:val="00506623"/>
    <w:rsid w:val="00506A80"/>
    <w:rsid w:val="00506D56"/>
    <w:rsid w:val="00506D83"/>
    <w:rsid w:val="00506F4C"/>
    <w:rsid w:val="00506FC5"/>
    <w:rsid w:val="00506FFD"/>
    <w:rsid w:val="00507028"/>
    <w:rsid w:val="005071D0"/>
    <w:rsid w:val="005074E8"/>
    <w:rsid w:val="0050754C"/>
    <w:rsid w:val="0050779B"/>
    <w:rsid w:val="00507B44"/>
    <w:rsid w:val="00507B94"/>
    <w:rsid w:val="00507BCE"/>
    <w:rsid w:val="00507C82"/>
    <w:rsid w:val="00507F2E"/>
    <w:rsid w:val="00507FF1"/>
    <w:rsid w:val="0051004E"/>
    <w:rsid w:val="0051041C"/>
    <w:rsid w:val="0051047D"/>
    <w:rsid w:val="00510640"/>
    <w:rsid w:val="00510B77"/>
    <w:rsid w:val="00510FB3"/>
    <w:rsid w:val="005112B7"/>
    <w:rsid w:val="00511573"/>
    <w:rsid w:val="00511704"/>
    <w:rsid w:val="00511919"/>
    <w:rsid w:val="00511D92"/>
    <w:rsid w:val="00511E06"/>
    <w:rsid w:val="005125DB"/>
    <w:rsid w:val="00512805"/>
    <w:rsid w:val="00512839"/>
    <w:rsid w:val="00512C78"/>
    <w:rsid w:val="00512E95"/>
    <w:rsid w:val="00512F4C"/>
    <w:rsid w:val="00512F92"/>
    <w:rsid w:val="00513180"/>
    <w:rsid w:val="005132BE"/>
    <w:rsid w:val="00513786"/>
    <w:rsid w:val="00513B59"/>
    <w:rsid w:val="00513C82"/>
    <w:rsid w:val="00513FE7"/>
    <w:rsid w:val="00514039"/>
    <w:rsid w:val="00514113"/>
    <w:rsid w:val="005141A0"/>
    <w:rsid w:val="005143AD"/>
    <w:rsid w:val="00514414"/>
    <w:rsid w:val="005144A7"/>
    <w:rsid w:val="00514584"/>
    <w:rsid w:val="005146C0"/>
    <w:rsid w:val="00514BBB"/>
    <w:rsid w:val="00514C3B"/>
    <w:rsid w:val="00514D39"/>
    <w:rsid w:val="00515660"/>
    <w:rsid w:val="00515679"/>
    <w:rsid w:val="00515884"/>
    <w:rsid w:val="00515945"/>
    <w:rsid w:val="00515A8A"/>
    <w:rsid w:val="00515C9E"/>
    <w:rsid w:val="00515D4E"/>
    <w:rsid w:val="00515FA0"/>
    <w:rsid w:val="005160A3"/>
    <w:rsid w:val="00516142"/>
    <w:rsid w:val="0051641A"/>
    <w:rsid w:val="005165F6"/>
    <w:rsid w:val="00516748"/>
    <w:rsid w:val="00516A5D"/>
    <w:rsid w:val="00516C65"/>
    <w:rsid w:val="00516F3F"/>
    <w:rsid w:val="0051702B"/>
    <w:rsid w:val="00517282"/>
    <w:rsid w:val="0051754A"/>
    <w:rsid w:val="00517719"/>
    <w:rsid w:val="00517849"/>
    <w:rsid w:val="00517BB0"/>
    <w:rsid w:val="00517BB6"/>
    <w:rsid w:val="00517EE4"/>
    <w:rsid w:val="005200BF"/>
    <w:rsid w:val="005201EC"/>
    <w:rsid w:val="00520393"/>
    <w:rsid w:val="0052042A"/>
    <w:rsid w:val="00520702"/>
    <w:rsid w:val="0052070E"/>
    <w:rsid w:val="00520733"/>
    <w:rsid w:val="005207B7"/>
    <w:rsid w:val="005209AF"/>
    <w:rsid w:val="005211F4"/>
    <w:rsid w:val="00521210"/>
    <w:rsid w:val="0052145E"/>
    <w:rsid w:val="00521469"/>
    <w:rsid w:val="00521886"/>
    <w:rsid w:val="00521E6C"/>
    <w:rsid w:val="00521EA7"/>
    <w:rsid w:val="00521F08"/>
    <w:rsid w:val="00522381"/>
    <w:rsid w:val="00522418"/>
    <w:rsid w:val="0052250F"/>
    <w:rsid w:val="005225A3"/>
    <w:rsid w:val="005225A6"/>
    <w:rsid w:val="005226E5"/>
    <w:rsid w:val="0052275C"/>
    <w:rsid w:val="00522C47"/>
    <w:rsid w:val="00522DBE"/>
    <w:rsid w:val="00522FA8"/>
    <w:rsid w:val="0052310B"/>
    <w:rsid w:val="005231F9"/>
    <w:rsid w:val="00523216"/>
    <w:rsid w:val="005238CD"/>
    <w:rsid w:val="00523A77"/>
    <w:rsid w:val="005241E9"/>
    <w:rsid w:val="00524276"/>
    <w:rsid w:val="005242D7"/>
    <w:rsid w:val="00524930"/>
    <w:rsid w:val="00524C22"/>
    <w:rsid w:val="00524C91"/>
    <w:rsid w:val="00524E42"/>
    <w:rsid w:val="00524E4B"/>
    <w:rsid w:val="00524FD2"/>
    <w:rsid w:val="005250DB"/>
    <w:rsid w:val="005251A9"/>
    <w:rsid w:val="005254BF"/>
    <w:rsid w:val="0052561F"/>
    <w:rsid w:val="00525674"/>
    <w:rsid w:val="005256D8"/>
    <w:rsid w:val="00525929"/>
    <w:rsid w:val="005259EF"/>
    <w:rsid w:val="00525B38"/>
    <w:rsid w:val="00525BFD"/>
    <w:rsid w:val="00525E5A"/>
    <w:rsid w:val="00525F31"/>
    <w:rsid w:val="00525F41"/>
    <w:rsid w:val="00525F64"/>
    <w:rsid w:val="005261E1"/>
    <w:rsid w:val="0052655A"/>
    <w:rsid w:val="005265CB"/>
    <w:rsid w:val="005268B5"/>
    <w:rsid w:val="005269C1"/>
    <w:rsid w:val="00526B0D"/>
    <w:rsid w:val="00526C1B"/>
    <w:rsid w:val="00526D0D"/>
    <w:rsid w:val="00527191"/>
    <w:rsid w:val="00527710"/>
    <w:rsid w:val="00527740"/>
    <w:rsid w:val="0052780D"/>
    <w:rsid w:val="00527971"/>
    <w:rsid w:val="0053017D"/>
    <w:rsid w:val="005301FA"/>
    <w:rsid w:val="00530287"/>
    <w:rsid w:val="00530417"/>
    <w:rsid w:val="0053092A"/>
    <w:rsid w:val="00530A3B"/>
    <w:rsid w:val="00530CEB"/>
    <w:rsid w:val="00530DEF"/>
    <w:rsid w:val="005310CA"/>
    <w:rsid w:val="005313E9"/>
    <w:rsid w:val="0053145A"/>
    <w:rsid w:val="005315CF"/>
    <w:rsid w:val="005317B8"/>
    <w:rsid w:val="00531A21"/>
    <w:rsid w:val="00531AE6"/>
    <w:rsid w:val="00531CA2"/>
    <w:rsid w:val="00531D0A"/>
    <w:rsid w:val="00531F19"/>
    <w:rsid w:val="005325BF"/>
    <w:rsid w:val="0053278F"/>
    <w:rsid w:val="00532AFA"/>
    <w:rsid w:val="00533020"/>
    <w:rsid w:val="00533290"/>
    <w:rsid w:val="0053340B"/>
    <w:rsid w:val="00533598"/>
    <w:rsid w:val="00533A0D"/>
    <w:rsid w:val="00533D77"/>
    <w:rsid w:val="00533DC5"/>
    <w:rsid w:val="00533DE0"/>
    <w:rsid w:val="005340A5"/>
    <w:rsid w:val="0053421D"/>
    <w:rsid w:val="00534402"/>
    <w:rsid w:val="00534534"/>
    <w:rsid w:val="00534B33"/>
    <w:rsid w:val="00534D48"/>
    <w:rsid w:val="00534D6E"/>
    <w:rsid w:val="00534E8B"/>
    <w:rsid w:val="0053506A"/>
    <w:rsid w:val="00535081"/>
    <w:rsid w:val="0053515B"/>
    <w:rsid w:val="0053566F"/>
    <w:rsid w:val="0053579B"/>
    <w:rsid w:val="005358F1"/>
    <w:rsid w:val="00535CBB"/>
    <w:rsid w:val="00535D33"/>
    <w:rsid w:val="00536037"/>
    <w:rsid w:val="00536220"/>
    <w:rsid w:val="00536C28"/>
    <w:rsid w:val="00536CCF"/>
    <w:rsid w:val="00536ED1"/>
    <w:rsid w:val="005371AF"/>
    <w:rsid w:val="005371D7"/>
    <w:rsid w:val="0053723F"/>
    <w:rsid w:val="00537555"/>
    <w:rsid w:val="00537576"/>
    <w:rsid w:val="0053766C"/>
    <w:rsid w:val="005376E0"/>
    <w:rsid w:val="00537AC2"/>
    <w:rsid w:val="00537D42"/>
    <w:rsid w:val="00537DEF"/>
    <w:rsid w:val="00537E1F"/>
    <w:rsid w:val="00537F89"/>
    <w:rsid w:val="00540052"/>
    <w:rsid w:val="0054009F"/>
    <w:rsid w:val="005403E2"/>
    <w:rsid w:val="00540766"/>
    <w:rsid w:val="005407D9"/>
    <w:rsid w:val="00540A0B"/>
    <w:rsid w:val="00540A9D"/>
    <w:rsid w:val="00540C2A"/>
    <w:rsid w:val="00540F03"/>
    <w:rsid w:val="00540F06"/>
    <w:rsid w:val="00540FD2"/>
    <w:rsid w:val="00541011"/>
    <w:rsid w:val="00541146"/>
    <w:rsid w:val="005413A7"/>
    <w:rsid w:val="00541469"/>
    <w:rsid w:val="00541955"/>
    <w:rsid w:val="00541B3C"/>
    <w:rsid w:val="00541BEC"/>
    <w:rsid w:val="00541C3C"/>
    <w:rsid w:val="00541DA7"/>
    <w:rsid w:val="005421EE"/>
    <w:rsid w:val="0054220D"/>
    <w:rsid w:val="0054233C"/>
    <w:rsid w:val="00542604"/>
    <w:rsid w:val="0054269E"/>
    <w:rsid w:val="005427F8"/>
    <w:rsid w:val="00542966"/>
    <w:rsid w:val="00542A3F"/>
    <w:rsid w:val="00542CB2"/>
    <w:rsid w:val="00542FC6"/>
    <w:rsid w:val="00542FEE"/>
    <w:rsid w:val="0054332F"/>
    <w:rsid w:val="00543729"/>
    <w:rsid w:val="00543737"/>
    <w:rsid w:val="00543835"/>
    <w:rsid w:val="0054398A"/>
    <w:rsid w:val="005439B2"/>
    <w:rsid w:val="005440CE"/>
    <w:rsid w:val="0054415D"/>
    <w:rsid w:val="005445CC"/>
    <w:rsid w:val="00544857"/>
    <w:rsid w:val="005449C8"/>
    <w:rsid w:val="005449DF"/>
    <w:rsid w:val="00544BF5"/>
    <w:rsid w:val="00544F5D"/>
    <w:rsid w:val="0054502C"/>
    <w:rsid w:val="005450E9"/>
    <w:rsid w:val="005453E7"/>
    <w:rsid w:val="00545476"/>
    <w:rsid w:val="00545548"/>
    <w:rsid w:val="00545671"/>
    <w:rsid w:val="00545B62"/>
    <w:rsid w:val="00545BFE"/>
    <w:rsid w:val="00545C6C"/>
    <w:rsid w:val="00545CC3"/>
    <w:rsid w:val="00545E20"/>
    <w:rsid w:val="00545F69"/>
    <w:rsid w:val="0054605F"/>
    <w:rsid w:val="005460F4"/>
    <w:rsid w:val="005461AE"/>
    <w:rsid w:val="005461BC"/>
    <w:rsid w:val="00546249"/>
    <w:rsid w:val="00546410"/>
    <w:rsid w:val="005464B1"/>
    <w:rsid w:val="005464C8"/>
    <w:rsid w:val="00546662"/>
    <w:rsid w:val="005466D3"/>
    <w:rsid w:val="005473BA"/>
    <w:rsid w:val="00547420"/>
    <w:rsid w:val="005475BF"/>
    <w:rsid w:val="005477DC"/>
    <w:rsid w:val="005477FC"/>
    <w:rsid w:val="005479D9"/>
    <w:rsid w:val="00547ABB"/>
    <w:rsid w:val="00547E36"/>
    <w:rsid w:val="00547F76"/>
    <w:rsid w:val="00547FC4"/>
    <w:rsid w:val="00550218"/>
    <w:rsid w:val="00550253"/>
    <w:rsid w:val="00550287"/>
    <w:rsid w:val="005508A7"/>
    <w:rsid w:val="005509C5"/>
    <w:rsid w:val="00550B15"/>
    <w:rsid w:val="00550B62"/>
    <w:rsid w:val="00550D4B"/>
    <w:rsid w:val="00551049"/>
    <w:rsid w:val="0055145B"/>
    <w:rsid w:val="005514E1"/>
    <w:rsid w:val="0055158B"/>
    <w:rsid w:val="00551677"/>
    <w:rsid w:val="0055192A"/>
    <w:rsid w:val="0055194A"/>
    <w:rsid w:val="00551A8A"/>
    <w:rsid w:val="00551B7F"/>
    <w:rsid w:val="00551CB1"/>
    <w:rsid w:val="00551D9B"/>
    <w:rsid w:val="00551E9D"/>
    <w:rsid w:val="00552119"/>
    <w:rsid w:val="005524D7"/>
    <w:rsid w:val="005524FB"/>
    <w:rsid w:val="00552873"/>
    <w:rsid w:val="00552999"/>
    <w:rsid w:val="00552CA8"/>
    <w:rsid w:val="00552CAB"/>
    <w:rsid w:val="00553040"/>
    <w:rsid w:val="00553146"/>
    <w:rsid w:val="0055321D"/>
    <w:rsid w:val="0055330B"/>
    <w:rsid w:val="00553423"/>
    <w:rsid w:val="00553D9C"/>
    <w:rsid w:val="00553E4B"/>
    <w:rsid w:val="0055426D"/>
    <w:rsid w:val="0055478A"/>
    <w:rsid w:val="00554BD1"/>
    <w:rsid w:val="00554D0D"/>
    <w:rsid w:val="00554F3B"/>
    <w:rsid w:val="005558E2"/>
    <w:rsid w:val="00555A82"/>
    <w:rsid w:val="00555B66"/>
    <w:rsid w:val="00555C52"/>
    <w:rsid w:val="00555E49"/>
    <w:rsid w:val="005561AC"/>
    <w:rsid w:val="00556203"/>
    <w:rsid w:val="00556792"/>
    <w:rsid w:val="0055683C"/>
    <w:rsid w:val="005569B7"/>
    <w:rsid w:val="00556D06"/>
    <w:rsid w:val="00557059"/>
    <w:rsid w:val="0055715E"/>
    <w:rsid w:val="005572DA"/>
    <w:rsid w:val="005577BA"/>
    <w:rsid w:val="005577EE"/>
    <w:rsid w:val="00557DEA"/>
    <w:rsid w:val="00557E10"/>
    <w:rsid w:val="00557EB6"/>
    <w:rsid w:val="00557F33"/>
    <w:rsid w:val="0056009B"/>
    <w:rsid w:val="005600B3"/>
    <w:rsid w:val="0056016A"/>
    <w:rsid w:val="00560250"/>
    <w:rsid w:val="0056045F"/>
    <w:rsid w:val="005604C1"/>
    <w:rsid w:val="00560579"/>
    <w:rsid w:val="00560736"/>
    <w:rsid w:val="00560A22"/>
    <w:rsid w:val="00560B38"/>
    <w:rsid w:val="00560E65"/>
    <w:rsid w:val="00561146"/>
    <w:rsid w:val="00561250"/>
    <w:rsid w:val="00561426"/>
    <w:rsid w:val="00561556"/>
    <w:rsid w:val="005616FD"/>
    <w:rsid w:val="005618A9"/>
    <w:rsid w:val="00561A0B"/>
    <w:rsid w:val="005621D2"/>
    <w:rsid w:val="005621FD"/>
    <w:rsid w:val="005622A3"/>
    <w:rsid w:val="00562A6D"/>
    <w:rsid w:val="00562D6B"/>
    <w:rsid w:val="00562DAB"/>
    <w:rsid w:val="00562E8E"/>
    <w:rsid w:val="00562EBB"/>
    <w:rsid w:val="00562FE7"/>
    <w:rsid w:val="00563051"/>
    <w:rsid w:val="005630AC"/>
    <w:rsid w:val="00563207"/>
    <w:rsid w:val="00563375"/>
    <w:rsid w:val="005633DC"/>
    <w:rsid w:val="0056361A"/>
    <w:rsid w:val="005638DC"/>
    <w:rsid w:val="005638EB"/>
    <w:rsid w:val="00563913"/>
    <w:rsid w:val="005639C2"/>
    <w:rsid w:val="00563AD7"/>
    <w:rsid w:val="00563B19"/>
    <w:rsid w:val="00563BDD"/>
    <w:rsid w:val="00563E66"/>
    <w:rsid w:val="00564175"/>
    <w:rsid w:val="00564363"/>
    <w:rsid w:val="0056444E"/>
    <w:rsid w:val="00564474"/>
    <w:rsid w:val="0056452B"/>
    <w:rsid w:val="00564A0F"/>
    <w:rsid w:val="00564C73"/>
    <w:rsid w:val="00564CD0"/>
    <w:rsid w:val="00564DD3"/>
    <w:rsid w:val="00564EC4"/>
    <w:rsid w:val="00564FC6"/>
    <w:rsid w:val="0056544D"/>
    <w:rsid w:val="00565555"/>
    <w:rsid w:val="005657B8"/>
    <w:rsid w:val="00565836"/>
    <w:rsid w:val="00565965"/>
    <w:rsid w:val="005659E0"/>
    <w:rsid w:val="00565B34"/>
    <w:rsid w:val="00565DF1"/>
    <w:rsid w:val="0056613F"/>
    <w:rsid w:val="0056618F"/>
    <w:rsid w:val="005661E0"/>
    <w:rsid w:val="005662E0"/>
    <w:rsid w:val="00566537"/>
    <w:rsid w:val="00566A1F"/>
    <w:rsid w:val="00566A69"/>
    <w:rsid w:val="00566AE2"/>
    <w:rsid w:val="00566CCC"/>
    <w:rsid w:val="00566D0E"/>
    <w:rsid w:val="00566D1C"/>
    <w:rsid w:val="00566EB4"/>
    <w:rsid w:val="00566F9D"/>
    <w:rsid w:val="0056720E"/>
    <w:rsid w:val="005676F6"/>
    <w:rsid w:val="00567859"/>
    <w:rsid w:val="0056787E"/>
    <w:rsid w:val="00567B94"/>
    <w:rsid w:val="00567BBB"/>
    <w:rsid w:val="00567D71"/>
    <w:rsid w:val="00567E18"/>
    <w:rsid w:val="00567E89"/>
    <w:rsid w:val="0057010E"/>
    <w:rsid w:val="00570331"/>
    <w:rsid w:val="00570370"/>
    <w:rsid w:val="0057043C"/>
    <w:rsid w:val="005705B7"/>
    <w:rsid w:val="005707A8"/>
    <w:rsid w:val="0057097A"/>
    <w:rsid w:val="00570A50"/>
    <w:rsid w:val="00570C17"/>
    <w:rsid w:val="00570C9D"/>
    <w:rsid w:val="00570CCC"/>
    <w:rsid w:val="00570F0D"/>
    <w:rsid w:val="00570F6E"/>
    <w:rsid w:val="0057104D"/>
    <w:rsid w:val="0057167C"/>
    <w:rsid w:val="005719E2"/>
    <w:rsid w:val="005719EB"/>
    <w:rsid w:val="00571EF1"/>
    <w:rsid w:val="00571F3E"/>
    <w:rsid w:val="005721A5"/>
    <w:rsid w:val="005721BB"/>
    <w:rsid w:val="005722D1"/>
    <w:rsid w:val="005722EB"/>
    <w:rsid w:val="00572ABB"/>
    <w:rsid w:val="00572CBA"/>
    <w:rsid w:val="00572CC2"/>
    <w:rsid w:val="00572CF0"/>
    <w:rsid w:val="00572F4A"/>
    <w:rsid w:val="005730F8"/>
    <w:rsid w:val="00573743"/>
    <w:rsid w:val="0057398E"/>
    <w:rsid w:val="00573D3B"/>
    <w:rsid w:val="00573F20"/>
    <w:rsid w:val="0057405D"/>
    <w:rsid w:val="005741AD"/>
    <w:rsid w:val="00574337"/>
    <w:rsid w:val="0057437A"/>
    <w:rsid w:val="0057471E"/>
    <w:rsid w:val="00574E57"/>
    <w:rsid w:val="00575044"/>
    <w:rsid w:val="005753DC"/>
    <w:rsid w:val="0057548A"/>
    <w:rsid w:val="0057557B"/>
    <w:rsid w:val="00575801"/>
    <w:rsid w:val="00575AB7"/>
    <w:rsid w:val="00575B23"/>
    <w:rsid w:val="00575CDC"/>
    <w:rsid w:val="0057601A"/>
    <w:rsid w:val="00576239"/>
    <w:rsid w:val="005765CD"/>
    <w:rsid w:val="0057696C"/>
    <w:rsid w:val="005769BC"/>
    <w:rsid w:val="005769CE"/>
    <w:rsid w:val="00576CAA"/>
    <w:rsid w:val="005772F5"/>
    <w:rsid w:val="005773BC"/>
    <w:rsid w:val="0057751F"/>
    <w:rsid w:val="00577A68"/>
    <w:rsid w:val="00577ACC"/>
    <w:rsid w:val="00577B2D"/>
    <w:rsid w:val="00577BA1"/>
    <w:rsid w:val="00577BC9"/>
    <w:rsid w:val="00577F16"/>
    <w:rsid w:val="005800E8"/>
    <w:rsid w:val="005803A8"/>
    <w:rsid w:val="0058045D"/>
    <w:rsid w:val="00580616"/>
    <w:rsid w:val="005807CF"/>
    <w:rsid w:val="00580C05"/>
    <w:rsid w:val="00580D3B"/>
    <w:rsid w:val="00580D6C"/>
    <w:rsid w:val="00580E38"/>
    <w:rsid w:val="00580F74"/>
    <w:rsid w:val="00581225"/>
    <w:rsid w:val="005816AF"/>
    <w:rsid w:val="00581934"/>
    <w:rsid w:val="00581999"/>
    <w:rsid w:val="00581B65"/>
    <w:rsid w:val="00581BF0"/>
    <w:rsid w:val="00581CF6"/>
    <w:rsid w:val="00582155"/>
    <w:rsid w:val="0058227A"/>
    <w:rsid w:val="005822B8"/>
    <w:rsid w:val="005823E3"/>
    <w:rsid w:val="00582553"/>
    <w:rsid w:val="0058282C"/>
    <w:rsid w:val="00582E30"/>
    <w:rsid w:val="00583648"/>
    <w:rsid w:val="0058369D"/>
    <w:rsid w:val="00583771"/>
    <w:rsid w:val="00583934"/>
    <w:rsid w:val="00583C50"/>
    <w:rsid w:val="00583D8A"/>
    <w:rsid w:val="0058422F"/>
    <w:rsid w:val="0058435A"/>
    <w:rsid w:val="00584366"/>
    <w:rsid w:val="005843F3"/>
    <w:rsid w:val="00584410"/>
    <w:rsid w:val="005844F6"/>
    <w:rsid w:val="00584704"/>
    <w:rsid w:val="005851D9"/>
    <w:rsid w:val="00585487"/>
    <w:rsid w:val="00585C2D"/>
    <w:rsid w:val="005860B6"/>
    <w:rsid w:val="005860C3"/>
    <w:rsid w:val="00586204"/>
    <w:rsid w:val="0058641E"/>
    <w:rsid w:val="00586579"/>
    <w:rsid w:val="005865D8"/>
    <w:rsid w:val="005867BF"/>
    <w:rsid w:val="00586870"/>
    <w:rsid w:val="00586AFA"/>
    <w:rsid w:val="00586B70"/>
    <w:rsid w:val="00587155"/>
    <w:rsid w:val="005874AB"/>
    <w:rsid w:val="00587781"/>
    <w:rsid w:val="00587987"/>
    <w:rsid w:val="005879D2"/>
    <w:rsid w:val="00587A1A"/>
    <w:rsid w:val="00587B37"/>
    <w:rsid w:val="0059073C"/>
    <w:rsid w:val="005907C5"/>
    <w:rsid w:val="005907EE"/>
    <w:rsid w:val="00590B6B"/>
    <w:rsid w:val="00590F11"/>
    <w:rsid w:val="00591021"/>
    <w:rsid w:val="00591128"/>
    <w:rsid w:val="005912BD"/>
    <w:rsid w:val="0059146A"/>
    <w:rsid w:val="005914AA"/>
    <w:rsid w:val="00591B64"/>
    <w:rsid w:val="00592082"/>
    <w:rsid w:val="005924F8"/>
    <w:rsid w:val="0059269E"/>
    <w:rsid w:val="00592D92"/>
    <w:rsid w:val="00592E1E"/>
    <w:rsid w:val="00593331"/>
    <w:rsid w:val="0059344A"/>
    <w:rsid w:val="00593573"/>
    <w:rsid w:val="00593667"/>
    <w:rsid w:val="00593735"/>
    <w:rsid w:val="0059375C"/>
    <w:rsid w:val="00593AA9"/>
    <w:rsid w:val="0059436C"/>
    <w:rsid w:val="0059456D"/>
    <w:rsid w:val="0059490C"/>
    <w:rsid w:val="00594AE0"/>
    <w:rsid w:val="00594C08"/>
    <w:rsid w:val="00594C1A"/>
    <w:rsid w:val="0059519B"/>
    <w:rsid w:val="0059531E"/>
    <w:rsid w:val="005953B8"/>
    <w:rsid w:val="0059552E"/>
    <w:rsid w:val="00595765"/>
    <w:rsid w:val="005957B2"/>
    <w:rsid w:val="005957E0"/>
    <w:rsid w:val="0059599D"/>
    <w:rsid w:val="00595C5B"/>
    <w:rsid w:val="00595E18"/>
    <w:rsid w:val="0059643B"/>
    <w:rsid w:val="0059654B"/>
    <w:rsid w:val="005965D3"/>
    <w:rsid w:val="005966BE"/>
    <w:rsid w:val="00596966"/>
    <w:rsid w:val="00596A22"/>
    <w:rsid w:val="00596AD8"/>
    <w:rsid w:val="00596CCA"/>
    <w:rsid w:val="00596D4A"/>
    <w:rsid w:val="00596DC9"/>
    <w:rsid w:val="00596E82"/>
    <w:rsid w:val="00596EB5"/>
    <w:rsid w:val="0059707F"/>
    <w:rsid w:val="00597583"/>
    <w:rsid w:val="005975E5"/>
    <w:rsid w:val="0059760F"/>
    <w:rsid w:val="0059769D"/>
    <w:rsid w:val="00597884"/>
    <w:rsid w:val="005979ED"/>
    <w:rsid w:val="005A0230"/>
    <w:rsid w:val="005A03DF"/>
    <w:rsid w:val="005A0557"/>
    <w:rsid w:val="005A05AA"/>
    <w:rsid w:val="005A0806"/>
    <w:rsid w:val="005A0955"/>
    <w:rsid w:val="005A0DFC"/>
    <w:rsid w:val="005A0E4F"/>
    <w:rsid w:val="005A0E98"/>
    <w:rsid w:val="005A0F59"/>
    <w:rsid w:val="005A134C"/>
    <w:rsid w:val="005A1611"/>
    <w:rsid w:val="005A1E27"/>
    <w:rsid w:val="005A1E3D"/>
    <w:rsid w:val="005A2290"/>
    <w:rsid w:val="005A2372"/>
    <w:rsid w:val="005A242C"/>
    <w:rsid w:val="005A279E"/>
    <w:rsid w:val="005A2BB7"/>
    <w:rsid w:val="005A2BEA"/>
    <w:rsid w:val="005A2C8B"/>
    <w:rsid w:val="005A2FE0"/>
    <w:rsid w:val="005A3314"/>
    <w:rsid w:val="005A33DD"/>
    <w:rsid w:val="005A3401"/>
    <w:rsid w:val="005A34FA"/>
    <w:rsid w:val="005A3693"/>
    <w:rsid w:val="005A37A0"/>
    <w:rsid w:val="005A3922"/>
    <w:rsid w:val="005A39FC"/>
    <w:rsid w:val="005A3ADB"/>
    <w:rsid w:val="005A3BB2"/>
    <w:rsid w:val="005A3BE4"/>
    <w:rsid w:val="005A43D4"/>
    <w:rsid w:val="005A45C9"/>
    <w:rsid w:val="005A47B0"/>
    <w:rsid w:val="005A488E"/>
    <w:rsid w:val="005A4912"/>
    <w:rsid w:val="005A49FB"/>
    <w:rsid w:val="005A4B78"/>
    <w:rsid w:val="005A4BE6"/>
    <w:rsid w:val="005A4CC5"/>
    <w:rsid w:val="005A5324"/>
    <w:rsid w:val="005A56FD"/>
    <w:rsid w:val="005A5B2B"/>
    <w:rsid w:val="005A5CD7"/>
    <w:rsid w:val="005A614E"/>
    <w:rsid w:val="005A6558"/>
    <w:rsid w:val="005A657C"/>
    <w:rsid w:val="005A67B5"/>
    <w:rsid w:val="005A67F7"/>
    <w:rsid w:val="005A69C5"/>
    <w:rsid w:val="005A6A5E"/>
    <w:rsid w:val="005A70A3"/>
    <w:rsid w:val="005A70CD"/>
    <w:rsid w:val="005A71F7"/>
    <w:rsid w:val="005A74EB"/>
    <w:rsid w:val="005A7811"/>
    <w:rsid w:val="005A7882"/>
    <w:rsid w:val="005A794F"/>
    <w:rsid w:val="005A7EAD"/>
    <w:rsid w:val="005B0056"/>
    <w:rsid w:val="005B0145"/>
    <w:rsid w:val="005B0187"/>
    <w:rsid w:val="005B037F"/>
    <w:rsid w:val="005B04B0"/>
    <w:rsid w:val="005B076B"/>
    <w:rsid w:val="005B08F4"/>
    <w:rsid w:val="005B0961"/>
    <w:rsid w:val="005B0D56"/>
    <w:rsid w:val="005B0F31"/>
    <w:rsid w:val="005B0F67"/>
    <w:rsid w:val="005B100D"/>
    <w:rsid w:val="005B1052"/>
    <w:rsid w:val="005B14E5"/>
    <w:rsid w:val="005B17E7"/>
    <w:rsid w:val="005B1986"/>
    <w:rsid w:val="005B1B83"/>
    <w:rsid w:val="005B1D2C"/>
    <w:rsid w:val="005B1DE1"/>
    <w:rsid w:val="005B1FE0"/>
    <w:rsid w:val="005B20E3"/>
    <w:rsid w:val="005B2161"/>
    <w:rsid w:val="005B2258"/>
    <w:rsid w:val="005B231E"/>
    <w:rsid w:val="005B235D"/>
    <w:rsid w:val="005B25DA"/>
    <w:rsid w:val="005B2987"/>
    <w:rsid w:val="005B2E1A"/>
    <w:rsid w:val="005B3053"/>
    <w:rsid w:val="005B314F"/>
    <w:rsid w:val="005B3564"/>
    <w:rsid w:val="005B3646"/>
    <w:rsid w:val="005B380F"/>
    <w:rsid w:val="005B3834"/>
    <w:rsid w:val="005B399B"/>
    <w:rsid w:val="005B3A41"/>
    <w:rsid w:val="005B3BCC"/>
    <w:rsid w:val="005B3D89"/>
    <w:rsid w:val="005B3FBA"/>
    <w:rsid w:val="005B4571"/>
    <w:rsid w:val="005B4B6D"/>
    <w:rsid w:val="005B4BE7"/>
    <w:rsid w:val="005B4C57"/>
    <w:rsid w:val="005B4DDD"/>
    <w:rsid w:val="005B4DF1"/>
    <w:rsid w:val="005B4E2D"/>
    <w:rsid w:val="005B4E41"/>
    <w:rsid w:val="005B51AB"/>
    <w:rsid w:val="005B57B8"/>
    <w:rsid w:val="005B5C8C"/>
    <w:rsid w:val="005B5E26"/>
    <w:rsid w:val="005B5F61"/>
    <w:rsid w:val="005B661D"/>
    <w:rsid w:val="005B6632"/>
    <w:rsid w:val="005B6AFB"/>
    <w:rsid w:val="005B6E14"/>
    <w:rsid w:val="005B71D8"/>
    <w:rsid w:val="005B7284"/>
    <w:rsid w:val="005B76EA"/>
    <w:rsid w:val="005B7E72"/>
    <w:rsid w:val="005C04AA"/>
    <w:rsid w:val="005C050A"/>
    <w:rsid w:val="005C06A4"/>
    <w:rsid w:val="005C0736"/>
    <w:rsid w:val="005C092C"/>
    <w:rsid w:val="005C1239"/>
    <w:rsid w:val="005C1346"/>
    <w:rsid w:val="005C1444"/>
    <w:rsid w:val="005C16B6"/>
    <w:rsid w:val="005C1A27"/>
    <w:rsid w:val="005C1D32"/>
    <w:rsid w:val="005C1D75"/>
    <w:rsid w:val="005C1EC8"/>
    <w:rsid w:val="005C2372"/>
    <w:rsid w:val="005C24D6"/>
    <w:rsid w:val="005C3245"/>
    <w:rsid w:val="005C3266"/>
    <w:rsid w:val="005C35CA"/>
    <w:rsid w:val="005C3968"/>
    <w:rsid w:val="005C3BA8"/>
    <w:rsid w:val="005C40DC"/>
    <w:rsid w:val="005C40F1"/>
    <w:rsid w:val="005C44AF"/>
    <w:rsid w:val="005C4682"/>
    <w:rsid w:val="005C4920"/>
    <w:rsid w:val="005C4C28"/>
    <w:rsid w:val="005C4C6B"/>
    <w:rsid w:val="005C4DB6"/>
    <w:rsid w:val="005C4DFD"/>
    <w:rsid w:val="005C5557"/>
    <w:rsid w:val="005C589C"/>
    <w:rsid w:val="005C58C6"/>
    <w:rsid w:val="005C5A94"/>
    <w:rsid w:val="005C5D43"/>
    <w:rsid w:val="005C5E70"/>
    <w:rsid w:val="005C5E91"/>
    <w:rsid w:val="005C5F3D"/>
    <w:rsid w:val="005C6091"/>
    <w:rsid w:val="005C61FC"/>
    <w:rsid w:val="005C65BA"/>
    <w:rsid w:val="005C6BEC"/>
    <w:rsid w:val="005C6E26"/>
    <w:rsid w:val="005C6E9A"/>
    <w:rsid w:val="005C6F22"/>
    <w:rsid w:val="005C70EA"/>
    <w:rsid w:val="005C71CD"/>
    <w:rsid w:val="005C7242"/>
    <w:rsid w:val="005C72BF"/>
    <w:rsid w:val="005C7311"/>
    <w:rsid w:val="005C737D"/>
    <w:rsid w:val="005C76AA"/>
    <w:rsid w:val="005C771D"/>
    <w:rsid w:val="005C77E5"/>
    <w:rsid w:val="005C79AD"/>
    <w:rsid w:val="005C7A9D"/>
    <w:rsid w:val="005C7D58"/>
    <w:rsid w:val="005D0073"/>
    <w:rsid w:val="005D00DA"/>
    <w:rsid w:val="005D0799"/>
    <w:rsid w:val="005D087C"/>
    <w:rsid w:val="005D0B78"/>
    <w:rsid w:val="005D0C9F"/>
    <w:rsid w:val="005D0CA7"/>
    <w:rsid w:val="005D0CEA"/>
    <w:rsid w:val="005D0D14"/>
    <w:rsid w:val="005D0DE8"/>
    <w:rsid w:val="005D0F4E"/>
    <w:rsid w:val="005D118B"/>
    <w:rsid w:val="005D1194"/>
    <w:rsid w:val="005D11E6"/>
    <w:rsid w:val="005D1549"/>
    <w:rsid w:val="005D15F9"/>
    <w:rsid w:val="005D165F"/>
    <w:rsid w:val="005D17B1"/>
    <w:rsid w:val="005D18F4"/>
    <w:rsid w:val="005D1AD4"/>
    <w:rsid w:val="005D1C3B"/>
    <w:rsid w:val="005D1D12"/>
    <w:rsid w:val="005D1D98"/>
    <w:rsid w:val="005D1EAC"/>
    <w:rsid w:val="005D22B7"/>
    <w:rsid w:val="005D2316"/>
    <w:rsid w:val="005D255C"/>
    <w:rsid w:val="005D2647"/>
    <w:rsid w:val="005D29EA"/>
    <w:rsid w:val="005D2A1E"/>
    <w:rsid w:val="005D2CF5"/>
    <w:rsid w:val="005D2E16"/>
    <w:rsid w:val="005D3109"/>
    <w:rsid w:val="005D319E"/>
    <w:rsid w:val="005D3259"/>
    <w:rsid w:val="005D38BF"/>
    <w:rsid w:val="005D3B2C"/>
    <w:rsid w:val="005D3C0F"/>
    <w:rsid w:val="005D3DDD"/>
    <w:rsid w:val="005D40FB"/>
    <w:rsid w:val="005D41AE"/>
    <w:rsid w:val="005D41E4"/>
    <w:rsid w:val="005D43C6"/>
    <w:rsid w:val="005D43EC"/>
    <w:rsid w:val="005D4467"/>
    <w:rsid w:val="005D455E"/>
    <w:rsid w:val="005D4678"/>
    <w:rsid w:val="005D46F7"/>
    <w:rsid w:val="005D47B7"/>
    <w:rsid w:val="005D48A8"/>
    <w:rsid w:val="005D48FC"/>
    <w:rsid w:val="005D4AE0"/>
    <w:rsid w:val="005D4CCD"/>
    <w:rsid w:val="005D4D1C"/>
    <w:rsid w:val="005D4EE8"/>
    <w:rsid w:val="005D4F5F"/>
    <w:rsid w:val="005D519B"/>
    <w:rsid w:val="005D51DA"/>
    <w:rsid w:val="005D52FE"/>
    <w:rsid w:val="005D569A"/>
    <w:rsid w:val="005D56B8"/>
    <w:rsid w:val="005D5897"/>
    <w:rsid w:val="005D5C6B"/>
    <w:rsid w:val="005D5D7F"/>
    <w:rsid w:val="005D5D89"/>
    <w:rsid w:val="005D5F1A"/>
    <w:rsid w:val="005D6476"/>
    <w:rsid w:val="005D64FE"/>
    <w:rsid w:val="005D658E"/>
    <w:rsid w:val="005D6A77"/>
    <w:rsid w:val="005D6F53"/>
    <w:rsid w:val="005D7016"/>
    <w:rsid w:val="005D7147"/>
    <w:rsid w:val="005D7854"/>
    <w:rsid w:val="005D796B"/>
    <w:rsid w:val="005D7BE7"/>
    <w:rsid w:val="005D7F38"/>
    <w:rsid w:val="005E0138"/>
    <w:rsid w:val="005E0244"/>
    <w:rsid w:val="005E02A7"/>
    <w:rsid w:val="005E0403"/>
    <w:rsid w:val="005E0734"/>
    <w:rsid w:val="005E084D"/>
    <w:rsid w:val="005E09DB"/>
    <w:rsid w:val="005E0F59"/>
    <w:rsid w:val="005E0FB1"/>
    <w:rsid w:val="005E0FF3"/>
    <w:rsid w:val="005E11D6"/>
    <w:rsid w:val="005E1335"/>
    <w:rsid w:val="005E1339"/>
    <w:rsid w:val="005E161B"/>
    <w:rsid w:val="005E18B5"/>
    <w:rsid w:val="005E1AA1"/>
    <w:rsid w:val="005E1AA8"/>
    <w:rsid w:val="005E1B85"/>
    <w:rsid w:val="005E1DAC"/>
    <w:rsid w:val="005E1EBF"/>
    <w:rsid w:val="005E204B"/>
    <w:rsid w:val="005E2269"/>
    <w:rsid w:val="005E24FA"/>
    <w:rsid w:val="005E267B"/>
    <w:rsid w:val="005E2A84"/>
    <w:rsid w:val="005E2B1C"/>
    <w:rsid w:val="005E2CA5"/>
    <w:rsid w:val="005E333E"/>
    <w:rsid w:val="005E34A2"/>
    <w:rsid w:val="005E3762"/>
    <w:rsid w:val="005E3850"/>
    <w:rsid w:val="005E3885"/>
    <w:rsid w:val="005E3944"/>
    <w:rsid w:val="005E3955"/>
    <w:rsid w:val="005E39F4"/>
    <w:rsid w:val="005E3E1A"/>
    <w:rsid w:val="005E4440"/>
    <w:rsid w:val="005E45BA"/>
    <w:rsid w:val="005E45E6"/>
    <w:rsid w:val="005E45FF"/>
    <w:rsid w:val="005E4A45"/>
    <w:rsid w:val="005E4DB6"/>
    <w:rsid w:val="005E4E76"/>
    <w:rsid w:val="005E4ED1"/>
    <w:rsid w:val="005E5172"/>
    <w:rsid w:val="005E5741"/>
    <w:rsid w:val="005E59C4"/>
    <w:rsid w:val="005E5B80"/>
    <w:rsid w:val="005E5C54"/>
    <w:rsid w:val="005E5C9F"/>
    <w:rsid w:val="005E6106"/>
    <w:rsid w:val="005E6111"/>
    <w:rsid w:val="005E6176"/>
    <w:rsid w:val="005E6217"/>
    <w:rsid w:val="005E622E"/>
    <w:rsid w:val="005E638F"/>
    <w:rsid w:val="005E669E"/>
    <w:rsid w:val="005E6F94"/>
    <w:rsid w:val="005E7006"/>
    <w:rsid w:val="005E7650"/>
    <w:rsid w:val="005E7F18"/>
    <w:rsid w:val="005E7F1A"/>
    <w:rsid w:val="005E7F2A"/>
    <w:rsid w:val="005E7FF7"/>
    <w:rsid w:val="005E7FFB"/>
    <w:rsid w:val="005F052A"/>
    <w:rsid w:val="005F054D"/>
    <w:rsid w:val="005F0653"/>
    <w:rsid w:val="005F0752"/>
    <w:rsid w:val="005F078A"/>
    <w:rsid w:val="005F086E"/>
    <w:rsid w:val="005F0E1C"/>
    <w:rsid w:val="005F0F92"/>
    <w:rsid w:val="005F12B8"/>
    <w:rsid w:val="005F14FE"/>
    <w:rsid w:val="005F1DB1"/>
    <w:rsid w:val="005F1FD0"/>
    <w:rsid w:val="005F20BB"/>
    <w:rsid w:val="005F2173"/>
    <w:rsid w:val="005F21F9"/>
    <w:rsid w:val="005F2307"/>
    <w:rsid w:val="005F236F"/>
    <w:rsid w:val="005F2577"/>
    <w:rsid w:val="005F284C"/>
    <w:rsid w:val="005F29A2"/>
    <w:rsid w:val="005F29D4"/>
    <w:rsid w:val="005F2BB6"/>
    <w:rsid w:val="005F2C6C"/>
    <w:rsid w:val="005F2C9F"/>
    <w:rsid w:val="005F2D6D"/>
    <w:rsid w:val="005F3287"/>
    <w:rsid w:val="005F334A"/>
    <w:rsid w:val="005F33B2"/>
    <w:rsid w:val="005F3F7A"/>
    <w:rsid w:val="005F404E"/>
    <w:rsid w:val="005F4243"/>
    <w:rsid w:val="005F4453"/>
    <w:rsid w:val="005F46FD"/>
    <w:rsid w:val="005F4722"/>
    <w:rsid w:val="005F487F"/>
    <w:rsid w:val="005F4C41"/>
    <w:rsid w:val="005F5369"/>
    <w:rsid w:val="005F5593"/>
    <w:rsid w:val="005F569F"/>
    <w:rsid w:val="005F5756"/>
    <w:rsid w:val="005F5777"/>
    <w:rsid w:val="005F5791"/>
    <w:rsid w:val="005F5A87"/>
    <w:rsid w:val="005F5B1E"/>
    <w:rsid w:val="005F5B8A"/>
    <w:rsid w:val="005F5BB4"/>
    <w:rsid w:val="005F65E5"/>
    <w:rsid w:val="005F6766"/>
    <w:rsid w:val="005F6805"/>
    <w:rsid w:val="005F6869"/>
    <w:rsid w:val="005F6B1E"/>
    <w:rsid w:val="005F6B2C"/>
    <w:rsid w:val="005F6B4D"/>
    <w:rsid w:val="005F6EB3"/>
    <w:rsid w:val="005F745F"/>
    <w:rsid w:val="005F76FA"/>
    <w:rsid w:val="005F79A9"/>
    <w:rsid w:val="005F7AFE"/>
    <w:rsid w:val="005F7CE5"/>
    <w:rsid w:val="0060030B"/>
    <w:rsid w:val="00600852"/>
    <w:rsid w:val="006008B9"/>
    <w:rsid w:val="006010C1"/>
    <w:rsid w:val="006011F4"/>
    <w:rsid w:val="00601235"/>
    <w:rsid w:val="00601828"/>
    <w:rsid w:val="00601988"/>
    <w:rsid w:val="00601D27"/>
    <w:rsid w:val="00601E8C"/>
    <w:rsid w:val="0060209B"/>
    <w:rsid w:val="006022B1"/>
    <w:rsid w:val="006022E2"/>
    <w:rsid w:val="006024C9"/>
    <w:rsid w:val="006027BF"/>
    <w:rsid w:val="006028F3"/>
    <w:rsid w:val="00602988"/>
    <w:rsid w:val="00602CAE"/>
    <w:rsid w:val="00602E2A"/>
    <w:rsid w:val="00602E43"/>
    <w:rsid w:val="00602F6D"/>
    <w:rsid w:val="006031C1"/>
    <w:rsid w:val="00603383"/>
    <w:rsid w:val="0060346A"/>
    <w:rsid w:val="00603587"/>
    <w:rsid w:val="006036A0"/>
    <w:rsid w:val="006038EF"/>
    <w:rsid w:val="00603A13"/>
    <w:rsid w:val="00603C0A"/>
    <w:rsid w:val="00603C22"/>
    <w:rsid w:val="00603E1E"/>
    <w:rsid w:val="00604223"/>
    <w:rsid w:val="00604246"/>
    <w:rsid w:val="006042E0"/>
    <w:rsid w:val="006043EE"/>
    <w:rsid w:val="006044BA"/>
    <w:rsid w:val="00604799"/>
    <w:rsid w:val="00604B0B"/>
    <w:rsid w:val="00604DD0"/>
    <w:rsid w:val="00605021"/>
    <w:rsid w:val="006051A2"/>
    <w:rsid w:val="00605294"/>
    <w:rsid w:val="00605C00"/>
    <w:rsid w:val="00605C97"/>
    <w:rsid w:val="00605DE0"/>
    <w:rsid w:val="00605E42"/>
    <w:rsid w:val="00605F4A"/>
    <w:rsid w:val="006064C5"/>
    <w:rsid w:val="006064F6"/>
    <w:rsid w:val="00606533"/>
    <w:rsid w:val="00606A9B"/>
    <w:rsid w:val="00607185"/>
    <w:rsid w:val="00607248"/>
    <w:rsid w:val="00607265"/>
    <w:rsid w:val="0060745C"/>
    <w:rsid w:val="00607615"/>
    <w:rsid w:val="00607C0E"/>
    <w:rsid w:val="00607CE9"/>
    <w:rsid w:val="00607FBD"/>
    <w:rsid w:val="00607FEC"/>
    <w:rsid w:val="00610106"/>
    <w:rsid w:val="00610192"/>
    <w:rsid w:val="00610229"/>
    <w:rsid w:val="00610244"/>
    <w:rsid w:val="0061040D"/>
    <w:rsid w:val="00610497"/>
    <w:rsid w:val="00610532"/>
    <w:rsid w:val="006107F7"/>
    <w:rsid w:val="0061097B"/>
    <w:rsid w:val="00610EE1"/>
    <w:rsid w:val="00611124"/>
    <w:rsid w:val="006112A5"/>
    <w:rsid w:val="0061150B"/>
    <w:rsid w:val="0061192D"/>
    <w:rsid w:val="00611A1F"/>
    <w:rsid w:val="00611B5C"/>
    <w:rsid w:val="00612171"/>
    <w:rsid w:val="006121CA"/>
    <w:rsid w:val="00612220"/>
    <w:rsid w:val="00612361"/>
    <w:rsid w:val="006123BE"/>
    <w:rsid w:val="0061257E"/>
    <w:rsid w:val="006126D5"/>
    <w:rsid w:val="006129E1"/>
    <w:rsid w:val="00612E06"/>
    <w:rsid w:val="00612E5B"/>
    <w:rsid w:val="0061330D"/>
    <w:rsid w:val="0061335D"/>
    <w:rsid w:val="00613370"/>
    <w:rsid w:val="0061351C"/>
    <w:rsid w:val="0061391E"/>
    <w:rsid w:val="00613978"/>
    <w:rsid w:val="00613D0C"/>
    <w:rsid w:val="00613E0C"/>
    <w:rsid w:val="00613EF3"/>
    <w:rsid w:val="0061430B"/>
    <w:rsid w:val="00614864"/>
    <w:rsid w:val="006149F9"/>
    <w:rsid w:val="00614C10"/>
    <w:rsid w:val="006150A0"/>
    <w:rsid w:val="00615279"/>
    <w:rsid w:val="0061554F"/>
    <w:rsid w:val="006155DA"/>
    <w:rsid w:val="0061574B"/>
    <w:rsid w:val="00615991"/>
    <w:rsid w:val="00615B54"/>
    <w:rsid w:val="00615C91"/>
    <w:rsid w:val="00615CE2"/>
    <w:rsid w:val="00615F9E"/>
    <w:rsid w:val="00615FCB"/>
    <w:rsid w:val="006163C6"/>
    <w:rsid w:val="00616A83"/>
    <w:rsid w:val="00616B92"/>
    <w:rsid w:val="00616D2E"/>
    <w:rsid w:val="00616E7E"/>
    <w:rsid w:val="00616F02"/>
    <w:rsid w:val="00617020"/>
    <w:rsid w:val="00617127"/>
    <w:rsid w:val="006173DC"/>
    <w:rsid w:val="00617408"/>
    <w:rsid w:val="00617450"/>
    <w:rsid w:val="00617613"/>
    <w:rsid w:val="00617832"/>
    <w:rsid w:val="00617877"/>
    <w:rsid w:val="00617A07"/>
    <w:rsid w:val="00617A16"/>
    <w:rsid w:val="00617E9F"/>
    <w:rsid w:val="00617F96"/>
    <w:rsid w:val="00620117"/>
    <w:rsid w:val="00620222"/>
    <w:rsid w:val="00620335"/>
    <w:rsid w:val="006206DA"/>
    <w:rsid w:val="006207D2"/>
    <w:rsid w:val="00620847"/>
    <w:rsid w:val="00620A36"/>
    <w:rsid w:val="00620BB5"/>
    <w:rsid w:val="00620FE9"/>
    <w:rsid w:val="00621084"/>
    <w:rsid w:val="006211C3"/>
    <w:rsid w:val="0062126A"/>
    <w:rsid w:val="0062137F"/>
    <w:rsid w:val="00621679"/>
    <w:rsid w:val="006219AF"/>
    <w:rsid w:val="00621AC6"/>
    <w:rsid w:val="00621C4C"/>
    <w:rsid w:val="00621F6F"/>
    <w:rsid w:val="00622016"/>
    <w:rsid w:val="006220CC"/>
    <w:rsid w:val="00622493"/>
    <w:rsid w:val="006227D9"/>
    <w:rsid w:val="00622C73"/>
    <w:rsid w:val="006232F3"/>
    <w:rsid w:val="00623653"/>
    <w:rsid w:val="00623846"/>
    <w:rsid w:val="006238FA"/>
    <w:rsid w:val="0062399E"/>
    <w:rsid w:val="006239A3"/>
    <w:rsid w:val="00623CDB"/>
    <w:rsid w:val="00623E50"/>
    <w:rsid w:val="00623FD2"/>
    <w:rsid w:val="00624C41"/>
    <w:rsid w:val="00624C9B"/>
    <w:rsid w:val="00624EA8"/>
    <w:rsid w:val="00625103"/>
    <w:rsid w:val="00625129"/>
    <w:rsid w:val="006251DE"/>
    <w:rsid w:val="00625330"/>
    <w:rsid w:val="0062567C"/>
    <w:rsid w:val="006258AA"/>
    <w:rsid w:val="00625C33"/>
    <w:rsid w:val="00625DE2"/>
    <w:rsid w:val="00625DFF"/>
    <w:rsid w:val="00625E4C"/>
    <w:rsid w:val="00625E67"/>
    <w:rsid w:val="00626053"/>
    <w:rsid w:val="006262DA"/>
    <w:rsid w:val="006263B9"/>
    <w:rsid w:val="00626470"/>
    <w:rsid w:val="0062649F"/>
    <w:rsid w:val="0062667A"/>
    <w:rsid w:val="00626892"/>
    <w:rsid w:val="006268D4"/>
    <w:rsid w:val="00626A97"/>
    <w:rsid w:val="00626B84"/>
    <w:rsid w:val="00626D98"/>
    <w:rsid w:val="00626EA4"/>
    <w:rsid w:val="00627077"/>
    <w:rsid w:val="00627494"/>
    <w:rsid w:val="006274CB"/>
    <w:rsid w:val="006274E1"/>
    <w:rsid w:val="0062785C"/>
    <w:rsid w:val="00627C83"/>
    <w:rsid w:val="00627F33"/>
    <w:rsid w:val="00627F55"/>
    <w:rsid w:val="00630248"/>
    <w:rsid w:val="006304DE"/>
    <w:rsid w:val="006306E3"/>
    <w:rsid w:val="00630DB2"/>
    <w:rsid w:val="0063117D"/>
    <w:rsid w:val="006311B7"/>
    <w:rsid w:val="006314CF"/>
    <w:rsid w:val="00631636"/>
    <w:rsid w:val="006317DB"/>
    <w:rsid w:val="00631806"/>
    <w:rsid w:val="006318F1"/>
    <w:rsid w:val="00631B3F"/>
    <w:rsid w:val="0063229B"/>
    <w:rsid w:val="00632509"/>
    <w:rsid w:val="0063262B"/>
    <w:rsid w:val="00632D35"/>
    <w:rsid w:val="00632D57"/>
    <w:rsid w:val="00632DF3"/>
    <w:rsid w:val="0063358B"/>
    <w:rsid w:val="006339E7"/>
    <w:rsid w:val="00633A5A"/>
    <w:rsid w:val="00633AF3"/>
    <w:rsid w:val="00633E44"/>
    <w:rsid w:val="00633FF6"/>
    <w:rsid w:val="00634330"/>
    <w:rsid w:val="00634346"/>
    <w:rsid w:val="0063436D"/>
    <w:rsid w:val="006343C7"/>
    <w:rsid w:val="006344B1"/>
    <w:rsid w:val="00634543"/>
    <w:rsid w:val="00634818"/>
    <w:rsid w:val="006348AA"/>
    <w:rsid w:val="006349F4"/>
    <w:rsid w:val="00634AC4"/>
    <w:rsid w:val="006352F2"/>
    <w:rsid w:val="0063555D"/>
    <w:rsid w:val="00635A67"/>
    <w:rsid w:val="00635AA6"/>
    <w:rsid w:val="00635CA4"/>
    <w:rsid w:val="00635DA5"/>
    <w:rsid w:val="00635E60"/>
    <w:rsid w:val="00635EAF"/>
    <w:rsid w:val="0063602B"/>
    <w:rsid w:val="006360E2"/>
    <w:rsid w:val="006365A2"/>
    <w:rsid w:val="00636871"/>
    <w:rsid w:val="0063694B"/>
    <w:rsid w:val="00636AFD"/>
    <w:rsid w:val="00636C18"/>
    <w:rsid w:val="00636D43"/>
    <w:rsid w:val="00636D7C"/>
    <w:rsid w:val="00636E56"/>
    <w:rsid w:val="00636F48"/>
    <w:rsid w:val="0063709C"/>
    <w:rsid w:val="00637418"/>
    <w:rsid w:val="0063772B"/>
    <w:rsid w:val="006377A2"/>
    <w:rsid w:val="006378F7"/>
    <w:rsid w:val="00637B7A"/>
    <w:rsid w:val="00637D2F"/>
    <w:rsid w:val="00640100"/>
    <w:rsid w:val="00640349"/>
    <w:rsid w:val="00640683"/>
    <w:rsid w:val="00640731"/>
    <w:rsid w:val="006409D5"/>
    <w:rsid w:val="00640A7E"/>
    <w:rsid w:val="00640B2D"/>
    <w:rsid w:val="00640BAC"/>
    <w:rsid w:val="00640C66"/>
    <w:rsid w:val="00641112"/>
    <w:rsid w:val="0064126D"/>
    <w:rsid w:val="0064183B"/>
    <w:rsid w:val="00641843"/>
    <w:rsid w:val="00641F22"/>
    <w:rsid w:val="006425FE"/>
    <w:rsid w:val="006427DF"/>
    <w:rsid w:val="00642C28"/>
    <w:rsid w:val="00642EEC"/>
    <w:rsid w:val="00643027"/>
    <w:rsid w:val="00643297"/>
    <w:rsid w:val="00643551"/>
    <w:rsid w:val="00643593"/>
    <w:rsid w:val="00643598"/>
    <w:rsid w:val="006436B7"/>
    <w:rsid w:val="00643908"/>
    <w:rsid w:val="0064393D"/>
    <w:rsid w:val="00643D42"/>
    <w:rsid w:val="00643EF2"/>
    <w:rsid w:val="00644098"/>
    <w:rsid w:val="006445C0"/>
    <w:rsid w:val="006446DB"/>
    <w:rsid w:val="00644717"/>
    <w:rsid w:val="0064477A"/>
    <w:rsid w:val="006448AB"/>
    <w:rsid w:val="00644C0B"/>
    <w:rsid w:val="00644D4E"/>
    <w:rsid w:val="00645041"/>
    <w:rsid w:val="00645647"/>
    <w:rsid w:val="006458BE"/>
    <w:rsid w:val="00645E45"/>
    <w:rsid w:val="00645E71"/>
    <w:rsid w:val="00645F5E"/>
    <w:rsid w:val="00645F8F"/>
    <w:rsid w:val="00646030"/>
    <w:rsid w:val="0064629B"/>
    <w:rsid w:val="00646516"/>
    <w:rsid w:val="00646701"/>
    <w:rsid w:val="00646850"/>
    <w:rsid w:val="006468D7"/>
    <w:rsid w:val="0064690B"/>
    <w:rsid w:val="00646989"/>
    <w:rsid w:val="006469F4"/>
    <w:rsid w:val="006474C8"/>
    <w:rsid w:val="006478A1"/>
    <w:rsid w:val="00647A89"/>
    <w:rsid w:val="00647CC5"/>
    <w:rsid w:val="00647D37"/>
    <w:rsid w:val="00647FC8"/>
    <w:rsid w:val="006504E2"/>
    <w:rsid w:val="00650644"/>
    <w:rsid w:val="006507B3"/>
    <w:rsid w:val="00650A12"/>
    <w:rsid w:val="00650A1C"/>
    <w:rsid w:val="00650BAA"/>
    <w:rsid w:val="00650C9A"/>
    <w:rsid w:val="00650CB6"/>
    <w:rsid w:val="00650DFD"/>
    <w:rsid w:val="00650E89"/>
    <w:rsid w:val="00650FD9"/>
    <w:rsid w:val="0065105B"/>
    <w:rsid w:val="00651E22"/>
    <w:rsid w:val="00652149"/>
    <w:rsid w:val="0065227B"/>
    <w:rsid w:val="00652605"/>
    <w:rsid w:val="006527A4"/>
    <w:rsid w:val="006528B4"/>
    <w:rsid w:val="00652AD4"/>
    <w:rsid w:val="00652C3D"/>
    <w:rsid w:val="00652CE0"/>
    <w:rsid w:val="00653326"/>
    <w:rsid w:val="00653636"/>
    <w:rsid w:val="006538A7"/>
    <w:rsid w:val="00653B57"/>
    <w:rsid w:val="00653EBF"/>
    <w:rsid w:val="00653F7B"/>
    <w:rsid w:val="0065408E"/>
    <w:rsid w:val="00654125"/>
    <w:rsid w:val="006541DE"/>
    <w:rsid w:val="0065427E"/>
    <w:rsid w:val="006543EC"/>
    <w:rsid w:val="00654B8B"/>
    <w:rsid w:val="00654E80"/>
    <w:rsid w:val="00655133"/>
    <w:rsid w:val="006552CD"/>
    <w:rsid w:val="0065545C"/>
    <w:rsid w:val="00655483"/>
    <w:rsid w:val="0065556A"/>
    <w:rsid w:val="0065566F"/>
    <w:rsid w:val="006556CF"/>
    <w:rsid w:val="00655704"/>
    <w:rsid w:val="0065571B"/>
    <w:rsid w:val="0065581A"/>
    <w:rsid w:val="006558B0"/>
    <w:rsid w:val="006558DC"/>
    <w:rsid w:val="00655B27"/>
    <w:rsid w:val="00655BAF"/>
    <w:rsid w:val="00655BE9"/>
    <w:rsid w:val="00655D6E"/>
    <w:rsid w:val="00655E8C"/>
    <w:rsid w:val="00655F95"/>
    <w:rsid w:val="00655F9F"/>
    <w:rsid w:val="00656005"/>
    <w:rsid w:val="006565C3"/>
    <w:rsid w:val="00656660"/>
    <w:rsid w:val="006566BB"/>
    <w:rsid w:val="006567BB"/>
    <w:rsid w:val="00656918"/>
    <w:rsid w:val="00656AB3"/>
    <w:rsid w:val="00656D10"/>
    <w:rsid w:val="006571D1"/>
    <w:rsid w:val="00657349"/>
    <w:rsid w:val="006574A6"/>
    <w:rsid w:val="006574B2"/>
    <w:rsid w:val="0065793E"/>
    <w:rsid w:val="00657ADA"/>
    <w:rsid w:val="00657B65"/>
    <w:rsid w:val="00657DBE"/>
    <w:rsid w:val="00657EC0"/>
    <w:rsid w:val="00660067"/>
    <w:rsid w:val="006601E9"/>
    <w:rsid w:val="0066033A"/>
    <w:rsid w:val="0066065B"/>
    <w:rsid w:val="0066067C"/>
    <w:rsid w:val="00660C1D"/>
    <w:rsid w:val="00660E62"/>
    <w:rsid w:val="00660E70"/>
    <w:rsid w:val="00661086"/>
    <w:rsid w:val="00661189"/>
    <w:rsid w:val="00661241"/>
    <w:rsid w:val="006613E5"/>
    <w:rsid w:val="0066172C"/>
    <w:rsid w:val="0066190C"/>
    <w:rsid w:val="00661A62"/>
    <w:rsid w:val="00661F6F"/>
    <w:rsid w:val="00661FD5"/>
    <w:rsid w:val="0066215C"/>
    <w:rsid w:val="00662350"/>
    <w:rsid w:val="006628E4"/>
    <w:rsid w:val="00662B0F"/>
    <w:rsid w:val="00662C62"/>
    <w:rsid w:val="00662D3F"/>
    <w:rsid w:val="00662EE8"/>
    <w:rsid w:val="0066302D"/>
    <w:rsid w:val="006634F7"/>
    <w:rsid w:val="00663538"/>
    <w:rsid w:val="006637FA"/>
    <w:rsid w:val="006639C4"/>
    <w:rsid w:val="00663A30"/>
    <w:rsid w:val="00663C3C"/>
    <w:rsid w:val="006641B7"/>
    <w:rsid w:val="00664202"/>
    <w:rsid w:val="0066420B"/>
    <w:rsid w:val="00664216"/>
    <w:rsid w:val="006642F2"/>
    <w:rsid w:val="0066459F"/>
    <w:rsid w:val="006647F4"/>
    <w:rsid w:val="00664826"/>
    <w:rsid w:val="006648D9"/>
    <w:rsid w:val="006649EF"/>
    <w:rsid w:val="00664B4F"/>
    <w:rsid w:val="00664C12"/>
    <w:rsid w:val="00664F95"/>
    <w:rsid w:val="0066503C"/>
    <w:rsid w:val="00665217"/>
    <w:rsid w:val="006652F1"/>
    <w:rsid w:val="006652FA"/>
    <w:rsid w:val="00665579"/>
    <w:rsid w:val="006656A2"/>
    <w:rsid w:val="00665D73"/>
    <w:rsid w:val="00665E47"/>
    <w:rsid w:val="00665F28"/>
    <w:rsid w:val="00666048"/>
    <w:rsid w:val="006665A8"/>
    <w:rsid w:val="00666639"/>
    <w:rsid w:val="00666D9D"/>
    <w:rsid w:val="00667517"/>
    <w:rsid w:val="006675F5"/>
    <w:rsid w:val="00667949"/>
    <w:rsid w:val="0066794D"/>
    <w:rsid w:val="0066795B"/>
    <w:rsid w:val="00667C9D"/>
    <w:rsid w:val="00667D83"/>
    <w:rsid w:val="00667E14"/>
    <w:rsid w:val="006700EE"/>
    <w:rsid w:val="00670213"/>
    <w:rsid w:val="00670391"/>
    <w:rsid w:val="006703FD"/>
    <w:rsid w:val="00670471"/>
    <w:rsid w:val="006706DC"/>
    <w:rsid w:val="0067082A"/>
    <w:rsid w:val="00670967"/>
    <w:rsid w:val="006709BF"/>
    <w:rsid w:val="00670B3A"/>
    <w:rsid w:val="00670CF5"/>
    <w:rsid w:val="006710E0"/>
    <w:rsid w:val="00671425"/>
    <w:rsid w:val="006714C6"/>
    <w:rsid w:val="00671D66"/>
    <w:rsid w:val="00672017"/>
    <w:rsid w:val="006721F2"/>
    <w:rsid w:val="0067237C"/>
    <w:rsid w:val="00672598"/>
    <w:rsid w:val="0067276C"/>
    <w:rsid w:val="00672D40"/>
    <w:rsid w:val="00673318"/>
    <w:rsid w:val="00673456"/>
    <w:rsid w:val="00673700"/>
    <w:rsid w:val="006738A3"/>
    <w:rsid w:val="00673BC3"/>
    <w:rsid w:val="00673D1A"/>
    <w:rsid w:val="00673E7B"/>
    <w:rsid w:val="00673EE7"/>
    <w:rsid w:val="00673FCC"/>
    <w:rsid w:val="0067421C"/>
    <w:rsid w:val="00674226"/>
    <w:rsid w:val="0067435B"/>
    <w:rsid w:val="00674484"/>
    <w:rsid w:val="00674493"/>
    <w:rsid w:val="00674EAF"/>
    <w:rsid w:val="0067502E"/>
    <w:rsid w:val="0067505A"/>
    <w:rsid w:val="006751AA"/>
    <w:rsid w:val="006756FE"/>
    <w:rsid w:val="006758A1"/>
    <w:rsid w:val="00675E19"/>
    <w:rsid w:val="006760C1"/>
    <w:rsid w:val="0067654C"/>
    <w:rsid w:val="0067655C"/>
    <w:rsid w:val="006765CE"/>
    <w:rsid w:val="00676685"/>
    <w:rsid w:val="00676802"/>
    <w:rsid w:val="00676887"/>
    <w:rsid w:val="006768A7"/>
    <w:rsid w:val="00676A9F"/>
    <w:rsid w:val="00676ACF"/>
    <w:rsid w:val="00676F73"/>
    <w:rsid w:val="00677072"/>
    <w:rsid w:val="00677540"/>
    <w:rsid w:val="0067795C"/>
    <w:rsid w:val="006779E5"/>
    <w:rsid w:val="00677A76"/>
    <w:rsid w:val="00677C22"/>
    <w:rsid w:val="00677C30"/>
    <w:rsid w:val="00677D59"/>
    <w:rsid w:val="00680175"/>
    <w:rsid w:val="00680749"/>
    <w:rsid w:val="0068075E"/>
    <w:rsid w:val="00680837"/>
    <w:rsid w:val="006809C5"/>
    <w:rsid w:val="00680C33"/>
    <w:rsid w:val="00680DE4"/>
    <w:rsid w:val="00680FF9"/>
    <w:rsid w:val="0068130B"/>
    <w:rsid w:val="00681DEF"/>
    <w:rsid w:val="0068225D"/>
    <w:rsid w:val="006824F9"/>
    <w:rsid w:val="0068262B"/>
    <w:rsid w:val="0068278E"/>
    <w:rsid w:val="00682AAE"/>
    <w:rsid w:val="00682ACF"/>
    <w:rsid w:val="00682CD2"/>
    <w:rsid w:val="00682D6C"/>
    <w:rsid w:val="0068307F"/>
    <w:rsid w:val="00683214"/>
    <w:rsid w:val="00683286"/>
    <w:rsid w:val="0068366B"/>
    <w:rsid w:val="00683C87"/>
    <w:rsid w:val="00683E58"/>
    <w:rsid w:val="00683ECC"/>
    <w:rsid w:val="006844EE"/>
    <w:rsid w:val="0068468E"/>
    <w:rsid w:val="006847E8"/>
    <w:rsid w:val="00684884"/>
    <w:rsid w:val="00684A98"/>
    <w:rsid w:val="00684AE6"/>
    <w:rsid w:val="00684C01"/>
    <w:rsid w:val="00684C85"/>
    <w:rsid w:val="00684D25"/>
    <w:rsid w:val="00684DB2"/>
    <w:rsid w:val="00684E97"/>
    <w:rsid w:val="00685044"/>
    <w:rsid w:val="006855A0"/>
    <w:rsid w:val="006855E1"/>
    <w:rsid w:val="006855E9"/>
    <w:rsid w:val="00685770"/>
    <w:rsid w:val="00685847"/>
    <w:rsid w:val="00685D87"/>
    <w:rsid w:val="00685E87"/>
    <w:rsid w:val="006860FD"/>
    <w:rsid w:val="00686370"/>
    <w:rsid w:val="006866DD"/>
    <w:rsid w:val="006868DF"/>
    <w:rsid w:val="00686F11"/>
    <w:rsid w:val="00686FA9"/>
    <w:rsid w:val="006870B5"/>
    <w:rsid w:val="006870F3"/>
    <w:rsid w:val="006871A8"/>
    <w:rsid w:val="006871C9"/>
    <w:rsid w:val="0068730A"/>
    <w:rsid w:val="00687357"/>
    <w:rsid w:val="00687C25"/>
    <w:rsid w:val="00687D6E"/>
    <w:rsid w:val="0069001B"/>
    <w:rsid w:val="006906DA"/>
    <w:rsid w:val="00690BF5"/>
    <w:rsid w:val="00690FAC"/>
    <w:rsid w:val="006911FE"/>
    <w:rsid w:val="00691399"/>
    <w:rsid w:val="006913C6"/>
    <w:rsid w:val="006915C5"/>
    <w:rsid w:val="00691679"/>
    <w:rsid w:val="0069170D"/>
    <w:rsid w:val="006917EB"/>
    <w:rsid w:val="006919F0"/>
    <w:rsid w:val="00691B9C"/>
    <w:rsid w:val="00691C3C"/>
    <w:rsid w:val="006921AA"/>
    <w:rsid w:val="00692205"/>
    <w:rsid w:val="0069223E"/>
    <w:rsid w:val="006923FC"/>
    <w:rsid w:val="006924B5"/>
    <w:rsid w:val="006928C0"/>
    <w:rsid w:val="00692A38"/>
    <w:rsid w:val="00692C04"/>
    <w:rsid w:val="00692C09"/>
    <w:rsid w:val="00693189"/>
    <w:rsid w:val="00693340"/>
    <w:rsid w:val="00693369"/>
    <w:rsid w:val="006936B9"/>
    <w:rsid w:val="00693B6C"/>
    <w:rsid w:val="00693BB3"/>
    <w:rsid w:val="00693CC9"/>
    <w:rsid w:val="00693E99"/>
    <w:rsid w:val="006940D7"/>
    <w:rsid w:val="006943FA"/>
    <w:rsid w:val="00694591"/>
    <w:rsid w:val="00694766"/>
    <w:rsid w:val="00694877"/>
    <w:rsid w:val="00694902"/>
    <w:rsid w:val="00694B4C"/>
    <w:rsid w:val="00694CBF"/>
    <w:rsid w:val="00694DEF"/>
    <w:rsid w:val="00694E1A"/>
    <w:rsid w:val="00694F53"/>
    <w:rsid w:val="006953FF"/>
    <w:rsid w:val="0069570F"/>
    <w:rsid w:val="00695C60"/>
    <w:rsid w:val="0069613E"/>
    <w:rsid w:val="0069666E"/>
    <w:rsid w:val="006967E0"/>
    <w:rsid w:val="00696AFE"/>
    <w:rsid w:val="006970D7"/>
    <w:rsid w:val="006971B8"/>
    <w:rsid w:val="0069732D"/>
    <w:rsid w:val="00697731"/>
    <w:rsid w:val="006977DD"/>
    <w:rsid w:val="00697A02"/>
    <w:rsid w:val="006A0003"/>
    <w:rsid w:val="006A018B"/>
    <w:rsid w:val="006A036E"/>
    <w:rsid w:val="006A08ED"/>
    <w:rsid w:val="006A0ABB"/>
    <w:rsid w:val="006A0DA3"/>
    <w:rsid w:val="006A0DD1"/>
    <w:rsid w:val="006A1405"/>
    <w:rsid w:val="006A16D7"/>
    <w:rsid w:val="006A18F1"/>
    <w:rsid w:val="006A1B3D"/>
    <w:rsid w:val="006A1BA4"/>
    <w:rsid w:val="006A1DB3"/>
    <w:rsid w:val="006A1F54"/>
    <w:rsid w:val="006A2172"/>
    <w:rsid w:val="006A2315"/>
    <w:rsid w:val="006A26D3"/>
    <w:rsid w:val="006A29EC"/>
    <w:rsid w:val="006A2A7B"/>
    <w:rsid w:val="006A2D0D"/>
    <w:rsid w:val="006A2F1A"/>
    <w:rsid w:val="006A3366"/>
    <w:rsid w:val="006A33CB"/>
    <w:rsid w:val="006A351B"/>
    <w:rsid w:val="006A3666"/>
    <w:rsid w:val="006A38AA"/>
    <w:rsid w:val="006A38C2"/>
    <w:rsid w:val="006A39F4"/>
    <w:rsid w:val="006A3A62"/>
    <w:rsid w:val="006A3B91"/>
    <w:rsid w:val="006A3D78"/>
    <w:rsid w:val="006A3DFC"/>
    <w:rsid w:val="006A3F11"/>
    <w:rsid w:val="006A3F58"/>
    <w:rsid w:val="006A3FF9"/>
    <w:rsid w:val="006A422D"/>
    <w:rsid w:val="006A44D0"/>
    <w:rsid w:val="006A454C"/>
    <w:rsid w:val="006A4603"/>
    <w:rsid w:val="006A47E8"/>
    <w:rsid w:val="006A49DF"/>
    <w:rsid w:val="006A49E6"/>
    <w:rsid w:val="006A4A39"/>
    <w:rsid w:val="006A4B72"/>
    <w:rsid w:val="006A4E3C"/>
    <w:rsid w:val="006A5023"/>
    <w:rsid w:val="006A50C9"/>
    <w:rsid w:val="006A51CC"/>
    <w:rsid w:val="006A5228"/>
    <w:rsid w:val="006A536C"/>
    <w:rsid w:val="006A5768"/>
    <w:rsid w:val="006A57D3"/>
    <w:rsid w:val="006A58BB"/>
    <w:rsid w:val="006A595B"/>
    <w:rsid w:val="006A5F65"/>
    <w:rsid w:val="006A6298"/>
    <w:rsid w:val="006A62A1"/>
    <w:rsid w:val="006A62B5"/>
    <w:rsid w:val="006A62C6"/>
    <w:rsid w:val="006A6326"/>
    <w:rsid w:val="006A6455"/>
    <w:rsid w:val="006A68EA"/>
    <w:rsid w:val="006A6A1D"/>
    <w:rsid w:val="006A6B36"/>
    <w:rsid w:val="006A6C07"/>
    <w:rsid w:val="006A6D16"/>
    <w:rsid w:val="006A6DA5"/>
    <w:rsid w:val="006A7060"/>
    <w:rsid w:val="006A70F1"/>
    <w:rsid w:val="006A7190"/>
    <w:rsid w:val="006A7258"/>
    <w:rsid w:val="006A7284"/>
    <w:rsid w:val="006A736D"/>
    <w:rsid w:val="006A7372"/>
    <w:rsid w:val="006A78CC"/>
    <w:rsid w:val="006B01B3"/>
    <w:rsid w:val="006B0451"/>
    <w:rsid w:val="006B0519"/>
    <w:rsid w:val="006B0CF6"/>
    <w:rsid w:val="006B0D37"/>
    <w:rsid w:val="006B0D80"/>
    <w:rsid w:val="006B0DF1"/>
    <w:rsid w:val="006B0FB2"/>
    <w:rsid w:val="006B103E"/>
    <w:rsid w:val="006B1132"/>
    <w:rsid w:val="006B1214"/>
    <w:rsid w:val="006B12C2"/>
    <w:rsid w:val="006B19D0"/>
    <w:rsid w:val="006B1B27"/>
    <w:rsid w:val="006B1B99"/>
    <w:rsid w:val="006B20FA"/>
    <w:rsid w:val="006B22E4"/>
    <w:rsid w:val="006B2854"/>
    <w:rsid w:val="006B28F0"/>
    <w:rsid w:val="006B2E74"/>
    <w:rsid w:val="006B310C"/>
    <w:rsid w:val="006B3315"/>
    <w:rsid w:val="006B3495"/>
    <w:rsid w:val="006B353D"/>
    <w:rsid w:val="006B374E"/>
    <w:rsid w:val="006B3A03"/>
    <w:rsid w:val="006B40DE"/>
    <w:rsid w:val="006B4871"/>
    <w:rsid w:val="006B4897"/>
    <w:rsid w:val="006B4ABD"/>
    <w:rsid w:val="006B4BC5"/>
    <w:rsid w:val="006B4DF9"/>
    <w:rsid w:val="006B4E99"/>
    <w:rsid w:val="006B526F"/>
    <w:rsid w:val="006B5380"/>
    <w:rsid w:val="006B5633"/>
    <w:rsid w:val="006B5820"/>
    <w:rsid w:val="006B58D7"/>
    <w:rsid w:val="006B592A"/>
    <w:rsid w:val="006B5CEB"/>
    <w:rsid w:val="006B5D29"/>
    <w:rsid w:val="006B5FA7"/>
    <w:rsid w:val="006B6206"/>
    <w:rsid w:val="006B62B4"/>
    <w:rsid w:val="006B62F8"/>
    <w:rsid w:val="006B639A"/>
    <w:rsid w:val="006B66E9"/>
    <w:rsid w:val="006B698F"/>
    <w:rsid w:val="006B6B59"/>
    <w:rsid w:val="006B6DAB"/>
    <w:rsid w:val="006B6DBE"/>
    <w:rsid w:val="006B72E3"/>
    <w:rsid w:val="006B740A"/>
    <w:rsid w:val="006B789D"/>
    <w:rsid w:val="006B7B9B"/>
    <w:rsid w:val="006B7D19"/>
    <w:rsid w:val="006B7F48"/>
    <w:rsid w:val="006C0182"/>
    <w:rsid w:val="006C01EA"/>
    <w:rsid w:val="006C0322"/>
    <w:rsid w:val="006C0836"/>
    <w:rsid w:val="006C099F"/>
    <w:rsid w:val="006C0C37"/>
    <w:rsid w:val="006C0C8A"/>
    <w:rsid w:val="006C0CE6"/>
    <w:rsid w:val="006C0D39"/>
    <w:rsid w:val="006C1165"/>
    <w:rsid w:val="006C11D6"/>
    <w:rsid w:val="006C1359"/>
    <w:rsid w:val="006C136E"/>
    <w:rsid w:val="006C1D19"/>
    <w:rsid w:val="006C1D9A"/>
    <w:rsid w:val="006C1DC1"/>
    <w:rsid w:val="006C1E23"/>
    <w:rsid w:val="006C233E"/>
    <w:rsid w:val="006C23C3"/>
    <w:rsid w:val="006C25BF"/>
    <w:rsid w:val="006C27A1"/>
    <w:rsid w:val="006C29C0"/>
    <w:rsid w:val="006C2CC3"/>
    <w:rsid w:val="006C2D59"/>
    <w:rsid w:val="006C304F"/>
    <w:rsid w:val="006C3084"/>
    <w:rsid w:val="006C3343"/>
    <w:rsid w:val="006C33EC"/>
    <w:rsid w:val="006C35DF"/>
    <w:rsid w:val="006C3762"/>
    <w:rsid w:val="006C385A"/>
    <w:rsid w:val="006C38CE"/>
    <w:rsid w:val="006C3A8F"/>
    <w:rsid w:val="006C3B9D"/>
    <w:rsid w:val="006C3C8E"/>
    <w:rsid w:val="006C3E5A"/>
    <w:rsid w:val="006C3FD2"/>
    <w:rsid w:val="006C40D4"/>
    <w:rsid w:val="006C421D"/>
    <w:rsid w:val="006C4331"/>
    <w:rsid w:val="006C4360"/>
    <w:rsid w:val="006C44B9"/>
    <w:rsid w:val="006C459E"/>
    <w:rsid w:val="006C4686"/>
    <w:rsid w:val="006C46F3"/>
    <w:rsid w:val="006C4786"/>
    <w:rsid w:val="006C4BBA"/>
    <w:rsid w:val="006C4E33"/>
    <w:rsid w:val="006C50E8"/>
    <w:rsid w:val="006C51D1"/>
    <w:rsid w:val="006C535B"/>
    <w:rsid w:val="006C572B"/>
    <w:rsid w:val="006C5886"/>
    <w:rsid w:val="006C5AAA"/>
    <w:rsid w:val="006C5D11"/>
    <w:rsid w:val="006C5E47"/>
    <w:rsid w:val="006C5F96"/>
    <w:rsid w:val="006C6023"/>
    <w:rsid w:val="006C6133"/>
    <w:rsid w:val="006C639D"/>
    <w:rsid w:val="006C642F"/>
    <w:rsid w:val="006C64A2"/>
    <w:rsid w:val="006C65DB"/>
    <w:rsid w:val="006C687A"/>
    <w:rsid w:val="006C68FF"/>
    <w:rsid w:val="006C6A53"/>
    <w:rsid w:val="006C6B86"/>
    <w:rsid w:val="006C6BF3"/>
    <w:rsid w:val="006C6C46"/>
    <w:rsid w:val="006C6D6A"/>
    <w:rsid w:val="006C731A"/>
    <w:rsid w:val="006C7553"/>
    <w:rsid w:val="006C7606"/>
    <w:rsid w:val="006C78F9"/>
    <w:rsid w:val="006C7A8D"/>
    <w:rsid w:val="006C7B3C"/>
    <w:rsid w:val="006C7B9E"/>
    <w:rsid w:val="006C7C6E"/>
    <w:rsid w:val="006D0142"/>
    <w:rsid w:val="006D038A"/>
    <w:rsid w:val="006D05B4"/>
    <w:rsid w:val="006D05F6"/>
    <w:rsid w:val="006D09D4"/>
    <w:rsid w:val="006D0AFC"/>
    <w:rsid w:val="006D0E46"/>
    <w:rsid w:val="006D0FCD"/>
    <w:rsid w:val="006D11D8"/>
    <w:rsid w:val="006D127E"/>
    <w:rsid w:val="006D14AF"/>
    <w:rsid w:val="006D1590"/>
    <w:rsid w:val="006D16A8"/>
    <w:rsid w:val="006D1A50"/>
    <w:rsid w:val="006D1C3D"/>
    <w:rsid w:val="006D1EB0"/>
    <w:rsid w:val="006D1F23"/>
    <w:rsid w:val="006D1F86"/>
    <w:rsid w:val="006D22A7"/>
    <w:rsid w:val="006D24A5"/>
    <w:rsid w:val="006D2791"/>
    <w:rsid w:val="006D287C"/>
    <w:rsid w:val="006D28EF"/>
    <w:rsid w:val="006D2A60"/>
    <w:rsid w:val="006D2AEF"/>
    <w:rsid w:val="006D2B39"/>
    <w:rsid w:val="006D2B6F"/>
    <w:rsid w:val="006D2BB6"/>
    <w:rsid w:val="006D2F83"/>
    <w:rsid w:val="006D3168"/>
    <w:rsid w:val="006D31AB"/>
    <w:rsid w:val="006D322F"/>
    <w:rsid w:val="006D33EB"/>
    <w:rsid w:val="006D3481"/>
    <w:rsid w:val="006D371C"/>
    <w:rsid w:val="006D3B15"/>
    <w:rsid w:val="006D3B22"/>
    <w:rsid w:val="006D3CCB"/>
    <w:rsid w:val="006D3D34"/>
    <w:rsid w:val="006D40AE"/>
    <w:rsid w:val="006D40CB"/>
    <w:rsid w:val="006D42A7"/>
    <w:rsid w:val="006D432F"/>
    <w:rsid w:val="006D453E"/>
    <w:rsid w:val="006D455D"/>
    <w:rsid w:val="006D4608"/>
    <w:rsid w:val="006D4656"/>
    <w:rsid w:val="006D474D"/>
    <w:rsid w:val="006D4BC0"/>
    <w:rsid w:val="006D4F70"/>
    <w:rsid w:val="006D4FA6"/>
    <w:rsid w:val="006D5146"/>
    <w:rsid w:val="006D53ED"/>
    <w:rsid w:val="006D586F"/>
    <w:rsid w:val="006D59D1"/>
    <w:rsid w:val="006D5BED"/>
    <w:rsid w:val="006D5C63"/>
    <w:rsid w:val="006D5D4F"/>
    <w:rsid w:val="006D5E8F"/>
    <w:rsid w:val="006D633B"/>
    <w:rsid w:val="006D6357"/>
    <w:rsid w:val="006D64D1"/>
    <w:rsid w:val="006D672A"/>
    <w:rsid w:val="006D67FC"/>
    <w:rsid w:val="006D6994"/>
    <w:rsid w:val="006D6A26"/>
    <w:rsid w:val="006D706D"/>
    <w:rsid w:val="006D7787"/>
    <w:rsid w:val="006D781F"/>
    <w:rsid w:val="006D79DD"/>
    <w:rsid w:val="006D7B72"/>
    <w:rsid w:val="006D7BDD"/>
    <w:rsid w:val="006D7CA3"/>
    <w:rsid w:val="006D7DA5"/>
    <w:rsid w:val="006E0290"/>
    <w:rsid w:val="006E0725"/>
    <w:rsid w:val="006E0923"/>
    <w:rsid w:val="006E0D9B"/>
    <w:rsid w:val="006E130C"/>
    <w:rsid w:val="006E1529"/>
    <w:rsid w:val="006E1850"/>
    <w:rsid w:val="006E1CC1"/>
    <w:rsid w:val="006E1FDC"/>
    <w:rsid w:val="006E2096"/>
    <w:rsid w:val="006E2A96"/>
    <w:rsid w:val="006E2B2E"/>
    <w:rsid w:val="006E33D1"/>
    <w:rsid w:val="006E3698"/>
    <w:rsid w:val="006E3CA0"/>
    <w:rsid w:val="006E3CDE"/>
    <w:rsid w:val="006E3F76"/>
    <w:rsid w:val="006E438B"/>
    <w:rsid w:val="006E4995"/>
    <w:rsid w:val="006E4A23"/>
    <w:rsid w:val="006E4A67"/>
    <w:rsid w:val="006E4AE4"/>
    <w:rsid w:val="006E4B91"/>
    <w:rsid w:val="006E4C3B"/>
    <w:rsid w:val="006E4D88"/>
    <w:rsid w:val="006E4F14"/>
    <w:rsid w:val="006E5367"/>
    <w:rsid w:val="006E5372"/>
    <w:rsid w:val="006E5442"/>
    <w:rsid w:val="006E579C"/>
    <w:rsid w:val="006E57E7"/>
    <w:rsid w:val="006E5A0E"/>
    <w:rsid w:val="006E5B7C"/>
    <w:rsid w:val="006E5D3B"/>
    <w:rsid w:val="006E5E44"/>
    <w:rsid w:val="006E5E48"/>
    <w:rsid w:val="006E5FCA"/>
    <w:rsid w:val="006E608C"/>
    <w:rsid w:val="006E675D"/>
    <w:rsid w:val="006E68D0"/>
    <w:rsid w:val="006E6A05"/>
    <w:rsid w:val="006E6E73"/>
    <w:rsid w:val="006E7153"/>
    <w:rsid w:val="006E7446"/>
    <w:rsid w:val="006E7554"/>
    <w:rsid w:val="006E75B2"/>
    <w:rsid w:val="006E7B00"/>
    <w:rsid w:val="006F01D7"/>
    <w:rsid w:val="006F0832"/>
    <w:rsid w:val="006F08BF"/>
    <w:rsid w:val="006F0BD3"/>
    <w:rsid w:val="006F0BE9"/>
    <w:rsid w:val="006F0CB5"/>
    <w:rsid w:val="006F0E09"/>
    <w:rsid w:val="006F0E9B"/>
    <w:rsid w:val="006F12C9"/>
    <w:rsid w:val="006F1393"/>
    <w:rsid w:val="006F1490"/>
    <w:rsid w:val="006F1D7F"/>
    <w:rsid w:val="006F1E32"/>
    <w:rsid w:val="006F1FA5"/>
    <w:rsid w:val="006F2175"/>
    <w:rsid w:val="006F217E"/>
    <w:rsid w:val="006F21C5"/>
    <w:rsid w:val="006F22A2"/>
    <w:rsid w:val="006F22A8"/>
    <w:rsid w:val="006F242D"/>
    <w:rsid w:val="006F29F6"/>
    <w:rsid w:val="006F2AE8"/>
    <w:rsid w:val="006F2B4F"/>
    <w:rsid w:val="006F2E03"/>
    <w:rsid w:val="006F305E"/>
    <w:rsid w:val="006F37C8"/>
    <w:rsid w:val="006F398C"/>
    <w:rsid w:val="006F3AF0"/>
    <w:rsid w:val="006F3E4B"/>
    <w:rsid w:val="006F45FB"/>
    <w:rsid w:val="006F469E"/>
    <w:rsid w:val="006F488B"/>
    <w:rsid w:val="006F49A2"/>
    <w:rsid w:val="006F4C34"/>
    <w:rsid w:val="006F4C88"/>
    <w:rsid w:val="006F4D72"/>
    <w:rsid w:val="006F4F15"/>
    <w:rsid w:val="006F4F8D"/>
    <w:rsid w:val="006F518D"/>
    <w:rsid w:val="006F55D0"/>
    <w:rsid w:val="006F56A6"/>
    <w:rsid w:val="006F5B25"/>
    <w:rsid w:val="006F5C87"/>
    <w:rsid w:val="006F5CB7"/>
    <w:rsid w:val="006F5D23"/>
    <w:rsid w:val="006F60CB"/>
    <w:rsid w:val="006F62F5"/>
    <w:rsid w:val="006F64AE"/>
    <w:rsid w:val="006F659B"/>
    <w:rsid w:val="006F6AF0"/>
    <w:rsid w:val="006F6B5F"/>
    <w:rsid w:val="006F6C19"/>
    <w:rsid w:val="006F6CDE"/>
    <w:rsid w:val="006F6FD5"/>
    <w:rsid w:val="006F7209"/>
    <w:rsid w:val="006F750C"/>
    <w:rsid w:val="006F7645"/>
    <w:rsid w:val="006F7705"/>
    <w:rsid w:val="006F7975"/>
    <w:rsid w:val="006F7B6C"/>
    <w:rsid w:val="006F7DBC"/>
    <w:rsid w:val="00700018"/>
    <w:rsid w:val="00700100"/>
    <w:rsid w:val="0070024A"/>
    <w:rsid w:val="007002E2"/>
    <w:rsid w:val="00700558"/>
    <w:rsid w:val="0070059F"/>
    <w:rsid w:val="007005EE"/>
    <w:rsid w:val="0070073C"/>
    <w:rsid w:val="007007F1"/>
    <w:rsid w:val="00700F2B"/>
    <w:rsid w:val="00700F57"/>
    <w:rsid w:val="00700F61"/>
    <w:rsid w:val="0070152E"/>
    <w:rsid w:val="0070166A"/>
    <w:rsid w:val="0070169D"/>
    <w:rsid w:val="00701784"/>
    <w:rsid w:val="007018D4"/>
    <w:rsid w:val="00701921"/>
    <w:rsid w:val="007019C1"/>
    <w:rsid w:val="00701AAF"/>
    <w:rsid w:val="00701B86"/>
    <w:rsid w:val="00701BBA"/>
    <w:rsid w:val="00701D20"/>
    <w:rsid w:val="0070200F"/>
    <w:rsid w:val="007020D0"/>
    <w:rsid w:val="00702374"/>
    <w:rsid w:val="00702679"/>
    <w:rsid w:val="007028F2"/>
    <w:rsid w:val="00702FBE"/>
    <w:rsid w:val="0070300B"/>
    <w:rsid w:val="007030BA"/>
    <w:rsid w:val="00703170"/>
    <w:rsid w:val="00703642"/>
    <w:rsid w:val="00703683"/>
    <w:rsid w:val="007036AE"/>
    <w:rsid w:val="00703D2F"/>
    <w:rsid w:val="00703DF9"/>
    <w:rsid w:val="007040FE"/>
    <w:rsid w:val="00704479"/>
    <w:rsid w:val="007048F6"/>
    <w:rsid w:val="00704A35"/>
    <w:rsid w:val="00704AE2"/>
    <w:rsid w:val="00704D0A"/>
    <w:rsid w:val="00704DA9"/>
    <w:rsid w:val="00704DF5"/>
    <w:rsid w:val="00704E00"/>
    <w:rsid w:val="00704E17"/>
    <w:rsid w:val="00704EE1"/>
    <w:rsid w:val="00704F74"/>
    <w:rsid w:val="007050B7"/>
    <w:rsid w:val="0070555C"/>
    <w:rsid w:val="00705641"/>
    <w:rsid w:val="007058CE"/>
    <w:rsid w:val="00705C05"/>
    <w:rsid w:val="00705C28"/>
    <w:rsid w:val="00705EAB"/>
    <w:rsid w:val="00705F57"/>
    <w:rsid w:val="0070602D"/>
    <w:rsid w:val="007061D5"/>
    <w:rsid w:val="0070624E"/>
    <w:rsid w:val="007062A5"/>
    <w:rsid w:val="007062D9"/>
    <w:rsid w:val="00706392"/>
    <w:rsid w:val="00706791"/>
    <w:rsid w:val="007067D8"/>
    <w:rsid w:val="00706920"/>
    <w:rsid w:val="00706BA3"/>
    <w:rsid w:val="00706BBA"/>
    <w:rsid w:val="00706BCC"/>
    <w:rsid w:val="00706E5D"/>
    <w:rsid w:val="00706FBA"/>
    <w:rsid w:val="00707081"/>
    <w:rsid w:val="007073D9"/>
    <w:rsid w:val="00707435"/>
    <w:rsid w:val="0070750F"/>
    <w:rsid w:val="00707515"/>
    <w:rsid w:val="00707642"/>
    <w:rsid w:val="00707789"/>
    <w:rsid w:val="007078C7"/>
    <w:rsid w:val="00707927"/>
    <w:rsid w:val="00707A20"/>
    <w:rsid w:val="00707AFC"/>
    <w:rsid w:val="00707EC0"/>
    <w:rsid w:val="00710149"/>
    <w:rsid w:val="007101A4"/>
    <w:rsid w:val="00710446"/>
    <w:rsid w:val="007106C5"/>
    <w:rsid w:val="00710976"/>
    <w:rsid w:val="007109BE"/>
    <w:rsid w:val="00710C13"/>
    <w:rsid w:val="00710FC9"/>
    <w:rsid w:val="00711028"/>
    <w:rsid w:val="00711212"/>
    <w:rsid w:val="007117D4"/>
    <w:rsid w:val="0071191F"/>
    <w:rsid w:val="00711B84"/>
    <w:rsid w:val="00711D59"/>
    <w:rsid w:val="00711FCB"/>
    <w:rsid w:val="00712096"/>
    <w:rsid w:val="00712530"/>
    <w:rsid w:val="00712547"/>
    <w:rsid w:val="00712787"/>
    <w:rsid w:val="00712D45"/>
    <w:rsid w:val="00712E3D"/>
    <w:rsid w:val="0071316A"/>
    <w:rsid w:val="0071374E"/>
    <w:rsid w:val="00713865"/>
    <w:rsid w:val="00713B14"/>
    <w:rsid w:val="00713CC7"/>
    <w:rsid w:val="00713CD9"/>
    <w:rsid w:val="00714041"/>
    <w:rsid w:val="007145C3"/>
    <w:rsid w:val="00714604"/>
    <w:rsid w:val="00714608"/>
    <w:rsid w:val="0071475B"/>
    <w:rsid w:val="0071488A"/>
    <w:rsid w:val="007148C3"/>
    <w:rsid w:val="007149E4"/>
    <w:rsid w:val="00714A47"/>
    <w:rsid w:val="00714A89"/>
    <w:rsid w:val="00714E1B"/>
    <w:rsid w:val="00714F74"/>
    <w:rsid w:val="007150FF"/>
    <w:rsid w:val="007152F9"/>
    <w:rsid w:val="007154A9"/>
    <w:rsid w:val="00715699"/>
    <w:rsid w:val="007158D8"/>
    <w:rsid w:val="00715B11"/>
    <w:rsid w:val="00715E11"/>
    <w:rsid w:val="0071614E"/>
    <w:rsid w:val="00716193"/>
    <w:rsid w:val="00716235"/>
    <w:rsid w:val="0071648B"/>
    <w:rsid w:val="0071668E"/>
    <w:rsid w:val="00716942"/>
    <w:rsid w:val="0071694E"/>
    <w:rsid w:val="00716ACC"/>
    <w:rsid w:val="00716CC2"/>
    <w:rsid w:val="00716D99"/>
    <w:rsid w:val="0071721C"/>
    <w:rsid w:val="0071734B"/>
    <w:rsid w:val="00717B62"/>
    <w:rsid w:val="00717C60"/>
    <w:rsid w:val="0072015B"/>
    <w:rsid w:val="00720189"/>
    <w:rsid w:val="00720197"/>
    <w:rsid w:val="007203CD"/>
    <w:rsid w:val="0072094B"/>
    <w:rsid w:val="00720F1C"/>
    <w:rsid w:val="00721029"/>
    <w:rsid w:val="00721212"/>
    <w:rsid w:val="007213AA"/>
    <w:rsid w:val="00721602"/>
    <w:rsid w:val="00721AA9"/>
    <w:rsid w:val="00721E8B"/>
    <w:rsid w:val="00721F64"/>
    <w:rsid w:val="007221E9"/>
    <w:rsid w:val="00722261"/>
    <w:rsid w:val="007225B0"/>
    <w:rsid w:val="007227ED"/>
    <w:rsid w:val="00722998"/>
    <w:rsid w:val="007229C8"/>
    <w:rsid w:val="00722A7C"/>
    <w:rsid w:val="00722CAA"/>
    <w:rsid w:val="00722FA5"/>
    <w:rsid w:val="00722FEA"/>
    <w:rsid w:val="00723031"/>
    <w:rsid w:val="007230AC"/>
    <w:rsid w:val="007234FF"/>
    <w:rsid w:val="007236E4"/>
    <w:rsid w:val="00723950"/>
    <w:rsid w:val="00723976"/>
    <w:rsid w:val="00723A09"/>
    <w:rsid w:val="00723A74"/>
    <w:rsid w:val="00723C0B"/>
    <w:rsid w:val="00723DEE"/>
    <w:rsid w:val="00724030"/>
    <w:rsid w:val="007247CB"/>
    <w:rsid w:val="007249CE"/>
    <w:rsid w:val="00724D26"/>
    <w:rsid w:val="0072513C"/>
    <w:rsid w:val="0072523C"/>
    <w:rsid w:val="00725248"/>
    <w:rsid w:val="00725BDC"/>
    <w:rsid w:val="00726076"/>
    <w:rsid w:val="00726211"/>
    <w:rsid w:val="00726238"/>
    <w:rsid w:val="007263BB"/>
    <w:rsid w:val="007265C8"/>
    <w:rsid w:val="00726C32"/>
    <w:rsid w:val="00726CBF"/>
    <w:rsid w:val="007272A6"/>
    <w:rsid w:val="00727309"/>
    <w:rsid w:val="00727346"/>
    <w:rsid w:val="00727598"/>
    <w:rsid w:val="0072783F"/>
    <w:rsid w:val="00727EF2"/>
    <w:rsid w:val="00730070"/>
    <w:rsid w:val="007303A8"/>
    <w:rsid w:val="00730866"/>
    <w:rsid w:val="00730ED6"/>
    <w:rsid w:val="0073102A"/>
    <w:rsid w:val="007310C9"/>
    <w:rsid w:val="0073134E"/>
    <w:rsid w:val="007313A8"/>
    <w:rsid w:val="00731650"/>
    <w:rsid w:val="00731818"/>
    <w:rsid w:val="00731DE1"/>
    <w:rsid w:val="00731F2A"/>
    <w:rsid w:val="007326CD"/>
    <w:rsid w:val="0073288B"/>
    <w:rsid w:val="007328E4"/>
    <w:rsid w:val="00732AA1"/>
    <w:rsid w:val="00732C2F"/>
    <w:rsid w:val="00732C65"/>
    <w:rsid w:val="00732D8B"/>
    <w:rsid w:val="00732E87"/>
    <w:rsid w:val="00732FE5"/>
    <w:rsid w:val="007330D8"/>
    <w:rsid w:val="0073321A"/>
    <w:rsid w:val="00733385"/>
    <w:rsid w:val="007334E2"/>
    <w:rsid w:val="007335EC"/>
    <w:rsid w:val="00733669"/>
    <w:rsid w:val="00733738"/>
    <w:rsid w:val="0073396C"/>
    <w:rsid w:val="00733982"/>
    <w:rsid w:val="00733D40"/>
    <w:rsid w:val="00734174"/>
    <w:rsid w:val="0073417E"/>
    <w:rsid w:val="0073459D"/>
    <w:rsid w:val="00734D13"/>
    <w:rsid w:val="00734E43"/>
    <w:rsid w:val="007353CE"/>
    <w:rsid w:val="0073543A"/>
    <w:rsid w:val="0073561E"/>
    <w:rsid w:val="007356FE"/>
    <w:rsid w:val="00735724"/>
    <w:rsid w:val="00735771"/>
    <w:rsid w:val="00735829"/>
    <w:rsid w:val="00735990"/>
    <w:rsid w:val="00735BD0"/>
    <w:rsid w:val="00735CB9"/>
    <w:rsid w:val="00735D99"/>
    <w:rsid w:val="0073602A"/>
    <w:rsid w:val="007362C6"/>
    <w:rsid w:val="00736350"/>
    <w:rsid w:val="0073646B"/>
    <w:rsid w:val="007364BA"/>
    <w:rsid w:val="0073662F"/>
    <w:rsid w:val="00736D43"/>
    <w:rsid w:val="00736F69"/>
    <w:rsid w:val="00736FDC"/>
    <w:rsid w:val="007372A4"/>
    <w:rsid w:val="00737421"/>
    <w:rsid w:val="00737430"/>
    <w:rsid w:val="00737495"/>
    <w:rsid w:val="0073758E"/>
    <w:rsid w:val="007376E6"/>
    <w:rsid w:val="00737755"/>
    <w:rsid w:val="00737905"/>
    <w:rsid w:val="00737D1B"/>
    <w:rsid w:val="00737E47"/>
    <w:rsid w:val="00737FAC"/>
    <w:rsid w:val="00740146"/>
    <w:rsid w:val="00740159"/>
    <w:rsid w:val="00740513"/>
    <w:rsid w:val="00740629"/>
    <w:rsid w:val="0074082C"/>
    <w:rsid w:val="00740B0B"/>
    <w:rsid w:val="00740C3E"/>
    <w:rsid w:val="00740EC9"/>
    <w:rsid w:val="0074144F"/>
    <w:rsid w:val="0074162F"/>
    <w:rsid w:val="00741BD6"/>
    <w:rsid w:val="00741D61"/>
    <w:rsid w:val="00741D90"/>
    <w:rsid w:val="00741EA1"/>
    <w:rsid w:val="00741F2B"/>
    <w:rsid w:val="00741F63"/>
    <w:rsid w:val="00741FDC"/>
    <w:rsid w:val="00742035"/>
    <w:rsid w:val="0074211E"/>
    <w:rsid w:val="007421A1"/>
    <w:rsid w:val="00742543"/>
    <w:rsid w:val="00742631"/>
    <w:rsid w:val="007427F5"/>
    <w:rsid w:val="0074289F"/>
    <w:rsid w:val="007428C6"/>
    <w:rsid w:val="0074290B"/>
    <w:rsid w:val="00742D37"/>
    <w:rsid w:val="00743275"/>
    <w:rsid w:val="00743465"/>
    <w:rsid w:val="007435A9"/>
    <w:rsid w:val="007438B9"/>
    <w:rsid w:val="0074399C"/>
    <w:rsid w:val="00743F39"/>
    <w:rsid w:val="00744459"/>
    <w:rsid w:val="007445D2"/>
    <w:rsid w:val="00744701"/>
    <w:rsid w:val="00744746"/>
    <w:rsid w:val="00744975"/>
    <w:rsid w:val="00744A69"/>
    <w:rsid w:val="00744C5B"/>
    <w:rsid w:val="00744E2D"/>
    <w:rsid w:val="00744F19"/>
    <w:rsid w:val="00744F35"/>
    <w:rsid w:val="00745221"/>
    <w:rsid w:val="00745396"/>
    <w:rsid w:val="0074569C"/>
    <w:rsid w:val="00745793"/>
    <w:rsid w:val="007459A1"/>
    <w:rsid w:val="00745E33"/>
    <w:rsid w:val="007460BD"/>
    <w:rsid w:val="007461A9"/>
    <w:rsid w:val="007464E1"/>
    <w:rsid w:val="007465E5"/>
    <w:rsid w:val="00746934"/>
    <w:rsid w:val="00746A05"/>
    <w:rsid w:val="00746C71"/>
    <w:rsid w:val="00746DA2"/>
    <w:rsid w:val="0074747F"/>
    <w:rsid w:val="0074754A"/>
    <w:rsid w:val="00747647"/>
    <w:rsid w:val="00747D37"/>
    <w:rsid w:val="00747EE0"/>
    <w:rsid w:val="00747F9C"/>
    <w:rsid w:val="00750036"/>
    <w:rsid w:val="00750809"/>
    <w:rsid w:val="0075085D"/>
    <w:rsid w:val="00750A61"/>
    <w:rsid w:val="00750C3A"/>
    <w:rsid w:val="00750DE9"/>
    <w:rsid w:val="00750F95"/>
    <w:rsid w:val="007510BC"/>
    <w:rsid w:val="007511CF"/>
    <w:rsid w:val="0075135F"/>
    <w:rsid w:val="0075175C"/>
    <w:rsid w:val="007517D8"/>
    <w:rsid w:val="00751D4F"/>
    <w:rsid w:val="00751DBD"/>
    <w:rsid w:val="00752094"/>
    <w:rsid w:val="007521FD"/>
    <w:rsid w:val="0075235A"/>
    <w:rsid w:val="007524AD"/>
    <w:rsid w:val="007524E7"/>
    <w:rsid w:val="0075255D"/>
    <w:rsid w:val="007526EE"/>
    <w:rsid w:val="00752921"/>
    <w:rsid w:val="00752931"/>
    <w:rsid w:val="00752C7B"/>
    <w:rsid w:val="007532FA"/>
    <w:rsid w:val="0075368A"/>
    <w:rsid w:val="007537E0"/>
    <w:rsid w:val="00753D19"/>
    <w:rsid w:val="00753F18"/>
    <w:rsid w:val="007540BC"/>
    <w:rsid w:val="00754128"/>
    <w:rsid w:val="00754285"/>
    <w:rsid w:val="007542FF"/>
    <w:rsid w:val="00754508"/>
    <w:rsid w:val="00754539"/>
    <w:rsid w:val="00754620"/>
    <w:rsid w:val="00754700"/>
    <w:rsid w:val="00754973"/>
    <w:rsid w:val="00754A4A"/>
    <w:rsid w:val="00754AC6"/>
    <w:rsid w:val="00754F66"/>
    <w:rsid w:val="00754F89"/>
    <w:rsid w:val="00754FC1"/>
    <w:rsid w:val="007550AE"/>
    <w:rsid w:val="00755298"/>
    <w:rsid w:val="00755A4C"/>
    <w:rsid w:val="00755D9B"/>
    <w:rsid w:val="00755ED3"/>
    <w:rsid w:val="0075610F"/>
    <w:rsid w:val="00756166"/>
    <w:rsid w:val="00756374"/>
    <w:rsid w:val="007568A9"/>
    <w:rsid w:val="00756C8A"/>
    <w:rsid w:val="007570F1"/>
    <w:rsid w:val="0075733B"/>
    <w:rsid w:val="00757AD8"/>
    <w:rsid w:val="0076006A"/>
    <w:rsid w:val="007603F2"/>
    <w:rsid w:val="007604CA"/>
    <w:rsid w:val="00760618"/>
    <w:rsid w:val="0076068D"/>
    <w:rsid w:val="00760752"/>
    <w:rsid w:val="00760822"/>
    <w:rsid w:val="0076084F"/>
    <w:rsid w:val="007608E8"/>
    <w:rsid w:val="0076096B"/>
    <w:rsid w:val="00760E20"/>
    <w:rsid w:val="00760E5B"/>
    <w:rsid w:val="00760EC8"/>
    <w:rsid w:val="00760F04"/>
    <w:rsid w:val="0076113B"/>
    <w:rsid w:val="007612E7"/>
    <w:rsid w:val="00761373"/>
    <w:rsid w:val="007614E5"/>
    <w:rsid w:val="007615A1"/>
    <w:rsid w:val="00761A20"/>
    <w:rsid w:val="00761A3E"/>
    <w:rsid w:val="00761C24"/>
    <w:rsid w:val="00761F74"/>
    <w:rsid w:val="00761FE2"/>
    <w:rsid w:val="00762263"/>
    <w:rsid w:val="007623B8"/>
    <w:rsid w:val="00762585"/>
    <w:rsid w:val="007626B4"/>
    <w:rsid w:val="00762701"/>
    <w:rsid w:val="00762D6C"/>
    <w:rsid w:val="00762EF4"/>
    <w:rsid w:val="00763064"/>
    <w:rsid w:val="007630C7"/>
    <w:rsid w:val="00763107"/>
    <w:rsid w:val="00763191"/>
    <w:rsid w:val="0076339F"/>
    <w:rsid w:val="0076355C"/>
    <w:rsid w:val="007636E5"/>
    <w:rsid w:val="007640FE"/>
    <w:rsid w:val="00764124"/>
    <w:rsid w:val="0076442A"/>
    <w:rsid w:val="007644B6"/>
    <w:rsid w:val="00764697"/>
    <w:rsid w:val="007646BD"/>
    <w:rsid w:val="007646F2"/>
    <w:rsid w:val="00764836"/>
    <w:rsid w:val="007648ED"/>
    <w:rsid w:val="00764A94"/>
    <w:rsid w:val="00764C82"/>
    <w:rsid w:val="00764D07"/>
    <w:rsid w:val="00764E00"/>
    <w:rsid w:val="00764E17"/>
    <w:rsid w:val="007650B8"/>
    <w:rsid w:val="00765981"/>
    <w:rsid w:val="00765D5E"/>
    <w:rsid w:val="00765F68"/>
    <w:rsid w:val="007660F7"/>
    <w:rsid w:val="0076619A"/>
    <w:rsid w:val="00766270"/>
    <w:rsid w:val="007662DC"/>
    <w:rsid w:val="007662EA"/>
    <w:rsid w:val="00766654"/>
    <w:rsid w:val="00766806"/>
    <w:rsid w:val="007669F3"/>
    <w:rsid w:val="00766A0E"/>
    <w:rsid w:val="00766A3E"/>
    <w:rsid w:val="00766EB8"/>
    <w:rsid w:val="00766EEC"/>
    <w:rsid w:val="0076712F"/>
    <w:rsid w:val="00767433"/>
    <w:rsid w:val="007675C0"/>
    <w:rsid w:val="007676CE"/>
    <w:rsid w:val="00767870"/>
    <w:rsid w:val="00767935"/>
    <w:rsid w:val="00767950"/>
    <w:rsid w:val="00767980"/>
    <w:rsid w:val="007679C9"/>
    <w:rsid w:val="00767A5E"/>
    <w:rsid w:val="00767AF5"/>
    <w:rsid w:val="00767DFC"/>
    <w:rsid w:val="00767E48"/>
    <w:rsid w:val="00770051"/>
    <w:rsid w:val="00770201"/>
    <w:rsid w:val="00770265"/>
    <w:rsid w:val="007702A1"/>
    <w:rsid w:val="00770634"/>
    <w:rsid w:val="007709AE"/>
    <w:rsid w:val="007709E6"/>
    <w:rsid w:val="00770B51"/>
    <w:rsid w:val="00770D44"/>
    <w:rsid w:val="00770F0C"/>
    <w:rsid w:val="00770FEF"/>
    <w:rsid w:val="007712F7"/>
    <w:rsid w:val="00771473"/>
    <w:rsid w:val="00771557"/>
    <w:rsid w:val="00771593"/>
    <w:rsid w:val="007716D3"/>
    <w:rsid w:val="007717D2"/>
    <w:rsid w:val="00771986"/>
    <w:rsid w:val="00771AA2"/>
    <w:rsid w:val="00771C62"/>
    <w:rsid w:val="00771F97"/>
    <w:rsid w:val="0077216C"/>
    <w:rsid w:val="00772224"/>
    <w:rsid w:val="00772576"/>
    <w:rsid w:val="0077280D"/>
    <w:rsid w:val="00772892"/>
    <w:rsid w:val="00772A70"/>
    <w:rsid w:val="00772A9B"/>
    <w:rsid w:val="00772C4B"/>
    <w:rsid w:val="00772C4F"/>
    <w:rsid w:val="00772C64"/>
    <w:rsid w:val="00772F30"/>
    <w:rsid w:val="007732E9"/>
    <w:rsid w:val="00773393"/>
    <w:rsid w:val="00773415"/>
    <w:rsid w:val="007734B6"/>
    <w:rsid w:val="00773746"/>
    <w:rsid w:val="0077382F"/>
    <w:rsid w:val="007739C3"/>
    <w:rsid w:val="00773A6C"/>
    <w:rsid w:val="00773BC8"/>
    <w:rsid w:val="00773E25"/>
    <w:rsid w:val="0077401C"/>
    <w:rsid w:val="00774230"/>
    <w:rsid w:val="007742BF"/>
    <w:rsid w:val="007743DB"/>
    <w:rsid w:val="007744ED"/>
    <w:rsid w:val="00774645"/>
    <w:rsid w:val="00774745"/>
    <w:rsid w:val="00774BFA"/>
    <w:rsid w:val="0077520E"/>
    <w:rsid w:val="0077520F"/>
    <w:rsid w:val="00775399"/>
    <w:rsid w:val="007759E3"/>
    <w:rsid w:val="00775CC9"/>
    <w:rsid w:val="007765B8"/>
    <w:rsid w:val="00776841"/>
    <w:rsid w:val="00776A64"/>
    <w:rsid w:val="00776A95"/>
    <w:rsid w:val="00776AF5"/>
    <w:rsid w:val="00776BA1"/>
    <w:rsid w:val="00776CC2"/>
    <w:rsid w:val="0077705C"/>
    <w:rsid w:val="00777301"/>
    <w:rsid w:val="0077742C"/>
    <w:rsid w:val="0077762A"/>
    <w:rsid w:val="00777725"/>
    <w:rsid w:val="00777AC1"/>
    <w:rsid w:val="00777F70"/>
    <w:rsid w:val="007804DF"/>
    <w:rsid w:val="00780548"/>
    <w:rsid w:val="00780599"/>
    <w:rsid w:val="00780907"/>
    <w:rsid w:val="0078090B"/>
    <w:rsid w:val="00780BDA"/>
    <w:rsid w:val="00780CC6"/>
    <w:rsid w:val="00781109"/>
    <w:rsid w:val="0078123D"/>
    <w:rsid w:val="007818F8"/>
    <w:rsid w:val="00781B10"/>
    <w:rsid w:val="00781BA7"/>
    <w:rsid w:val="00781C79"/>
    <w:rsid w:val="007820B5"/>
    <w:rsid w:val="007820EB"/>
    <w:rsid w:val="007823D8"/>
    <w:rsid w:val="0078250C"/>
    <w:rsid w:val="007825B3"/>
    <w:rsid w:val="00782B29"/>
    <w:rsid w:val="00782C25"/>
    <w:rsid w:val="00782C4C"/>
    <w:rsid w:val="007830AE"/>
    <w:rsid w:val="00783486"/>
    <w:rsid w:val="007834FB"/>
    <w:rsid w:val="00783615"/>
    <w:rsid w:val="00783617"/>
    <w:rsid w:val="00783AE9"/>
    <w:rsid w:val="00783CE0"/>
    <w:rsid w:val="0078404C"/>
    <w:rsid w:val="00784152"/>
    <w:rsid w:val="00784232"/>
    <w:rsid w:val="00784314"/>
    <w:rsid w:val="0078449C"/>
    <w:rsid w:val="007849BB"/>
    <w:rsid w:val="00784CD5"/>
    <w:rsid w:val="00784D30"/>
    <w:rsid w:val="00784D49"/>
    <w:rsid w:val="00784F10"/>
    <w:rsid w:val="00784FFC"/>
    <w:rsid w:val="00785118"/>
    <w:rsid w:val="0078524F"/>
    <w:rsid w:val="0078545D"/>
    <w:rsid w:val="00785533"/>
    <w:rsid w:val="007855DA"/>
    <w:rsid w:val="007857E8"/>
    <w:rsid w:val="007858F4"/>
    <w:rsid w:val="00785A74"/>
    <w:rsid w:val="00785D3D"/>
    <w:rsid w:val="00785DA2"/>
    <w:rsid w:val="00785E21"/>
    <w:rsid w:val="0078627D"/>
    <w:rsid w:val="007862C6"/>
    <w:rsid w:val="00786317"/>
    <w:rsid w:val="00786348"/>
    <w:rsid w:val="007864C3"/>
    <w:rsid w:val="00786521"/>
    <w:rsid w:val="0078654B"/>
    <w:rsid w:val="00786573"/>
    <w:rsid w:val="007865D6"/>
    <w:rsid w:val="0078660E"/>
    <w:rsid w:val="00786668"/>
    <w:rsid w:val="00786B3A"/>
    <w:rsid w:val="00787959"/>
    <w:rsid w:val="00787A0E"/>
    <w:rsid w:val="00787A3F"/>
    <w:rsid w:val="00787B74"/>
    <w:rsid w:val="00787BDB"/>
    <w:rsid w:val="00787E12"/>
    <w:rsid w:val="007906C9"/>
    <w:rsid w:val="00790C01"/>
    <w:rsid w:val="00790F5B"/>
    <w:rsid w:val="00790F5E"/>
    <w:rsid w:val="00791009"/>
    <w:rsid w:val="007912A1"/>
    <w:rsid w:val="0079133E"/>
    <w:rsid w:val="00791526"/>
    <w:rsid w:val="0079186C"/>
    <w:rsid w:val="00791886"/>
    <w:rsid w:val="00791998"/>
    <w:rsid w:val="007919A7"/>
    <w:rsid w:val="00791B40"/>
    <w:rsid w:val="00791FFE"/>
    <w:rsid w:val="007924CA"/>
    <w:rsid w:val="0079257B"/>
    <w:rsid w:val="00792710"/>
    <w:rsid w:val="007929D1"/>
    <w:rsid w:val="007929DB"/>
    <w:rsid w:val="00792AFD"/>
    <w:rsid w:val="00792DDD"/>
    <w:rsid w:val="007933B4"/>
    <w:rsid w:val="007933F7"/>
    <w:rsid w:val="0079378E"/>
    <w:rsid w:val="00793A88"/>
    <w:rsid w:val="00793BF9"/>
    <w:rsid w:val="00793D95"/>
    <w:rsid w:val="00793F08"/>
    <w:rsid w:val="00794282"/>
    <w:rsid w:val="007942C4"/>
    <w:rsid w:val="007943EE"/>
    <w:rsid w:val="007947EF"/>
    <w:rsid w:val="0079554F"/>
    <w:rsid w:val="00795598"/>
    <w:rsid w:val="0079576A"/>
    <w:rsid w:val="00795825"/>
    <w:rsid w:val="00795E42"/>
    <w:rsid w:val="007961CB"/>
    <w:rsid w:val="00796496"/>
    <w:rsid w:val="00796627"/>
    <w:rsid w:val="007968D8"/>
    <w:rsid w:val="00796CE1"/>
    <w:rsid w:val="007971C2"/>
    <w:rsid w:val="0079727F"/>
    <w:rsid w:val="0079734E"/>
    <w:rsid w:val="00797469"/>
    <w:rsid w:val="007974C7"/>
    <w:rsid w:val="007977A0"/>
    <w:rsid w:val="007977A7"/>
    <w:rsid w:val="00797A10"/>
    <w:rsid w:val="00797A39"/>
    <w:rsid w:val="00797B34"/>
    <w:rsid w:val="007A0376"/>
    <w:rsid w:val="007A0612"/>
    <w:rsid w:val="007A0822"/>
    <w:rsid w:val="007A0843"/>
    <w:rsid w:val="007A08DA"/>
    <w:rsid w:val="007A0C86"/>
    <w:rsid w:val="007A0D50"/>
    <w:rsid w:val="007A10FF"/>
    <w:rsid w:val="007A1164"/>
    <w:rsid w:val="007A149E"/>
    <w:rsid w:val="007A1A88"/>
    <w:rsid w:val="007A1B21"/>
    <w:rsid w:val="007A1DCC"/>
    <w:rsid w:val="007A1EBB"/>
    <w:rsid w:val="007A2141"/>
    <w:rsid w:val="007A2433"/>
    <w:rsid w:val="007A26CA"/>
    <w:rsid w:val="007A2D3E"/>
    <w:rsid w:val="007A2E33"/>
    <w:rsid w:val="007A300F"/>
    <w:rsid w:val="007A3430"/>
    <w:rsid w:val="007A3445"/>
    <w:rsid w:val="007A3980"/>
    <w:rsid w:val="007A3BA5"/>
    <w:rsid w:val="007A3BBF"/>
    <w:rsid w:val="007A41CD"/>
    <w:rsid w:val="007A4400"/>
    <w:rsid w:val="007A4495"/>
    <w:rsid w:val="007A46DB"/>
    <w:rsid w:val="007A4A3B"/>
    <w:rsid w:val="007A4A53"/>
    <w:rsid w:val="007A4B3A"/>
    <w:rsid w:val="007A4C6A"/>
    <w:rsid w:val="007A4ED7"/>
    <w:rsid w:val="007A50DA"/>
    <w:rsid w:val="007A52AD"/>
    <w:rsid w:val="007A5725"/>
    <w:rsid w:val="007A58B9"/>
    <w:rsid w:val="007A58D3"/>
    <w:rsid w:val="007A59E8"/>
    <w:rsid w:val="007A5A1E"/>
    <w:rsid w:val="007A60AE"/>
    <w:rsid w:val="007A6249"/>
    <w:rsid w:val="007A63E0"/>
    <w:rsid w:val="007A648D"/>
    <w:rsid w:val="007A654B"/>
    <w:rsid w:val="007A6596"/>
    <w:rsid w:val="007A65A4"/>
    <w:rsid w:val="007A6784"/>
    <w:rsid w:val="007A6960"/>
    <w:rsid w:val="007A6BB3"/>
    <w:rsid w:val="007A718E"/>
    <w:rsid w:val="007A72BA"/>
    <w:rsid w:val="007A734B"/>
    <w:rsid w:val="007A74BB"/>
    <w:rsid w:val="007A77D9"/>
    <w:rsid w:val="007A7B69"/>
    <w:rsid w:val="007B0112"/>
    <w:rsid w:val="007B015E"/>
    <w:rsid w:val="007B03AA"/>
    <w:rsid w:val="007B04C2"/>
    <w:rsid w:val="007B04EE"/>
    <w:rsid w:val="007B07DA"/>
    <w:rsid w:val="007B08B6"/>
    <w:rsid w:val="007B090E"/>
    <w:rsid w:val="007B0A56"/>
    <w:rsid w:val="007B0AEE"/>
    <w:rsid w:val="007B0CE9"/>
    <w:rsid w:val="007B0E31"/>
    <w:rsid w:val="007B101D"/>
    <w:rsid w:val="007B113F"/>
    <w:rsid w:val="007B122E"/>
    <w:rsid w:val="007B12DA"/>
    <w:rsid w:val="007B12E0"/>
    <w:rsid w:val="007B14B2"/>
    <w:rsid w:val="007B1855"/>
    <w:rsid w:val="007B189B"/>
    <w:rsid w:val="007B1BB2"/>
    <w:rsid w:val="007B1BD9"/>
    <w:rsid w:val="007B1CD9"/>
    <w:rsid w:val="007B1D11"/>
    <w:rsid w:val="007B1E5D"/>
    <w:rsid w:val="007B22CB"/>
    <w:rsid w:val="007B24A9"/>
    <w:rsid w:val="007B26CD"/>
    <w:rsid w:val="007B2813"/>
    <w:rsid w:val="007B28BE"/>
    <w:rsid w:val="007B2CCE"/>
    <w:rsid w:val="007B2D2A"/>
    <w:rsid w:val="007B2E1C"/>
    <w:rsid w:val="007B3199"/>
    <w:rsid w:val="007B334B"/>
    <w:rsid w:val="007B360B"/>
    <w:rsid w:val="007B376B"/>
    <w:rsid w:val="007B384D"/>
    <w:rsid w:val="007B3A48"/>
    <w:rsid w:val="007B3BD3"/>
    <w:rsid w:val="007B3C11"/>
    <w:rsid w:val="007B3EED"/>
    <w:rsid w:val="007B4092"/>
    <w:rsid w:val="007B40C1"/>
    <w:rsid w:val="007B40C4"/>
    <w:rsid w:val="007B4539"/>
    <w:rsid w:val="007B4891"/>
    <w:rsid w:val="007B4938"/>
    <w:rsid w:val="007B49A3"/>
    <w:rsid w:val="007B4A82"/>
    <w:rsid w:val="007B4BCF"/>
    <w:rsid w:val="007B4D21"/>
    <w:rsid w:val="007B4F40"/>
    <w:rsid w:val="007B4F43"/>
    <w:rsid w:val="007B597C"/>
    <w:rsid w:val="007B5ABC"/>
    <w:rsid w:val="007B5E32"/>
    <w:rsid w:val="007B6105"/>
    <w:rsid w:val="007B6129"/>
    <w:rsid w:val="007B624B"/>
    <w:rsid w:val="007B628E"/>
    <w:rsid w:val="007B63A3"/>
    <w:rsid w:val="007B65C2"/>
    <w:rsid w:val="007B6741"/>
    <w:rsid w:val="007B6913"/>
    <w:rsid w:val="007B6AD6"/>
    <w:rsid w:val="007B6CE7"/>
    <w:rsid w:val="007B6D09"/>
    <w:rsid w:val="007B6E79"/>
    <w:rsid w:val="007B71E6"/>
    <w:rsid w:val="007B7215"/>
    <w:rsid w:val="007B7285"/>
    <w:rsid w:val="007B73C4"/>
    <w:rsid w:val="007B74A0"/>
    <w:rsid w:val="007B7618"/>
    <w:rsid w:val="007B7697"/>
    <w:rsid w:val="007B7806"/>
    <w:rsid w:val="007B79B6"/>
    <w:rsid w:val="007B7BA1"/>
    <w:rsid w:val="007B7D0B"/>
    <w:rsid w:val="007B7F2F"/>
    <w:rsid w:val="007B7F86"/>
    <w:rsid w:val="007C016E"/>
    <w:rsid w:val="007C036F"/>
    <w:rsid w:val="007C0455"/>
    <w:rsid w:val="007C0B03"/>
    <w:rsid w:val="007C0CE1"/>
    <w:rsid w:val="007C0F82"/>
    <w:rsid w:val="007C1251"/>
    <w:rsid w:val="007C1431"/>
    <w:rsid w:val="007C149F"/>
    <w:rsid w:val="007C1509"/>
    <w:rsid w:val="007C1DE6"/>
    <w:rsid w:val="007C20F9"/>
    <w:rsid w:val="007C2143"/>
    <w:rsid w:val="007C21AD"/>
    <w:rsid w:val="007C2527"/>
    <w:rsid w:val="007C256E"/>
    <w:rsid w:val="007C2FC1"/>
    <w:rsid w:val="007C3142"/>
    <w:rsid w:val="007C31D3"/>
    <w:rsid w:val="007C3304"/>
    <w:rsid w:val="007C3471"/>
    <w:rsid w:val="007C34B8"/>
    <w:rsid w:val="007C3738"/>
    <w:rsid w:val="007C3810"/>
    <w:rsid w:val="007C3AFF"/>
    <w:rsid w:val="007C3B0A"/>
    <w:rsid w:val="007C3C49"/>
    <w:rsid w:val="007C3DD1"/>
    <w:rsid w:val="007C3DE0"/>
    <w:rsid w:val="007C3EBB"/>
    <w:rsid w:val="007C3F69"/>
    <w:rsid w:val="007C41E4"/>
    <w:rsid w:val="007C461D"/>
    <w:rsid w:val="007C46A1"/>
    <w:rsid w:val="007C4AFC"/>
    <w:rsid w:val="007C4B9B"/>
    <w:rsid w:val="007C4C07"/>
    <w:rsid w:val="007C4E38"/>
    <w:rsid w:val="007C4F30"/>
    <w:rsid w:val="007C4FE0"/>
    <w:rsid w:val="007C51B5"/>
    <w:rsid w:val="007C5B48"/>
    <w:rsid w:val="007C5D47"/>
    <w:rsid w:val="007C5E34"/>
    <w:rsid w:val="007C6192"/>
    <w:rsid w:val="007C6353"/>
    <w:rsid w:val="007C673B"/>
    <w:rsid w:val="007C6833"/>
    <w:rsid w:val="007C6A7B"/>
    <w:rsid w:val="007C6A8E"/>
    <w:rsid w:val="007C6B70"/>
    <w:rsid w:val="007C6BF5"/>
    <w:rsid w:val="007C6CF4"/>
    <w:rsid w:val="007C6EF1"/>
    <w:rsid w:val="007C6F1C"/>
    <w:rsid w:val="007C6F64"/>
    <w:rsid w:val="007C7BE8"/>
    <w:rsid w:val="007C7C0C"/>
    <w:rsid w:val="007D002F"/>
    <w:rsid w:val="007D01DC"/>
    <w:rsid w:val="007D0512"/>
    <w:rsid w:val="007D052F"/>
    <w:rsid w:val="007D053D"/>
    <w:rsid w:val="007D0566"/>
    <w:rsid w:val="007D0ADF"/>
    <w:rsid w:val="007D100B"/>
    <w:rsid w:val="007D1139"/>
    <w:rsid w:val="007D1358"/>
    <w:rsid w:val="007D1559"/>
    <w:rsid w:val="007D1B3E"/>
    <w:rsid w:val="007D1D61"/>
    <w:rsid w:val="007D2022"/>
    <w:rsid w:val="007D21D8"/>
    <w:rsid w:val="007D288D"/>
    <w:rsid w:val="007D29F6"/>
    <w:rsid w:val="007D2E0C"/>
    <w:rsid w:val="007D2E59"/>
    <w:rsid w:val="007D2FDE"/>
    <w:rsid w:val="007D32DE"/>
    <w:rsid w:val="007D35A0"/>
    <w:rsid w:val="007D3666"/>
    <w:rsid w:val="007D3934"/>
    <w:rsid w:val="007D3A07"/>
    <w:rsid w:val="007D3B8C"/>
    <w:rsid w:val="007D3F8C"/>
    <w:rsid w:val="007D419A"/>
    <w:rsid w:val="007D41DE"/>
    <w:rsid w:val="007D4745"/>
    <w:rsid w:val="007D4A28"/>
    <w:rsid w:val="007D4B38"/>
    <w:rsid w:val="007D4E56"/>
    <w:rsid w:val="007D51BE"/>
    <w:rsid w:val="007D553C"/>
    <w:rsid w:val="007D555B"/>
    <w:rsid w:val="007D57A1"/>
    <w:rsid w:val="007D5823"/>
    <w:rsid w:val="007D58DE"/>
    <w:rsid w:val="007D5A8A"/>
    <w:rsid w:val="007D5D79"/>
    <w:rsid w:val="007D5F33"/>
    <w:rsid w:val="007D6515"/>
    <w:rsid w:val="007D65EB"/>
    <w:rsid w:val="007D66A8"/>
    <w:rsid w:val="007D6708"/>
    <w:rsid w:val="007D6769"/>
    <w:rsid w:val="007D6B86"/>
    <w:rsid w:val="007D6C39"/>
    <w:rsid w:val="007D711A"/>
    <w:rsid w:val="007D73A0"/>
    <w:rsid w:val="007D7500"/>
    <w:rsid w:val="007D750F"/>
    <w:rsid w:val="007D75C6"/>
    <w:rsid w:val="007D79A1"/>
    <w:rsid w:val="007D7A47"/>
    <w:rsid w:val="007D7E25"/>
    <w:rsid w:val="007D7E75"/>
    <w:rsid w:val="007E0330"/>
    <w:rsid w:val="007E03A1"/>
    <w:rsid w:val="007E03EC"/>
    <w:rsid w:val="007E0770"/>
    <w:rsid w:val="007E07CE"/>
    <w:rsid w:val="007E0993"/>
    <w:rsid w:val="007E0B96"/>
    <w:rsid w:val="007E0E01"/>
    <w:rsid w:val="007E0E66"/>
    <w:rsid w:val="007E11DD"/>
    <w:rsid w:val="007E15CE"/>
    <w:rsid w:val="007E17DF"/>
    <w:rsid w:val="007E1A3F"/>
    <w:rsid w:val="007E1D46"/>
    <w:rsid w:val="007E1E48"/>
    <w:rsid w:val="007E21E0"/>
    <w:rsid w:val="007E227B"/>
    <w:rsid w:val="007E22BF"/>
    <w:rsid w:val="007E23EC"/>
    <w:rsid w:val="007E24F4"/>
    <w:rsid w:val="007E2861"/>
    <w:rsid w:val="007E288A"/>
    <w:rsid w:val="007E2B1E"/>
    <w:rsid w:val="007E2B37"/>
    <w:rsid w:val="007E316F"/>
    <w:rsid w:val="007E3258"/>
    <w:rsid w:val="007E3295"/>
    <w:rsid w:val="007E32F1"/>
    <w:rsid w:val="007E3315"/>
    <w:rsid w:val="007E3669"/>
    <w:rsid w:val="007E37E8"/>
    <w:rsid w:val="007E39FC"/>
    <w:rsid w:val="007E3A55"/>
    <w:rsid w:val="007E3AB1"/>
    <w:rsid w:val="007E3BF3"/>
    <w:rsid w:val="007E3CA3"/>
    <w:rsid w:val="007E3D1A"/>
    <w:rsid w:val="007E3DB6"/>
    <w:rsid w:val="007E3F4D"/>
    <w:rsid w:val="007E4248"/>
    <w:rsid w:val="007E4389"/>
    <w:rsid w:val="007E460B"/>
    <w:rsid w:val="007E48AA"/>
    <w:rsid w:val="007E4953"/>
    <w:rsid w:val="007E4FF1"/>
    <w:rsid w:val="007E5211"/>
    <w:rsid w:val="007E53C4"/>
    <w:rsid w:val="007E5539"/>
    <w:rsid w:val="007E5548"/>
    <w:rsid w:val="007E55E6"/>
    <w:rsid w:val="007E5886"/>
    <w:rsid w:val="007E59A8"/>
    <w:rsid w:val="007E5ACA"/>
    <w:rsid w:val="007E5D53"/>
    <w:rsid w:val="007E5F40"/>
    <w:rsid w:val="007E5FD1"/>
    <w:rsid w:val="007E602A"/>
    <w:rsid w:val="007E6350"/>
    <w:rsid w:val="007E6392"/>
    <w:rsid w:val="007E63F3"/>
    <w:rsid w:val="007E65B6"/>
    <w:rsid w:val="007E6697"/>
    <w:rsid w:val="007E66F3"/>
    <w:rsid w:val="007E6869"/>
    <w:rsid w:val="007E6D31"/>
    <w:rsid w:val="007E6F11"/>
    <w:rsid w:val="007E7142"/>
    <w:rsid w:val="007E7282"/>
    <w:rsid w:val="007E7465"/>
    <w:rsid w:val="007E7781"/>
    <w:rsid w:val="007E7D23"/>
    <w:rsid w:val="007E7D5B"/>
    <w:rsid w:val="007E7F39"/>
    <w:rsid w:val="007F00B4"/>
    <w:rsid w:val="007F03E1"/>
    <w:rsid w:val="007F0491"/>
    <w:rsid w:val="007F0647"/>
    <w:rsid w:val="007F06C4"/>
    <w:rsid w:val="007F0714"/>
    <w:rsid w:val="007F0EBF"/>
    <w:rsid w:val="007F1136"/>
    <w:rsid w:val="007F12D2"/>
    <w:rsid w:val="007F12FE"/>
    <w:rsid w:val="007F1479"/>
    <w:rsid w:val="007F169D"/>
    <w:rsid w:val="007F1718"/>
    <w:rsid w:val="007F171A"/>
    <w:rsid w:val="007F194E"/>
    <w:rsid w:val="007F1C3F"/>
    <w:rsid w:val="007F1D1A"/>
    <w:rsid w:val="007F2196"/>
    <w:rsid w:val="007F21C9"/>
    <w:rsid w:val="007F2227"/>
    <w:rsid w:val="007F22CC"/>
    <w:rsid w:val="007F24C9"/>
    <w:rsid w:val="007F2531"/>
    <w:rsid w:val="007F25DC"/>
    <w:rsid w:val="007F27AE"/>
    <w:rsid w:val="007F2A07"/>
    <w:rsid w:val="007F2B8E"/>
    <w:rsid w:val="007F2C26"/>
    <w:rsid w:val="007F2CBB"/>
    <w:rsid w:val="007F2D4E"/>
    <w:rsid w:val="007F2DEE"/>
    <w:rsid w:val="007F2E8D"/>
    <w:rsid w:val="007F3277"/>
    <w:rsid w:val="007F351E"/>
    <w:rsid w:val="007F37F4"/>
    <w:rsid w:val="007F3C82"/>
    <w:rsid w:val="007F3DB1"/>
    <w:rsid w:val="007F407A"/>
    <w:rsid w:val="007F44B1"/>
    <w:rsid w:val="007F45B8"/>
    <w:rsid w:val="007F46AA"/>
    <w:rsid w:val="007F482B"/>
    <w:rsid w:val="007F48E9"/>
    <w:rsid w:val="007F49E0"/>
    <w:rsid w:val="007F4C8D"/>
    <w:rsid w:val="007F4F59"/>
    <w:rsid w:val="007F5230"/>
    <w:rsid w:val="007F53A0"/>
    <w:rsid w:val="007F55AA"/>
    <w:rsid w:val="007F5625"/>
    <w:rsid w:val="007F5689"/>
    <w:rsid w:val="007F5900"/>
    <w:rsid w:val="007F5A2C"/>
    <w:rsid w:val="007F5D82"/>
    <w:rsid w:val="007F5EB5"/>
    <w:rsid w:val="007F5EFB"/>
    <w:rsid w:val="007F61F3"/>
    <w:rsid w:val="007F64AE"/>
    <w:rsid w:val="007F6604"/>
    <w:rsid w:val="007F6FD5"/>
    <w:rsid w:val="007F7348"/>
    <w:rsid w:val="007F7615"/>
    <w:rsid w:val="007F7629"/>
    <w:rsid w:val="007F7828"/>
    <w:rsid w:val="007F790C"/>
    <w:rsid w:val="007F799C"/>
    <w:rsid w:val="007F7AA9"/>
    <w:rsid w:val="007F7C86"/>
    <w:rsid w:val="007F7F05"/>
    <w:rsid w:val="008005AB"/>
    <w:rsid w:val="008005F8"/>
    <w:rsid w:val="0080066E"/>
    <w:rsid w:val="00800830"/>
    <w:rsid w:val="00800C8B"/>
    <w:rsid w:val="00800DDB"/>
    <w:rsid w:val="00800F67"/>
    <w:rsid w:val="008010CC"/>
    <w:rsid w:val="008010D6"/>
    <w:rsid w:val="0080127F"/>
    <w:rsid w:val="0080139E"/>
    <w:rsid w:val="00801658"/>
    <w:rsid w:val="008017D3"/>
    <w:rsid w:val="008018BA"/>
    <w:rsid w:val="00801966"/>
    <w:rsid w:val="00801AF3"/>
    <w:rsid w:val="00801BE9"/>
    <w:rsid w:val="00801D4A"/>
    <w:rsid w:val="00801E2A"/>
    <w:rsid w:val="00801FE6"/>
    <w:rsid w:val="00802241"/>
    <w:rsid w:val="008022B3"/>
    <w:rsid w:val="00802431"/>
    <w:rsid w:val="008028D1"/>
    <w:rsid w:val="008029D0"/>
    <w:rsid w:val="00802C89"/>
    <w:rsid w:val="00802CA1"/>
    <w:rsid w:val="00803014"/>
    <w:rsid w:val="0080307E"/>
    <w:rsid w:val="008034FD"/>
    <w:rsid w:val="008035E8"/>
    <w:rsid w:val="00803AFF"/>
    <w:rsid w:val="00803E06"/>
    <w:rsid w:val="0080427B"/>
    <w:rsid w:val="008042AB"/>
    <w:rsid w:val="008042EA"/>
    <w:rsid w:val="008044E4"/>
    <w:rsid w:val="0080476D"/>
    <w:rsid w:val="0080491B"/>
    <w:rsid w:val="00804A14"/>
    <w:rsid w:val="00804A68"/>
    <w:rsid w:val="00805185"/>
    <w:rsid w:val="008054AA"/>
    <w:rsid w:val="008054D1"/>
    <w:rsid w:val="008056D3"/>
    <w:rsid w:val="00805C3B"/>
    <w:rsid w:val="00805CBF"/>
    <w:rsid w:val="00805E6D"/>
    <w:rsid w:val="00806547"/>
    <w:rsid w:val="00806604"/>
    <w:rsid w:val="00806655"/>
    <w:rsid w:val="008066CA"/>
    <w:rsid w:val="00806862"/>
    <w:rsid w:val="00806974"/>
    <w:rsid w:val="00806F96"/>
    <w:rsid w:val="00807131"/>
    <w:rsid w:val="008072DC"/>
    <w:rsid w:val="00807500"/>
    <w:rsid w:val="008076F9"/>
    <w:rsid w:val="00807C33"/>
    <w:rsid w:val="00810028"/>
    <w:rsid w:val="008100DA"/>
    <w:rsid w:val="0081030C"/>
    <w:rsid w:val="0081031E"/>
    <w:rsid w:val="00810432"/>
    <w:rsid w:val="00810977"/>
    <w:rsid w:val="00810B6F"/>
    <w:rsid w:val="00810BF3"/>
    <w:rsid w:val="00810C5C"/>
    <w:rsid w:val="0081106B"/>
    <w:rsid w:val="00811100"/>
    <w:rsid w:val="0081119E"/>
    <w:rsid w:val="00811384"/>
    <w:rsid w:val="00811A2A"/>
    <w:rsid w:val="00811A81"/>
    <w:rsid w:val="00811C02"/>
    <w:rsid w:val="00811C8C"/>
    <w:rsid w:val="00812146"/>
    <w:rsid w:val="008121C5"/>
    <w:rsid w:val="008126E1"/>
    <w:rsid w:val="0081284A"/>
    <w:rsid w:val="00812867"/>
    <w:rsid w:val="00812C70"/>
    <w:rsid w:val="00812FD9"/>
    <w:rsid w:val="00813026"/>
    <w:rsid w:val="00813067"/>
    <w:rsid w:val="00813121"/>
    <w:rsid w:val="00813155"/>
    <w:rsid w:val="008135AB"/>
    <w:rsid w:val="00813651"/>
    <w:rsid w:val="00813A79"/>
    <w:rsid w:val="00813B7B"/>
    <w:rsid w:val="00813BC7"/>
    <w:rsid w:val="00813BDC"/>
    <w:rsid w:val="00813F11"/>
    <w:rsid w:val="0081424C"/>
    <w:rsid w:val="00814325"/>
    <w:rsid w:val="008144D8"/>
    <w:rsid w:val="0081455C"/>
    <w:rsid w:val="008145C3"/>
    <w:rsid w:val="00814854"/>
    <w:rsid w:val="00814984"/>
    <w:rsid w:val="0081505F"/>
    <w:rsid w:val="008150E9"/>
    <w:rsid w:val="008151D6"/>
    <w:rsid w:val="008155B9"/>
    <w:rsid w:val="008155DA"/>
    <w:rsid w:val="008159A4"/>
    <w:rsid w:val="00815AC9"/>
    <w:rsid w:val="00815B99"/>
    <w:rsid w:val="00815BB2"/>
    <w:rsid w:val="00815C12"/>
    <w:rsid w:val="00815CA9"/>
    <w:rsid w:val="00815CDF"/>
    <w:rsid w:val="00815CF4"/>
    <w:rsid w:val="00815CFE"/>
    <w:rsid w:val="00815D01"/>
    <w:rsid w:val="00815D2E"/>
    <w:rsid w:val="00815DA5"/>
    <w:rsid w:val="0081601C"/>
    <w:rsid w:val="008160DA"/>
    <w:rsid w:val="00816127"/>
    <w:rsid w:val="008163CD"/>
    <w:rsid w:val="008165A7"/>
    <w:rsid w:val="00816997"/>
    <w:rsid w:val="00816CF4"/>
    <w:rsid w:val="00816E82"/>
    <w:rsid w:val="00817372"/>
    <w:rsid w:val="008176AD"/>
    <w:rsid w:val="008176BA"/>
    <w:rsid w:val="00817701"/>
    <w:rsid w:val="00817997"/>
    <w:rsid w:val="00817C9F"/>
    <w:rsid w:val="00817E09"/>
    <w:rsid w:val="00817F32"/>
    <w:rsid w:val="00817F57"/>
    <w:rsid w:val="00820075"/>
    <w:rsid w:val="0082011A"/>
    <w:rsid w:val="00820187"/>
    <w:rsid w:val="00820524"/>
    <w:rsid w:val="0082071F"/>
    <w:rsid w:val="00820800"/>
    <w:rsid w:val="008209C4"/>
    <w:rsid w:val="00820FD2"/>
    <w:rsid w:val="0082138C"/>
    <w:rsid w:val="00821441"/>
    <w:rsid w:val="008214BB"/>
    <w:rsid w:val="00821C62"/>
    <w:rsid w:val="00821C9F"/>
    <w:rsid w:val="00821E56"/>
    <w:rsid w:val="00821E63"/>
    <w:rsid w:val="00821F4B"/>
    <w:rsid w:val="00822074"/>
    <w:rsid w:val="008225AB"/>
    <w:rsid w:val="00822C49"/>
    <w:rsid w:val="00822F7B"/>
    <w:rsid w:val="008231E0"/>
    <w:rsid w:val="008232E7"/>
    <w:rsid w:val="0082345D"/>
    <w:rsid w:val="00823872"/>
    <w:rsid w:val="00823974"/>
    <w:rsid w:val="00823996"/>
    <w:rsid w:val="00823CE0"/>
    <w:rsid w:val="00823D98"/>
    <w:rsid w:val="00823E9B"/>
    <w:rsid w:val="00824120"/>
    <w:rsid w:val="00824135"/>
    <w:rsid w:val="008242ED"/>
    <w:rsid w:val="00824629"/>
    <w:rsid w:val="00824936"/>
    <w:rsid w:val="00824BCD"/>
    <w:rsid w:val="00824BD8"/>
    <w:rsid w:val="00824D3C"/>
    <w:rsid w:val="00824E6A"/>
    <w:rsid w:val="00824EEA"/>
    <w:rsid w:val="00824EF8"/>
    <w:rsid w:val="00824F7E"/>
    <w:rsid w:val="0082508A"/>
    <w:rsid w:val="0082515C"/>
    <w:rsid w:val="00825170"/>
    <w:rsid w:val="00825412"/>
    <w:rsid w:val="008256CA"/>
    <w:rsid w:val="008256EB"/>
    <w:rsid w:val="008257FC"/>
    <w:rsid w:val="00825894"/>
    <w:rsid w:val="00825D49"/>
    <w:rsid w:val="00825DBC"/>
    <w:rsid w:val="00825F4C"/>
    <w:rsid w:val="00825FDE"/>
    <w:rsid w:val="00826122"/>
    <w:rsid w:val="008261E8"/>
    <w:rsid w:val="0082625F"/>
    <w:rsid w:val="008262FB"/>
    <w:rsid w:val="008264B1"/>
    <w:rsid w:val="008265BB"/>
    <w:rsid w:val="00826926"/>
    <w:rsid w:val="00826A0B"/>
    <w:rsid w:val="00826A6D"/>
    <w:rsid w:val="00826CAF"/>
    <w:rsid w:val="00826CC2"/>
    <w:rsid w:val="00826E5B"/>
    <w:rsid w:val="00826E5C"/>
    <w:rsid w:val="0082705A"/>
    <w:rsid w:val="0082712B"/>
    <w:rsid w:val="00827198"/>
    <w:rsid w:val="008271F5"/>
    <w:rsid w:val="0082728C"/>
    <w:rsid w:val="00827565"/>
    <w:rsid w:val="00827579"/>
    <w:rsid w:val="00827883"/>
    <w:rsid w:val="008279F7"/>
    <w:rsid w:val="00827DF5"/>
    <w:rsid w:val="00827FB5"/>
    <w:rsid w:val="008308E9"/>
    <w:rsid w:val="00830BC9"/>
    <w:rsid w:val="00830C41"/>
    <w:rsid w:val="00830EC4"/>
    <w:rsid w:val="008312A7"/>
    <w:rsid w:val="008315EC"/>
    <w:rsid w:val="00831A57"/>
    <w:rsid w:val="00831B15"/>
    <w:rsid w:val="00831B6E"/>
    <w:rsid w:val="00831C4D"/>
    <w:rsid w:val="00831CF5"/>
    <w:rsid w:val="00831E3F"/>
    <w:rsid w:val="00831E53"/>
    <w:rsid w:val="00832389"/>
    <w:rsid w:val="00832573"/>
    <w:rsid w:val="0083267C"/>
    <w:rsid w:val="008326CC"/>
    <w:rsid w:val="008326FF"/>
    <w:rsid w:val="008327C6"/>
    <w:rsid w:val="0083297B"/>
    <w:rsid w:val="00832B35"/>
    <w:rsid w:val="00832C89"/>
    <w:rsid w:val="00832D9B"/>
    <w:rsid w:val="00832E14"/>
    <w:rsid w:val="00832E23"/>
    <w:rsid w:val="00832FD7"/>
    <w:rsid w:val="00833303"/>
    <w:rsid w:val="0083363C"/>
    <w:rsid w:val="008338C2"/>
    <w:rsid w:val="00833936"/>
    <w:rsid w:val="00833956"/>
    <w:rsid w:val="00833EC7"/>
    <w:rsid w:val="0083473E"/>
    <w:rsid w:val="0083485F"/>
    <w:rsid w:val="008348B4"/>
    <w:rsid w:val="008348FC"/>
    <w:rsid w:val="00834AEC"/>
    <w:rsid w:val="00834BC7"/>
    <w:rsid w:val="00834D85"/>
    <w:rsid w:val="00834D86"/>
    <w:rsid w:val="00834DC0"/>
    <w:rsid w:val="00834EE9"/>
    <w:rsid w:val="0083508C"/>
    <w:rsid w:val="0083509D"/>
    <w:rsid w:val="00835127"/>
    <w:rsid w:val="00835136"/>
    <w:rsid w:val="008351CF"/>
    <w:rsid w:val="0083536D"/>
    <w:rsid w:val="00835798"/>
    <w:rsid w:val="0083579C"/>
    <w:rsid w:val="008357E6"/>
    <w:rsid w:val="00835946"/>
    <w:rsid w:val="00835AAF"/>
    <w:rsid w:val="00835ACD"/>
    <w:rsid w:val="00835B07"/>
    <w:rsid w:val="00835C3D"/>
    <w:rsid w:val="00835F20"/>
    <w:rsid w:val="00836471"/>
    <w:rsid w:val="00836784"/>
    <w:rsid w:val="008368C0"/>
    <w:rsid w:val="00836E3D"/>
    <w:rsid w:val="00837091"/>
    <w:rsid w:val="00837483"/>
    <w:rsid w:val="008374DF"/>
    <w:rsid w:val="00837725"/>
    <w:rsid w:val="00837793"/>
    <w:rsid w:val="00837A03"/>
    <w:rsid w:val="00837E10"/>
    <w:rsid w:val="00837E53"/>
    <w:rsid w:val="008403D9"/>
    <w:rsid w:val="00840497"/>
    <w:rsid w:val="008404AB"/>
    <w:rsid w:val="008404FB"/>
    <w:rsid w:val="00840577"/>
    <w:rsid w:val="008406B8"/>
    <w:rsid w:val="008406C3"/>
    <w:rsid w:val="008408CF"/>
    <w:rsid w:val="008408F8"/>
    <w:rsid w:val="008409D1"/>
    <w:rsid w:val="00840A2A"/>
    <w:rsid w:val="00840AEE"/>
    <w:rsid w:val="00840DC1"/>
    <w:rsid w:val="008410D7"/>
    <w:rsid w:val="008415E3"/>
    <w:rsid w:val="008417D5"/>
    <w:rsid w:val="00841836"/>
    <w:rsid w:val="00842054"/>
    <w:rsid w:val="0084216F"/>
    <w:rsid w:val="00842523"/>
    <w:rsid w:val="00842584"/>
    <w:rsid w:val="00842937"/>
    <w:rsid w:val="008429B7"/>
    <w:rsid w:val="00842E63"/>
    <w:rsid w:val="00842E98"/>
    <w:rsid w:val="00842FA1"/>
    <w:rsid w:val="00843270"/>
    <w:rsid w:val="00843646"/>
    <w:rsid w:val="00843A44"/>
    <w:rsid w:val="00843A8C"/>
    <w:rsid w:val="00843C71"/>
    <w:rsid w:val="00843D91"/>
    <w:rsid w:val="00843EB5"/>
    <w:rsid w:val="00844193"/>
    <w:rsid w:val="008442D8"/>
    <w:rsid w:val="00844476"/>
    <w:rsid w:val="0084455B"/>
    <w:rsid w:val="0084458E"/>
    <w:rsid w:val="0084465E"/>
    <w:rsid w:val="0084476A"/>
    <w:rsid w:val="00844A2E"/>
    <w:rsid w:val="00844A66"/>
    <w:rsid w:val="00844E29"/>
    <w:rsid w:val="00844E6D"/>
    <w:rsid w:val="00844F67"/>
    <w:rsid w:val="00845021"/>
    <w:rsid w:val="00845052"/>
    <w:rsid w:val="00845104"/>
    <w:rsid w:val="008453AE"/>
    <w:rsid w:val="008453D8"/>
    <w:rsid w:val="008455DC"/>
    <w:rsid w:val="00845732"/>
    <w:rsid w:val="00845C15"/>
    <w:rsid w:val="00845D6C"/>
    <w:rsid w:val="00845FC4"/>
    <w:rsid w:val="0084625C"/>
    <w:rsid w:val="00846442"/>
    <w:rsid w:val="00846450"/>
    <w:rsid w:val="008466B6"/>
    <w:rsid w:val="008466D5"/>
    <w:rsid w:val="0084687B"/>
    <w:rsid w:val="008469D7"/>
    <w:rsid w:val="00846A74"/>
    <w:rsid w:val="00846ACC"/>
    <w:rsid w:val="00846BD7"/>
    <w:rsid w:val="00846DA2"/>
    <w:rsid w:val="00846F15"/>
    <w:rsid w:val="00847003"/>
    <w:rsid w:val="00847154"/>
    <w:rsid w:val="00847314"/>
    <w:rsid w:val="0084736D"/>
    <w:rsid w:val="008478B1"/>
    <w:rsid w:val="008478F3"/>
    <w:rsid w:val="00847919"/>
    <w:rsid w:val="00847E6A"/>
    <w:rsid w:val="0085010D"/>
    <w:rsid w:val="00850171"/>
    <w:rsid w:val="00850181"/>
    <w:rsid w:val="008503F4"/>
    <w:rsid w:val="00850419"/>
    <w:rsid w:val="008504B1"/>
    <w:rsid w:val="008504E3"/>
    <w:rsid w:val="0085055B"/>
    <w:rsid w:val="008505DF"/>
    <w:rsid w:val="00850A21"/>
    <w:rsid w:val="00850A7D"/>
    <w:rsid w:val="00850E89"/>
    <w:rsid w:val="00851170"/>
    <w:rsid w:val="008511E3"/>
    <w:rsid w:val="00851681"/>
    <w:rsid w:val="008519D8"/>
    <w:rsid w:val="00851E51"/>
    <w:rsid w:val="00851E73"/>
    <w:rsid w:val="008521DF"/>
    <w:rsid w:val="008522A2"/>
    <w:rsid w:val="00852A05"/>
    <w:rsid w:val="00852A96"/>
    <w:rsid w:val="00852BB2"/>
    <w:rsid w:val="00852BE7"/>
    <w:rsid w:val="00853513"/>
    <w:rsid w:val="00853772"/>
    <w:rsid w:val="008537A4"/>
    <w:rsid w:val="00853829"/>
    <w:rsid w:val="00853B28"/>
    <w:rsid w:val="00853F8A"/>
    <w:rsid w:val="00854252"/>
    <w:rsid w:val="00854765"/>
    <w:rsid w:val="00854A09"/>
    <w:rsid w:val="00854B84"/>
    <w:rsid w:val="00854C14"/>
    <w:rsid w:val="00854C71"/>
    <w:rsid w:val="00854DC1"/>
    <w:rsid w:val="00854FC5"/>
    <w:rsid w:val="0085509C"/>
    <w:rsid w:val="00855345"/>
    <w:rsid w:val="00855699"/>
    <w:rsid w:val="008556AA"/>
    <w:rsid w:val="008558B6"/>
    <w:rsid w:val="008559CD"/>
    <w:rsid w:val="00855A51"/>
    <w:rsid w:val="00855C85"/>
    <w:rsid w:val="00855D18"/>
    <w:rsid w:val="00855E1A"/>
    <w:rsid w:val="00855F02"/>
    <w:rsid w:val="00855FDB"/>
    <w:rsid w:val="008562DC"/>
    <w:rsid w:val="008567D4"/>
    <w:rsid w:val="008568C6"/>
    <w:rsid w:val="008569F3"/>
    <w:rsid w:val="00856B95"/>
    <w:rsid w:val="0085712D"/>
    <w:rsid w:val="0085713B"/>
    <w:rsid w:val="0085713E"/>
    <w:rsid w:val="0085713F"/>
    <w:rsid w:val="00857171"/>
    <w:rsid w:val="008571A1"/>
    <w:rsid w:val="0085767D"/>
    <w:rsid w:val="008576D1"/>
    <w:rsid w:val="0085772E"/>
    <w:rsid w:val="008577D5"/>
    <w:rsid w:val="00857C55"/>
    <w:rsid w:val="00857C93"/>
    <w:rsid w:val="00857F29"/>
    <w:rsid w:val="00857F65"/>
    <w:rsid w:val="00860053"/>
    <w:rsid w:val="008601F6"/>
    <w:rsid w:val="0086032B"/>
    <w:rsid w:val="00860B99"/>
    <w:rsid w:val="00861084"/>
    <w:rsid w:val="008615ED"/>
    <w:rsid w:val="00861668"/>
    <w:rsid w:val="0086186B"/>
    <w:rsid w:val="00861C7D"/>
    <w:rsid w:val="008620F9"/>
    <w:rsid w:val="00862145"/>
    <w:rsid w:val="00862460"/>
    <w:rsid w:val="00862463"/>
    <w:rsid w:val="00862520"/>
    <w:rsid w:val="00862687"/>
    <w:rsid w:val="0086283C"/>
    <w:rsid w:val="00862DE8"/>
    <w:rsid w:val="00862E34"/>
    <w:rsid w:val="0086302B"/>
    <w:rsid w:val="00863166"/>
    <w:rsid w:val="00863289"/>
    <w:rsid w:val="00863452"/>
    <w:rsid w:val="00863AFC"/>
    <w:rsid w:val="00863F33"/>
    <w:rsid w:val="00863FD0"/>
    <w:rsid w:val="00864457"/>
    <w:rsid w:val="008646A7"/>
    <w:rsid w:val="0086484E"/>
    <w:rsid w:val="00864B56"/>
    <w:rsid w:val="008652B3"/>
    <w:rsid w:val="0086543C"/>
    <w:rsid w:val="008654B2"/>
    <w:rsid w:val="008658FD"/>
    <w:rsid w:val="00865CE9"/>
    <w:rsid w:val="008660F0"/>
    <w:rsid w:val="008662E4"/>
    <w:rsid w:val="00866311"/>
    <w:rsid w:val="00866357"/>
    <w:rsid w:val="00866368"/>
    <w:rsid w:val="00866556"/>
    <w:rsid w:val="00866602"/>
    <w:rsid w:val="00866604"/>
    <w:rsid w:val="00866879"/>
    <w:rsid w:val="00866BCF"/>
    <w:rsid w:val="00866F37"/>
    <w:rsid w:val="008670D5"/>
    <w:rsid w:val="008672E6"/>
    <w:rsid w:val="0086732C"/>
    <w:rsid w:val="008673A1"/>
    <w:rsid w:val="008675A7"/>
    <w:rsid w:val="008678B7"/>
    <w:rsid w:val="008679D5"/>
    <w:rsid w:val="00867D09"/>
    <w:rsid w:val="00867E80"/>
    <w:rsid w:val="00867FF9"/>
    <w:rsid w:val="0087037C"/>
    <w:rsid w:val="008703BF"/>
    <w:rsid w:val="0087048A"/>
    <w:rsid w:val="00870978"/>
    <w:rsid w:val="00870AAD"/>
    <w:rsid w:val="00870B2A"/>
    <w:rsid w:val="00871669"/>
    <w:rsid w:val="008718B8"/>
    <w:rsid w:val="00871B42"/>
    <w:rsid w:val="00871B47"/>
    <w:rsid w:val="00872019"/>
    <w:rsid w:val="008722D2"/>
    <w:rsid w:val="0087239F"/>
    <w:rsid w:val="008724DC"/>
    <w:rsid w:val="008725A5"/>
    <w:rsid w:val="0087298E"/>
    <w:rsid w:val="00872A0F"/>
    <w:rsid w:val="00872A61"/>
    <w:rsid w:val="00872B55"/>
    <w:rsid w:val="00872E3C"/>
    <w:rsid w:val="00872FA5"/>
    <w:rsid w:val="008731B9"/>
    <w:rsid w:val="00873232"/>
    <w:rsid w:val="00873248"/>
    <w:rsid w:val="00873397"/>
    <w:rsid w:val="00873448"/>
    <w:rsid w:val="0087367F"/>
    <w:rsid w:val="00873837"/>
    <w:rsid w:val="00873A90"/>
    <w:rsid w:val="00873D72"/>
    <w:rsid w:val="00873E5D"/>
    <w:rsid w:val="0087432C"/>
    <w:rsid w:val="0087435C"/>
    <w:rsid w:val="00874818"/>
    <w:rsid w:val="00874BFB"/>
    <w:rsid w:val="00874C53"/>
    <w:rsid w:val="00875071"/>
    <w:rsid w:val="008753BC"/>
    <w:rsid w:val="00875479"/>
    <w:rsid w:val="008754A6"/>
    <w:rsid w:val="008756BB"/>
    <w:rsid w:val="00875A87"/>
    <w:rsid w:val="00876382"/>
    <w:rsid w:val="008764D1"/>
    <w:rsid w:val="00876764"/>
    <w:rsid w:val="00876CFE"/>
    <w:rsid w:val="00876DFE"/>
    <w:rsid w:val="008770AD"/>
    <w:rsid w:val="00877149"/>
    <w:rsid w:val="00877307"/>
    <w:rsid w:val="00877441"/>
    <w:rsid w:val="00877631"/>
    <w:rsid w:val="0087785F"/>
    <w:rsid w:val="008778ED"/>
    <w:rsid w:val="00877A43"/>
    <w:rsid w:val="00877B0D"/>
    <w:rsid w:val="00877CF6"/>
    <w:rsid w:val="00877E05"/>
    <w:rsid w:val="0088009D"/>
    <w:rsid w:val="008800F7"/>
    <w:rsid w:val="008801B1"/>
    <w:rsid w:val="008805F5"/>
    <w:rsid w:val="008807AA"/>
    <w:rsid w:val="008809BB"/>
    <w:rsid w:val="00880A14"/>
    <w:rsid w:val="00880BCD"/>
    <w:rsid w:val="00880EA7"/>
    <w:rsid w:val="00880F4D"/>
    <w:rsid w:val="00880FC7"/>
    <w:rsid w:val="00881255"/>
    <w:rsid w:val="00881669"/>
    <w:rsid w:val="0088167A"/>
    <w:rsid w:val="008816A2"/>
    <w:rsid w:val="008816BF"/>
    <w:rsid w:val="008819A0"/>
    <w:rsid w:val="00881A0E"/>
    <w:rsid w:val="00881BCA"/>
    <w:rsid w:val="00881C78"/>
    <w:rsid w:val="00881EFD"/>
    <w:rsid w:val="008820D2"/>
    <w:rsid w:val="00882114"/>
    <w:rsid w:val="008824E4"/>
    <w:rsid w:val="00882C9F"/>
    <w:rsid w:val="00882E12"/>
    <w:rsid w:val="00882E18"/>
    <w:rsid w:val="00882E42"/>
    <w:rsid w:val="0088304C"/>
    <w:rsid w:val="00883080"/>
    <w:rsid w:val="008832F4"/>
    <w:rsid w:val="00883589"/>
    <w:rsid w:val="008836D8"/>
    <w:rsid w:val="00883763"/>
    <w:rsid w:val="008837E7"/>
    <w:rsid w:val="00883930"/>
    <w:rsid w:val="00883A30"/>
    <w:rsid w:val="00883EA2"/>
    <w:rsid w:val="00883F95"/>
    <w:rsid w:val="0088430E"/>
    <w:rsid w:val="0088439A"/>
    <w:rsid w:val="008848FA"/>
    <w:rsid w:val="0088493A"/>
    <w:rsid w:val="00884A8E"/>
    <w:rsid w:val="00884B8B"/>
    <w:rsid w:val="00884EC8"/>
    <w:rsid w:val="0088502A"/>
    <w:rsid w:val="0088510C"/>
    <w:rsid w:val="0088518B"/>
    <w:rsid w:val="0088531E"/>
    <w:rsid w:val="008853BF"/>
    <w:rsid w:val="00885B7A"/>
    <w:rsid w:val="00885B7E"/>
    <w:rsid w:val="00885C83"/>
    <w:rsid w:val="00885F89"/>
    <w:rsid w:val="0088603A"/>
    <w:rsid w:val="008865EC"/>
    <w:rsid w:val="00886762"/>
    <w:rsid w:val="00886B9C"/>
    <w:rsid w:val="00887036"/>
    <w:rsid w:val="008871CD"/>
    <w:rsid w:val="008872EA"/>
    <w:rsid w:val="008872FA"/>
    <w:rsid w:val="00887468"/>
    <w:rsid w:val="00887647"/>
    <w:rsid w:val="008876FD"/>
    <w:rsid w:val="00887CB1"/>
    <w:rsid w:val="00887D27"/>
    <w:rsid w:val="00887EF3"/>
    <w:rsid w:val="00887FD0"/>
    <w:rsid w:val="008901EB"/>
    <w:rsid w:val="00890286"/>
    <w:rsid w:val="008902FC"/>
    <w:rsid w:val="008906D4"/>
    <w:rsid w:val="008907B5"/>
    <w:rsid w:val="00890870"/>
    <w:rsid w:val="0089099C"/>
    <w:rsid w:val="00890B39"/>
    <w:rsid w:val="00890D2A"/>
    <w:rsid w:val="00890EEE"/>
    <w:rsid w:val="00891410"/>
    <w:rsid w:val="0089152B"/>
    <w:rsid w:val="0089164C"/>
    <w:rsid w:val="00891848"/>
    <w:rsid w:val="00891A08"/>
    <w:rsid w:val="00891F17"/>
    <w:rsid w:val="008920FC"/>
    <w:rsid w:val="008925CB"/>
    <w:rsid w:val="00892A86"/>
    <w:rsid w:val="00892B61"/>
    <w:rsid w:val="00892B86"/>
    <w:rsid w:val="00892C1B"/>
    <w:rsid w:val="00892C49"/>
    <w:rsid w:val="00892F0A"/>
    <w:rsid w:val="00892F24"/>
    <w:rsid w:val="00893058"/>
    <w:rsid w:val="0089308F"/>
    <w:rsid w:val="008931F0"/>
    <w:rsid w:val="008936D3"/>
    <w:rsid w:val="00893E02"/>
    <w:rsid w:val="00893E6C"/>
    <w:rsid w:val="00894365"/>
    <w:rsid w:val="00894AB4"/>
    <w:rsid w:val="00894E32"/>
    <w:rsid w:val="008951E9"/>
    <w:rsid w:val="008952DF"/>
    <w:rsid w:val="00895918"/>
    <w:rsid w:val="00895D64"/>
    <w:rsid w:val="00895F7A"/>
    <w:rsid w:val="00896472"/>
    <w:rsid w:val="00896D54"/>
    <w:rsid w:val="00896E3C"/>
    <w:rsid w:val="0089717F"/>
    <w:rsid w:val="008974E2"/>
    <w:rsid w:val="0089762C"/>
    <w:rsid w:val="008977BE"/>
    <w:rsid w:val="00897853"/>
    <w:rsid w:val="008979B7"/>
    <w:rsid w:val="00897C23"/>
    <w:rsid w:val="00897E4A"/>
    <w:rsid w:val="00897FBB"/>
    <w:rsid w:val="008A008A"/>
    <w:rsid w:val="008A0396"/>
    <w:rsid w:val="008A03F0"/>
    <w:rsid w:val="008A09BD"/>
    <w:rsid w:val="008A0A17"/>
    <w:rsid w:val="008A0F09"/>
    <w:rsid w:val="008A0F17"/>
    <w:rsid w:val="008A10F0"/>
    <w:rsid w:val="008A163C"/>
    <w:rsid w:val="008A1904"/>
    <w:rsid w:val="008A19F6"/>
    <w:rsid w:val="008A1CCB"/>
    <w:rsid w:val="008A1D09"/>
    <w:rsid w:val="008A1E17"/>
    <w:rsid w:val="008A1E58"/>
    <w:rsid w:val="008A21A7"/>
    <w:rsid w:val="008A21E7"/>
    <w:rsid w:val="008A233F"/>
    <w:rsid w:val="008A2376"/>
    <w:rsid w:val="008A269A"/>
    <w:rsid w:val="008A2817"/>
    <w:rsid w:val="008A30DF"/>
    <w:rsid w:val="008A31D7"/>
    <w:rsid w:val="008A3275"/>
    <w:rsid w:val="008A393C"/>
    <w:rsid w:val="008A3D8A"/>
    <w:rsid w:val="008A3DAC"/>
    <w:rsid w:val="008A3E36"/>
    <w:rsid w:val="008A3FB0"/>
    <w:rsid w:val="008A41E4"/>
    <w:rsid w:val="008A4912"/>
    <w:rsid w:val="008A4AAA"/>
    <w:rsid w:val="008A5328"/>
    <w:rsid w:val="008A5453"/>
    <w:rsid w:val="008A547E"/>
    <w:rsid w:val="008A56B6"/>
    <w:rsid w:val="008A5769"/>
    <w:rsid w:val="008A597A"/>
    <w:rsid w:val="008A5C14"/>
    <w:rsid w:val="008A5C47"/>
    <w:rsid w:val="008A6227"/>
    <w:rsid w:val="008A6569"/>
    <w:rsid w:val="008A6F3B"/>
    <w:rsid w:val="008A6FFE"/>
    <w:rsid w:val="008A7798"/>
    <w:rsid w:val="008A7E83"/>
    <w:rsid w:val="008A7E8B"/>
    <w:rsid w:val="008A7E94"/>
    <w:rsid w:val="008A7F65"/>
    <w:rsid w:val="008A7F92"/>
    <w:rsid w:val="008B0062"/>
    <w:rsid w:val="008B01B7"/>
    <w:rsid w:val="008B024E"/>
    <w:rsid w:val="008B0256"/>
    <w:rsid w:val="008B04EE"/>
    <w:rsid w:val="008B0A69"/>
    <w:rsid w:val="008B0DD1"/>
    <w:rsid w:val="008B0DED"/>
    <w:rsid w:val="008B198E"/>
    <w:rsid w:val="008B1C4A"/>
    <w:rsid w:val="008B1CA8"/>
    <w:rsid w:val="008B2000"/>
    <w:rsid w:val="008B22C4"/>
    <w:rsid w:val="008B236D"/>
    <w:rsid w:val="008B24D4"/>
    <w:rsid w:val="008B24EA"/>
    <w:rsid w:val="008B27C0"/>
    <w:rsid w:val="008B2973"/>
    <w:rsid w:val="008B2A99"/>
    <w:rsid w:val="008B2AFC"/>
    <w:rsid w:val="008B2BDB"/>
    <w:rsid w:val="008B2D4C"/>
    <w:rsid w:val="008B3A7E"/>
    <w:rsid w:val="008B3D9D"/>
    <w:rsid w:val="008B3E8A"/>
    <w:rsid w:val="008B400D"/>
    <w:rsid w:val="008B4041"/>
    <w:rsid w:val="008B4AAC"/>
    <w:rsid w:val="008B4D48"/>
    <w:rsid w:val="008B4D52"/>
    <w:rsid w:val="008B4F94"/>
    <w:rsid w:val="008B5026"/>
    <w:rsid w:val="008B5100"/>
    <w:rsid w:val="008B5539"/>
    <w:rsid w:val="008B5679"/>
    <w:rsid w:val="008B5699"/>
    <w:rsid w:val="008B56EB"/>
    <w:rsid w:val="008B5708"/>
    <w:rsid w:val="008B59C0"/>
    <w:rsid w:val="008B5A5A"/>
    <w:rsid w:val="008B5AEE"/>
    <w:rsid w:val="008B5BCD"/>
    <w:rsid w:val="008B5ECB"/>
    <w:rsid w:val="008B61B4"/>
    <w:rsid w:val="008B635B"/>
    <w:rsid w:val="008B63A8"/>
    <w:rsid w:val="008B6A81"/>
    <w:rsid w:val="008B6A84"/>
    <w:rsid w:val="008B6B28"/>
    <w:rsid w:val="008B6E35"/>
    <w:rsid w:val="008B709A"/>
    <w:rsid w:val="008B72C0"/>
    <w:rsid w:val="008B7339"/>
    <w:rsid w:val="008B7718"/>
    <w:rsid w:val="008B7A10"/>
    <w:rsid w:val="008B7D1D"/>
    <w:rsid w:val="008B7D45"/>
    <w:rsid w:val="008B7E99"/>
    <w:rsid w:val="008B7F8D"/>
    <w:rsid w:val="008C0445"/>
    <w:rsid w:val="008C053E"/>
    <w:rsid w:val="008C06BA"/>
    <w:rsid w:val="008C06FF"/>
    <w:rsid w:val="008C08F1"/>
    <w:rsid w:val="008C0930"/>
    <w:rsid w:val="008C0DB8"/>
    <w:rsid w:val="008C11A3"/>
    <w:rsid w:val="008C13AA"/>
    <w:rsid w:val="008C165C"/>
    <w:rsid w:val="008C1677"/>
    <w:rsid w:val="008C1A80"/>
    <w:rsid w:val="008C1C30"/>
    <w:rsid w:val="008C1C91"/>
    <w:rsid w:val="008C1F0C"/>
    <w:rsid w:val="008C2122"/>
    <w:rsid w:val="008C21BF"/>
    <w:rsid w:val="008C2424"/>
    <w:rsid w:val="008C25BA"/>
    <w:rsid w:val="008C2632"/>
    <w:rsid w:val="008C2B77"/>
    <w:rsid w:val="008C2E19"/>
    <w:rsid w:val="008C3445"/>
    <w:rsid w:val="008C34A9"/>
    <w:rsid w:val="008C3926"/>
    <w:rsid w:val="008C3954"/>
    <w:rsid w:val="008C39A3"/>
    <w:rsid w:val="008C3CFA"/>
    <w:rsid w:val="008C3F54"/>
    <w:rsid w:val="008C3FC3"/>
    <w:rsid w:val="008C4059"/>
    <w:rsid w:val="008C42AE"/>
    <w:rsid w:val="008C43D0"/>
    <w:rsid w:val="008C45CE"/>
    <w:rsid w:val="008C479E"/>
    <w:rsid w:val="008C48B3"/>
    <w:rsid w:val="008C4EC1"/>
    <w:rsid w:val="008C4FEB"/>
    <w:rsid w:val="008C52A9"/>
    <w:rsid w:val="008C570F"/>
    <w:rsid w:val="008C57B1"/>
    <w:rsid w:val="008C58C4"/>
    <w:rsid w:val="008C5BB4"/>
    <w:rsid w:val="008C5C2E"/>
    <w:rsid w:val="008C5F7C"/>
    <w:rsid w:val="008C5FBF"/>
    <w:rsid w:val="008C6343"/>
    <w:rsid w:val="008C6502"/>
    <w:rsid w:val="008C673F"/>
    <w:rsid w:val="008C68E2"/>
    <w:rsid w:val="008C6960"/>
    <w:rsid w:val="008C6C2D"/>
    <w:rsid w:val="008C7056"/>
    <w:rsid w:val="008C7213"/>
    <w:rsid w:val="008C7260"/>
    <w:rsid w:val="008C7328"/>
    <w:rsid w:val="008C733C"/>
    <w:rsid w:val="008C7468"/>
    <w:rsid w:val="008C747F"/>
    <w:rsid w:val="008C74E9"/>
    <w:rsid w:val="008C79B0"/>
    <w:rsid w:val="008C7C34"/>
    <w:rsid w:val="008C7D49"/>
    <w:rsid w:val="008C7DB1"/>
    <w:rsid w:val="008C7EFC"/>
    <w:rsid w:val="008D04C0"/>
    <w:rsid w:val="008D0524"/>
    <w:rsid w:val="008D05FE"/>
    <w:rsid w:val="008D0896"/>
    <w:rsid w:val="008D0B1D"/>
    <w:rsid w:val="008D1017"/>
    <w:rsid w:val="008D1212"/>
    <w:rsid w:val="008D1251"/>
    <w:rsid w:val="008D1720"/>
    <w:rsid w:val="008D17FF"/>
    <w:rsid w:val="008D19B1"/>
    <w:rsid w:val="008D1B1B"/>
    <w:rsid w:val="008D1B7D"/>
    <w:rsid w:val="008D1CCC"/>
    <w:rsid w:val="008D1DF6"/>
    <w:rsid w:val="008D1FEE"/>
    <w:rsid w:val="008D241A"/>
    <w:rsid w:val="008D27AC"/>
    <w:rsid w:val="008D2817"/>
    <w:rsid w:val="008D2826"/>
    <w:rsid w:val="008D2841"/>
    <w:rsid w:val="008D2904"/>
    <w:rsid w:val="008D2FAE"/>
    <w:rsid w:val="008D30A4"/>
    <w:rsid w:val="008D34F8"/>
    <w:rsid w:val="008D3B68"/>
    <w:rsid w:val="008D4264"/>
    <w:rsid w:val="008D42D1"/>
    <w:rsid w:val="008D4463"/>
    <w:rsid w:val="008D4701"/>
    <w:rsid w:val="008D4916"/>
    <w:rsid w:val="008D4D7A"/>
    <w:rsid w:val="008D52F3"/>
    <w:rsid w:val="008D577E"/>
    <w:rsid w:val="008D58C4"/>
    <w:rsid w:val="008D5C0B"/>
    <w:rsid w:val="008D5CE5"/>
    <w:rsid w:val="008D5D21"/>
    <w:rsid w:val="008D5DC7"/>
    <w:rsid w:val="008D6490"/>
    <w:rsid w:val="008D64AF"/>
    <w:rsid w:val="008D66FE"/>
    <w:rsid w:val="008D690A"/>
    <w:rsid w:val="008D6A07"/>
    <w:rsid w:val="008D6B25"/>
    <w:rsid w:val="008D6D3D"/>
    <w:rsid w:val="008D6D7E"/>
    <w:rsid w:val="008D7353"/>
    <w:rsid w:val="008D797B"/>
    <w:rsid w:val="008D7A0C"/>
    <w:rsid w:val="008D7A51"/>
    <w:rsid w:val="008E01CA"/>
    <w:rsid w:val="008E03EB"/>
    <w:rsid w:val="008E05A3"/>
    <w:rsid w:val="008E0872"/>
    <w:rsid w:val="008E0D61"/>
    <w:rsid w:val="008E12D5"/>
    <w:rsid w:val="008E1AF8"/>
    <w:rsid w:val="008E2009"/>
    <w:rsid w:val="008E213B"/>
    <w:rsid w:val="008E2147"/>
    <w:rsid w:val="008E2633"/>
    <w:rsid w:val="008E292D"/>
    <w:rsid w:val="008E2966"/>
    <w:rsid w:val="008E2BF2"/>
    <w:rsid w:val="008E3175"/>
    <w:rsid w:val="008E317D"/>
    <w:rsid w:val="008E3237"/>
    <w:rsid w:val="008E33DF"/>
    <w:rsid w:val="008E3762"/>
    <w:rsid w:val="008E3A37"/>
    <w:rsid w:val="008E3A52"/>
    <w:rsid w:val="008E3DA0"/>
    <w:rsid w:val="008E3EE0"/>
    <w:rsid w:val="008E43B4"/>
    <w:rsid w:val="008E453E"/>
    <w:rsid w:val="008E456E"/>
    <w:rsid w:val="008E49D7"/>
    <w:rsid w:val="008E4A8E"/>
    <w:rsid w:val="008E4B3D"/>
    <w:rsid w:val="008E4C66"/>
    <w:rsid w:val="008E4D27"/>
    <w:rsid w:val="008E4FB8"/>
    <w:rsid w:val="008E50E7"/>
    <w:rsid w:val="008E51C1"/>
    <w:rsid w:val="008E5342"/>
    <w:rsid w:val="008E541F"/>
    <w:rsid w:val="008E54D4"/>
    <w:rsid w:val="008E5B27"/>
    <w:rsid w:val="008E5CBF"/>
    <w:rsid w:val="008E5EA0"/>
    <w:rsid w:val="008E60C3"/>
    <w:rsid w:val="008E6206"/>
    <w:rsid w:val="008E626B"/>
    <w:rsid w:val="008E6429"/>
    <w:rsid w:val="008E64E9"/>
    <w:rsid w:val="008E659B"/>
    <w:rsid w:val="008E65EE"/>
    <w:rsid w:val="008E67E7"/>
    <w:rsid w:val="008E68BF"/>
    <w:rsid w:val="008E6B8C"/>
    <w:rsid w:val="008E6D7A"/>
    <w:rsid w:val="008E6D83"/>
    <w:rsid w:val="008E708D"/>
    <w:rsid w:val="008E7173"/>
    <w:rsid w:val="008E7238"/>
    <w:rsid w:val="008E7273"/>
    <w:rsid w:val="008E7289"/>
    <w:rsid w:val="008E763B"/>
    <w:rsid w:val="008E76EA"/>
    <w:rsid w:val="008E78AC"/>
    <w:rsid w:val="008E7978"/>
    <w:rsid w:val="008E7A90"/>
    <w:rsid w:val="008E7B9A"/>
    <w:rsid w:val="008E7C83"/>
    <w:rsid w:val="008F003A"/>
    <w:rsid w:val="008F066E"/>
    <w:rsid w:val="008F093D"/>
    <w:rsid w:val="008F0A62"/>
    <w:rsid w:val="008F0F79"/>
    <w:rsid w:val="008F0FA3"/>
    <w:rsid w:val="008F1113"/>
    <w:rsid w:val="008F11C9"/>
    <w:rsid w:val="008F134A"/>
    <w:rsid w:val="008F13B1"/>
    <w:rsid w:val="008F169C"/>
    <w:rsid w:val="008F1731"/>
    <w:rsid w:val="008F1850"/>
    <w:rsid w:val="008F1966"/>
    <w:rsid w:val="008F1AA3"/>
    <w:rsid w:val="008F1C2A"/>
    <w:rsid w:val="008F1D9E"/>
    <w:rsid w:val="008F1FFC"/>
    <w:rsid w:val="008F2522"/>
    <w:rsid w:val="008F28B8"/>
    <w:rsid w:val="008F29DD"/>
    <w:rsid w:val="008F2BFF"/>
    <w:rsid w:val="008F2F2F"/>
    <w:rsid w:val="008F3052"/>
    <w:rsid w:val="008F338D"/>
    <w:rsid w:val="008F360D"/>
    <w:rsid w:val="008F3833"/>
    <w:rsid w:val="008F39DA"/>
    <w:rsid w:val="008F3A07"/>
    <w:rsid w:val="008F3C29"/>
    <w:rsid w:val="008F3C7E"/>
    <w:rsid w:val="008F3DD1"/>
    <w:rsid w:val="008F3FEB"/>
    <w:rsid w:val="008F437C"/>
    <w:rsid w:val="008F450C"/>
    <w:rsid w:val="008F47A9"/>
    <w:rsid w:val="008F47D4"/>
    <w:rsid w:val="008F4908"/>
    <w:rsid w:val="008F4CF8"/>
    <w:rsid w:val="008F4E75"/>
    <w:rsid w:val="008F4FAB"/>
    <w:rsid w:val="008F5178"/>
    <w:rsid w:val="008F536D"/>
    <w:rsid w:val="008F54AF"/>
    <w:rsid w:val="008F54B3"/>
    <w:rsid w:val="008F56BE"/>
    <w:rsid w:val="008F57E8"/>
    <w:rsid w:val="008F5A45"/>
    <w:rsid w:val="008F5B92"/>
    <w:rsid w:val="008F5D4F"/>
    <w:rsid w:val="008F652A"/>
    <w:rsid w:val="008F6991"/>
    <w:rsid w:val="008F69F1"/>
    <w:rsid w:val="008F6A90"/>
    <w:rsid w:val="008F6BEB"/>
    <w:rsid w:val="008F6C5F"/>
    <w:rsid w:val="008F6CF2"/>
    <w:rsid w:val="008F718F"/>
    <w:rsid w:val="008F724D"/>
    <w:rsid w:val="008F72B7"/>
    <w:rsid w:val="008F7333"/>
    <w:rsid w:val="008F7340"/>
    <w:rsid w:val="008F7792"/>
    <w:rsid w:val="008F785D"/>
    <w:rsid w:val="008F7869"/>
    <w:rsid w:val="008F78E2"/>
    <w:rsid w:val="008F7B9B"/>
    <w:rsid w:val="008F7C7A"/>
    <w:rsid w:val="008F7E0D"/>
    <w:rsid w:val="008F7F63"/>
    <w:rsid w:val="009008B8"/>
    <w:rsid w:val="00900990"/>
    <w:rsid w:val="00900A51"/>
    <w:rsid w:val="00900DEE"/>
    <w:rsid w:val="00900E4D"/>
    <w:rsid w:val="00901537"/>
    <w:rsid w:val="00901750"/>
    <w:rsid w:val="00901B28"/>
    <w:rsid w:val="00901B44"/>
    <w:rsid w:val="00902957"/>
    <w:rsid w:val="00902B54"/>
    <w:rsid w:val="00902C58"/>
    <w:rsid w:val="00902CB2"/>
    <w:rsid w:val="00902D97"/>
    <w:rsid w:val="00902E81"/>
    <w:rsid w:val="0090307E"/>
    <w:rsid w:val="0090323C"/>
    <w:rsid w:val="009034F9"/>
    <w:rsid w:val="009036BA"/>
    <w:rsid w:val="00903751"/>
    <w:rsid w:val="009039AC"/>
    <w:rsid w:val="00903A68"/>
    <w:rsid w:val="00903B74"/>
    <w:rsid w:val="00903CD1"/>
    <w:rsid w:val="00903CF2"/>
    <w:rsid w:val="00903FBC"/>
    <w:rsid w:val="009040F2"/>
    <w:rsid w:val="00904439"/>
    <w:rsid w:val="0090449C"/>
    <w:rsid w:val="009045A5"/>
    <w:rsid w:val="00904EF2"/>
    <w:rsid w:val="00904FB4"/>
    <w:rsid w:val="00904FFE"/>
    <w:rsid w:val="0090517B"/>
    <w:rsid w:val="0090532D"/>
    <w:rsid w:val="00905751"/>
    <w:rsid w:val="00905872"/>
    <w:rsid w:val="00906192"/>
    <w:rsid w:val="0090625C"/>
    <w:rsid w:val="0090629A"/>
    <w:rsid w:val="0090631B"/>
    <w:rsid w:val="0090646E"/>
    <w:rsid w:val="0090663D"/>
    <w:rsid w:val="0090669D"/>
    <w:rsid w:val="009066E3"/>
    <w:rsid w:val="0090688B"/>
    <w:rsid w:val="009069C9"/>
    <w:rsid w:val="00906B29"/>
    <w:rsid w:val="00906C19"/>
    <w:rsid w:val="00906D09"/>
    <w:rsid w:val="00906D3A"/>
    <w:rsid w:val="00907031"/>
    <w:rsid w:val="0090704D"/>
    <w:rsid w:val="0090709D"/>
    <w:rsid w:val="009070D6"/>
    <w:rsid w:val="009074E3"/>
    <w:rsid w:val="009076D2"/>
    <w:rsid w:val="00907C17"/>
    <w:rsid w:val="00907C56"/>
    <w:rsid w:val="00907D7E"/>
    <w:rsid w:val="00907E8A"/>
    <w:rsid w:val="00907EEA"/>
    <w:rsid w:val="00910101"/>
    <w:rsid w:val="009101C3"/>
    <w:rsid w:val="009103CC"/>
    <w:rsid w:val="009105BD"/>
    <w:rsid w:val="00910859"/>
    <w:rsid w:val="00910886"/>
    <w:rsid w:val="00910EB0"/>
    <w:rsid w:val="0091126B"/>
    <w:rsid w:val="0091144D"/>
    <w:rsid w:val="00911678"/>
    <w:rsid w:val="00911837"/>
    <w:rsid w:val="00911959"/>
    <w:rsid w:val="00911CCF"/>
    <w:rsid w:val="00911CDF"/>
    <w:rsid w:val="00911E50"/>
    <w:rsid w:val="00912359"/>
    <w:rsid w:val="0091236D"/>
    <w:rsid w:val="009124DE"/>
    <w:rsid w:val="00912680"/>
    <w:rsid w:val="00912723"/>
    <w:rsid w:val="009127B7"/>
    <w:rsid w:val="00912877"/>
    <w:rsid w:val="009129A8"/>
    <w:rsid w:val="00912B41"/>
    <w:rsid w:val="00912BC7"/>
    <w:rsid w:val="00912C14"/>
    <w:rsid w:val="00912D9F"/>
    <w:rsid w:val="00912DFE"/>
    <w:rsid w:val="00912E51"/>
    <w:rsid w:val="00912F7A"/>
    <w:rsid w:val="00912F93"/>
    <w:rsid w:val="009130AE"/>
    <w:rsid w:val="009137C5"/>
    <w:rsid w:val="00913A4D"/>
    <w:rsid w:val="00913A54"/>
    <w:rsid w:val="00913C86"/>
    <w:rsid w:val="00913CDD"/>
    <w:rsid w:val="00913FA7"/>
    <w:rsid w:val="00914362"/>
    <w:rsid w:val="009144E6"/>
    <w:rsid w:val="0091474D"/>
    <w:rsid w:val="00914A0F"/>
    <w:rsid w:val="00914E01"/>
    <w:rsid w:val="00914E76"/>
    <w:rsid w:val="00914E8B"/>
    <w:rsid w:val="00915547"/>
    <w:rsid w:val="009155E8"/>
    <w:rsid w:val="009156F4"/>
    <w:rsid w:val="0091598B"/>
    <w:rsid w:val="00915BB0"/>
    <w:rsid w:val="00915BDE"/>
    <w:rsid w:val="00915FE6"/>
    <w:rsid w:val="00915FF6"/>
    <w:rsid w:val="0091601D"/>
    <w:rsid w:val="009165D5"/>
    <w:rsid w:val="00916A5D"/>
    <w:rsid w:val="00916E16"/>
    <w:rsid w:val="00916F1D"/>
    <w:rsid w:val="0091726E"/>
    <w:rsid w:val="00917318"/>
    <w:rsid w:val="00917643"/>
    <w:rsid w:val="009176FD"/>
    <w:rsid w:val="0091786A"/>
    <w:rsid w:val="00917D7D"/>
    <w:rsid w:val="00917F4F"/>
    <w:rsid w:val="00917FCC"/>
    <w:rsid w:val="00920057"/>
    <w:rsid w:val="0092012E"/>
    <w:rsid w:val="0092048B"/>
    <w:rsid w:val="009204D6"/>
    <w:rsid w:val="00920717"/>
    <w:rsid w:val="00920921"/>
    <w:rsid w:val="00920C75"/>
    <w:rsid w:val="00920D88"/>
    <w:rsid w:val="00920EA9"/>
    <w:rsid w:val="00921093"/>
    <w:rsid w:val="009210C4"/>
    <w:rsid w:val="00921236"/>
    <w:rsid w:val="00921321"/>
    <w:rsid w:val="0092138B"/>
    <w:rsid w:val="00921563"/>
    <w:rsid w:val="0092175A"/>
    <w:rsid w:val="009219AF"/>
    <w:rsid w:val="009219BB"/>
    <w:rsid w:val="00921AB1"/>
    <w:rsid w:val="00921B7F"/>
    <w:rsid w:val="00921D84"/>
    <w:rsid w:val="00921DD6"/>
    <w:rsid w:val="0092225A"/>
    <w:rsid w:val="00922355"/>
    <w:rsid w:val="009228BB"/>
    <w:rsid w:val="009229C2"/>
    <w:rsid w:val="00922C4F"/>
    <w:rsid w:val="00922DF0"/>
    <w:rsid w:val="00922F33"/>
    <w:rsid w:val="00922FB4"/>
    <w:rsid w:val="0092314B"/>
    <w:rsid w:val="00923230"/>
    <w:rsid w:val="00923284"/>
    <w:rsid w:val="009233BB"/>
    <w:rsid w:val="009234C0"/>
    <w:rsid w:val="009235C2"/>
    <w:rsid w:val="00923860"/>
    <w:rsid w:val="009239A9"/>
    <w:rsid w:val="009239E3"/>
    <w:rsid w:val="00923B0F"/>
    <w:rsid w:val="00923C27"/>
    <w:rsid w:val="00923CC0"/>
    <w:rsid w:val="00923D55"/>
    <w:rsid w:val="00923E02"/>
    <w:rsid w:val="00923EF3"/>
    <w:rsid w:val="00924470"/>
    <w:rsid w:val="009244A3"/>
    <w:rsid w:val="0092450C"/>
    <w:rsid w:val="00924978"/>
    <w:rsid w:val="00924A09"/>
    <w:rsid w:val="00924D48"/>
    <w:rsid w:val="00924D86"/>
    <w:rsid w:val="00925065"/>
    <w:rsid w:val="00925150"/>
    <w:rsid w:val="009256D2"/>
    <w:rsid w:val="00925C99"/>
    <w:rsid w:val="00925D11"/>
    <w:rsid w:val="00926385"/>
    <w:rsid w:val="0092640C"/>
    <w:rsid w:val="009264DE"/>
    <w:rsid w:val="00926768"/>
    <w:rsid w:val="009267F1"/>
    <w:rsid w:val="00926A9F"/>
    <w:rsid w:val="00926DA7"/>
    <w:rsid w:val="00926F5F"/>
    <w:rsid w:val="00926F9E"/>
    <w:rsid w:val="00927039"/>
    <w:rsid w:val="009272B9"/>
    <w:rsid w:val="0092746B"/>
    <w:rsid w:val="00927942"/>
    <w:rsid w:val="00927B80"/>
    <w:rsid w:val="00927C9B"/>
    <w:rsid w:val="00927CAF"/>
    <w:rsid w:val="00927D56"/>
    <w:rsid w:val="00930079"/>
    <w:rsid w:val="009301A3"/>
    <w:rsid w:val="009301D4"/>
    <w:rsid w:val="009305D7"/>
    <w:rsid w:val="00930B94"/>
    <w:rsid w:val="00930CE1"/>
    <w:rsid w:val="00930CEC"/>
    <w:rsid w:val="00931226"/>
    <w:rsid w:val="00931444"/>
    <w:rsid w:val="00931798"/>
    <w:rsid w:val="00931B21"/>
    <w:rsid w:val="00931BF2"/>
    <w:rsid w:val="00931DFA"/>
    <w:rsid w:val="00931EDC"/>
    <w:rsid w:val="009320D4"/>
    <w:rsid w:val="00932226"/>
    <w:rsid w:val="009322DD"/>
    <w:rsid w:val="009324FA"/>
    <w:rsid w:val="00932581"/>
    <w:rsid w:val="009328D8"/>
    <w:rsid w:val="00932962"/>
    <w:rsid w:val="00932BFE"/>
    <w:rsid w:val="00932C14"/>
    <w:rsid w:val="00932E97"/>
    <w:rsid w:val="00933129"/>
    <w:rsid w:val="00933143"/>
    <w:rsid w:val="0093347B"/>
    <w:rsid w:val="009334C9"/>
    <w:rsid w:val="009335B2"/>
    <w:rsid w:val="0093373A"/>
    <w:rsid w:val="00933C92"/>
    <w:rsid w:val="00933DB0"/>
    <w:rsid w:val="00933DB5"/>
    <w:rsid w:val="00933F54"/>
    <w:rsid w:val="0093406F"/>
    <w:rsid w:val="009340C3"/>
    <w:rsid w:val="0093449A"/>
    <w:rsid w:val="009346CA"/>
    <w:rsid w:val="00934AFB"/>
    <w:rsid w:val="00934B17"/>
    <w:rsid w:val="00934FE6"/>
    <w:rsid w:val="0093523E"/>
    <w:rsid w:val="009353D8"/>
    <w:rsid w:val="009355A3"/>
    <w:rsid w:val="009359FD"/>
    <w:rsid w:val="00935A06"/>
    <w:rsid w:val="00935C1B"/>
    <w:rsid w:val="00935FA6"/>
    <w:rsid w:val="00936042"/>
    <w:rsid w:val="009360EE"/>
    <w:rsid w:val="00936202"/>
    <w:rsid w:val="00936606"/>
    <w:rsid w:val="00936A9C"/>
    <w:rsid w:val="00936AEE"/>
    <w:rsid w:val="00936B1C"/>
    <w:rsid w:val="00936B40"/>
    <w:rsid w:val="00936C03"/>
    <w:rsid w:val="00936DCE"/>
    <w:rsid w:val="00936EAB"/>
    <w:rsid w:val="00936FBE"/>
    <w:rsid w:val="009371ED"/>
    <w:rsid w:val="00937701"/>
    <w:rsid w:val="00937B36"/>
    <w:rsid w:val="00937C04"/>
    <w:rsid w:val="00937D08"/>
    <w:rsid w:val="00937E1B"/>
    <w:rsid w:val="00937E30"/>
    <w:rsid w:val="0094031C"/>
    <w:rsid w:val="00940384"/>
    <w:rsid w:val="009403F0"/>
    <w:rsid w:val="00940528"/>
    <w:rsid w:val="00940AED"/>
    <w:rsid w:val="00940CA8"/>
    <w:rsid w:val="00941133"/>
    <w:rsid w:val="009411B0"/>
    <w:rsid w:val="009412B8"/>
    <w:rsid w:val="00941388"/>
    <w:rsid w:val="00941870"/>
    <w:rsid w:val="009418DF"/>
    <w:rsid w:val="00941A4B"/>
    <w:rsid w:val="00941E3A"/>
    <w:rsid w:val="00941FD6"/>
    <w:rsid w:val="0094228D"/>
    <w:rsid w:val="009424FB"/>
    <w:rsid w:val="00942A04"/>
    <w:rsid w:val="00942AE1"/>
    <w:rsid w:val="00942B2B"/>
    <w:rsid w:val="00942C21"/>
    <w:rsid w:val="00942C3D"/>
    <w:rsid w:val="00942D96"/>
    <w:rsid w:val="00942F19"/>
    <w:rsid w:val="009430E0"/>
    <w:rsid w:val="00943342"/>
    <w:rsid w:val="009434A5"/>
    <w:rsid w:val="00943595"/>
    <w:rsid w:val="00943AD8"/>
    <w:rsid w:val="00943C10"/>
    <w:rsid w:val="00943DA9"/>
    <w:rsid w:val="00943EA8"/>
    <w:rsid w:val="009440CE"/>
    <w:rsid w:val="00944260"/>
    <w:rsid w:val="009445CC"/>
    <w:rsid w:val="00944634"/>
    <w:rsid w:val="0094469C"/>
    <w:rsid w:val="00944A17"/>
    <w:rsid w:val="00944C4A"/>
    <w:rsid w:val="00944E97"/>
    <w:rsid w:val="0094575F"/>
    <w:rsid w:val="00945893"/>
    <w:rsid w:val="00945A8F"/>
    <w:rsid w:val="00945EF8"/>
    <w:rsid w:val="00946288"/>
    <w:rsid w:val="00946656"/>
    <w:rsid w:val="00946A0B"/>
    <w:rsid w:val="00946E1B"/>
    <w:rsid w:val="00946E32"/>
    <w:rsid w:val="00946EDA"/>
    <w:rsid w:val="00946FBF"/>
    <w:rsid w:val="00947149"/>
    <w:rsid w:val="00947751"/>
    <w:rsid w:val="00947A2A"/>
    <w:rsid w:val="00947A5B"/>
    <w:rsid w:val="00947A84"/>
    <w:rsid w:val="00947B14"/>
    <w:rsid w:val="00947D68"/>
    <w:rsid w:val="00947EBD"/>
    <w:rsid w:val="009501AC"/>
    <w:rsid w:val="00950700"/>
    <w:rsid w:val="0095075B"/>
    <w:rsid w:val="00950BBB"/>
    <w:rsid w:val="00950BFD"/>
    <w:rsid w:val="00950E86"/>
    <w:rsid w:val="009510A1"/>
    <w:rsid w:val="009513BD"/>
    <w:rsid w:val="009513F3"/>
    <w:rsid w:val="00951439"/>
    <w:rsid w:val="0095150A"/>
    <w:rsid w:val="0095177D"/>
    <w:rsid w:val="00951935"/>
    <w:rsid w:val="0095198C"/>
    <w:rsid w:val="00951A4D"/>
    <w:rsid w:val="00951C0B"/>
    <w:rsid w:val="00951D3A"/>
    <w:rsid w:val="00951F5E"/>
    <w:rsid w:val="0095235B"/>
    <w:rsid w:val="0095241F"/>
    <w:rsid w:val="00952657"/>
    <w:rsid w:val="00952858"/>
    <w:rsid w:val="0095289D"/>
    <w:rsid w:val="00952969"/>
    <w:rsid w:val="00952CA0"/>
    <w:rsid w:val="00952DB2"/>
    <w:rsid w:val="00952FE0"/>
    <w:rsid w:val="009531F9"/>
    <w:rsid w:val="0095339A"/>
    <w:rsid w:val="0095352A"/>
    <w:rsid w:val="009535C2"/>
    <w:rsid w:val="00953817"/>
    <w:rsid w:val="009539B3"/>
    <w:rsid w:val="00953B84"/>
    <w:rsid w:val="00953C33"/>
    <w:rsid w:val="00953E01"/>
    <w:rsid w:val="00953E5B"/>
    <w:rsid w:val="00953FE3"/>
    <w:rsid w:val="0095403A"/>
    <w:rsid w:val="00954069"/>
    <w:rsid w:val="009541B0"/>
    <w:rsid w:val="00954346"/>
    <w:rsid w:val="00954354"/>
    <w:rsid w:val="00954B5E"/>
    <w:rsid w:val="00954C69"/>
    <w:rsid w:val="00954DAC"/>
    <w:rsid w:val="009552BF"/>
    <w:rsid w:val="009552FA"/>
    <w:rsid w:val="00955377"/>
    <w:rsid w:val="009553AA"/>
    <w:rsid w:val="009556EF"/>
    <w:rsid w:val="00955959"/>
    <w:rsid w:val="00955AF5"/>
    <w:rsid w:val="00955C93"/>
    <w:rsid w:val="00955D6B"/>
    <w:rsid w:val="00955DCB"/>
    <w:rsid w:val="00956014"/>
    <w:rsid w:val="0095622A"/>
    <w:rsid w:val="009569BD"/>
    <w:rsid w:val="00956A52"/>
    <w:rsid w:val="00956BA3"/>
    <w:rsid w:val="00956D41"/>
    <w:rsid w:val="00956DD7"/>
    <w:rsid w:val="00956F0C"/>
    <w:rsid w:val="00957407"/>
    <w:rsid w:val="0095743B"/>
    <w:rsid w:val="009574C6"/>
    <w:rsid w:val="00957B10"/>
    <w:rsid w:val="00957BBC"/>
    <w:rsid w:val="00957F44"/>
    <w:rsid w:val="0096035D"/>
    <w:rsid w:val="00960487"/>
    <w:rsid w:val="009607B0"/>
    <w:rsid w:val="00960975"/>
    <w:rsid w:val="00960AAC"/>
    <w:rsid w:val="00960E86"/>
    <w:rsid w:val="00960FB6"/>
    <w:rsid w:val="0096115A"/>
    <w:rsid w:val="00961291"/>
    <w:rsid w:val="00961514"/>
    <w:rsid w:val="00961575"/>
    <w:rsid w:val="009615F7"/>
    <w:rsid w:val="00961A96"/>
    <w:rsid w:val="00961CEC"/>
    <w:rsid w:val="00961F1B"/>
    <w:rsid w:val="009621C1"/>
    <w:rsid w:val="0096242B"/>
    <w:rsid w:val="009625DA"/>
    <w:rsid w:val="009628C6"/>
    <w:rsid w:val="00962A06"/>
    <w:rsid w:val="00962FC1"/>
    <w:rsid w:val="009633F0"/>
    <w:rsid w:val="009638CD"/>
    <w:rsid w:val="0096399F"/>
    <w:rsid w:val="00963A22"/>
    <w:rsid w:val="00963AD5"/>
    <w:rsid w:val="00963B50"/>
    <w:rsid w:val="00963C20"/>
    <w:rsid w:val="00963FC1"/>
    <w:rsid w:val="00964063"/>
    <w:rsid w:val="009640DF"/>
    <w:rsid w:val="009642A9"/>
    <w:rsid w:val="009642F6"/>
    <w:rsid w:val="0096435E"/>
    <w:rsid w:val="00964434"/>
    <w:rsid w:val="00964489"/>
    <w:rsid w:val="009644F4"/>
    <w:rsid w:val="009647EE"/>
    <w:rsid w:val="0096486D"/>
    <w:rsid w:val="00964B50"/>
    <w:rsid w:val="00964D64"/>
    <w:rsid w:val="00964EBD"/>
    <w:rsid w:val="00964F35"/>
    <w:rsid w:val="00965038"/>
    <w:rsid w:val="00965063"/>
    <w:rsid w:val="0096519E"/>
    <w:rsid w:val="00965202"/>
    <w:rsid w:val="0096526A"/>
    <w:rsid w:val="00965358"/>
    <w:rsid w:val="00965363"/>
    <w:rsid w:val="00965411"/>
    <w:rsid w:val="00965836"/>
    <w:rsid w:val="00965EFA"/>
    <w:rsid w:val="00966111"/>
    <w:rsid w:val="00966136"/>
    <w:rsid w:val="00966334"/>
    <w:rsid w:val="009664A8"/>
    <w:rsid w:val="00966613"/>
    <w:rsid w:val="009668DC"/>
    <w:rsid w:val="00966AC7"/>
    <w:rsid w:val="00966DD5"/>
    <w:rsid w:val="00966E49"/>
    <w:rsid w:val="0096724A"/>
    <w:rsid w:val="009672BC"/>
    <w:rsid w:val="00967364"/>
    <w:rsid w:val="0096747E"/>
    <w:rsid w:val="00967563"/>
    <w:rsid w:val="0096762E"/>
    <w:rsid w:val="0096769E"/>
    <w:rsid w:val="00967ACD"/>
    <w:rsid w:val="00967AF8"/>
    <w:rsid w:val="00967E3B"/>
    <w:rsid w:val="00967F10"/>
    <w:rsid w:val="00967F91"/>
    <w:rsid w:val="0097049B"/>
    <w:rsid w:val="00970678"/>
    <w:rsid w:val="009706A7"/>
    <w:rsid w:val="009706B7"/>
    <w:rsid w:val="00970757"/>
    <w:rsid w:val="00970814"/>
    <w:rsid w:val="009709B8"/>
    <w:rsid w:val="00970BCD"/>
    <w:rsid w:val="00970D34"/>
    <w:rsid w:val="00970E3B"/>
    <w:rsid w:val="00970E79"/>
    <w:rsid w:val="009710E9"/>
    <w:rsid w:val="009711A5"/>
    <w:rsid w:val="0097127E"/>
    <w:rsid w:val="009713A8"/>
    <w:rsid w:val="009714CF"/>
    <w:rsid w:val="0097162F"/>
    <w:rsid w:val="00971961"/>
    <w:rsid w:val="00971990"/>
    <w:rsid w:val="00971A69"/>
    <w:rsid w:val="00971B99"/>
    <w:rsid w:val="00971C50"/>
    <w:rsid w:val="00971EB7"/>
    <w:rsid w:val="00971FA2"/>
    <w:rsid w:val="009720DC"/>
    <w:rsid w:val="00972105"/>
    <w:rsid w:val="009723D8"/>
    <w:rsid w:val="0097255F"/>
    <w:rsid w:val="009727F4"/>
    <w:rsid w:val="00972A03"/>
    <w:rsid w:val="00972C56"/>
    <w:rsid w:val="00972C5B"/>
    <w:rsid w:val="00972D11"/>
    <w:rsid w:val="00972E61"/>
    <w:rsid w:val="00973245"/>
    <w:rsid w:val="009732D8"/>
    <w:rsid w:val="009735A7"/>
    <w:rsid w:val="0097361F"/>
    <w:rsid w:val="00973BFF"/>
    <w:rsid w:val="00974942"/>
    <w:rsid w:val="00974CC0"/>
    <w:rsid w:val="00974FC9"/>
    <w:rsid w:val="00974FFB"/>
    <w:rsid w:val="009750BE"/>
    <w:rsid w:val="00975464"/>
    <w:rsid w:val="009754F3"/>
    <w:rsid w:val="00975646"/>
    <w:rsid w:val="009757D6"/>
    <w:rsid w:val="00975A9B"/>
    <w:rsid w:val="00975E53"/>
    <w:rsid w:val="00975F77"/>
    <w:rsid w:val="00976198"/>
    <w:rsid w:val="009763CE"/>
    <w:rsid w:val="009766A5"/>
    <w:rsid w:val="009768E1"/>
    <w:rsid w:val="00976B0F"/>
    <w:rsid w:val="00976BE6"/>
    <w:rsid w:val="00976BE8"/>
    <w:rsid w:val="00976C1F"/>
    <w:rsid w:val="00976E85"/>
    <w:rsid w:val="009770B4"/>
    <w:rsid w:val="0097734A"/>
    <w:rsid w:val="009775E4"/>
    <w:rsid w:val="0097772D"/>
    <w:rsid w:val="009777C2"/>
    <w:rsid w:val="009779D6"/>
    <w:rsid w:val="00977A6E"/>
    <w:rsid w:val="00977C42"/>
    <w:rsid w:val="00977C94"/>
    <w:rsid w:val="00977DA6"/>
    <w:rsid w:val="00980253"/>
    <w:rsid w:val="0098029A"/>
    <w:rsid w:val="0098059F"/>
    <w:rsid w:val="0098097B"/>
    <w:rsid w:val="00980AAB"/>
    <w:rsid w:val="00980D4B"/>
    <w:rsid w:val="009810F6"/>
    <w:rsid w:val="0098147B"/>
    <w:rsid w:val="00981583"/>
    <w:rsid w:val="00981B17"/>
    <w:rsid w:val="00981BC6"/>
    <w:rsid w:val="00981D15"/>
    <w:rsid w:val="00981E96"/>
    <w:rsid w:val="009823D7"/>
    <w:rsid w:val="009823E0"/>
    <w:rsid w:val="00982604"/>
    <w:rsid w:val="009826BD"/>
    <w:rsid w:val="00982784"/>
    <w:rsid w:val="00982B9E"/>
    <w:rsid w:val="00982BB1"/>
    <w:rsid w:val="00982BC9"/>
    <w:rsid w:val="00982BD0"/>
    <w:rsid w:val="00982C7F"/>
    <w:rsid w:val="00982F49"/>
    <w:rsid w:val="00982FCF"/>
    <w:rsid w:val="0098309A"/>
    <w:rsid w:val="00983353"/>
    <w:rsid w:val="0098399A"/>
    <w:rsid w:val="00983C3B"/>
    <w:rsid w:val="00983C5C"/>
    <w:rsid w:val="00983CDF"/>
    <w:rsid w:val="00983CF6"/>
    <w:rsid w:val="00983DE6"/>
    <w:rsid w:val="00984244"/>
    <w:rsid w:val="00984387"/>
    <w:rsid w:val="00984B4E"/>
    <w:rsid w:val="00984C07"/>
    <w:rsid w:val="00984F81"/>
    <w:rsid w:val="00984FB8"/>
    <w:rsid w:val="00985187"/>
    <w:rsid w:val="009852CD"/>
    <w:rsid w:val="009852F8"/>
    <w:rsid w:val="00985780"/>
    <w:rsid w:val="00985B60"/>
    <w:rsid w:val="00985C97"/>
    <w:rsid w:val="00985FF8"/>
    <w:rsid w:val="00986041"/>
    <w:rsid w:val="0098644A"/>
    <w:rsid w:val="0098650A"/>
    <w:rsid w:val="00986732"/>
    <w:rsid w:val="00986762"/>
    <w:rsid w:val="00986835"/>
    <w:rsid w:val="0098685E"/>
    <w:rsid w:val="00986912"/>
    <w:rsid w:val="0098696C"/>
    <w:rsid w:val="00986ADB"/>
    <w:rsid w:val="00986B77"/>
    <w:rsid w:val="00986BB0"/>
    <w:rsid w:val="00986BC5"/>
    <w:rsid w:val="00986CAD"/>
    <w:rsid w:val="00986CE4"/>
    <w:rsid w:val="00986F97"/>
    <w:rsid w:val="00987669"/>
    <w:rsid w:val="009876BC"/>
    <w:rsid w:val="0098771B"/>
    <w:rsid w:val="00987AD1"/>
    <w:rsid w:val="00987C39"/>
    <w:rsid w:val="009901C0"/>
    <w:rsid w:val="0099042C"/>
    <w:rsid w:val="00990449"/>
    <w:rsid w:val="0099056E"/>
    <w:rsid w:val="0099061B"/>
    <w:rsid w:val="00990653"/>
    <w:rsid w:val="009908C8"/>
    <w:rsid w:val="00990962"/>
    <w:rsid w:val="00990B09"/>
    <w:rsid w:val="00990C9D"/>
    <w:rsid w:val="00990E8D"/>
    <w:rsid w:val="0099109B"/>
    <w:rsid w:val="00991488"/>
    <w:rsid w:val="00991694"/>
    <w:rsid w:val="009916B2"/>
    <w:rsid w:val="00991957"/>
    <w:rsid w:val="00991B55"/>
    <w:rsid w:val="00992098"/>
    <w:rsid w:val="009922DA"/>
    <w:rsid w:val="009923C5"/>
    <w:rsid w:val="009926C4"/>
    <w:rsid w:val="00992A8F"/>
    <w:rsid w:val="00992C1A"/>
    <w:rsid w:val="00992D9A"/>
    <w:rsid w:val="0099305F"/>
    <w:rsid w:val="0099322E"/>
    <w:rsid w:val="009934D7"/>
    <w:rsid w:val="0099369E"/>
    <w:rsid w:val="009937BE"/>
    <w:rsid w:val="00993A10"/>
    <w:rsid w:val="00993C85"/>
    <w:rsid w:val="00993CC5"/>
    <w:rsid w:val="009941DC"/>
    <w:rsid w:val="009944AA"/>
    <w:rsid w:val="009947A3"/>
    <w:rsid w:val="009948F9"/>
    <w:rsid w:val="009950C1"/>
    <w:rsid w:val="00995343"/>
    <w:rsid w:val="00995363"/>
    <w:rsid w:val="009953DB"/>
    <w:rsid w:val="00995755"/>
    <w:rsid w:val="009959F3"/>
    <w:rsid w:val="00995E7C"/>
    <w:rsid w:val="00995F2C"/>
    <w:rsid w:val="0099647B"/>
    <w:rsid w:val="00996647"/>
    <w:rsid w:val="00996760"/>
    <w:rsid w:val="009967DA"/>
    <w:rsid w:val="0099683D"/>
    <w:rsid w:val="00996C31"/>
    <w:rsid w:val="0099710D"/>
    <w:rsid w:val="0099717D"/>
    <w:rsid w:val="00997271"/>
    <w:rsid w:val="00997300"/>
    <w:rsid w:val="00997431"/>
    <w:rsid w:val="0099746F"/>
    <w:rsid w:val="0099757A"/>
    <w:rsid w:val="0099764E"/>
    <w:rsid w:val="009976AA"/>
    <w:rsid w:val="009976DD"/>
    <w:rsid w:val="00997738"/>
    <w:rsid w:val="0099775E"/>
    <w:rsid w:val="00997895"/>
    <w:rsid w:val="00997A56"/>
    <w:rsid w:val="00997A65"/>
    <w:rsid w:val="009A0335"/>
    <w:rsid w:val="009A03A1"/>
    <w:rsid w:val="009A050F"/>
    <w:rsid w:val="009A056E"/>
    <w:rsid w:val="009A0715"/>
    <w:rsid w:val="009A07A5"/>
    <w:rsid w:val="009A0922"/>
    <w:rsid w:val="009A093A"/>
    <w:rsid w:val="009A0DAF"/>
    <w:rsid w:val="009A14F0"/>
    <w:rsid w:val="009A16BF"/>
    <w:rsid w:val="009A16C0"/>
    <w:rsid w:val="009A1897"/>
    <w:rsid w:val="009A19DB"/>
    <w:rsid w:val="009A1F73"/>
    <w:rsid w:val="009A200C"/>
    <w:rsid w:val="009A2520"/>
    <w:rsid w:val="009A2884"/>
    <w:rsid w:val="009A2961"/>
    <w:rsid w:val="009A2BC6"/>
    <w:rsid w:val="009A2E0F"/>
    <w:rsid w:val="009A30C6"/>
    <w:rsid w:val="009A31C4"/>
    <w:rsid w:val="009A34B4"/>
    <w:rsid w:val="009A364D"/>
    <w:rsid w:val="009A3657"/>
    <w:rsid w:val="009A3896"/>
    <w:rsid w:val="009A38D7"/>
    <w:rsid w:val="009A3D80"/>
    <w:rsid w:val="009A3DA0"/>
    <w:rsid w:val="009A3EA4"/>
    <w:rsid w:val="009A3F6A"/>
    <w:rsid w:val="009A40B3"/>
    <w:rsid w:val="009A47ED"/>
    <w:rsid w:val="009A4B04"/>
    <w:rsid w:val="009A4B20"/>
    <w:rsid w:val="009A4BA6"/>
    <w:rsid w:val="009A5403"/>
    <w:rsid w:val="009A5D10"/>
    <w:rsid w:val="009A5D66"/>
    <w:rsid w:val="009A60F9"/>
    <w:rsid w:val="009A625B"/>
    <w:rsid w:val="009A626E"/>
    <w:rsid w:val="009A637E"/>
    <w:rsid w:val="009A643E"/>
    <w:rsid w:val="009A6A02"/>
    <w:rsid w:val="009A6BA2"/>
    <w:rsid w:val="009A6C17"/>
    <w:rsid w:val="009A6CC4"/>
    <w:rsid w:val="009A6CF2"/>
    <w:rsid w:val="009A6E2B"/>
    <w:rsid w:val="009A6FD7"/>
    <w:rsid w:val="009A726C"/>
    <w:rsid w:val="009A7413"/>
    <w:rsid w:val="009A749F"/>
    <w:rsid w:val="009A75B6"/>
    <w:rsid w:val="009A76EE"/>
    <w:rsid w:val="009A78D9"/>
    <w:rsid w:val="009A78DD"/>
    <w:rsid w:val="009B00BA"/>
    <w:rsid w:val="009B02E4"/>
    <w:rsid w:val="009B03F9"/>
    <w:rsid w:val="009B0520"/>
    <w:rsid w:val="009B0730"/>
    <w:rsid w:val="009B08CC"/>
    <w:rsid w:val="009B0DAB"/>
    <w:rsid w:val="009B12C6"/>
    <w:rsid w:val="009B1548"/>
    <w:rsid w:val="009B1632"/>
    <w:rsid w:val="009B1886"/>
    <w:rsid w:val="009B1AAA"/>
    <w:rsid w:val="009B1B0A"/>
    <w:rsid w:val="009B1BCD"/>
    <w:rsid w:val="009B1DC1"/>
    <w:rsid w:val="009B1E90"/>
    <w:rsid w:val="009B24AB"/>
    <w:rsid w:val="009B2A1E"/>
    <w:rsid w:val="009B2A86"/>
    <w:rsid w:val="009B2C91"/>
    <w:rsid w:val="009B2CF7"/>
    <w:rsid w:val="009B30A8"/>
    <w:rsid w:val="009B3102"/>
    <w:rsid w:val="009B3124"/>
    <w:rsid w:val="009B31E9"/>
    <w:rsid w:val="009B32C0"/>
    <w:rsid w:val="009B3480"/>
    <w:rsid w:val="009B3555"/>
    <w:rsid w:val="009B386C"/>
    <w:rsid w:val="009B3BF6"/>
    <w:rsid w:val="009B3F14"/>
    <w:rsid w:val="009B3FA1"/>
    <w:rsid w:val="009B404A"/>
    <w:rsid w:val="009B4160"/>
    <w:rsid w:val="009B423C"/>
    <w:rsid w:val="009B44CB"/>
    <w:rsid w:val="009B4A2C"/>
    <w:rsid w:val="009B4B10"/>
    <w:rsid w:val="009B4CCE"/>
    <w:rsid w:val="009B4D53"/>
    <w:rsid w:val="009B4F28"/>
    <w:rsid w:val="009B4FDD"/>
    <w:rsid w:val="009B5147"/>
    <w:rsid w:val="009B544C"/>
    <w:rsid w:val="009B54F2"/>
    <w:rsid w:val="009B56E7"/>
    <w:rsid w:val="009B5765"/>
    <w:rsid w:val="009B580B"/>
    <w:rsid w:val="009B58B2"/>
    <w:rsid w:val="009B5B3A"/>
    <w:rsid w:val="009B5C13"/>
    <w:rsid w:val="009B5C30"/>
    <w:rsid w:val="009B5C60"/>
    <w:rsid w:val="009B5D37"/>
    <w:rsid w:val="009B5EAB"/>
    <w:rsid w:val="009B6095"/>
    <w:rsid w:val="009B6338"/>
    <w:rsid w:val="009B654B"/>
    <w:rsid w:val="009B6D62"/>
    <w:rsid w:val="009B6D9C"/>
    <w:rsid w:val="009B6F9C"/>
    <w:rsid w:val="009B7A02"/>
    <w:rsid w:val="009B7ABB"/>
    <w:rsid w:val="009C03AD"/>
    <w:rsid w:val="009C0E02"/>
    <w:rsid w:val="009C0F2F"/>
    <w:rsid w:val="009C161A"/>
    <w:rsid w:val="009C16A3"/>
    <w:rsid w:val="009C170A"/>
    <w:rsid w:val="009C17AC"/>
    <w:rsid w:val="009C1BC3"/>
    <w:rsid w:val="009C1D9B"/>
    <w:rsid w:val="009C2000"/>
    <w:rsid w:val="009C2116"/>
    <w:rsid w:val="009C220C"/>
    <w:rsid w:val="009C230F"/>
    <w:rsid w:val="009C25CB"/>
    <w:rsid w:val="009C27E3"/>
    <w:rsid w:val="009C2BBC"/>
    <w:rsid w:val="009C2C7D"/>
    <w:rsid w:val="009C2C9A"/>
    <w:rsid w:val="009C2E0C"/>
    <w:rsid w:val="009C2EAD"/>
    <w:rsid w:val="009C321D"/>
    <w:rsid w:val="009C3A48"/>
    <w:rsid w:val="009C3C08"/>
    <w:rsid w:val="009C3FEC"/>
    <w:rsid w:val="009C4941"/>
    <w:rsid w:val="009C4B5E"/>
    <w:rsid w:val="009C4BBE"/>
    <w:rsid w:val="009C4DC3"/>
    <w:rsid w:val="009C4E54"/>
    <w:rsid w:val="009C5173"/>
    <w:rsid w:val="009C5498"/>
    <w:rsid w:val="009C5A50"/>
    <w:rsid w:val="009C60BA"/>
    <w:rsid w:val="009C60D7"/>
    <w:rsid w:val="009C610E"/>
    <w:rsid w:val="009C6202"/>
    <w:rsid w:val="009C63AF"/>
    <w:rsid w:val="009C6E82"/>
    <w:rsid w:val="009C6F37"/>
    <w:rsid w:val="009C7074"/>
    <w:rsid w:val="009C7648"/>
    <w:rsid w:val="009C7661"/>
    <w:rsid w:val="009C76A3"/>
    <w:rsid w:val="009C7714"/>
    <w:rsid w:val="009C7A02"/>
    <w:rsid w:val="009C7B8A"/>
    <w:rsid w:val="009C7F0F"/>
    <w:rsid w:val="009C7FED"/>
    <w:rsid w:val="009D01C9"/>
    <w:rsid w:val="009D0308"/>
    <w:rsid w:val="009D0503"/>
    <w:rsid w:val="009D07A4"/>
    <w:rsid w:val="009D0DF2"/>
    <w:rsid w:val="009D0E0F"/>
    <w:rsid w:val="009D1008"/>
    <w:rsid w:val="009D13E2"/>
    <w:rsid w:val="009D1757"/>
    <w:rsid w:val="009D17A9"/>
    <w:rsid w:val="009D1864"/>
    <w:rsid w:val="009D18E0"/>
    <w:rsid w:val="009D190C"/>
    <w:rsid w:val="009D19AD"/>
    <w:rsid w:val="009D1B15"/>
    <w:rsid w:val="009D1D18"/>
    <w:rsid w:val="009D1D42"/>
    <w:rsid w:val="009D1D7B"/>
    <w:rsid w:val="009D1E0E"/>
    <w:rsid w:val="009D1E46"/>
    <w:rsid w:val="009D243D"/>
    <w:rsid w:val="009D2481"/>
    <w:rsid w:val="009D25D5"/>
    <w:rsid w:val="009D2974"/>
    <w:rsid w:val="009D2B68"/>
    <w:rsid w:val="009D2B7E"/>
    <w:rsid w:val="009D2EE2"/>
    <w:rsid w:val="009D32FA"/>
    <w:rsid w:val="009D336E"/>
    <w:rsid w:val="009D3553"/>
    <w:rsid w:val="009D38BE"/>
    <w:rsid w:val="009D39EA"/>
    <w:rsid w:val="009D3AAD"/>
    <w:rsid w:val="009D3CF5"/>
    <w:rsid w:val="009D4016"/>
    <w:rsid w:val="009D4033"/>
    <w:rsid w:val="009D4319"/>
    <w:rsid w:val="009D44A2"/>
    <w:rsid w:val="009D45C6"/>
    <w:rsid w:val="009D4962"/>
    <w:rsid w:val="009D4A3D"/>
    <w:rsid w:val="009D4C8F"/>
    <w:rsid w:val="009D4D36"/>
    <w:rsid w:val="009D4E4A"/>
    <w:rsid w:val="009D4F40"/>
    <w:rsid w:val="009D4F55"/>
    <w:rsid w:val="009D598C"/>
    <w:rsid w:val="009D5CE4"/>
    <w:rsid w:val="009D5E9C"/>
    <w:rsid w:val="009D5F69"/>
    <w:rsid w:val="009D6451"/>
    <w:rsid w:val="009D64A7"/>
    <w:rsid w:val="009D6785"/>
    <w:rsid w:val="009D695C"/>
    <w:rsid w:val="009D6A05"/>
    <w:rsid w:val="009D6AF1"/>
    <w:rsid w:val="009D6BFD"/>
    <w:rsid w:val="009D6C6B"/>
    <w:rsid w:val="009D6F14"/>
    <w:rsid w:val="009D7153"/>
    <w:rsid w:val="009D7441"/>
    <w:rsid w:val="009D75A5"/>
    <w:rsid w:val="009D78B5"/>
    <w:rsid w:val="009D7985"/>
    <w:rsid w:val="009D7ADA"/>
    <w:rsid w:val="009D7BDF"/>
    <w:rsid w:val="009D7D28"/>
    <w:rsid w:val="009D7E8C"/>
    <w:rsid w:val="009D7FB1"/>
    <w:rsid w:val="009E01D5"/>
    <w:rsid w:val="009E01E9"/>
    <w:rsid w:val="009E03D2"/>
    <w:rsid w:val="009E0558"/>
    <w:rsid w:val="009E0782"/>
    <w:rsid w:val="009E0A17"/>
    <w:rsid w:val="009E0AEE"/>
    <w:rsid w:val="009E0C5A"/>
    <w:rsid w:val="009E0DBD"/>
    <w:rsid w:val="009E0F61"/>
    <w:rsid w:val="009E11C8"/>
    <w:rsid w:val="009E140C"/>
    <w:rsid w:val="009E155F"/>
    <w:rsid w:val="009E16B0"/>
    <w:rsid w:val="009E1899"/>
    <w:rsid w:val="009E1935"/>
    <w:rsid w:val="009E1C9A"/>
    <w:rsid w:val="009E1DD8"/>
    <w:rsid w:val="009E218C"/>
    <w:rsid w:val="009E23E8"/>
    <w:rsid w:val="009E26FA"/>
    <w:rsid w:val="009E2859"/>
    <w:rsid w:val="009E2D6C"/>
    <w:rsid w:val="009E3210"/>
    <w:rsid w:val="009E333A"/>
    <w:rsid w:val="009E343D"/>
    <w:rsid w:val="009E35F0"/>
    <w:rsid w:val="009E3633"/>
    <w:rsid w:val="009E3907"/>
    <w:rsid w:val="009E39BC"/>
    <w:rsid w:val="009E3C74"/>
    <w:rsid w:val="009E3D2F"/>
    <w:rsid w:val="009E3DD1"/>
    <w:rsid w:val="009E3EFF"/>
    <w:rsid w:val="009E3FA5"/>
    <w:rsid w:val="009E41B1"/>
    <w:rsid w:val="009E456C"/>
    <w:rsid w:val="009E5564"/>
    <w:rsid w:val="009E58F3"/>
    <w:rsid w:val="009E5D09"/>
    <w:rsid w:val="009E5E61"/>
    <w:rsid w:val="009E5EC1"/>
    <w:rsid w:val="009E5F49"/>
    <w:rsid w:val="009E60AC"/>
    <w:rsid w:val="009E6145"/>
    <w:rsid w:val="009E61A1"/>
    <w:rsid w:val="009E63FC"/>
    <w:rsid w:val="009E64E8"/>
    <w:rsid w:val="009E65D9"/>
    <w:rsid w:val="009E660A"/>
    <w:rsid w:val="009E66B8"/>
    <w:rsid w:val="009E69F5"/>
    <w:rsid w:val="009E6C01"/>
    <w:rsid w:val="009E6D7B"/>
    <w:rsid w:val="009E6D87"/>
    <w:rsid w:val="009E70C6"/>
    <w:rsid w:val="009F0176"/>
    <w:rsid w:val="009F0826"/>
    <w:rsid w:val="009F0A26"/>
    <w:rsid w:val="009F0ACA"/>
    <w:rsid w:val="009F0D9A"/>
    <w:rsid w:val="009F0EA1"/>
    <w:rsid w:val="009F1653"/>
    <w:rsid w:val="009F1670"/>
    <w:rsid w:val="009F17E6"/>
    <w:rsid w:val="009F18E6"/>
    <w:rsid w:val="009F1933"/>
    <w:rsid w:val="009F1937"/>
    <w:rsid w:val="009F1A66"/>
    <w:rsid w:val="009F1A67"/>
    <w:rsid w:val="009F1C11"/>
    <w:rsid w:val="009F1DAA"/>
    <w:rsid w:val="009F1E73"/>
    <w:rsid w:val="009F2188"/>
    <w:rsid w:val="009F2331"/>
    <w:rsid w:val="009F240A"/>
    <w:rsid w:val="009F2911"/>
    <w:rsid w:val="009F2955"/>
    <w:rsid w:val="009F2AC4"/>
    <w:rsid w:val="009F2AD1"/>
    <w:rsid w:val="009F2AF3"/>
    <w:rsid w:val="009F2E62"/>
    <w:rsid w:val="009F2E76"/>
    <w:rsid w:val="009F2FEC"/>
    <w:rsid w:val="009F3117"/>
    <w:rsid w:val="009F3288"/>
    <w:rsid w:val="009F34D4"/>
    <w:rsid w:val="009F367B"/>
    <w:rsid w:val="009F3776"/>
    <w:rsid w:val="009F3A9E"/>
    <w:rsid w:val="009F3B84"/>
    <w:rsid w:val="009F3CAB"/>
    <w:rsid w:val="009F3CF3"/>
    <w:rsid w:val="009F3D2B"/>
    <w:rsid w:val="009F3DF7"/>
    <w:rsid w:val="009F3F13"/>
    <w:rsid w:val="009F3F98"/>
    <w:rsid w:val="009F40E4"/>
    <w:rsid w:val="009F42FB"/>
    <w:rsid w:val="009F4757"/>
    <w:rsid w:val="009F47C6"/>
    <w:rsid w:val="009F4A02"/>
    <w:rsid w:val="009F4D4A"/>
    <w:rsid w:val="009F51BF"/>
    <w:rsid w:val="009F57CB"/>
    <w:rsid w:val="009F586B"/>
    <w:rsid w:val="009F5FA6"/>
    <w:rsid w:val="009F5FC4"/>
    <w:rsid w:val="009F60C3"/>
    <w:rsid w:val="009F60DB"/>
    <w:rsid w:val="009F6158"/>
    <w:rsid w:val="009F61F3"/>
    <w:rsid w:val="009F698C"/>
    <w:rsid w:val="009F6E58"/>
    <w:rsid w:val="009F72A3"/>
    <w:rsid w:val="009F743F"/>
    <w:rsid w:val="009F746D"/>
    <w:rsid w:val="009F7474"/>
    <w:rsid w:val="009F7A05"/>
    <w:rsid w:val="009F7F7A"/>
    <w:rsid w:val="00A00029"/>
    <w:rsid w:val="00A00189"/>
    <w:rsid w:val="00A001E1"/>
    <w:rsid w:val="00A00388"/>
    <w:rsid w:val="00A0045A"/>
    <w:rsid w:val="00A004EB"/>
    <w:rsid w:val="00A00526"/>
    <w:rsid w:val="00A006D8"/>
    <w:rsid w:val="00A0072B"/>
    <w:rsid w:val="00A00817"/>
    <w:rsid w:val="00A00922"/>
    <w:rsid w:val="00A0097E"/>
    <w:rsid w:val="00A00A67"/>
    <w:rsid w:val="00A00B09"/>
    <w:rsid w:val="00A00DD1"/>
    <w:rsid w:val="00A00E3F"/>
    <w:rsid w:val="00A00EDC"/>
    <w:rsid w:val="00A00F98"/>
    <w:rsid w:val="00A010AE"/>
    <w:rsid w:val="00A01472"/>
    <w:rsid w:val="00A01475"/>
    <w:rsid w:val="00A015AB"/>
    <w:rsid w:val="00A0160A"/>
    <w:rsid w:val="00A01981"/>
    <w:rsid w:val="00A01C46"/>
    <w:rsid w:val="00A01C4B"/>
    <w:rsid w:val="00A01D9D"/>
    <w:rsid w:val="00A020E6"/>
    <w:rsid w:val="00A02138"/>
    <w:rsid w:val="00A021BD"/>
    <w:rsid w:val="00A023EF"/>
    <w:rsid w:val="00A024EF"/>
    <w:rsid w:val="00A025CF"/>
    <w:rsid w:val="00A02674"/>
    <w:rsid w:val="00A0293C"/>
    <w:rsid w:val="00A02A18"/>
    <w:rsid w:val="00A02AA2"/>
    <w:rsid w:val="00A02CD4"/>
    <w:rsid w:val="00A02D20"/>
    <w:rsid w:val="00A02D55"/>
    <w:rsid w:val="00A02DF9"/>
    <w:rsid w:val="00A03081"/>
    <w:rsid w:val="00A0346B"/>
    <w:rsid w:val="00A034A2"/>
    <w:rsid w:val="00A037A6"/>
    <w:rsid w:val="00A03B59"/>
    <w:rsid w:val="00A03EF1"/>
    <w:rsid w:val="00A04434"/>
    <w:rsid w:val="00A0444E"/>
    <w:rsid w:val="00A0468F"/>
    <w:rsid w:val="00A04754"/>
    <w:rsid w:val="00A04814"/>
    <w:rsid w:val="00A0489F"/>
    <w:rsid w:val="00A04A06"/>
    <w:rsid w:val="00A04A2F"/>
    <w:rsid w:val="00A04D68"/>
    <w:rsid w:val="00A0514A"/>
    <w:rsid w:val="00A05332"/>
    <w:rsid w:val="00A054F6"/>
    <w:rsid w:val="00A05995"/>
    <w:rsid w:val="00A05AA0"/>
    <w:rsid w:val="00A05D1E"/>
    <w:rsid w:val="00A0600A"/>
    <w:rsid w:val="00A06013"/>
    <w:rsid w:val="00A06121"/>
    <w:rsid w:val="00A0613F"/>
    <w:rsid w:val="00A0623E"/>
    <w:rsid w:val="00A066A8"/>
    <w:rsid w:val="00A068F6"/>
    <w:rsid w:val="00A06D28"/>
    <w:rsid w:val="00A06D91"/>
    <w:rsid w:val="00A06F35"/>
    <w:rsid w:val="00A07152"/>
    <w:rsid w:val="00A07154"/>
    <w:rsid w:val="00A07199"/>
    <w:rsid w:val="00A0732D"/>
    <w:rsid w:val="00A0740A"/>
    <w:rsid w:val="00A0752C"/>
    <w:rsid w:val="00A0764B"/>
    <w:rsid w:val="00A078AB"/>
    <w:rsid w:val="00A07C7D"/>
    <w:rsid w:val="00A07D66"/>
    <w:rsid w:val="00A1008D"/>
    <w:rsid w:val="00A101B7"/>
    <w:rsid w:val="00A10242"/>
    <w:rsid w:val="00A1039A"/>
    <w:rsid w:val="00A103A9"/>
    <w:rsid w:val="00A103FC"/>
    <w:rsid w:val="00A104ED"/>
    <w:rsid w:val="00A10B26"/>
    <w:rsid w:val="00A10B66"/>
    <w:rsid w:val="00A10CF2"/>
    <w:rsid w:val="00A1132E"/>
    <w:rsid w:val="00A113E1"/>
    <w:rsid w:val="00A1155F"/>
    <w:rsid w:val="00A11627"/>
    <w:rsid w:val="00A11C83"/>
    <w:rsid w:val="00A11CC9"/>
    <w:rsid w:val="00A11DE6"/>
    <w:rsid w:val="00A120DD"/>
    <w:rsid w:val="00A12202"/>
    <w:rsid w:val="00A122CD"/>
    <w:rsid w:val="00A125B0"/>
    <w:rsid w:val="00A126AF"/>
    <w:rsid w:val="00A1297C"/>
    <w:rsid w:val="00A12D8D"/>
    <w:rsid w:val="00A12DAE"/>
    <w:rsid w:val="00A134D9"/>
    <w:rsid w:val="00A134E9"/>
    <w:rsid w:val="00A13532"/>
    <w:rsid w:val="00A13A02"/>
    <w:rsid w:val="00A13A03"/>
    <w:rsid w:val="00A13B46"/>
    <w:rsid w:val="00A13CAA"/>
    <w:rsid w:val="00A13D20"/>
    <w:rsid w:val="00A13E3B"/>
    <w:rsid w:val="00A140AD"/>
    <w:rsid w:val="00A14851"/>
    <w:rsid w:val="00A14939"/>
    <w:rsid w:val="00A1509D"/>
    <w:rsid w:val="00A15156"/>
    <w:rsid w:val="00A152D1"/>
    <w:rsid w:val="00A1542C"/>
    <w:rsid w:val="00A1571E"/>
    <w:rsid w:val="00A157E4"/>
    <w:rsid w:val="00A15847"/>
    <w:rsid w:val="00A15B06"/>
    <w:rsid w:val="00A15EE4"/>
    <w:rsid w:val="00A16279"/>
    <w:rsid w:val="00A164F6"/>
    <w:rsid w:val="00A169FA"/>
    <w:rsid w:val="00A16A5B"/>
    <w:rsid w:val="00A16D5B"/>
    <w:rsid w:val="00A16FBF"/>
    <w:rsid w:val="00A172B7"/>
    <w:rsid w:val="00A17354"/>
    <w:rsid w:val="00A174BD"/>
    <w:rsid w:val="00A1770E"/>
    <w:rsid w:val="00A1770F"/>
    <w:rsid w:val="00A17AC1"/>
    <w:rsid w:val="00A17B87"/>
    <w:rsid w:val="00A20237"/>
    <w:rsid w:val="00A20239"/>
    <w:rsid w:val="00A20361"/>
    <w:rsid w:val="00A20378"/>
    <w:rsid w:val="00A203F5"/>
    <w:rsid w:val="00A20663"/>
    <w:rsid w:val="00A20783"/>
    <w:rsid w:val="00A20809"/>
    <w:rsid w:val="00A20879"/>
    <w:rsid w:val="00A20A10"/>
    <w:rsid w:val="00A21069"/>
    <w:rsid w:val="00A2115C"/>
    <w:rsid w:val="00A21247"/>
    <w:rsid w:val="00A2129D"/>
    <w:rsid w:val="00A2138B"/>
    <w:rsid w:val="00A21458"/>
    <w:rsid w:val="00A214A5"/>
    <w:rsid w:val="00A2156B"/>
    <w:rsid w:val="00A2168A"/>
    <w:rsid w:val="00A21802"/>
    <w:rsid w:val="00A21887"/>
    <w:rsid w:val="00A21B4C"/>
    <w:rsid w:val="00A21BC3"/>
    <w:rsid w:val="00A21E6F"/>
    <w:rsid w:val="00A21EBA"/>
    <w:rsid w:val="00A2209C"/>
    <w:rsid w:val="00A2214A"/>
    <w:rsid w:val="00A22184"/>
    <w:rsid w:val="00A22350"/>
    <w:rsid w:val="00A2236F"/>
    <w:rsid w:val="00A223BA"/>
    <w:rsid w:val="00A22745"/>
    <w:rsid w:val="00A228ED"/>
    <w:rsid w:val="00A229B0"/>
    <w:rsid w:val="00A22D87"/>
    <w:rsid w:val="00A22DDF"/>
    <w:rsid w:val="00A22DF0"/>
    <w:rsid w:val="00A2356F"/>
    <w:rsid w:val="00A23597"/>
    <w:rsid w:val="00A235AC"/>
    <w:rsid w:val="00A2377B"/>
    <w:rsid w:val="00A237A1"/>
    <w:rsid w:val="00A23A8E"/>
    <w:rsid w:val="00A23CBD"/>
    <w:rsid w:val="00A240C8"/>
    <w:rsid w:val="00A241F1"/>
    <w:rsid w:val="00A24480"/>
    <w:rsid w:val="00A2465C"/>
    <w:rsid w:val="00A247AE"/>
    <w:rsid w:val="00A248BD"/>
    <w:rsid w:val="00A249CD"/>
    <w:rsid w:val="00A24A98"/>
    <w:rsid w:val="00A24DE6"/>
    <w:rsid w:val="00A24E6A"/>
    <w:rsid w:val="00A24EDE"/>
    <w:rsid w:val="00A25076"/>
    <w:rsid w:val="00A2511C"/>
    <w:rsid w:val="00A252F8"/>
    <w:rsid w:val="00A25502"/>
    <w:rsid w:val="00A256B0"/>
    <w:rsid w:val="00A256D2"/>
    <w:rsid w:val="00A25711"/>
    <w:rsid w:val="00A2584B"/>
    <w:rsid w:val="00A2588B"/>
    <w:rsid w:val="00A25943"/>
    <w:rsid w:val="00A25960"/>
    <w:rsid w:val="00A25A81"/>
    <w:rsid w:val="00A25C95"/>
    <w:rsid w:val="00A25D36"/>
    <w:rsid w:val="00A25F36"/>
    <w:rsid w:val="00A25FCB"/>
    <w:rsid w:val="00A26068"/>
    <w:rsid w:val="00A261A3"/>
    <w:rsid w:val="00A2623A"/>
    <w:rsid w:val="00A264A4"/>
    <w:rsid w:val="00A26756"/>
    <w:rsid w:val="00A26926"/>
    <w:rsid w:val="00A269CA"/>
    <w:rsid w:val="00A26A23"/>
    <w:rsid w:val="00A26C99"/>
    <w:rsid w:val="00A26DB5"/>
    <w:rsid w:val="00A26DF4"/>
    <w:rsid w:val="00A26F2E"/>
    <w:rsid w:val="00A277E8"/>
    <w:rsid w:val="00A27C30"/>
    <w:rsid w:val="00A30331"/>
    <w:rsid w:val="00A305C7"/>
    <w:rsid w:val="00A30942"/>
    <w:rsid w:val="00A30AE7"/>
    <w:rsid w:val="00A30BFD"/>
    <w:rsid w:val="00A30F4B"/>
    <w:rsid w:val="00A314EB"/>
    <w:rsid w:val="00A31625"/>
    <w:rsid w:val="00A31739"/>
    <w:rsid w:val="00A31B44"/>
    <w:rsid w:val="00A31DCF"/>
    <w:rsid w:val="00A31EA1"/>
    <w:rsid w:val="00A32250"/>
    <w:rsid w:val="00A323C6"/>
    <w:rsid w:val="00A3240C"/>
    <w:rsid w:val="00A324DF"/>
    <w:rsid w:val="00A3272E"/>
    <w:rsid w:val="00A3277F"/>
    <w:rsid w:val="00A32D31"/>
    <w:rsid w:val="00A32D88"/>
    <w:rsid w:val="00A32E95"/>
    <w:rsid w:val="00A32F81"/>
    <w:rsid w:val="00A33049"/>
    <w:rsid w:val="00A330AC"/>
    <w:rsid w:val="00A33318"/>
    <w:rsid w:val="00A33625"/>
    <w:rsid w:val="00A336EC"/>
    <w:rsid w:val="00A33832"/>
    <w:rsid w:val="00A33ADD"/>
    <w:rsid w:val="00A33E93"/>
    <w:rsid w:val="00A34287"/>
    <w:rsid w:val="00A34401"/>
    <w:rsid w:val="00A34606"/>
    <w:rsid w:val="00A34761"/>
    <w:rsid w:val="00A34945"/>
    <w:rsid w:val="00A3495D"/>
    <w:rsid w:val="00A34A46"/>
    <w:rsid w:val="00A34B3A"/>
    <w:rsid w:val="00A34C1D"/>
    <w:rsid w:val="00A35017"/>
    <w:rsid w:val="00A3503E"/>
    <w:rsid w:val="00A35194"/>
    <w:rsid w:val="00A35941"/>
    <w:rsid w:val="00A35979"/>
    <w:rsid w:val="00A35A48"/>
    <w:rsid w:val="00A35AF9"/>
    <w:rsid w:val="00A35B52"/>
    <w:rsid w:val="00A35CEA"/>
    <w:rsid w:val="00A35DE2"/>
    <w:rsid w:val="00A35E48"/>
    <w:rsid w:val="00A35EE2"/>
    <w:rsid w:val="00A35F9E"/>
    <w:rsid w:val="00A35FB4"/>
    <w:rsid w:val="00A36217"/>
    <w:rsid w:val="00A3655B"/>
    <w:rsid w:val="00A365C9"/>
    <w:rsid w:val="00A365EF"/>
    <w:rsid w:val="00A3695F"/>
    <w:rsid w:val="00A36ACE"/>
    <w:rsid w:val="00A36B57"/>
    <w:rsid w:val="00A36BC8"/>
    <w:rsid w:val="00A36D0E"/>
    <w:rsid w:val="00A36D5A"/>
    <w:rsid w:val="00A36D8E"/>
    <w:rsid w:val="00A36ED5"/>
    <w:rsid w:val="00A36F14"/>
    <w:rsid w:val="00A36F2E"/>
    <w:rsid w:val="00A373EB"/>
    <w:rsid w:val="00A37685"/>
    <w:rsid w:val="00A37704"/>
    <w:rsid w:val="00A37848"/>
    <w:rsid w:val="00A37852"/>
    <w:rsid w:val="00A37A47"/>
    <w:rsid w:val="00A37A5B"/>
    <w:rsid w:val="00A37AF6"/>
    <w:rsid w:val="00A37BE3"/>
    <w:rsid w:val="00A37C0C"/>
    <w:rsid w:val="00A37E21"/>
    <w:rsid w:val="00A400C1"/>
    <w:rsid w:val="00A40100"/>
    <w:rsid w:val="00A404C0"/>
    <w:rsid w:val="00A40A6C"/>
    <w:rsid w:val="00A40E7A"/>
    <w:rsid w:val="00A4104D"/>
    <w:rsid w:val="00A41139"/>
    <w:rsid w:val="00A411B3"/>
    <w:rsid w:val="00A4187E"/>
    <w:rsid w:val="00A41B32"/>
    <w:rsid w:val="00A41D8A"/>
    <w:rsid w:val="00A420CD"/>
    <w:rsid w:val="00A42198"/>
    <w:rsid w:val="00A4231A"/>
    <w:rsid w:val="00A4247B"/>
    <w:rsid w:val="00A424EE"/>
    <w:rsid w:val="00A42501"/>
    <w:rsid w:val="00A426F5"/>
    <w:rsid w:val="00A42716"/>
    <w:rsid w:val="00A42B24"/>
    <w:rsid w:val="00A42E8C"/>
    <w:rsid w:val="00A42F7B"/>
    <w:rsid w:val="00A42F97"/>
    <w:rsid w:val="00A431D0"/>
    <w:rsid w:val="00A431F6"/>
    <w:rsid w:val="00A43350"/>
    <w:rsid w:val="00A438D4"/>
    <w:rsid w:val="00A43997"/>
    <w:rsid w:val="00A439E3"/>
    <w:rsid w:val="00A43C4B"/>
    <w:rsid w:val="00A43D9F"/>
    <w:rsid w:val="00A43E36"/>
    <w:rsid w:val="00A43E5D"/>
    <w:rsid w:val="00A43FB1"/>
    <w:rsid w:val="00A4426B"/>
    <w:rsid w:val="00A44416"/>
    <w:rsid w:val="00A44966"/>
    <w:rsid w:val="00A44BA1"/>
    <w:rsid w:val="00A44DDF"/>
    <w:rsid w:val="00A4542F"/>
    <w:rsid w:val="00A45580"/>
    <w:rsid w:val="00A4580C"/>
    <w:rsid w:val="00A458EF"/>
    <w:rsid w:val="00A45ACC"/>
    <w:rsid w:val="00A45FF7"/>
    <w:rsid w:val="00A461B1"/>
    <w:rsid w:val="00A46263"/>
    <w:rsid w:val="00A46608"/>
    <w:rsid w:val="00A4681B"/>
    <w:rsid w:val="00A46AA9"/>
    <w:rsid w:val="00A46B49"/>
    <w:rsid w:val="00A46BBF"/>
    <w:rsid w:val="00A46F51"/>
    <w:rsid w:val="00A470B3"/>
    <w:rsid w:val="00A47261"/>
    <w:rsid w:val="00A472D6"/>
    <w:rsid w:val="00A475D5"/>
    <w:rsid w:val="00A475F5"/>
    <w:rsid w:val="00A47E49"/>
    <w:rsid w:val="00A47F96"/>
    <w:rsid w:val="00A502A1"/>
    <w:rsid w:val="00A50753"/>
    <w:rsid w:val="00A509FA"/>
    <w:rsid w:val="00A50F33"/>
    <w:rsid w:val="00A51499"/>
    <w:rsid w:val="00A515B9"/>
    <w:rsid w:val="00A51BA1"/>
    <w:rsid w:val="00A51C49"/>
    <w:rsid w:val="00A51FE2"/>
    <w:rsid w:val="00A522A8"/>
    <w:rsid w:val="00A526FB"/>
    <w:rsid w:val="00A52AA2"/>
    <w:rsid w:val="00A52C01"/>
    <w:rsid w:val="00A52CF7"/>
    <w:rsid w:val="00A52D4C"/>
    <w:rsid w:val="00A52E72"/>
    <w:rsid w:val="00A52E83"/>
    <w:rsid w:val="00A52EEF"/>
    <w:rsid w:val="00A53538"/>
    <w:rsid w:val="00A53599"/>
    <w:rsid w:val="00A53920"/>
    <w:rsid w:val="00A53960"/>
    <w:rsid w:val="00A54191"/>
    <w:rsid w:val="00A542CA"/>
    <w:rsid w:val="00A54558"/>
    <w:rsid w:val="00A54826"/>
    <w:rsid w:val="00A548C8"/>
    <w:rsid w:val="00A54A80"/>
    <w:rsid w:val="00A54A97"/>
    <w:rsid w:val="00A54F0B"/>
    <w:rsid w:val="00A54F0C"/>
    <w:rsid w:val="00A54F5D"/>
    <w:rsid w:val="00A54FD6"/>
    <w:rsid w:val="00A550FB"/>
    <w:rsid w:val="00A55503"/>
    <w:rsid w:val="00A556D1"/>
    <w:rsid w:val="00A557FF"/>
    <w:rsid w:val="00A558D3"/>
    <w:rsid w:val="00A55994"/>
    <w:rsid w:val="00A55CF4"/>
    <w:rsid w:val="00A55D61"/>
    <w:rsid w:val="00A55F1A"/>
    <w:rsid w:val="00A560F3"/>
    <w:rsid w:val="00A56307"/>
    <w:rsid w:val="00A56359"/>
    <w:rsid w:val="00A56385"/>
    <w:rsid w:val="00A5660A"/>
    <w:rsid w:val="00A5665C"/>
    <w:rsid w:val="00A568A8"/>
    <w:rsid w:val="00A56904"/>
    <w:rsid w:val="00A5696B"/>
    <w:rsid w:val="00A569A7"/>
    <w:rsid w:val="00A5703B"/>
    <w:rsid w:val="00A57179"/>
    <w:rsid w:val="00A5717E"/>
    <w:rsid w:val="00A57204"/>
    <w:rsid w:val="00A5724C"/>
    <w:rsid w:val="00A5752E"/>
    <w:rsid w:val="00A576CB"/>
    <w:rsid w:val="00A5780F"/>
    <w:rsid w:val="00A57B4D"/>
    <w:rsid w:val="00A57DBD"/>
    <w:rsid w:val="00A57EF2"/>
    <w:rsid w:val="00A6005A"/>
    <w:rsid w:val="00A60200"/>
    <w:rsid w:val="00A602CA"/>
    <w:rsid w:val="00A6030E"/>
    <w:rsid w:val="00A60333"/>
    <w:rsid w:val="00A609C0"/>
    <w:rsid w:val="00A60A49"/>
    <w:rsid w:val="00A60BC8"/>
    <w:rsid w:val="00A60F1E"/>
    <w:rsid w:val="00A61074"/>
    <w:rsid w:val="00A61137"/>
    <w:rsid w:val="00A61152"/>
    <w:rsid w:val="00A61190"/>
    <w:rsid w:val="00A6134A"/>
    <w:rsid w:val="00A61592"/>
    <w:rsid w:val="00A616D7"/>
    <w:rsid w:val="00A61784"/>
    <w:rsid w:val="00A61B67"/>
    <w:rsid w:val="00A61D25"/>
    <w:rsid w:val="00A6229D"/>
    <w:rsid w:val="00A62338"/>
    <w:rsid w:val="00A62657"/>
    <w:rsid w:val="00A626EE"/>
    <w:rsid w:val="00A628BE"/>
    <w:rsid w:val="00A62F89"/>
    <w:rsid w:val="00A63096"/>
    <w:rsid w:val="00A630F9"/>
    <w:rsid w:val="00A6342E"/>
    <w:rsid w:val="00A6393E"/>
    <w:rsid w:val="00A6422E"/>
    <w:rsid w:val="00A64267"/>
    <w:rsid w:val="00A6437B"/>
    <w:rsid w:val="00A64650"/>
    <w:rsid w:val="00A64750"/>
    <w:rsid w:val="00A6475F"/>
    <w:rsid w:val="00A64763"/>
    <w:rsid w:val="00A6478B"/>
    <w:rsid w:val="00A64A55"/>
    <w:rsid w:val="00A64A7B"/>
    <w:rsid w:val="00A64BCC"/>
    <w:rsid w:val="00A64DD1"/>
    <w:rsid w:val="00A65146"/>
    <w:rsid w:val="00A651AE"/>
    <w:rsid w:val="00A6531D"/>
    <w:rsid w:val="00A65495"/>
    <w:rsid w:val="00A65842"/>
    <w:rsid w:val="00A65AD7"/>
    <w:rsid w:val="00A65B05"/>
    <w:rsid w:val="00A65CE6"/>
    <w:rsid w:val="00A65D12"/>
    <w:rsid w:val="00A65D93"/>
    <w:rsid w:val="00A660CD"/>
    <w:rsid w:val="00A666D2"/>
    <w:rsid w:val="00A6693C"/>
    <w:rsid w:val="00A6697C"/>
    <w:rsid w:val="00A66A55"/>
    <w:rsid w:val="00A66B7E"/>
    <w:rsid w:val="00A66CC2"/>
    <w:rsid w:val="00A66CCC"/>
    <w:rsid w:val="00A66FF3"/>
    <w:rsid w:val="00A6718A"/>
    <w:rsid w:val="00A672A3"/>
    <w:rsid w:val="00A672DD"/>
    <w:rsid w:val="00A672F2"/>
    <w:rsid w:val="00A673D4"/>
    <w:rsid w:val="00A674B9"/>
    <w:rsid w:val="00A677EF"/>
    <w:rsid w:val="00A678E1"/>
    <w:rsid w:val="00A67A3F"/>
    <w:rsid w:val="00A67C59"/>
    <w:rsid w:val="00A67DDE"/>
    <w:rsid w:val="00A700A1"/>
    <w:rsid w:val="00A7011D"/>
    <w:rsid w:val="00A702E4"/>
    <w:rsid w:val="00A703FC"/>
    <w:rsid w:val="00A7043A"/>
    <w:rsid w:val="00A704A5"/>
    <w:rsid w:val="00A70504"/>
    <w:rsid w:val="00A705B1"/>
    <w:rsid w:val="00A70786"/>
    <w:rsid w:val="00A70CDE"/>
    <w:rsid w:val="00A70DA5"/>
    <w:rsid w:val="00A710A1"/>
    <w:rsid w:val="00A71141"/>
    <w:rsid w:val="00A711DB"/>
    <w:rsid w:val="00A711E4"/>
    <w:rsid w:val="00A71335"/>
    <w:rsid w:val="00A71686"/>
    <w:rsid w:val="00A71745"/>
    <w:rsid w:val="00A71A56"/>
    <w:rsid w:val="00A71DBF"/>
    <w:rsid w:val="00A71E96"/>
    <w:rsid w:val="00A720CA"/>
    <w:rsid w:val="00A72126"/>
    <w:rsid w:val="00A723D9"/>
    <w:rsid w:val="00A7240E"/>
    <w:rsid w:val="00A72583"/>
    <w:rsid w:val="00A72A82"/>
    <w:rsid w:val="00A73335"/>
    <w:rsid w:val="00A734F9"/>
    <w:rsid w:val="00A73778"/>
    <w:rsid w:val="00A738F6"/>
    <w:rsid w:val="00A739C8"/>
    <w:rsid w:val="00A73DF5"/>
    <w:rsid w:val="00A73DFF"/>
    <w:rsid w:val="00A73E82"/>
    <w:rsid w:val="00A73F69"/>
    <w:rsid w:val="00A7424B"/>
    <w:rsid w:val="00A74DD8"/>
    <w:rsid w:val="00A74E07"/>
    <w:rsid w:val="00A74E15"/>
    <w:rsid w:val="00A75035"/>
    <w:rsid w:val="00A75069"/>
    <w:rsid w:val="00A7585C"/>
    <w:rsid w:val="00A75B7D"/>
    <w:rsid w:val="00A75C38"/>
    <w:rsid w:val="00A762CA"/>
    <w:rsid w:val="00A76429"/>
    <w:rsid w:val="00A76BA9"/>
    <w:rsid w:val="00A76CC3"/>
    <w:rsid w:val="00A76D6D"/>
    <w:rsid w:val="00A76D80"/>
    <w:rsid w:val="00A76D9A"/>
    <w:rsid w:val="00A76F18"/>
    <w:rsid w:val="00A770F1"/>
    <w:rsid w:val="00A7740C"/>
    <w:rsid w:val="00A77492"/>
    <w:rsid w:val="00A7750C"/>
    <w:rsid w:val="00A775C2"/>
    <w:rsid w:val="00A775C3"/>
    <w:rsid w:val="00A77618"/>
    <w:rsid w:val="00A7764D"/>
    <w:rsid w:val="00A77766"/>
    <w:rsid w:val="00A777C8"/>
    <w:rsid w:val="00A7791C"/>
    <w:rsid w:val="00A80161"/>
    <w:rsid w:val="00A8016C"/>
    <w:rsid w:val="00A80714"/>
    <w:rsid w:val="00A80935"/>
    <w:rsid w:val="00A80987"/>
    <w:rsid w:val="00A80B48"/>
    <w:rsid w:val="00A80C3B"/>
    <w:rsid w:val="00A80E5D"/>
    <w:rsid w:val="00A80ED6"/>
    <w:rsid w:val="00A80FF8"/>
    <w:rsid w:val="00A81048"/>
    <w:rsid w:val="00A811FC"/>
    <w:rsid w:val="00A81257"/>
    <w:rsid w:val="00A816FA"/>
    <w:rsid w:val="00A81A90"/>
    <w:rsid w:val="00A81BF1"/>
    <w:rsid w:val="00A81DCC"/>
    <w:rsid w:val="00A82325"/>
    <w:rsid w:val="00A823FA"/>
    <w:rsid w:val="00A824A3"/>
    <w:rsid w:val="00A825AE"/>
    <w:rsid w:val="00A825D5"/>
    <w:rsid w:val="00A8263D"/>
    <w:rsid w:val="00A827E4"/>
    <w:rsid w:val="00A82D40"/>
    <w:rsid w:val="00A82D82"/>
    <w:rsid w:val="00A82EFD"/>
    <w:rsid w:val="00A831F5"/>
    <w:rsid w:val="00A83373"/>
    <w:rsid w:val="00A83B8A"/>
    <w:rsid w:val="00A83C00"/>
    <w:rsid w:val="00A83EBD"/>
    <w:rsid w:val="00A8421C"/>
    <w:rsid w:val="00A8426C"/>
    <w:rsid w:val="00A844A8"/>
    <w:rsid w:val="00A84739"/>
    <w:rsid w:val="00A8481A"/>
    <w:rsid w:val="00A84983"/>
    <w:rsid w:val="00A849E8"/>
    <w:rsid w:val="00A84A90"/>
    <w:rsid w:val="00A84AA8"/>
    <w:rsid w:val="00A85424"/>
    <w:rsid w:val="00A85A82"/>
    <w:rsid w:val="00A85B34"/>
    <w:rsid w:val="00A85ECB"/>
    <w:rsid w:val="00A85F8A"/>
    <w:rsid w:val="00A86090"/>
    <w:rsid w:val="00A86383"/>
    <w:rsid w:val="00A863A4"/>
    <w:rsid w:val="00A86A1B"/>
    <w:rsid w:val="00A86AF1"/>
    <w:rsid w:val="00A86B8E"/>
    <w:rsid w:val="00A86D75"/>
    <w:rsid w:val="00A86FBF"/>
    <w:rsid w:val="00A8749D"/>
    <w:rsid w:val="00A8750B"/>
    <w:rsid w:val="00A87585"/>
    <w:rsid w:val="00A87600"/>
    <w:rsid w:val="00A878FC"/>
    <w:rsid w:val="00A87948"/>
    <w:rsid w:val="00A87952"/>
    <w:rsid w:val="00A87AAE"/>
    <w:rsid w:val="00A87F0A"/>
    <w:rsid w:val="00A87FB1"/>
    <w:rsid w:val="00A90001"/>
    <w:rsid w:val="00A90263"/>
    <w:rsid w:val="00A90293"/>
    <w:rsid w:val="00A90670"/>
    <w:rsid w:val="00A90747"/>
    <w:rsid w:val="00A90B5E"/>
    <w:rsid w:val="00A90E71"/>
    <w:rsid w:val="00A90FE8"/>
    <w:rsid w:val="00A914D1"/>
    <w:rsid w:val="00A916B6"/>
    <w:rsid w:val="00A91B03"/>
    <w:rsid w:val="00A91CBA"/>
    <w:rsid w:val="00A91F78"/>
    <w:rsid w:val="00A92004"/>
    <w:rsid w:val="00A921B0"/>
    <w:rsid w:val="00A921CC"/>
    <w:rsid w:val="00A922C7"/>
    <w:rsid w:val="00A923D0"/>
    <w:rsid w:val="00A9249F"/>
    <w:rsid w:val="00A924E8"/>
    <w:rsid w:val="00A926C4"/>
    <w:rsid w:val="00A9294F"/>
    <w:rsid w:val="00A92B15"/>
    <w:rsid w:val="00A92EA7"/>
    <w:rsid w:val="00A92EDD"/>
    <w:rsid w:val="00A9314A"/>
    <w:rsid w:val="00A93356"/>
    <w:rsid w:val="00A933D6"/>
    <w:rsid w:val="00A933D9"/>
    <w:rsid w:val="00A933E2"/>
    <w:rsid w:val="00A93406"/>
    <w:rsid w:val="00A934F0"/>
    <w:rsid w:val="00A93519"/>
    <w:rsid w:val="00A93699"/>
    <w:rsid w:val="00A936D8"/>
    <w:rsid w:val="00A9396F"/>
    <w:rsid w:val="00A93AF7"/>
    <w:rsid w:val="00A93B43"/>
    <w:rsid w:val="00A93E53"/>
    <w:rsid w:val="00A93FD2"/>
    <w:rsid w:val="00A9402B"/>
    <w:rsid w:val="00A941DA"/>
    <w:rsid w:val="00A942EC"/>
    <w:rsid w:val="00A9475E"/>
    <w:rsid w:val="00A94789"/>
    <w:rsid w:val="00A9489B"/>
    <w:rsid w:val="00A94C23"/>
    <w:rsid w:val="00A94C3B"/>
    <w:rsid w:val="00A94F78"/>
    <w:rsid w:val="00A94FA0"/>
    <w:rsid w:val="00A94FE0"/>
    <w:rsid w:val="00A957EC"/>
    <w:rsid w:val="00A958FB"/>
    <w:rsid w:val="00A95934"/>
    <w:rsid w:val="00A959B7"/>
    <w:rsid w:val="00A95D44"/>
    <w:rsid w:val="00A96023"/>
    <w:rsid w:val="00A961B2"/>
    <w:rsid w:val="00A96275"/>
    <w:rsid w:val="00A967F2"/>
    <w:rsid w:val="00A96985"/>
    <w:rsid w:val="00A96EEB"/>
    <w:rsid w:val="00A96FFB"/>
    <w:rsid w:val="00A97226"/>
    <w:rsid w:val="00A97552"/>
    <w:rsid w:val="00A97651"/>
    <w:rsid w:val="00A978FE"/>
    <w:rsid w:val="00A97931"/>
    <w:rsid w:val="00A97ABE"/>
    <w:rsid w:val="00A97C25"/>
    <w:rsid w:val="00A97FCF"/>
    <w:rsid w:val="00AA0261"/>
    <w:rsid w:val="00AA0587"/>
    <w:rsid w:val="00AA067C"/>
    <w:rsid w:val="00AA0AD0"/>
    <w:rsid w:val="00AA0B96"/>
    <w:rsid w:val="00AA0BE9"/>
    <w:rsid w:val="00AA0ECF"/>
    <w:rsid w:val="00AA107A"/>
    <w:rsid w:val="00AA1107"/>
    <w:rsid w:val="00AA1520"/>
    <w:rsid w:val="00AA1753"/>
    <w:rsid w:val="00AA1CA4"/>
    <w:rsid w:val="00AA1CC0"/>
    <w:rsid w:val="00AA20E3"/>
    <w:rsid w:val="00AA2211"/>
    <w:rsid w:val="00AA2370"/>
    <w:rsid w:val="00AA260E"/>
    <w:rsid w:val="00AA28D3"/>
    <w:rsid w:val="00AA2BEB"/>
    <w:rsid w:val="00AA2C6C"/>
    <w:rsid w:val="00AA2EE9"/>
    <w:rsid w:val="00AA3104"/>
    <w:rsid w:val="00AA3152"/>
    <w:rsid w:val="00AA34DB"/>
    <w:rsid w:val="00AA34EA"/>
    <w:rsid w:val="00AA38EF"/>
    <w:rsid w:val="00AA3A8C"/>
    <w:rsid w:val="00AA40AA"/>
    <w:rsid w:val="00AA421F"/>
    <w:rsid w:val="00AA4249"/>
    <w:rsid w:val="00AA44EB"/>
    <w:rsid w:val="00AA472F"/>
    <w:rsid w:val="00AA4B1D"/>
    <w:rsid w:val="00AA4BB8"/>
    <w:rsid w:val="00AA4E32"/>
    <w:rsid w:val="00AA54DF"/>
    <w:rsid w:val="00AA595B"/>
    <w:rsid w:val="00AA5A0A"/>
    <w:rsid w:val="00AA5B10"/>
    <w:rsid w:val="00AA5C4E"/>
    <w:rsid w:val="00AA5DBC"/>
    <w:rsid w:val="00AA5E75"/>
    <w:rsid w:val="00AA5E80"/>
    <w:rsid w:val="00AA5E9B"/>
    <w:rsid w:val="00AA5FB6"/>
    <w:rsid w:val="00AA6208"/>
    <w:rsid w:val="00AA63B4"/>
    <w:rsid w:val="00AA63DB"/>
    <w:rsid w:val="00AA645D"/>
    <w:rsid w:val="00AA6786"/>
    <w:rsid w:val="00AA6DC5"/>
    <w:rsid w:val="00AA6F57"/>
    <w:rsid w:val="00AA70C9"/>
    <w:rsid w:val="00AA7117"/>
    <w:rsid w:val="00AA736F"/>
    <w:rsid w:val="00AA74FC"/>
    <w:rsid w:val="00AA76D2"/>
    <w:rsid w:val="00AA76E0"/>
    <w:rsid w:val="00AA781A"/>
    <w:rsid w:val="00AA78A6"/>
    <w:rsid w:val="00AA79CB"/>
    <w:rsid w:val="00AA7A61"/>
    <w:rsid w:val="00AA7B18"/>
    <w:rsid w:val="00AA7B85"/>
    <w:rsid w:val="00AB008C"/>
    <w:rsid w:val="00AB016D"/>
    <w:rsid w:val="00AB01B1"/>
    <w:rsid w:val="00AB0285"/>
    <w:rsid w:val="00AB03A1"/>
    <w:rsid w:val="00AB03EF"/>
    <w:rsid w:val="00AB0789"/>
    <w:rsid w:val="00AB0796"/>
    <w:rsid w:val="00AB0954"/>
    <w:rsid w:val="00AB0F56"/>
    <w:rsid w:val="00AB105D"/>
    <w:rsid w:val="00AB14BF"/>
    <w:rsid w:val="00AB157E"/>
    <w:rsid w:val="00AB162B"/>
    <w:rsid w:val="00AB1869"/>
    <w:rsid w:val="00AB18F6"/>
    <w:rsid w:val="00AB19FB"/>
    <w:rsid w:val="00AB1CFA"/>
    <w:rsid w:val="00AB1DD7"/>
    <w:rsid w:val="00AB1EC2"/>
    <w:rsid w:val="00AB2591"/>
    <w:rsid w:val="00AB292B"/>
    <w:rsid w:val="00AB2EF5"/>
    <w:rsid w:val="00AB317F"/>
    <w:rsid w:val="00AB31E2"/>
    <w:rsid w:val="00AB331D"/>
    <w:rsid w:val="00AB332A"/>
    <w:rsid w:val="00AB33D1"/>
    <w:rsid w:val="00AB3401"/>
    <w:rsid w:val="00AB34B7"/>
    <w:rsid w:val="00AB35B7"/>
    <w:rsid w:val="00AB37D8"/>
    <w:rsid w:val="00AB3993"/>
    <w:rsid w:val="00AB3ABC"/>
    <w:rsid w:val="00AB3FA8"/>
    <w:rsid w:val="00AB4781"/>
    <w:rsid w:val="00AB4A8B"/>
    <w:rsid w:val="00AB4AD3"/>
    <w:rsid w:val="00AB4C89"/>
    <w:rsid w:val="00AB4D45"/>
    <w:rsid w:val="00AB4D73"/>
    <w:rsid w:val="00AB51B3"/>
    <w:rsid w:val="00AB5341"/>
    <w:rsid w:val="00AB5567"/>
    <w:rsid w:val="00AB5D23"/>
    <w:rsid w:val="00AB5E61"/>
    <w:rsid w:val="00AB5E85"/>
    <w:rsid w:val="00AB60EC"/>
    <w:rsid w:val="00AB6108"/>
    <w:rsid w:val="00AB632F"/>
    <w:rsid w:val="00AB6365"/>
    <w:rsid w:val="00AB6457"/>
    <w:rsid w:val="00AB651F"/>
    <w:rsid w:val="00AB674A"/>
    <w:rsid w:val="00AB675D"/>
    <w:rsid w:val="00AB6F6E"/>
    <w:rsid w:val="00AB700E"/>
    <w:rsid w:val="00AB740D"/>
    <w:rsid w:val="00AB77BF"/>
    <w:rsid w:val="00AB781F"/>
    <w:rsid w:val="00AB7B33"/>
    <w:rsid w:val="00AB7CAF"/>
    <w:rsid w:val="00AB7E28"/>
    <w:rsid w:val="00AB7EDC"/>
    <w:rsid w:val="00AC0142"/>
    <w:rsid w:val="00AC0C89"/>
    <w:rsid w:val="00AC0C9C"/>
    <w:rsid w:val="00AC0E20"/>
    <w:rsid w:val="00AC1146"/>
    <w:rsid w:val="00AC132B"/>
    <w:rsid w:val="00AC1408"/>
    <w:rsid w:val="00AC1636"/>
    <w:rsid w:val="00AC1949"/>
    <w:rsid w:val="00AC1A2B"/>
    <w:rsid w:val="00AC1B38"/>
    <w:rsid w:val="00AC1C43"/>
    <w:rsid w:val="00AC2106"/>
    <w:rsid w:val="00AC22DA"/>
    <w:rsid w:val="00AC239B"/>
    <w:rsid w:val="00AC26FF"/>
    <w:rsid w:val="00AC2914"/>
    <w:rsid w:val="00AC2947"/>
    <w:rsid w:val="00AC312F"/>
    <w:rsid w:val="00AC3163"/>
    <w:rsid w:val="00AC321D"/>
    <w:rsid w:val="00AC3273"/>
    <w:rsid w:val="00AC33D5"/>
    <w:rsid w:val="00AC36A0"/>
    <w:rsid w:val="00AC379A"/>
    <w:rsid w:val="00AC3888"/>
    <w:rsid w:val="00AC39E9"/>
    <w:rsid w:val="00AC3DE5"/>
    <w:rsid w:val="00AC3E87"/>
    <w:rsid w:val="00AC416A"/>
    <w:rsid w:val="00AC4304"/>
    <w:rsid w:val="00AC4826"/>
    <w:rsid w:val="00AC4AC8"/>
    <w:rsid w:val="00AC4B1F"/>
    <w:rsid w:val="00AC4F49"/>
    <w:rsid w:val="00AC4FD7"/>
    <w:rsid w:val="00AC5050"/>
    <w:rsid w:val="00AC50DA"/>
    <w:rsid w:val="00AC534F"/>
    <w:rsid w:val="00AC5741"/>
    <w:rsid w:val="00AC5AA2"/>
    <w:rsid w:val="00AC5E4C"/>
    <w:rsid w:val="00AC675F"/>
    <w:rsid w:val="00AC67E5"/>
    <w:rsid w:val="00AC67E9"/>
    <w:rsid w:val="00AC6C94"/>
    <w:rsid w:val="00AC6E7C"/>
    <w:rsid w:val="00AC75B6"/>
    <w:rsid w:val="00AC75C8"/>
    <w:rsid w:val="00AC768B"/>
    <w:rsid w:val="00AC7810"/>
    <w:rsid w:val="00AC7D92"/>
    <w:rsid w:val="00AC7F10"/>
    <w:rsid w:val="00AD0007"/>
    <w:rsid w:val="00AD00F0"/>
    <w:rsid w:val="00AD02DE"/>
    <w:rsid w:val="00AD0543"/>
    <w:rsid w:val="00AD05A7"/>
    <w:rsid w:val="00AD0643"/>
    <w:rsid w:val="00AD073C"/>
    <w:rsid w:val="00AD0839"/>
    <w:rsid w:val="00AD09E7"/>
    <w:rsid w:val="00AD0C90"/>
    <w:rsid w:val="00AD0D54"/>
    <w:rsid w:val="00AD0E21"/>
    <w:rsid w:val="00AD0F3B"/>
    <w:rsid w:val="00AD1261"/>
    <w:rsid w:val="00AD1359"/>
    <w:rsid w:val="00AD1459"/>
    <w:rsid w:val="00AD1908"/>
    <w:rsid w:val="00AD1940"/>
    <w:rsid w:val="00AD1B3D"/>
    <w:rsid w:val="00AD1E10"/>
    <w:rsid w:val="00AD1F9F"/>
    <w:rsid w:val="00AD2048"/>
    <w:rsid w:val="00AD2164"/>
    <w:rsid w:val="00AD21F6"/>
    <w:rsid w:val="00AD2542"/>
    <w:rsid w:val="00AD2AE6"/>
    <w:rsid w:val="00AD2B63"/>
    <w:rsid w:val="00AD32B4"/>
    <w:rsid w:val="00AD3526"/>
    <w:rsid w:val="00AD3F3D"/>
    <w:rsid w:val="00AD43E5"/>
    <w:rsid w:val="00AD444D"/>
    <w:rsid w:val="00AD4699"/>
    <w:rsid w:val="00AD46A8"/>
    <w:rsid w:val="00AD47B8"/>
    <w:rsid w:val="00AD4895"/>
    <w:rsid w:val="00AD49A5"/>
    <w:rsid w:val="00AD4ACA"/>
    <w:rsid w:val="00AD4D2C"/>
    <w:rsid w:val="00AD4F1E"/>
    <w:rsid w:val="00AD5110"/>
    <w:rsid w:val="00AD5218"/>
    <w:rsid w:val="00AD5386"/>
    <w:rsid w:val="00AD5523"/>
    <w:rsid w:val="00AD5592"/>
    <w:rsid w:val="00AD55F9"/>
    <w:rsid w:val="00AD565F"/>
    <w:rsid w:val="00AD5BAA"/>
    <w:rsid w:val="00AD5BEF"/>
    <w:rsid w:val="00AD5EA1"/>
    <w:rsid w:val="00AD5F5B"/>
    <w:rsid w:val="00AD637D"/>
    <w:rsid w:val="00AD65AC"/>
    <w:rsid w:val="00AD6688"/>
    <w:rsid w:val="00AD699F"/>
    <w:rsid w:val="00AD6DDC"/>
    <w:rsid w:val="00AD7324"/>
    <w:rsid w:val="00AD7379"/>
    <w:rsid w:val="00AD78EF"/>
    <w:rsid w:val="00AD7D2E"/>
    <w:rsid w:val="00AE00F0"/>
    <w:rsid w:val="00AE0383"/>
    <w:rsid w:val="00AE03CF"/>
    <w:rsid w:val="00AE0959"/>
    <w:rsid w:val="00AE0A7A"/>
    <w:rsid w:val="00AE0BF4"/>
    <w:rsid w:val="00AE0E07"/>
    <w:rsid w:val="00AE0E3B"/>
    <w:rsid w:val="00AE1634"/>
    <w:rsid w:val="00AE1AC3"/>
    <w:rsid w:val="00AE1B1A"/>
    <w:rsid w:val="00AE1C0F"/>
    <w:rsid w:val="00AE1DB3"/>
    <w:rsid w:val="00AE2061"/>
    <w:rsid w:val="00AE212E"/>
    <w:rsid w:val="00AE235E"/>
    <w:rsid w:val="00AE2738"/>
    <w:rsid w:val="00AE27CA"/>
    <w:rsid w:val="00AE2836"/>
    <w:rsid w:val="00AE2A45"/>
    <w:rsid w:val="00AE2AE9"/>
    <w:rsid w:val="00AE2B39"/>
    <w:rsid w:val="00AE2DF7"/>
    <w:rsid w:val="00AE2FD7"/>
    <w:rsid w:val="00AE30BA"/>
    <w:rsid w:val="00AE30EB"/>
    <w:rsid w:val="00AE3130"/>
    <w:rsid w:val="00AE32D1"/>
    <w:rsid w:val="00AE373C"/>
    <w:rsid w:val="00AE3CBE"/>
    <w:rsid w:val="00AE3EA5"/>
    <w:rsid w:val="00AE3EB3"/>
    <w:rsid w:val="00AE40EA"/>
    <w:rsid w:val="00AE412D"/>
    <w:rsid w:val="00AE42AA"/>
    <w:rsid w:val="00AE42FA"/>
    <w:rsid w:val="00AE43F1"/>
    <w:rsid w:val="00AE448A"/>
    <w:rsid w:val="00AE4797"/>
    <w:rsid w:val="00AE4AF4"/>
    <w:rsid w:val="00AE4BF6"/>
    <w:rsid w:val="00AE4C74"/>
    <w:rsid w:val="00AE4FAA"/>
    <w:rsid w:val="00AE5206"/>
    <w:rsid w:val="00AE5498"/>
    <w:rsid w:val="00AE54DD"/>
    <w:rsid w:val="00AE5579"/>
    <w:rsid w:val="00AE569C"/>
    <w:rsid w:val="00AE5BFE"/>
    <w:rsid w:val="00AE5DD7"/>
    <w:rsid w:val="00AE61A3"/>
    <w:rsid w:val="00AE63B1"/>
    <w:rsid w:val="00AE63B5"/>
    <w:rsid w:val="00AE6576"/>
    <w:rsid w:val="00AE6608"/>
    <w:rsid w:val="00AE6869"/>
    <w:rsid w:val="00AE69DB"/>
    <w:rsid w:val="00AE69DC"/>
    <w:rsid w:val="00AE6A1D"/>
    <w:rsid w:val="00AE6B80"/>
    <w:rsid w:val="00AE6CB9"/>
    <w:rsid w:val="00AE70E1"/>
    <w:rsid w:val="00AE71C7"/>
    <w:rsid w:val="00AE7280"/>
    <w:rsid w:val="00AE7417"/>
    <w:rsid w:val="00AE7461"/>
    <w:rsid w:val="00AE79F7"/>
    <w:rsid w:val="00AE7B97"/>
    <w:rsid w:val="00AE7CE8"/>
    <w:rsid w:val="00AE7D13"/>
    <w:rsid w:val="00AE7D36"/>
    <w:rsid w:val="00AF00C1"/>
    <w:rsid w:val="00AF029A"/>
    <w:rsid w:val="00AF0CA0"/>
    <w:rsid w:val="00AF0D79"/>
    <w:rsid w:val="00AF10AA"/>
    <w:rsid w:val="00AF1108"/>
    <w:rsid w:val="00AF1147"/>
    <w:rsid w:val="00AF117F"/>
    <w:rsid w:val="00AF12CB"/>
    <w:rsid w:val="00AF151A"/>
    <w:rsid w:val="00AF1664"/>
    <w:rsid w:val="00AF1D3D"/>
    <w:rsid w:val="00AF1EB4"/>
    <w:rsid w:val="00AF205E"/>
    <w:rsid w:val="00AF20E2"/>
    <w:rsid w:val="00AF215B"/>
    <w:rsid w:val="00AF2363"/>
    <w:rsid w:val="00AF25AB"/>
    <w:rsid w:val="00AF25AE"/>
    <w:rsid w:val="00AF29B1"/>
    <w:rsid w:val="00AF2ACB"/>
    <w:rsid w:val="00AF2C8F"/>
    <w:rsid w:val="00AF3110"/>
    <w:rsid w:val="00AF317A"/>
    <w:rsid w:val="00AF37AF"/>
    <w:rsid w:val="00AF3C83"/>
    <w:rsid w:val="00AF4499"/>
    <w:rsid w:val="00AF452D"/>
    <w:rsid w:val="00AF4734"/>
    <w:rsid w:val="00AF48AC"/>
    <w:rsid w:val="00AF492F"/>
    <w:rsid w:val="00AF4964"/>
    <w:rsid w:val="00AF4A62"/>
    <w:rsid w:val="00AF4AC9"/>
    <w:rsid w:val="00AF4B1F"/>
    <w:rsid w:val="00AF4B57"/>
    <w:rsid w:val="00AF4CC3"/>
    <w:rsid w:val="00AF4D51"/>
    <w:rsid w:val="00AF4D52"/>
    <w:rsid w:val="00AF501A"/>
    <w:rsid w:val="00AF50A3"/>
    <w:rsid w:val="00AF5338"/>
    <w:rsid w:val="00AF53EE"/>
    <w:rsid w:val="00AF577A"/>
    <w:rsid w:val="00AF5976"/>
    <w:rsid w:val="00AF59BD"/>
    <w:rsid w:val="00AF61B2"/>
    <w:rsid w:val="00AF62B7"/>
    <w:rsid w:val="00AF62DC"/>
    <w:rsid w:val="00AF64F6"/>
    <w:rsid w:val="00AF6583"/>
    <w:rsid w:val="00AF6B09"/>
    <w:rsid w:val="00AF6CF5"/>
    <w:rsid w:val="00AF748B"/>
    <w:rsid w:val="00AF76C4"/>
    <w:rsid w:val="00AF7AFE"/>
    <w:rsid w:val="00AF7CA5"/>
    <w:rsid w:val="00AF7F77"/>
    <w:rsid w:val="00B0001F"/>
    <w:rsid w:val="00B000F7"/>
    <w:rsid w:val="00B0045D"/>
    <w:rsid w:val="00B0058D"/>
    <w:rsid w:val="00B006F7"/>
    <w:rsid w:val="00B00D6C"/>
    <w:rsid w:val="00B00E20"/>
    <w:rsid w:val="00B00F67"/>
    <w:rsid w:val="00B00F8C"/>
    <w:rsid w:val="00B01479"/>
    <w:rsid w:val="00B0149D"/>
    <w:rsid w:val="00B01543"/>
    <w:rsid w:val="00B01B49"/>
    <w:rsid w:val="00B01C7B"/>
    <w:rsid w:val="00B01E3E"/>
    <w:rsid w:val="00B01FC7"/>
    <w:rsid w:val="00B02129"/>
    <w:rsid w:val="00B021DC"/>
    <w:rsid w:val="00B02637"/>
    <w:rsid w:val="00B0265F"/>
    <w:rsid w:val="00B029A9"/>
    <w:rsid w:val="00B037E5"/>
    <w:rsid w:val="00B03816"/>
    <w:rsid w:val="00B03A93"/>
    <w:rsid w:val="00B03E7C"/>
    <w:rsid w:val="00B04024"/>
    <w:rsid w:val="00B0448C"/>
    <w:rsid w:val="00B0454B"/>
    <w:rsid w:val="00B0480F"/>
    <w:rsid w:val="00B04950"/>
    <w:rsid w:val="00B0497A"/>
    <w:rsid w:val="00B04C1B"/>
    <w:rsid w:val="00B04D6F"/>
    <w:rsid w:val="00B04E10"/>
    <w:rsid w:val="00B04E7A"/>
    <w:rsid w:val="00B04E91"/>
    <w:rsid w:val="00B05544"/>
    <w:rsid w:val="00B05C7C"/>
    <w:rsid w:val="00B05DAB"/>
    <w:rsid w:val="00B0602E"/>
    <w:rsid w:val="00B06119"/>
    <w:rsid w:val="00B0641D"/>
    <w:rsid w:val="00B06491"/>
    <w:rsid w:val="00B06492"/>
    <w:rsid w:val="00B06CCC"/>
    <w:rsid w:val="00B06CED"/>
    <w:rsid w:val="00B06D00"/>
    <w:rsid w:val="00B072CC"/>
    <w:rsid w:val="00B0731B"/>
    <w:rsid w:val="00B07497"/>
    <w:rsid w:val="00B0772C"/>
    <w:rsid w:val="00B07AE1"/>
    <w:rsid w:val="00B07C4E"/>
    <w:rsid w:val="00B1049D"/>
    <w:rsid w:val="00B107D1"/>
    <w:rsid w:val="00B1094B"/>
    <w:rsid w:val="00B10950"/>
    <w:rsid w:val="00B109A6"/>
    <w:rsid w:val="00B10B80"/>
    <w:rsid w:val="00B10BC6"/>
    <w:rsid w:val="00B10BEA"/>
    <w:rsid w:val="00B10C9A"/>
    <w:rsid w:val="00B10D26"/>
    <w:rsid w:val="00B10F12"/>
    <w:rsid w:val="00B1107A"/>
    <w:rsid w:val="00B11534"/>
    <w:rsid w:val="00B11857"/>
    <w:rsid w:val="00B11F6C"/>
    <w:rsid w:val="00B11FB1"/>
    <w:rsid w:val="00B1215D"/>
    <w:rsid w:val="00B12444"/>
    <w:rsid w:val="00B12A92"/>
    <w:rsid w:val="00B12BA0"/>
    <w:rsid w:val="00B12BAA"/>
    <w:rsid w:val="00B12C7C"/>
    <w:rsid w:val="00B13153"/>
    <w:rsid w:val="00B13557"/>
    <w:rsid w:val="00B135C1"/>
    <w:rsid w:val="00B135CD"/>
    <w:rsid w:val="00B13859"/>
    <w:rsid w:val="00B13885"/>
    <w:rsid w:val="00B13A89"/>
    <w:rsid w:val="00B13C33"/>
    <w:rsid w:val="00B13DCE"/>
    <w:rsid w:val="00B14A0D"/>
    <w:rsid w:val="00B14C13"/>
    <w:rsid w:val="00B1523A"/>
    <w:rsid w:val="00B152B5"/>
    <w:rsid w:val="00B15307"/>
    <w:rsid w:val="00B15403"/>
    <w:rsid w:val="00B1540B"/>
    <w:rsid w:val="00B155BB"/>
    <w:rsid w:val="00B15652"/>
    <w:rsid w:val="00B1574C"/>
    <w:rsid w:val="00B15A8A"/>
    <w:rsid w:val="00B1614A"/>
    <w:rsid w:val="00B16201"/>
    <w:rsid w:val="00B16600"/>
    <w:rsid w:val="00B167BB"/>
    <w:rsid w:val="00B167E7"/>
    <w:rsid w:val="00B16CB2"/>
    <w:rsid w:val="00B1711E"/>
    <w:rsid w:val="00B1770E"/>
    <w:rsid w:val="00B17B05"/>
    <w:rsid w:val="00B17CA7"/>
    <w:rsid w:val="00B17DC7"/>
    <w:rsid w:val="00B17F20"/>
    <w:rsid w:val="00B17FF9"/>
    <w:rsid w:val="00B20278"/>
    <w:rsid w:val="00B202E2"/>
    <w:rsid w:val="00B2032E"/>
    <w:rsid w:val="00B20563"/>
    <w:rsid w:val="00B20695"/>
    <w:rsid w:val="00B20716"/>
    <w:rsid w:val="00B20999"/>
    <w:rsid w:val="00B209AB"/>
    <w:rsid w:val="00B20B4A"/>
    <w:rsid w:val="00B20EC9"/>
    <w:rsid w:val="00B20FFC"/>
    <w:rsid w:val="00B2107E"/>
    <w:rsid w:val="00B213AC"/>
    <w:rsid w:val="00B21438"/>
    <w:rsid w:val="00B2189E"/>
    <w:rsid w:val="00B2210D"/>
    <w:rsid w:val="00B22263"/>
    <w:rsid w:val="00B22721"/>
    <w:rsid w:val="00B22862"/>
    <w:rsid w:val="00B22981"/>
    <w:rsid w:val="00B229BF"/>
    <w:rsid w:val="00B229CD"/>
    <w:rsid w:val="00B22A98"/>
    <w:rsid w:val="00B23086"/>
    <w:rsid w:val="00B2353D"/>
    <w:rsid w:val="00B2386B"/>
    <w:rsid w:val="00B238FB"/>
    <w:rsid w:val="00B23F55"/>
    <w:rsid w:val="00B24072"/>
    <w:rsid w:val="00B24564"/>
    <w:rsid w:val="00B248A6"/>
    <w:rsid w:val="00B24A75"/>
    <w:rsid w:val="00B24E1D"/>
    <w:rsid w:val="00B24FCD"/>
    <w:rsid w:val="00B2503C"/>
    <w:rsid w:val="00B250D8"/>
    <w:rsid w:val="00B25141"/>
    <w:rsid w:val="00B25271"/>
    <w:rsid w:val="00B253ED"/>
    <w:rsid w:val="00B25411"/>
    <w:rsid w:val="00B254F8"/>
    <w:rsid w:val="00B25C81"/>
    <w:rsid w:val="00B26243"/>
    <w:rsid w:val="00B26325"/>
    <w:rsid w:val="00B26694"/>
    <w:rsid w:val="00B26990"/>
    <w:rsid w:val="00B26BE5"/>
    <w:rsid w:val="00B26D6C"/>
    <w:rsid w:val="00B26FEE"/>
    <w:rsid w:val="00B27346"/>
    <w:rsid w:val="00B2736F"/>
    <w:rsid w:val="00B2745F"/>
    <w:rsid w:val="00B2783B"/>
    <w:rsid w:val="00B27A14"/>
    <w:rsid w:val="00B27D66"/>
    <w:rsid w:val="00B27E5B"/>
    <w:rsid w:val="00B27E6F"/>
    <w:rsid w:val="00B300C5"/>
    <w:rsid w:val="00B30500"/>
    <w:rsid w:val="00B30504"/>
    <w:rsid w:val="00B307ED"/>
    <w:rsid w:val="00B309C0"/>
    <w:rsid w:val="00B30C67"/>
    <w:rsid w:val="00B31360"/>
    <w:rsid w:val="00B3144D"/>
    <w:rsid w:val="00B3156B"/>
    <w:rsid w:val="00B31643"/>
    <w:rsid w:val="00B317B5"/>
    <w:rsid w:val="00B318AD"/>
    <w:rsid w:val="00B31DAB"/>
    <w:rsid w:val="00B3208D"/>
    <w:rsid w:val="00B3248D"/>
    <w:rsid w:val="00B32499"/>
    <w:rsid w:val="00B32608"/>
    <w:rsid w:val="00B3275C"/>
    <w:rsid w:val="00B32B78"/>
    <w:rsid w:val="00B32DDE"/>
    <w:rsid w:val="00B32DF5"/>
    <w:rsid w:val="00B32EFA"/>
    <w:rsid w:val="00B332E8"/>
    <w:rsid w:val="00B33399"/>
    <w:rsid w:val="00B33644"/>
    <w:rsid w:val="00B3364B"/>
    <w:rsid w:val="00B33785"/>
    <w:rsid w:val="00B33871"/>
    <w:rsid w:val="00B3389F"/>
    <w:rsid w:val="00B3394C"/>
    <w:rsid w:val="00B33DA1"/>
    <w:rsid w:val="00B33EA0"/>
    <w:rsid w:val="00B34039"/>
    <w:rsid w:val="00B341D4"/>
    <w:rsid w:val="00B3432B"/>
    <w:rsid w:val="00B34774"/>
    <w:rsid w:val="00B34A84"/>
    <w:rsid w:val="00B34CB0"/>
    <w:rsid w:val="00B350A0"/>
    <w:rsid w:val="00B3527A"/>
    <w:rsid w:val="00B3531E"/>
    <w:rsid w:val="00B354B1"/>
    <w:rsid w:val="00B354E7"/>
    <w:rsid w:val="00B35DA5"/>
    <w:rsid w:val="00B35F7D"/>
    <w:rsid w:val="00B3609E"/>
    <w:rsid w:val="00B36169"/>
    <w:rsid w:val="00B36239"/>
    <w:rsid w:val="00B363CF"/>
    <w:rsid w:val="00B36595"/>
    <w:rsid w:val="00B36941"/>
    <w:rsid w:val="00B36D23"/>
    <w:rsid w:val="00B36F24"/>
    <w:rsid w:val="00B36F69"/>
    <w:rsid w:val="00B3731B"/>
    <w:rsid w:val="00B3742C"/>
    <w:rsid w:val="00B37431"/>
    <w:rsid w:val="00B37597"/>
    <w:rsid w:val="00B3767E"/>
    <w:rsid w:val="00B37A7A"/>
    <w:rsid w:val="00B37CCF"/>
    <w:rsid w:val="00B37FE7"/>
    <w:rsid w:val="00B40214"/>
    <w:rsid w:val="00B403C0"/>
    <w:rsid w:val="00B40602"/>
    <w:rsid w:val="00B4080A"/>
    <w:rsid w:val="00B40A3D"/>
    <w:rsid w:val="00B40F88"/>
    <w:rsid w:val="00B4109E"/>
    <w:rsid w:val="00B41169"/>
    <w:rsid w:val="00B411FA"/>
    <w:rsid w:val="00B412A6"/>
    <w:rsid w:val="00B419A8"/>
    <w:rsid w:val="00B419EB"/>
    <w:rsid w:val="00B41C00"/>
    <w:rsid w:val="00B41C34"/>
    <w:rsid w:val="00B41C43"/>
    <w:rsid w:val="00B41E63"/>
    <w:rsid w:val="00B41F76"/>
    <w:rsid w:val="00B422CD"/>
    <w:rsid w:val="00B42684"/>
    <w:rsid w:val="00B42A0B"/>
    <w:rsid w:val="00B42AD9"/>
    <w:rsid w:val="00B42E7D"/>
    <w:rsid w:val="00B42F77"/>
    <w:rsid w:val="00B43311"/>
    <w:rsid w:val="00B4339B"/>
    <w:rsid w:val="00B4347F"/>
    <w:rsid w:val="00B43A48"/>
    <w:rsid w:val="00B43A63"/>
    <w:rsid w:val="00B43C3E"/>
    <w:rsid w:val="00B43C56"/>
    <w:rsid w:val="00B43ED0"/>
    <w:rsid w:val="00B442D8"/>
    <w:rsid w:val="00B44332"/>
    <w:rsid w:val="00B44380"/>
    <w:rsid w:val="00B44898"/>
    <w:rsid w:val="00B44BBE"/>
    <w:rsid w:val="00B45182"/>
    <w:rsid w:val="00B453E1"/>
    <w:rsid w:val="00B454C6"/>
    <w:rsid w:val="00B45596"/>
    <w:rsid w:val="00B4582D"/>
    <w:rsid w:val="00B4586A"/>
    <w:rsid w:val="00B4599A"/>
    <w:rsid w:val="00B45B1C"/>
    <w:rsid w:val="00B45FF7"/>
    <w:rsid w:val="00B4625C"/>
    <w:rsid w:val="00B4628B"/>
    <w:rsid w:val="00B4640C"/>
    <w:rsid w:val="00B46690"/>
    <w:rsid w:val="00B46760"/>
    <w:rsid w:val="00B46778"/>
    <w:rsid w:val="00B46E11"/>
    <w:rsid w:val="00B470A1"/>
    <w:rsid w:val="00B47101"/>
    <w:rsid w:val="00B471EA"/>
    <w:rsid w:val="00B47231"/>
    <w:rsid w:val="00B472F3"/>
    <w:rsid w:val="00B47391"/>
    <w:rsid w:val="00B474A4"/>
    <w:rsid w:val="00B47C07"/>
    <w:rsid w:val="00B47C4A"/>
    <w:rsid w:val="00B47D30"/>
    <w:rsid w:val="00B47D70"/>
    <w:rsid w:val="00B47E53"/>
    <w:rsid w:val="00B47E8F"/>
    <w:rsid w:val="00B5020A"/>
    <w:rsid w:val="00B50697"/>
    <w:rsid w:val="00B50761"/>
    <w:rsid w:val="00B50973"/>
    <w:rsid w:val="00B50BB4"/>
    <w:rsid w:val="00B51083"/>
    <w:rsid w:val="00B51670"/>
    <w:rsid w:val="00B5176C"/>
    <w:rsid w:val="00B518FC"/>
    <w:rsid w:val="00B5193A"/>
    <w:rsid w:val="00B51C01"/>
    <w:rsid w:val="00B51C44"/>
    <w:rsid w:val="00B51C48"/>
    <w:rsid w:val="00B51C69"/>
    <w:rsid w:val="00B51C72"/>
    <w:rsid w:val="00B52276"/>
    <w:rsid w:val="00B5257B"/>
    <w:rsid w:val="00B52658"/>
    <w:rsid w:val="00B52A32"/>
    <w:rsid w:val="00B52A7E"/>
    <w:rsid w:val="00B52F80"/>
    <w:rsid w:val="00B53000"/>
    <w:rsid w:val="00B53274"/>
    <w:rsid w:val="00B535C8"/>
    <w:rsid w:val="00B5373E"/>
    <w:rsid w:val="00B53DE6"/>
    <w:rsid w:val="00B53E20"/>
    <w:rsid w:val="00B53EB8"/>
    <w:rsid w:val="00B53F24"/>
    <w:rsid w:val="00B543AE"/>
    <w:rsid w:val="00B543E0"/>
    <w:rsid w:val="00B5454B"/>
    <w:rsid w:val="00B545AB"/>
    <w:rsid w:val="00B546F6"/>
    <w:rsid w:val="00B547CE"/>
    <w:rsid w:val="00B54C69"/>
    <w:rsid w:val="00B54C70"/>
    <w:rsid w:val="00B54D0A"/>
    <w:rsid w:val="00B54D52"/>
    <w:rsid w:val="00B54E77"/>
    <w:rsid w:val="00B550BC"/>
    <w:rsid w:val="00B55136"/>
    <w:rsid w:val="00B55233"/>
    <w:rsid w:val="00B552B2"/>
    <w:rsid w:val="00B552C5"/>
    <w:rsid w:val="00B55394"/>
    <w:rsid w:val="00B553B6"/>
    <w:rsid w:val="00B55498"/>
    <w:rsid w:val="00B557F3"/>
    <w:rsid w:val="00B5588B"/>
    <w:rsid w:val="00B5590E"/>
    <w:rsid w:val="00B559F3"/>
    <w:rsid w:val="00B55B44"/>
    <w:rsid w:val="00B55BE3"/>
    <w:rsid w:val="00B55DDE"/>
    <w:rsid w:val="00B55E6E"/>
    <w:rsid w:val="00B55FDC"/>
    <w:rsid w:val="00B5638E"/>
    <w:rsid w:val="00B56594"/>
    <w:rsid w:val="00B567C0"/>
    <w:rsid w:val="00B567D2"/>
    <w:rsid w:val="00B568EA"/>
    <w:rsid w:val="00B569A0"/>
    <w:rsid w:val="00B56B97"/>
    <w:rsid w:val="00B56BA6"/>
    <w:rsid w:val="00B56BC7"/>
    <w:rsid w:val="00B57015"/>
    <w:rsid w:val="00B570F6"/>
    <w:rsid w:val="00B5720F"/>
    <w:rsid w:val="00B573C7"/>
    <w:rsid w:val="00B57467"/>
    <w:rsid w:val="00B57483"/>
    <w:rsid w:val="00B5777B"/>
    <w:rsid w:val="00B57827"/>
    <w:rsid w:val="00B578FA"/>
    <w:rsid w:val="00B57A7B"/>
    <w:rsid w:val="00B6000B"/>
    <w:rsid w:val="00B6067A"/>
    <w:rsid w:val="00B6073A"/>
    <w:rsid w:val="00B60E64"/>
    <w:rsid w:val="00B60E7A"/>
    <w:rsid w:val="00B60EA7"/>
    <w:rsid w:val="00B61261"/>
    <w:rsid w:val="00B61276"/>
    <w:rsid w:val="00B6165B"/>
    <w:rsid w:val="00B617F7"/>
    <w:rsid w:val="00B61833"/>
    <w:rsid w:val="00B618B9"/>
    <w:rsid w:val="00B6194A"/>
    <w:rsid w:val="00B61B6F"/>
    <w:rsid w:val="00B61D21"/>
    <w:rsid w:val="00B62141"/>
    <w:rsid w:val="00B62263"/>
    <w:rsid w:val="00B62A15"/>
    <w:rsid w:val="00B62D00"/>
    <w:rsid w:val="00B62FB8"/>
    <w:rsid w:val="00B62FE0"/>
    <w:rsid w:val="00B631F4"/>
    <w:rsid w:val="00B634CA"/>
    <w:rsid w:val="00B635FF"/>
    <w:rsid w:val="00B637F0"/>
    <w:rsid w:val="00B63888"/>
    <w:rsid w:val="00B639FD"/>
    <w:rsid w:val="00B63D70"/>
    <w:rsid w:val="00B63E6B"/>
    <w:rsid w:val="00B63FD2"/>
    <w:rsid w:val="00B6403E"/>
    <w:rsid w:val="00B6463B"/>
    <w:rsid w:val="00B646BD"/>
    <w:rsid w:val="00B64B42"/>
    <w:rsid w:val="00B64D07"/>
    <w:rsid w:val="00B65014"/>
    <w:rsid w:val="00B65C7A"/>
    <w:rsid w:val="00B65CEB"/>
    <w:rsid w:val="00B660E2"/>
    <w:rsid w:val="00B661FA"/>
    <w:rsid w:val="00B6637D"/>
    <w:rsid w:val="00B66417"/>
    <w:rsid w:val="00B6641F"/>
    <w:rsid w:val="00B66533"/>
    <w:rsid w:val="00B665BC"/>
    <w:rsid w:val="00B667E8"/>
    <w:rsid w:val="00B66833"/>
    <w:rsid w:val="00B6686E"/>
    <w:rsid w:val="00B6690B"/>
    <w:rsid w:val="00B66A3C"/>
    <w:rsid w:val="00B66BED"/>
    <w:rsid w:val="00B66EA8"/>
    <w:rsid w:val="00B66FA3"/>
    <w:rsid w:val="00B671D9"/>
    <w:rsid w:val="00B672C2"/>
    <w:rsid w:val="00B6780F"/>
    <w:rsid w:val="00B678B9"/>
    <w:rsid w:val="00B67938"/>
    <w:rsid w:val="00B67BA9"/>
    <w:rsid w:val="00B67BEE"/>
    <w:rsid w:val="00B67CBA"/>
    <w:rsid w:val="00B700F5"/>
    <w:rsid w:val="00B70124"/>
    <w:rsid w:val="00B7043F"/>
    <w:rsid w:val="00B7089E"/>
    <w:rsid w:val="00B70AFD"/>
    <w:rsid w:val="00B70CCB"/>
    <w:rsid w:val="00B70D8C"/>
    <w:rsid w:val="00B70F81"/>
    <w:rsid w:val="00B71155"/>
    <w:rsid w:val="00B7125D"/>
    <w:rsid w:val="00B712F2"/>
    <w:rsid w:val="00B71637"/>
    <w:rsid w:val="00B7173D"/>
    <w:rsid w:val="00B71C52"/>
    <w:rsid w:val="00B71CB0"/>
    <w:rsid w:val="00B721D5"/>
    <w:rsid w:val="00B72342"/>
    <w:rsid w:val="00B72355"/>
    <w:rsid w:val="00B72491"/>
    <w:rsid w:val="00B72997"/>
    <w:rsid w:val="00B729E2"/>
    <w:rsid w:val="00B72B06"/>
    <w:rsid w:val="00B7318D"/>
    <w:rsid w:val="00B7326E"/>
    <w:rsid w:val="00B734B0"/>
    <w:rsid w:val="00B73605"/>
    <w:rsid w:val="00B7373A"/>
    <w:rsid w:val="00B73ABA"/>
    <w:rsid w:val="00B73B48"/>
    <w:rsid w:val="00B73B62"/>
    <w:rsid w:val="00B73D76"/>
    <w:rsid w:val="00B73DD8"/>
    <w:rsid w:val="00B73E54"/>
    <w:rsid w:val="00B74449"/>
    <w:rsid w:val="00B745A3"/>
    <w:rsid w:val="00B74BA9"/>
    <w:rsid w:val="00B7500F"/>
    <w:rsid w:val="00B752EC"/>
    <w:rsid w:val="00B754D4"/>
    <w:rsid w:val="00B755D4"/>
    <w:rsid w:val="00B75B86"/>
    <w:rsid w:val="00B75D96"/>
    <w:rsid w:val="00B7601E"/>
    <w:rsid w:val="00B76159"/>
    <w:rsid w:val="00B76253"/>
    <w:rsid w:val="00B7659B"/>
    <w:rsid w:val="00B76891"/>
    <w:rsid w:val="00B76934"/>
    <w:rsid w:val="00B7700D"/>
    <w:rsid w:val="00B771BC"/>
    <w:rsid w:val="00B77875"/>
    <w:rsid w:val="00B778A1"/>
    <w:rsid w:val="00B77B00"/>
    <w:rsid w:val="00B77C4E"/>
    <w:rsid w:val="00B77CE2"/>
    <w:rsid w:val="00B77F35"/>
    <w:rsid w:val="00B77FDE"/>
    <w:rsid w:val="00B80170"/>
    <w:rsid w:val="00B808AA"/>
    <w:rsid w:val="00B81189"/>
    <w:rsid w:val="00B813E6"/>
    <w:rsid w:val="00B814A9"/>
    <w:rsid w:val="00B8152F"/>
    <w:rsid w:val="00B81552"/>
    <w:rsid w:val="00B81618"/>
    <w:rsid w:val="00B81624"/>
    <w:rsid w:val="00B81665"/>
    <w:rsid w:val="00B81895"/>
    <w:rsid w:val="00B818D2"/>
    <w:rsid w:val="00B81903"/>
    <w:rsid w:val="00B81935"/>
    <w:rsid w:val="00B819E1"/>
    <w:rsid w:val="00B81A14"/>
    <w:rsid w:val="00B81ACA"/>
    <w:rsid w:val="00B81F3E"/>
    <w:rsid w:val="00B8210A"/>
    <w:rsid w:val="00B8258D"/>
    <w:rsid w:val="00B8278C"/>
    <w:rsid w:val="00B82832"/>
    <w:rsid w:val="00B828CB"/>
    <w:rsid w:val="00B8292A"/>
    <w:rsid w:val="00B8293D"/>
    <w:rsid w:val="00B82ADC"/>
    <w:rsid w:val="00B82DD0"/>
    <w:rsid w:val="00B8318E"/>
    <w:rsid w:val="00B832FE"/>
    <w:rsid w:val="00B833BC"/>
    <w:rsid w:val="00B836C1"/>
    <w:rsid w:val="00B838E2"/>
    <w:rsid w:val="00B83A6C"/>
    <w:rsid w:val="00B83D25"/>
    <w:rsid w:val="00B83FFE"/>
    <w:rsid w:val="00B84142"/>
    <w:rsid w:val="00B84634"/>
    <w:rsid w:val="00B847D6"/>
    <w:rsid w:val="00B84E82"/>
    <w:rsid w:val="00B85057"/>
    <w:rsid w:val="00B850E9"/>
    <w:rsid w:val="00B850F9"/>
    <w:rsid w:val="00B85289"/>
    <w:rsid w:val="00B852F9"/>
    <w:rsid w:val="00B85370"/>
    <w:rsid w:val="00B857D7"/>
    <w:rsid w:val="00B8597E"/>
    <w:rsid w:val="00B859F6"/>
    <w:rsid w:val="00B85A50"/>
    <w:rsid w:val="00B85E8E"/>
    <w:rsid w:val="00B8625E"/>
    <w:rsid w:val="00B86369"/>
    <w:rsid w:val="00B86385"/>
    <w:rsid w:val="00B86704"/>
    <w:rsid w:val="00B8670C"/>
    <w:rsid w:val="00B86965"/>
    <w:rsid w:val="00B86AC3"/>
    <w:rsid w:val="00B86AF0"/>
    <w:rsid w:val="00B86DEA"/>
    <w:rsid w:val="00B870C3"/>
    <w:rsid w:val="00B871AD"/>
    <w:rsid w:val="00B87586"/>
    <w:rsid w:val="00B875B2"/>
    <w:rsid w:val="00B87703"/>
    <w:rsid w:val="00B879A6"/>
    <w:rsid w:val="00B87B62"/>
    <w:rsid w:val="00B87C74"/>
    <w:rsid w:val="00B87E05"/>
    <w:rsid w:val="00B87FED"/>
    <w:rsid w:val="00B90414"/>
    <w:rsid w:val="00B908F2"/>
    <w:rsid w:val="00B908F5"/>
    <w:rsid w:val="00B90E59"/>
    <w:rsid w:val="00B91283"/>
    <w:rsid w:val="00B914A5"/>
    <w:rsid w:val="00B916BC"/>
    <w:rsid w:val="00B91C6A"/>
    <w:rsid w:val="00B91FA4"/>
    <w:rsid w:val="00B92022"/>
    <w:rsid w:val="00B921C5"/>
    <w:rsid w:val="00B9222F"/>
    <w:rsid w:val="00B92247"/>
    <w:rsid w:val="00B922A7"/>
    <w:rsid w:val="00B923ED"/>
    <w:rsid w:val="00B92983"/>
    <w:rsid w:val="00B929B2"/>
    <w:rsid w:val="00B92AEC"/>
    <w:rsid w:val="00B92F18"/>
    <w:rsid w:val="00B93293"/>
    <w:rsid w:val="00B934CE"/>
    <w:rsid w:val="00B934F4"/>
    <w:rsid w:val="00B9354D"/>
    <w:rsid w:val="00B937BD"/>
    <w:rsid w:val="00B93A74"/>
    <w:rsid w:val="00B93AEE"/>
    <w:rsid w:val="00B93D96"/>
    <w:rsid w:val="00B93F75"/>
    <w:rsid w:val="00B944B1"/>
    <w:rsid w:val="00B94601"/>
    <w:rsid w:val="00B9472E"/>
    <w:rsid w:val="00B94AC3"/>
    <w:rsid w:val="00B94D90"/>
    <w:rsid w:val="00B94E9D"/>
    <w:rsid w:val="00B9518D"/>
    <w:rsid w:val="00B951B4"/>
    <w:rsid w:val="00B951EF"/>
    <w:rsid w:val="00B9523F"/>
    <w:rsid w:val="00B95274"/>
    <w:rsid w:val="00B955BD"/>
    <w:rsid w:val="00B955C7"/>
    <w:rsid w:val="00B956D6"/>
    <w:rsid w:val="00B95708"/>
    <w:rsid w:val="00B958F0"/>
    <w:rsid w:val="00B95BBC"/>
    <w:rsid w:val="00B95CA3"/>
    <w:rsid w:val="00B95D58"/>
    <w:rsid w:val="00B95DD7"/>
    <w:rsid w:val="00B96014"/>
    <w:rsid w:val="00B9639D"/>
    <w:rsid w:val="00B964A8"/>
    <w:rsid w:val="00B96571"/>
    <w:rsid w:val="00B9657D"/>
    <w:rsid w:val="00B965F7"/>
    <w:rsid w:val="00B96E59"/>
    <w:rsid w:val="00B9717B"/>
    <w:rsid w:val="00B9728C"/>
    <w:rsid w:val="00B9729B"/>
    <w:rsid w:val="00B9784F"/>
    <w:rsid w:val="00BA014C"/>
    <w:rsid w:val="00BA03BA"/>
    <w:rsid w:val="00BA064D"/>
    <w:rsid w:val="00BA08D8"/>
    <w:rsid w:val="00BA08E7"/>
    <w:rsid w:val="00BA0986"/>
    <w:rsid w:val="00BA0AEF"/>
    <w:rsid w:val="00BA0E29"/>
    <w:rsid w:val="00BA0EA1"/>
    <w:rsid w:val="00BA12B6"/>
    <w:rsid w:val="00BA186E"/>
    <w:rsid w:val="00BA1C70"/>
    <w:rsid w:val="00BA1F8C"/>
    <w:rsid w:val="00BA2487"/>
    <w:rsid w:val="00BA26E6"/>
    <w:rsid w:val="00BA2FD9"/>
    <w:rsid w:val="00BA2FF2"/>
    <w:rsid w:val="00BA327C"/>
    <w:rsid w:val="00BA329F"/>
    <w:rsid w:val="00BA35D6"/>
    <w:rsid w:val="00BA37F4"/>
    <w:rsid w:val="00BA3A74"/>
    <w:rsid w:val="00BA3B68"/>
    <w:rsid w:val="00BA3BFB"/>
    <w:rsid w:val="00BA3BFC"/>
    <w:rsid w:val="00BA3C46"/>
    <w:rsid w:val="00BA3DD4"/>
    <w:rsid w:val="00BA3F54"/>
    <w:rsid w:val="00BA484B"/>
    <w:rsid w:val="00BA4854"/>
    <w:rsid w:val="00BA4BD9"/>
    <w:rsid w:val="00BA4E09"/>
    <w:rsid w:val="00BA4E7E"/>
    <w:rsid w:val="00BA4F8E"/>
    <w:rsid w:val="00BA528D"/>
    <w:rsid w:val="00BA5639"/>
    <w:rsid w:val="00BA5A2A"/>
    <w:rsid w:val="00BA5E7E"/>
    <w:rsid w:val="00BA6113"/>
    <w:rsid w:val="00BA6408"/>
    <w:rsid w:val="00BA649D"/>
    <w:rsid w:val="00BA6727"/>
    <w:rsid w:val="00BA685E"/>
    <w:rsid w:val="00BA6A82"/>
    <w:rsid w:val="00BA6C68"/>
    <w:rsid w:val="00BA6CB1"/>
    <w:rsid w:val="00BA703F"/>
    <w:rsid w:val="00BA7045"/>
    <w:rsid w:val="00BA7083"/>
    <w:rsid w:val="00BA7095"/>
    <w:rsid w:val="00BA7223"/>
    <w:rsid w:val="00BA7410"/>
    <w:rsid w:val="00BA74A0"/>
    <w:rsid w:val="00BA751E"/>
    <w:rsid w:val="00BA7A12"/>
    <w:rsid w:val="00BA7D18"/>
    <w:rsid w:val="00BA7F30"/>
    <w:rsid w:val="00BA7F97"/>
    <w:rsid w:val="00BB0100"/>
    <w:rsid w:val="00BB011A"/>
    <w:rsid w:val="00BB03D9"/>
    <w:rsid w:val="00BB0526"/>
    <w:rsid w:val="00BB08C9"/>
    <w:rsid w:val="00BB0AE9"/>
    <w:rsid w:val="00BB0B51"/>
    <w:rsid w:val="00BB0FBB"/>
    <w:rsid w:val="00BB13B1"/>
    <w:rsid w:val="00BB14AE"/>
    <w:rsid w:val="00BB1755"/>
    <w:rsid w:val="00BB19CC"/>
    <w:rsid w:val="00BB1AE2"/>
    <w:rsid w:val="00BB1C89"/>
    <w:rsid w:val="00BB1E32"/>
    <w:rsid w:val="00BB1EFE"/>
    <w:rsid w:val="00BB1F85"/>
    <w:rsid w:val="00BB204E"/>
    <w:rsid w:val="00BB2089"/>
    <w:rsid w:val="00BB2574"/>
    <w:rsid w:val="00BB27C2"/>
    <w:rsid w:val="00BB2FBE"/>
    <w:rsid w:val="00BB3006"/>
    <w:rsid w:val="00BB3128"/>
    <w:rsid w:val="00BB324F"/>
    <w:rsid w:val="00BB347E"/>
    <w:rsid w:val="00BB348C"/>
    <w:rsid w:val="00BB3563"/>
    <w:rsid w:val="00BB370E"/>
    <w:rsid w:val="00BB37E5"/>
    <w:rsid w:val="00BB381C"/>
    <w:rsid w:val="00BB3D6A"/>
    <w:rsid w:val="00BB429D"/>
    <w:rsid w:val="00BB4390"/>
    <w:rsid w:val="00BB48A9"/>
    <w:rsid w:val="00BB4991"/>
    <w:rsid w:val="00BB499D"/>
    <w:rsid w:val="00BB4ABF"/>
    <w:rsid w:val="00BB518C"/>
    <w:rsid w:val="00BB54A1"/>
    <w:rsid w:val="00BB54F2"/>
    <w:rsid w:val="00BB56FE"/>
    <w:rsid w:val="00BB626B"/>
    <w:rsid w:val="00BB62AB"/>
    <w:rsid w:val="00BB66FF"/>
    <w:rsid w:val="00BB690C"/>
    <w:rsid w:val="00BB6ABB"/>
    <w:rsid w:val="00BB6CBA"/>
    <w:rsid w:val="00BB6E58"/>
    <w:rsid w:val="00BB717D"/>
    <w:rsid w:val="00BB7189"/>
    <w:rsid w:val="00BB7515"/>
    <w:rsid w:val="00BB7658"/>
    <w:rsid w:val="00BB779F"/>
    <w:rsid w:val="00BB7825"/>
    <w:rsid w:val="00BB7858"/>
    <w:rsid w:val="00BC028B"/>
    <w:rsid w:val="00BC0448"/>
    <w:rsid w:val="00BC0AC0"/>
    <w:rsid w:val="00BC0B3A"/>
    <w:rsid w:val="00BC0D36"/>
    <w:rsid w:val="00BC0FFD"/>
    <w:rsid w:val="00BC1094"/>
    <w:rsid w:val="00BC1131"/>
    <w:rsid w:val="00BC114B"/>
    <w:rsid w:val="00BC1197"/>
    <w:rsid w:val="00BC1285"/>
    <w:rsid w:val="00BC1689"/>
    <w:rsid w:val="00BC17F1"/>
    <w:rsid w:val="00BC1958"/>
    <w:rsid w:val="00BC1ABF"/>
    <w:rsid w:val="00BC1CDD"/>
    <w:rsid w:val="00BC1DA1"/>
    <w:rsid w:val="00BC1F66"/>
    <w:rsid w:val="00BC1FD1"/>
    <w:rsid w:val="00BC20DA"/>
    <w:rsid w:val="00BC249D"/>
    <w:rsid w:val="00BC26E6"/>
    <w:rsid w:val="00BC2706"/>
    <w:rsid w:val="00BC2709"/>
    <w:rsid w:val="00BC280F"/>
    <w:rsid w:val="00BC2A41"/>
    <w:rsid w:val="00BC2AB8"/>
    <w:rsid w:val="00BC2B55"/>
    <w:rsid w:val="00BC2F1E"/>
    <w:rsid w:val="00BC3263"/>
    <w:rsid w:val="00BC3464"/>
    <w:rsid w:val="00BC376B"/>
    <w:rsid w:val="00BC37D6"/>
    <w:rsid w:val="00BC3872"/>
    <w:rsid w:val="00BC38F0"/>
    <w:rsid w:val="00BC3AD1"/>
    <w:rsid w:val="00BC4098"/>
    <w:rsid w:val="00BC4198"/>
    <w:rsid w:val="00BC4245"/>
    <w:rsid w:val="00BC4349"/>
    <w:rsid w:val="00BC436E"/>
    <w:rsid w:val="00BC441A"/>
    <w:rsid w:val="00BC46AA"/>
    <w:rsid w:val="00BC46D6"/>
    <w:rsid w:val="00BC48B0"/>
    <w:rsid w:val="00BC4E21"/>
    <w:rsid w:val="00BC4FC1"/>
    <w:rsid w:val="00BC5034"/>
    <w:rsid w:val="00BC503C"/>
    <w:rsid w:val="00BC5143"/>
    <w:rsid w:val="00BC5505"/>
    <w:rsid w:val="00BC5571"/>
    <w:rsid w:val="00BC5990"/>
    <w:rsid w:val="00BC5A70"/>
    <w:rsid w:val="00BC5FBA"/>
    <w:rsid w:val="00BC6042"/>
    <w:rsid w:val="00BC60E1"/>
    <w:rsid w:val="00BC627C"/>
    <w:rsid w:val="00BC69AD"/>
    <w:rsid w:val="00BC6D80"/>
    <w:rsid w:val="00BC6EE9"/>
    <w:rsid w:val="00BC71C3"/>
    <w:rsid w:val="00BC736F"/>
    <w:rsid w:val="00BC7576"/>
    <w:rsid w:val="00BC76D0"/>
    <w:rsid w:val="00BC7952"/>
    <w:rsid w:val="00BC7EE7"/>
    <w:rsid w:val="00BD0072"/>
    <w:rsid w:val="00BD03A2"/>
    <w:rsid w:val="00BD06DD"/>
    <w:rsid w:val="00BD0786"/>
    <w:rsid w:val="00BD07DA"/>
    <w:rsid w:val="00BD0997"/>
    <w:rsid w:val="00BD0B02"/>
    <w:rsid w:val="00BD0D28"/>
    <w:rsid w:val="00BD128D"/>
    <w:rsid w:val="00BD1521"/>
    <w:rsid w:val="00BD15E0"/>
    <w:rsid w:val="00BD1608"/>
    <w:rsid w:val="00BD16A3"/>
    <w:rsid w:val="00BD17EA"/>
    <w:rsid w:val="00BD1A2A"/>
    <w:rsid w:val="00BD2112"/>
    <w:rsid w:val="00BD2149"/>
    <w:rsid w:val="00BD21B8"/>
    <w:rsid w:val="00BD2479"/>
    <w:rsid w:val="00BD24BA"/>
    <w:rsid w:val="00BD2568"/>
    <w:rsid w:val="00BD273C"/>
    <w:rsid w:val="00BD29FB"/>
    <w:rsid w:val="00BD2C1F"/>
    <w:rsid w:val="00BD2C4C"/>
    <w:rsid w:val="00BD2C4E"/>
    <w:rsid w:val="00BD2C5F"/>
    <w:rsid w:val="00BD2E9D"/>
    <w:rsid w:val="00BD31CD"/>
    <w:rsid w:val="00BD3308"/>
    <w:rsid w:val="00BD34F5"/>
    <w:rsid w:val="00BD34FF"/>
    <w:rsid w:val="00BD38D6"/>
    <w:rsid w:val="00BD3BA0"/>
    <w:rsid w:val="00BD3C90"/>
    <w:rsid w:val="00BD3E8A"/>
    <w:rsid w:val="00BD3F73"/>
    <w:rsid w:val="00BD3FE1"/>
    <w:rsid w:val="00BD412F"/>
    <w:rsid w:val="00BD4171"/>
    <w:rsid w:val="00BD4264"/>
    <w:rsid w:val="00BD432E"/>
    <w:rsid w:val="00BD4D05"/>
    <w:rsid w:val="00BD5519"/>
    <w:rsid w:val="00BD5662"/>
    <w:rsid w:val="00BD57E8"/>
    <w:rsid w:val="00BD5ABC"/>
    <w:rsid w:val="00BD5F41"/>
    <w:rsid w:val="00BD60DD"/>
    <w:rsid w:val="00BD6258"/>
    <w:rsid w:val="00BD644E"/>
    <w:rsid w:val="00BD6548"/>
    <w:rsid w:val="00BD658C"/>
    <w:rsid w:val="00BD6622"/>
    <w:rsid w:val="00BD6694"/>
    <w:rsid w:val="00BD66C8"/>
    <w:rsid w:val="00BD6964"/>
    <w:rsid w:val="00BD6B31"/>
    <w:rsid w:val="00BD6BF6"/>
    <w:rsid w:val="00BD6D19"/>
    <w:rsid w:val="00BD704C"/>
    <w:rsid w:val="00BD7251"/>
    <w:rsid w:val="00BD74B6"/>
    <w:rsid w:val="00BD7735"/>
    <w:rsid w:val="00BD795E"/>
    <w:rsid w:val="00BD7E0E"/>
    <w:rsid w:val="00BE0002"/>
    <w:rsid w:val="00BE02B3"/>
    <w:rsid w:val="00BE03AE"/>
    <w:rsid w:val="00BE0499"/>
    <w:rsid w:val="00BE05E8"/>
    <w:rsid w:val="00BE08D7"/>
    <w:rsid w:val="00BE09CB"/>
    <w:rsid w:val="00BE0E31"/>
    <w:rsid w:val="00BE114F"/>
    <w:rsid w:val="00BE142D"/>
    <w:rsid w:val="00BE14A6"/>
    <w:rsid w:val="00BE1A09"/>
    <w:rsid w:val="00BE1CA1"/>
    <w:rsid w:val="00BE2082"/>
    <w:rsid w:val="00BE2484"/>
    <w:rsid w:val="00BE279D"/>
    <w:rsid w:val="00BE2C35"/>
    <w:rsid w:val="00BE2E75"/>
    <w:rsid w:val="00BE3BEB"/>
    <w:rsid w:val="00BE3D84"/>
    <w:rsid w:val="00BE3F2C"/>
    <w:rsid w:val="00BE4144"/>
    <w:rsid w:val="00BE43B3"/>
    <w:rsid w:val="00BE48F4"/>
    <w:rsid w:val="00BE49B4"/>
    <w:rsid w:val="00BE4B58"/>
    <w:rsid w:val="00BE5046"/>
    <w:rsid w:val="00BE50D7"/>
    <w:rsid w:val="00BE5297"/>
    <w:rsid w:val="00BE534A"/>
    <w:rsid w:val="00BE54A5"/>
    <w:rsid w:val="00BE55C1"/>
    <w:rsid w:val="00BE55C3"/>
    <w:rsid w:val="00BE56FD"/>
    <w:rsid w:val="00BE58A5"/>
    <w:rsid w:val="00BE58F1"/>
    <w:rsid w:val="00BE5992"/>
    <w:rsid w:val="00BE5A05"/>
    <w:rsid w:val="00BE5A4E"/>
    <w:rsid w:val="00BE5F0B"/>
    <w:rsid w:val="00BE60C7"/>
    <w:rsid w:val="00BE6144"/>
    <w:rsid w:val="00BE658D"/>
    <w:rsid w:val="00BE670E"/>
    <w:rsid w:val="00BE6887"/>
    <w:rsid w:val="00BE690E"/>
    <w:rsid w:val="00BE6C6B"/>
    <w:rsid w:val="00BE6E22"/>
    <w:rsid w:val="00BE6E45"/>
    <w:rsid w:val="00BE6F97"/>
    <w:rsid w:val="00BE7382"/>
    <w:rsid w:val="00BE7780"/>
    <w:rsid w:val="00BF02A9"/>
    <w:rsid w:val="00BF0386"/>
    <w:rsid w:val="00BF06F5"/>
    <w:rsid w:val="00BF079B"/>
    <w:rsid w:val="00BF084A"/>
    <w:rsid w:val="00BF088F"/>
    <w:rsid w:val="00BF09FD"/>
    <w:rsid w:val="00BF0DFD"/>
    <w:rsid w:val="00BF0E32"/>
    <w:rsid w:val="00BF0F60"/>
    <w:rsid w:val="00BF102C"/>
    <w:rsid w:val="00BF1100"/>
    <w:rsid w:val="00BF17BF"/>
    <w:rsid w:val="00BF1A79"/>
    <w:rsid w:val="00BF1CA7"/>
    <w:rsid w:val="00BF2281"/>
    <w:rsid w:val="00BF26A3"/>
    <w:rsid w:val="00BF2AAD"/>
    <w:rsid w:val="00BF2DB3"/>
    <w:rsid w:val="00BF30F5"/>
    <w:rsid w:val="00BF3412"/>
    <w:rsid w:val="00BF3557"/>
    <w:rsid w:val="00BF36CD"/>
    <w:rsid w:val="00BF39F0"/>
    <w:rsid w:val="00BF3D36"/>
    <w:rsid w:val="00BF4034"/>
    <w:rsid w:val="00BF444F"/>
    <w:rsid w:val="00BF4642"/>
    <w:rsid w:val="00BF4651"/>
    <w:rsid w:val="00BF4F4A"/>
    <w:rsid w:val="00BF50ED"/>
    <w:rsid w:val="00BF5709"/>
    <w:rsid w:val="00BF58A5"/>
    <w:rsid w:val="00BF591D"/>
    <w:rsid w:val="00BF5A4D"/>
    <w:rsid w:val="00BF5CDC"/>
    <w:rsid w:val="00BF67AE"/>
    <w:rsid w:val="00BF6C9B"/>
    <w:rsid w:val="00BF700E"/>
    <w:rsid w:val="00BF72CF"/>
    <w:rsid w:val="00BF74D8"/>
    <w:rsid w:val="00BF78BC"/>
    <w:rsid w:val="00BF791A"/>
    <w:rsid w:val="00BF7934"/>
    <w:rsid w:val="00BF7B4B"/>
    <w:rsid w:val="00BF7CA5"/>
    <w:rsid w:val="00BF7DBA"/>
    <w:rsid w:val="00BF7DF5"/>
    <w:rsid w:val="00BF7ECC"/>
    <w:rsid w:val="00C0007A"/>
    <w:rsid w:val="00C00084"/>
    <w:rsid w:val="00C001E2"/>
    <w:rsid w:val="00C0020A"/>
    <w:rsid w:val="00C00264"/>
    <w:rsid w:val="00C003E8"/>
    <w:rsid w:val="00C005AE"/>
    <w:rsid w:val="00C0065A"/>
    <w:rsid w:val="00C00665"/>
    <w:rsid w:val="00C00A0A"/>
    <w:rsid w:val="00C00BB1"/>
    <w:rsid w:val="00C00F27"/>
    <w:rsid w:val="00C00FF1"/>
    <w:rsid w:val="00C0114E"/>
    <w:rsid w:val="00C0134E"/>
    <w:rsid w:val="00C018DF"/>
    <w:rsid w:val="00C01A75"/>
    <w:rsid w:val="00C01B50"/>
    <w:rsid w:val="00C01C72"/>
    <w:rsid w:val="00C02068"/>
    <w:rsid w:val="00C0223F"/>
    <w:rsid w:val="00C02836"/>
    <w:rsid w:val="00C02B67"/>
    <w:rsid w:val="00C02F62"/>
    <w:rsid w:val="00C02F8B"/>
    <w:rsid w:val="00C03AD0"/>
    <w:rsid w:val="00C03C81"/>
    <w:rsid w:val="00C03F0D"/>
    <w:rsid w:val="00C03F20"/>
    <w:rsid w:val="00C04009"/>
    <w:rsid w:val="00C0401B"/>
    <w:rsid w:val="00C04153"/>
    <w:rsid w:val="00C041A6"/>
    <w:rsid w:val="00C041E2"/>
    <w:rsid w:val="00C041F1"/>
    <w:rsid w:val="00C0469E"/>
    <w:rsid w:val="00C046F7"/>
    <w:rsid w:val="00C048E4"/>
    <w:rsid w:val="00C049EA"/>
    <w:rsid w:val="00C04AE2"/>
    <w:rsid w:val="00C04BB0"/>
    <w:rsid w:val="00C04DD2"/>
    <w:rsid w:val="00C04EDA"/>
    <w:rsid w:val="00C04F49"/>
    <w:rsid w:val="00C057E0"/>
    <w:rsid w:val="00C059A3"/>
    <w:rsid w:val="00C05B4D"/>
    <w:rsid w:val="00C05CF4"/>
    <w:rsid w:val="00C05E07"/>
    <w:rsid w:val="00C06117"/>
    <w:rsid w:val="00C06221"/>
    <w:rsid w:val="00C0642D"/>
    <w:rsid w:val="00C0643C"/>
    <w:rsid w:val="00C06497"/>
    <w:rsid w:val="00C0674D"/>
    <w:rsid w:val="00C0689C"/>
    <w:rsid w:val="00C06F46"/>
    <w:rsid w:val="00C07079"/>
    <w:rsid w:val="00C071F9"/>
    <w:rsid w:val="00C07321"/>
    <w:rsid w:val="00C0738F"/>
    <w:rsid w:val="00C07408"/>
    <w:rsid w:val="00C07480"/>
    <w:rsid w:val="00C074C1"/>
    <w:rsid w:val="00C07584"/>
    <w:rsid w:val="00C07596"/>
    <w:rsid w:val="00C07613"/>
    <w:rsid w:val="00C076EC"/>
    <w:rsid w:val="00C07757"/>
    <w:rsid w:val="00C07761"/>
    <w:rsid w:val="00C07AC9"/>
    <w:rsid w:val="00C07F11"/>
    <w:rsid w:val="00C10215"/>
    <w:rsid w:val="00C104F1"/>
    <w:rsid w:val="00C1052B"/>
    <w:rsid w:val="00C109AC"/>
    <w:rsid w:val="00C10D06"/>
    <w:rsid w:val="00C10D23"/>
    <w:rsid w:val="00C10D77"/>
    <w:rsid w:val="00C10FC1"/>
    <w:rsid w:val="00C11124"/>
    <w:rsid w:val="00C11306"/>
    <w:rsid w:val="00C11322"/>
    <w:rsid w:val="00C113A6"/>
    <w:rsid w:val="00C11AD6"/>
    <w:rsid w:val="00C11DE8"/>
    <w:rsid w:val="00C12404"/>
    <w:rsid w:val="00C12587"/>
    <w:rsid w:val="00C12699"/>
    <w:rsid w:val="00C126BB"/>
    <w:rsid w:val="00C128C8"/>
    <w:rsid w:val="00C12A3A"/>
    <w:rsid w:val="00C12DCF"/>
    <w:rsid w:val="00C12E60"/>
    <w:rsid w:val="00C1321C"/>
    <w:rsid w:val="00C132CF"/>
    <w:rsid w:val="00C13360"/>
    <w:rsid w:val="00C13470"/>
    <w:rsid w:val="00C13493"/>
    <w:rsid w:val="00C134A9"/>
    <w:rsid w:val="00C134E7"/>
    <w:rsid w:val="00C13635"/>
    <w:rsid w:val="00C13716"/>
    <w:rsid w:val="00C1386F"/>
    <w:rsid w:val="00C13938"/>
    <w:rsid w:val="00C13951"/>
    <w:rsid w:val="00C13999"/>
    <w:rsid w:val="00C13FA6"/>
    <w:rsid w:val="00C1420F"/>
    <w:rsid w:val="00C143FE"/>
    <w:rsid w:val="00C144CA"/>
    <w:rsid w:val="00C14AB1"/>
    <w:rsid w:val="00C14D65"/>
    <w:rsid w:val="00C14E0E"/>
    <w:rsid w:val="00C1504A"/>
    <w:rsid w:val="00C150A8"/>
    <w:rsid w:val="00C15227"/>
    <w:rsid w:val="00C152FB"/>
    <w:rsid w:val="00C1580D"/>
    <w:rsid w:val="00C158C4"/>
    <w:rsid w:val="00C158EE"/>
    <w:rsid w:val="00C15921"/>
    <w:rsid w:val="00C15CE7"/>
    <w:rsid w:val="00C15CEE"/>
    <w:rsid w:val="00C1628C"/>
    <w:rsid w:val="00C16332"/>
    <w:rsid w:val="00C16773"/>
    <w:rsid w:val="00C168F0"/>
    <w:rsid w:val="00C16A82"/>
    <w:rsid w:val="00C16D70"/>
    <w:rsid w:val="00C16F16"/>
    <w:rsid w:val="00C172A3"/>
    <w:rsid w:val="00C1747C"/>
    <w:rsid w:val="00C17510"/>
    <w:rsid w:val="00C17580"/>
    <w:rsid w:val="00C1771F"/>
    <w:rsid w:val="00C17795"/>
    <w:rsid w:val="00C17804"/>
    <w:rsid w:val="00C17A35"/>
    <w:rsid w:val="00C17D70"/>
    <w:rsid w:val="00C17E1C"/>
    <w:rsid w:val="00C17E35"/>
    <w:rsid w:val="00C2003B"/>
    <w:rsid w:val="00C20465"/>
    <w:rsid w:val="00C206AB"/>
    <w:rsid w:val="00C206CE"/>
    <w:rsid w:val="00C20882"/>
    <w:rsid w:val="00C2098D"/>
    <w:rsid w:val="00C209A3"/>
    <w:rsid w:val="00C20BE1"/>
    <w:rsid w:val="00C20F86"/>
    <w:rsid w:val="00C211D3"/>
    <w:rsid w:val="00C21400"/>
    <w:rsid w:val="00C215AE"/>
    <w:rsid w:val="00C2194B"/>
    <w:rsid w:val="00C21962"/>
    <w:rsid w:val="00C219C9"/>
    <w:rsid w:val="00C21A11"/>
    <w:rsid w:val="00C220E5"/>
    <w:rsid w:val="00C2217E"/>
    <w:rsid w:val="00C223A7"/>
    <w:rsid w:val="00C225EE"/>
    <w:rsid w:val="00C2260B"/>
    <w:rsid w:val="00C226BF"/>
    <w:rsid w:val="00C226CB"/>
    <w:rsid w:val="00C2293D"/>
    <w:rsid w:val="00C22C5F"/>
    <w:rsid w:val="00C22DC7"/>
    <w:rsid w:val="00C22E4E"/>
    <w:rsid w:val="00C22E70"/>
    <w:rsid w:val="00C22FC3"/>
    <w:rsid w:val="00C234BC"/>
    <w:rsid w:val="00C234EA"/>
    <w:rsid w:val="00C23624"/>
    <w:rsid w:val="00C2380D"/>
    <w:rsid w:val="00C23994"/>
    <w:rsid w:val="00C23B27"/>
    <w:rsid w:val="00C23B5C"/>
    <w:rsid w:val="00C23C45"/>
    <w:rsid w:val="00C23D0D"/>
    <w:rsid w:val="00C242FB"/>
    <w:rsid w:val="00C24729"/>
    <w:rsid w:val="00C24785"/>
    <w:rsid w:val="00C247E9"/>
    <w:rsid w:val="00C24855"/>
    <w:rsid w:val="00C248A3"/>
    <w:rsid w:val="00C248A7"/>
    <w:rsid w:val="00C248FA"/>
    <w:rsid w:val="00C24A09"/>
    <w:rsid w:val="00C24B1A"/>
    <w:rsid w:val="00C25205"/>
    <w:rsid w:val="00C25573"/>
    <w:rsid w:val="00C257AE"/>
    <w:rsid w:val="00C25A48"/>
    <w:rsid w:val="00C25BAD"/>
    <w:rsid w:val="00C2644A"/>
    <w:rsid w:val="00C2660D"/>
    <w:rsid w:val="00C2667C"/>
    <w:rsid w:val="00C26724"/>
    <w:rsid w:val="00C267C0"/>
    <w:rsid w:val="00C26972"/>
    <w:rsid w:val="00C26E4B"/>
    <w:rsid w:val="00C2747D"/>
    <w:rsid w:val="00C2763D"/>
    <w:rsid w:val="00C2780C"/>
    <w:rsid w:val="00C278AA"/>
    <w:rsid w:val="00C27A1E"/>
    <w:rsid w:val="00C27CFE"/>
    <w:rsid w:val="00C27E44"/>
    <w:rsid w:val="00C3004F"/>
    <w:rsid w:val="00C300F1"/>
    <w:rsid w:val="00C301CF"/>
    <w:rsid w:val="00C3021B"/>
    <w:rsid w:val="00C303FF"/>
    <w:rsid w:val="00C3070C"/>
    <w:rsid w:val="00C308B1"/>
    <w:rsid w:val="00C30AD8"/>
    <w:rsid w:val="00C30EED"/>
    <w:rsid w:val="00C3106B"/>
    <w:rsid w:val="00C312BD"/>
    <w:rsid w:val="00C312EC"/>
    <w:rsid w:val="00C315DE"/>
    <w:rsid w:val="00C319EC"/>
    <w:rsid w:val="00C31AD7"/>
    <w:rsid w:val="00C31B20"/>
    <w:rsid w:val="00C31BCC"/>
    <w:rsid w:val="00C31BDE"/>
    <w:rsid w:val="00C31CED"/>
    <w:rsid w:val="00C31DE7"/>
    <w:rsid w:val="00C31ED4"/>
    <w:rsid w:val="00C32189"/>
    <w:rsid w:val="00C321AA"/>
    <w:rsid w:val="00C321ED"/>
    <w:rsid w:val="00C32213"/>
    <w:rsid w:val="00C32245"/>
    <w:rsid w:val="00C323CD"/>
    <w:rsid w:val="00C32612"/>
    <w:rsid w:val="00C32646"/>
    <w:rsid w:val="00C32699"/>
    <w:rsid w:val="00C32CCC"/>
    <w:rsid w:val="00C32DD8"/>
    <w:rsid w:val="00C332A3"/>
    <w:rsid w:val="00C33481"/>
    <w:rsid w:val="00C33543"/>
    <w:rsid w:val="00C335C7"/>
    <w:rsid w:val="00C33998"/>
    <w:rsid w:val="00C339AD"/>
    <w:rsid w:val="00C33A81"/>
    <w:rsid w:val="00C343A7"/>
    <w:rsid w:val="00C3486D"/>
    <w:rsid w:val="00C34887"/>
    <w:rsid w:val="00C348F2"/>
    <w:rsid w:val="00C34A3B"/>
    <w:rsid w:val="00C34A4B"/>
    <w:rsid w:val="00C34A73"/>
    <w:rsid w:val="00C34AF2"/>
    <w:rsid w:val="00C34BE3"/>
    <w:rsid w:val="00C34DFD"/>
    <w:rsid w:val="00C35183"/>
    <w:rsid w:val="00C35258"/>
    <w:rsid w:val="00C35621"/>
    <w:rsid w:val="00C35678"/>
    <w:rsid w:val="00C357D9"/>
    <w:rsid w:val="00C358F8"/>
    <w:rsid w:val="00C3598B"/>
    <w:rsid w:val="00C35A2C"/>
    <w:rsid w:val="00C35AD0"/>
    <w:rsid w:val="00C35B3C"/>
    <w:rsid w:val="00C35CB5"/>
    <w:rsid w:val="00C3635A"/>
    <w:rsid w:val="00C36696"/>
    <w:rsid w:val="00C367F8"/>
    <w:rsid w:val="00C36912"/>
    <w:rsid w:val="00C36DAD"/>
    <w:rsid w:val="00C36EDF"/>
    <w:rsid w:val="00C36F58"/>
    <w:rsid w:val="00C37078"/>
    <w:rsid w:val="00C3741B"/>
    <w:rsid w:val="00C374C2"/>
    <w:rsid w:val="00C375CC"/>
    <w:rsid w:val="00C37C42"/>
    <w:rsid w:val="00C37D29"/>
    <w:rsid w:val="00C4001E"/>
    <w:rsid w:val="00C40211"/>
    <w:rsid w:val="00C40239"/>
    <w:rsid w:val="00C404FB"/>
    <w:rsid w:val="00C405B0"/>
    <w:rsid w:val="00C406CD"/>
    <w:rsid w:val="00C407A2"/>
    <w:rsid w:val="00C407F1"/>
    <w:rsid w:val="00C40872"/>
    <w:rsid w:val="00C40BB9"/>
    <w:rsid w:val="00C40CC1"/>
    <w:rsid w:val="00C40D0F"/>
    <w:rsid w:val="00C41048"/>
    <w:rsid w:val="00C4108B"/>
    <w:rsid w:val="00C4108F"/>
    <w:rsid w:val="00C41363"/>
    <w:rsid w:val="00C413C7"/>
    <w:rsid w:val="00C414B4"/>
    <w:rsid w:val="00C41504"/>
    <w:rsid w:val="00C4154E"/>
    <w:rsid w:val="00C41552"/>
    <w:rsid w:val="00C419BC"/>
    <w:rsid w:val="00C41A30"/>
    <w:rsid w:val="00C41A9E"/>
    <w:rsid w:val="00C41B32"/>
    <w:rsid w:val="00C41D7A"/>
    <w:rsid w:val="00C421D5"/>
    <w:rsid w:val="00C4222D"/>
    <w:rsid w:val="00C423E3"/>
    <w:rsid w:val="00C42723"/>
    <w:rsid w:val="00C427CE"/>
    <w:rsid w:val="00C427DF"/>
    <w:rsid w:val="00C42A7F"/>
    <w:rsid w:val="00C43099"/>
    <w:rsid w:val="00C4335A"/>
    <w:rsid w:val="00C433F0"/>
    <w:rsid w:val="00C43635"/>
    <w:rsid w:val="00C43661"/>
    <w:rsid w:val="00C43A1B"/>
    <w:rsid w:val="00C43A9A"/>
    <w:rsid w:val="00C43B3F"/>
    <w:rsid w:val="00C43FC1"/>
    <w:rsid w:val="00C4402E"/>
    <w:rsid w:val="00C4408F"/>
    <w:rsid w:val="00C4474C"/>
    <w:rsid w:val="00C44806"/>
    <w:rsid w:val="00C44963"/>
    <w:rsid w:val="00C449C5"/>
    <w:rsid w:val="00C44C00"/>
    <w:rsid w:val="00C44EA4"/>
    <w:rsid w:val="00C44EF9"/>
    <w:rsid w:val="00C44F63"/>
    <w:rsid w:val="00C45039"/>
    <w:rsid w:val="00C45198"/>
    <w:rsid w:val="00C45333"/>
    <w:rsid w:val="00C454F4"/>
    <w:rsid w:val="00C45755"/>
    <w:rsid w:val="00C45985"/>
    <w:rsid w:val="00C45A0D"/>
    <w:rsid w:val="00C45A6A"/>
    <w:rsid w:val="00C45AB6"/>
    <w:rsid w:val="00C45BAB"/>
    <w:rsid w:val="00C45BEC"/>
    <w:rsid w:val="00C46357"/>
    <w:rsid w:val="00C4648A"/>
    <w:rsid w:val="00C467A2"/>
    <w:rsid w:val="00C46D70"/>
    <w:rsid w:val="00C46F27"/>
    <w:rsid w:val="00C4702C"/>
    <w:rsid w:val="00C471AC"/>
    <w:rsid w:val="00C471CC"/>
    <w:rsid w:val="00C4729B"/>
    <w:rsid w:val="00C4733A"/>
    <w:rsid w:val="00C4733B"/>
    <w:rsid w:val="00C473A4"/>
    <w:rsid w:val="00C476C2"/>
    <w:rsid w:val="00C4794B"/>
    <w:rsid w:val="00C4799E"/>
    <w:rsid w:val="00C479C7"/>
    <w:rsid w:val="00C47F3B"/>
    <w:rsid w:val="00C50069"/>
    <w:rsid w:val="00C5058D"/>
    <w:rsid w:val="00C50A50"/>
    <w:rsid w:val="00C50E0C"/>
    <w:rsid w:val="00C51228"/>
    <w:rsid w:val="00C5124F"/>
    <w:rsid w:val="00C5127E"/>
    <w:rsid w:val="00C5147D"/>
    <w:rsid w:val="00C51732"/>
    <w:rsid w:val="00C518B8"/>
    <w:rsid w:val="00C5300D"/>
    <w:rsid w:val="00C53072"/>
    <w:rsid w:val="00C531C0"/>
    <w:rsid w:val="00C539D2"/>
    <w:rsid w:val="00C53B3D"/>
    <w:rsid w:val="00C53B6E"/>
    <w:rsid w:val="00C53BC3"/>
    <w:rsid w:val="00C53F75"/>
    <w:rsid w:val="00C540D4"/>
    <w:rsid w:val="00C540DC"/>
    <w:rsid w:val="00C5446E"/>
    <w:rsid w:val="00C544A1"/>
    <w:rsid w:val="00C544CD"/>
    <w:rsid w:val="00C54754"/>
    <w:rsid w:val="00C54887"/>
    <w:rsid w:val="00C54B41"/>
    <w:rsid w:val="00C54B80"/>
    <w:rsid w:val="00C54D23"/>
    <w:rsid w:val="00C54E14"/>
    <w:rsid w:val="00C54ED8"/>
    <w:rsid w:val="00C5539E"/>
    <w:rsid w:val="00C553E4"/>
    <w:rsid w:val="00C55577"/>
    <w:rsid w:val="00C5579F"/>
    <w:rsid w:val="00C558E9"/>
    <w:rsid w:val="00C559D6"/>
    <w:rsid w:val="00C55B11"/>
    <w:rsid w:val="00C55B46"/>
    <w:rsid w:val="00C560D9"/>
    <w:rsid w:val="00C561BD"/>
    <w:rsid w:val="00C5635F"/>
    <w:rsid w:val="00C56627"/>
    <w:rsid w:val="00C567AD"/>
    <w:rsid w:val="00C56803"/>
    <w:rsid w:val="00C568CA"/>
    <w:rsid w:val="00C56A19"/>
    <w:rsid w:val="00C56E46"/>
    <w:rsid w:val="00C5706B"/>
    <w:rsid w:val="00C57087"/>
    <w:rsid w:val="00C57170"/>
    <w:rsid w:val="00C575EB"/>
    <w:rsid w:val="00C5778E"/>
    <w:rsid w:val="00C57ED3"/>
    <w:rsid w:val="00C602D1"/>
    <w:rsid w:val="00C604AD"/>
    <w:rsid w:val="00C608EC"/>
    <w:rsid w:val="00C609E9"/>
    <w:rsid w:val="00C61024"/>
    <w:rsid w:val="00C61131"/>
    <w:rsid w:val="00C6113D"/>
    <w:rsid w:val="00C61284"/>
    <w:rsid w:val="00C612D6"/>
    <w:rsid w:val="00C6146E"/>
    <w:rsid w:val="00C61572"/>
    <w:rsid w:val="00C615FA"/>
    <w:rsid w:val="00C6174D"/>
    <w:rsid w:val="00C617CF"/>
    <w:rsid w:val="00C61971"/>
    <w:rsid w:val="00C61994"/>
    <w:rsid w:val="00C619E4"/>
    <w:rsid w:val="00C61ABF"/>
    <w:rsid w:val="00C61B17"/>
    <w:rsid w:val="00C61B74"/>
    <w:rsid w:val="00C61BD5"/>
    <w:rsid w:val="00C61DF2"/>
    <w:rsid w:val="00C61E7D"/>
    <w:rsid w:val="00C6201D"/>
    <w:rsid w:val="00C62265"/>
    <w:rsid w:val="00C622B0"/>
    <w:rsid w:val="00C6269E"/>
    <w:rsid w:val="00C626AA"/>
    <w:rsid w:val="00C62778"/>
    <w:rsid w:val="00C628F8"/>
    <w:rsid w:val="00C629A7"/>
    <w:rsid w:val="00C62A84"/>
    <w:rsid w:val="00C62B1E"/>
    <w:rsid w:val="00C62B64"/>
    <w:rsid w:val="00C62D18"/>
    <w:rsid w:val="00C62E2B"/>
    <w:rsid w:val="00C62ED3"/>
    <w:rsid w:val="00C63016"/>
    <w:rsid w:val="00C6311A"/>
    <w:rsid w:val="00C63858"/>
    <w:rsid w:val="00C63A96"/>
    <w:rsid w:val="00C63D86"/>
    <w:rsid w:val="00C63F94"/>
    <w:rsid w:val="00C64095"/>
    <w:rsid w:val="00C640A4"/>
    <w:rsid w:val="00C64531"/>
    <w:rsid w:val="00C6453C"/>
    <w:rsid w:val="00C64563"/>
    <w:rsid w:val="00C6477A"/>
    <w:rsid w:val="00C64A72"/>
    <w:rsid w:val="00C64B48"/>
    <w:rsid w:val="00C64B4C"/>
    <w:rsid w:val="00C64B9A"/>
    <w:rsid w:val="00C64D21"/>
    <w:rsid w:val="00C64F99"/>
    <w:rsid w:val="00C65214"/>
    <w:rsid w:val="00C6531F"/>
    <w:rsid w:val="00C65580"/>
    <w:rsid w:val="00C655D1"/>
    <w:rsid w:val="00C656C2"/>
    <w:rsid w:val="00C65907"/>
    <w:rsid w:val="00C65A8B"/>
    <w:rsid w:val="00C65DC2"/>
    <w:rsid w:val="00C65F46"/>
    <w:rsid w:val="00C661B2"/>
    <w:rsid w:val="00C66475"/>
    <w:rsid w:val="00C66842"/>
    <w:rsid w:val="00C66B8F"/>
    <w:rsid w:val="00C66C9A"/>
    <w:rsid w:val="00C67252"/>
    <w:rsid w:val="00C67331"/>
    <w:rsid w:val="00C6768F"/>
    <w:rsid w:val="00C6777A"/>
    <w:rsid w:val="00C67A6B"/>
    <w:rsid w:val="00C67A7F"/>
    <w:rsid w:val="00C67B9C"/>
    <w:rsid w:val="00C67BD2"/>
    <w:rsid w:val="00C67BDE"/>
    <w:rsid w:val="00C67D53"/>
    <w:rsid w:val="00C67F2E"/>
    <w:rsid w:val="00C70158"/>
    <w:rsid w:val="00C701C7"/>
    <w:rsid w:val="00C701CB"/>
    <w:rsid w:val="00C70247"/>
    <w:rsid w:val="00C70323"/>
    <w:rsid w:val="00C7063E"/>
    <w:rsid w:val="00C707AA"/>
    <w:rsid w:val="00C708D7"/>
    <w:rsid w:val="00C70C18"/>
    <w:rsid w:val="00C70EDA"/>
    <w:rsid w:val="00C71187"/>
    <w:rsid w:val="00C71608"/>
    <w:rsid w:val="00C716D3"/>
    <w:rsid w:val="00C7173B"/>
    <w:rsid w:val="00C718B6"/>
    <w:rsid w:val="00C718D2"/>
    <w:rsid w:val="00C71AA6"/>
    <w:rsid w:val="00C71B53"/>
    <w:rsid w:val="00C71E1C"/>
    <w:rsid w:val="00C71F0E"/>
    <w:rsid w:val="00C71F40"/>
    <w:rsid w:val="00C721AD"/>
    <w:rsid w:val="00C723B9"/>
    <w:rsid w:val="00C723F0"/>
    <w:rsid w:val="00C724DA"/>
    <w:rsid w:val="00C7260E"/>
    <w:rsid w:val="00C72857"/>
    <w:rsid w:val="00C72A2E"/>
    <w:rsid w:val="00C7330B"/>
    <w:rsid w:val="00C7345B"/>
    <w:rsid w:val="00C734F5"/>
    <w:rsid w:val="00C7369A"/>
    <w:rsid w:val="00C73804"/>
    <w:rsid w:val="00C738E5"/>
    <w:rsid w:val="00C73CA2"/>
    <w:rsid w:val="00C73FCA"/>
    <w:rsid w:val="00C7466C"/>
    <w:rsid w:val="00C74708"/>
    <w:rsid w:val="00C747AF"/>
    <w:rsid w:val="00C74967"/>
    <w:rsid w:val="00C752BA"/>
    <w:rsid w:val="00C7537C"/>
    <w:rsid w:val="00C75446"/>
    <w:rsid w:val="00C756E4"/>
    <w:rsid w:val="00C75779"/>
    <w:rsid w:val="00C75AE2"/>
    <w:rsid w:val="00C75DFA"/>
    <w:rsid w:val="00C75E75"/>
    <w:rsid w:val="00C75EEB"/>
    <w:rsid w:val="00C75FAC"/>
    <w:rsid w:val="00C7608A"/>
    <w:rsid w:val="00C761EA"/>
    <w:rsid w:val="00C76366"/>
    <w:rsid w:val="00C764C7"/>
    <w:rsid w:val="00C767C2"/>
    <w:rsid w:val="00C769FA"/>
    <w:rsid w:val="00C76B2C"/>
    <w:rsid w:val="00C76CDC"/>
    <w:rsid w:val="00C76EF4"/>
    <w:rsid w:val="00C76F49"/>
    <w:rsid w:val="00C77409"/>
    <w:rsid w:val="00C77500"/>
    <w:rsid w:val="00C778AD"/>
    <w:rsid w:val="00C778E1"/>
    <w:rsid w:val="00C77953"/>
    <w:rsid w:val="00C7799A"/>
    <w:rsid w:val="00C77D4F"/>
    <w:rsid w:val="00C77FD6"/>
    <w:rsid w:val="00C77FE9"/>
    <w:rsid w:val="00C800DF"/>
    <w:rsid w:val="00C800FD"/>
    <w:rsid w:val="00C801FD"/>
    <w:rsid w:val="00C8056A"/>
    <w:rsid w:val="00C80788"/>
    <w:rsid w:val="00C80906"/>
    <w:rsid w:val="00C80C9F"/>
    <w:rsid w:val="00C80CDE"/>
    <w:rsid w:val="00C80CF6"/>
    <w:rsid w:val="00C80D07"/>
    <w:rsid w:val="00C80F1A"/>
    <w:rsid w:val="00C80F3C"/>
    <w:rsid w:val="00C80FCE"/>
    <w:rsid w:val="00C81266"/>
    <w:rsid w:val="00C813A1"/>
    <w:rsid w:val="00C81578"/>
    <w:rsid w:val="00C81739"/>
    <w:rsid w:val="00C81815"/>
    <w:rsid w:val="00C818BD"/>
    <w:rsid w:val="00C81D87"/>
    <w:rsid w:val="00C81F50"/>
    <w:rsid w:val="00C8231C"/>
    <w:rsid w:val="00C82357"/>
    <w:rsid w:val="00C82554"/>
    <w:rsid w:val="00C826ED"/>
    <w:rsid w:val="00C82FA3"/>
    <w:rsid w:val="00C83066"/>
    <w:rsid w:val="00C83074"/>
    <w:rsid w:val="00C831B9"/>
    <w:rsid w:val="00C83BE4"/>
    <w:rsid w:val="00C83DAE"/>
    <w:rsid w:val="00C83F91"/>
    <w:rsid w:val="00C843D6"/>
    <w:rsid w:val="00C8459F"/>
    <w:rsid w:val="00C845EF"/>
    <w:rsid w:val="00C84789"/>
    <w:rsid w:val="00C84880"/>
    <w:rsid w:val="00C84B11"/>
    <w:rsid w:val="00C84CAF"/>
    <w:rsid w:val="00C850A2"/>
    <w:rsid w:val="00C855B1"/>
    <w:rsid w:val="00C85619"/>
    <w:rsid w:val="00C85990"/>
    <w:rsid w:val="00C85A98"/>
    <w:rsid w:val="00C85B6F"/>
    <w:rsid w:val="00C85B9B"/>
    <w:rsid w:val="00C85EAF"/>
    <w:rsid w:val="00C8602F"/>
    <w:rsid w:val="00C860BB"/>
    <w:rsid w:val="00C86183"/>
    <w:rsid w:val="00C86294"/>
    <w:rsid w:val="00C863EF"/>
    <w:rsid w:val="00C867F5"/>
    <w:rsid w:val="00C868FC"/>
    <w:rsid w:val="00C869DF"/>
    <w:rsid w:val="00C86B65"/>
    <w:rsid w:val="00C8703D"/>
    <w:rsid w:val="00C870E0"/>
    <w:rsid w:val="00C87133"/>
    <w:rsid w:val="00C87347"/>
    <w:rsid w:val="00C878DE"/>
    <w:rsid w:val="00C879D6"/>
    <w:rsid w:val="00C87A84"/>
    <w:rsid w:val="00C87B09"/>
    <w:rsid w:val="00C87D9F"/>
    <w:rsid w:val="00C900A2"/>
    <w:rsid w:val="00C900B6"/>
    <w:rsid w:val="00C901DE"/>
    <w:rsid w:val="00C90328"/>
    <w:rsid w:val="00C90395"/>
    <w:rsid w:val="00C90463"/>
    <w:rsid w:val="00C90684"/>
    <w:rsid w:val="00C907B2"/>
    <w:rsid w:val="00C90B02"/>
    <w:rsid w:val="00C90D26"/>
    <w:rsid w:val="00C90F7C"/>
    <w:rsid w:val="00C90FAF"/>
    <w:rsid w:val="00C9109B"/>
    <w:rsid w:val="00C910B0"/>
    <w:rsid w:val="00C91106"/>
    <w:rsid w:val="00C9129C"/>
    <w:rsid w:val="00C91505"/>
    <w:rsid w:val="00C9154E"/>
    <w:rsid w:val="00C916DB"/>
    <w:rsid w:val="00C91914"/>
    <w:rsid w:val="00C91B51"/>
    <w:rsid w:val="00C921C4"/>
    <w:rsid w:val="00C9255C"/>
    <w:rsid w:val="00C92611"/>
    <w:rsid w:val="00C9285E"/>
    <w:rsid w:val="00C92C99"/>
    <w:rsid w:val="00C92E82"/>
    <w:rsid w:val="00C92EFE"/>
    <w:rsid w:val="00C935AB"/>
    <w:rsid w:val="00C9368E"/>
    <w:rsid w:val="00C939FD"/>
    <w:rsid w:val="00C93A44"/>
    <w:rsid w:val="00C93B6B"/>
    <w:rsid w:val="00C93CBB"/>
    <w:rsid w:val="00C93EEB"/>
    <w:rsid w:val="00C94262"/>
    <w:rsid w:val="00C9431A"/>
    <w:rsid w:val="00C94397"/>
    <w:rsid w:val="00C94802"/>
    <w:rsid w:val="00C94A0F"/>
    <w:rsid w:val="00C94A96"/>
    <w:rsid w:val="00C94AAA"/>
    <w:rsid w:val="00C94B78"/>
    <w:rsid w:val="00C94DC0"/>
    <w:rsid w:val="00C94E04"/>
    <w:rsid w:val="00C9554F"/>
    <w:rsid w:val="00C957C9"/>
    <w:rsid w:val="00C95A07"/>
    <w:rsid w:val="00C95AE5"/>
    <w:rsid w:val="00C95AF2"/>
    <w:rsid w:val="00C95B99"/>
    <w:rsid w:val="00C95D95"/>
    <w:rsid w:val="00C95DCE"/>
    <w:rsid w:val="00C9610F"/>
    <w:rsid w:val="00C9627D"/>
    <w:rsid w:val="00C9659C"/>
    <w:rsid w:val="00C965C8"/>
    <w:rsid w:val="00C966C2"/>
    <w:rsid w:val="00C966E8"/>
    <w:rsid w:val="00C96721"/>
    <w:rsid w:val="00C969AD"/>
    <w:rsid w:val="00C96A1B"/>
    <w:rsid w:val="00C96B60"/>
    <w:rsid w:val="00C96B96"/>
    <w:rsid w:val="00C96F99"/>
    <w:rsid w:val="00C96FD4"/>
    <w:rsid w:val="00C97053"/>
    <w:rsid w:val="00C97099"/>
    <w:rsid w:val="00C9711D"/>
    <w:rsid w:val="00C974C0"/>
    <w:rsid w:val="00C97554"/>
    <w:rsid w:val="00C976DF"/>
    <w:rsid w:val="00C978AE"/>
    <w:rsid w:val="00C97989"/>
    <w:rsid w:val="00C97A34"/>
    <w:rsid w:val="00C97AC3"/>
    <w:rsid w:val="00C97FF9"/>
    <w:rsid w:val="00CA0129"/>
    <w:rsid w:val="00CA0201"/>
    <w:rsid w:val="00CA0333"/>
    <w:rsid w:val="00CA0635"/>
    <w:rsid w:val="00CA0DEB"/>
    <w:rsid w:val="00CA0F83"/>
    <w:rsid w:val="00CA100B"/>
    <w:rsid w:val="00CA12A8"/>
    <w:rsid w:val="00CA134F"/>
    <w:rsid w:val="00CA141D"/>
    <w:rsid w:val="00CA15F6"/>
    <w:rsid w:val="00CA174C"/>
    <w:rsid w:val="00CA1899"/>
    <w:rsid w:val="00CA1CB4"/>
    <w:rsid w:val="00CA1E19"/>
    <w:rsid w:val="00CA1F05"/>
    <w:rsid w:val="00CA21A3"/>
    <w:rsid w:val="00CA227D"/>
    <w:rsid w:val="00CA22E0"/>
    <w:rsid w:val="00CA265B"/>
    <w:rsid w:val="00CA298E"/>
    <w:rsid w:val="00CA2A6A"/>
    <w:rsid w:val="00CA2C40"/>
    <w:rsid w:val="00CA3253"/>
    <w:rsid w:val="00CA337D"/>
    <w:rsid w:val="00CA3557"/>
    <w:rsid w:val="00CA3766"/>
    <w:rsid w:val="00CA386B"/>
    <w:rsid w:val="00CA3946"/>
    <w:rsid w:val="00CA3B9F"/>
    <w:rsid w:val="00CA3D64"/>
    <w:rsid w:val="00CA3DE5"/>
    <w:rsid w:val="00CA4069"/>
    <w:rsid w:val="00CA4785"/>
    <w:rsid w:val="00CA4986"/>
    <w:rsid w:val="00CA4BFC"/>
    <w:rsid w:val="00CA4C4A"/>
    <w:rsid w:val="00CA4DB3"/>
    <w:rsid w:val="00CA5322"/>
    <w:rsid w:val="00CA57A0"/>
    <w:rsid w:val="00CA57FD"/>
    <w:rsid w:val="00CA5A65"/>
    <w:rsid w:val="00CA5BBA"/>
    <w:rsid w:val="00CA5E0C"/>
    <w:rsid w:val="00CA5F37"/>
    <w:rsid w:val="00CA5F95"/>
    <w:rsid w:val="00CA5FAC"/>
    <w:rsid w:val="00CA60F2"/>
    <w:rsid w:val="00CA6632"/>
    <w:rsid w:val="00CA67BA"/>
    <w:rsid w:val="00CA6DBF"/>
    <w:rsid w:val="00CA6F71"/>
    <w:rsid w:val="00CA6FB4"/>
    <w:rsid w:val="00CA6FC5"/>
    <w:rsid w:val="00CA7015"/>
    <w:rsid w:val="00CA740B"/>
    <w:rsid w:val="00CA74AE"/>
    <w:rsid w:val="00CA7830"/>
    <w:rsid w:val="00CA7921"/>
    <w:rsid w:val="00CA79F5"/>
    <w:rsid w:val="00CA7B26"/>
    <w:rsid w:val="00CA7DB9"/>
    <w:rsid w:val="00CA7E18"/>
    <w:rsid w:val="00CA7E1B"/>
    <w:rsid w:val="00CA7E32"/>
    <w:rsid w:val="00CA7FFC"/>
    <w:rsid w:val="00CB0121"/>
    <w:rsid w:val="00CB014C"/>
    <w:rsid w:val="00CB0B81"/>
    <w:rsid w:val="00CB0CF6"/>
    <w:rsid w:val="00CB0D0A"/>
    <w:rsid w:val="00CB0DB6"/>
    <w:rsid w:val="00CB115A"/>
    <w:rsid w:val="00CB1712"/>
    <w:rsid w:val="00CB19D8"/>
    <w:rsid w:val="00CB1C7F"/>
    <w:rsid w:val="00CB1E01"/>
    <w:rsid w:val="00CB1FEC"/>
    <w:rsid w:val="00CB2028"/>
    <w:rsid w:val="00CB266E"/>
    <w:rsid w:val="00CB2904"/>
    <w:rsid w:val="00CB3140"/>
    <w:rsid w:val="00CB31B5"/>
    <w:rsid w:val="00CB31E4"/>
    <w:rsid w:val="00CB33CC"/>
    <w:rsid w:val="00CB365C"/>
    <w:rsid w:val="00CB3B57"/>
    <w:rsid w:val="00CB3CE1"/>
    <w:rsid w:val="00CB3EDF"/>
    <w:rsid w:val="00CB3FE1"/>
    <w:rsid w:val="00CB4017"/>
    <w:rsid w:val="00CB4480"/>
    <w:rsid w:val="00CB45CA"/>
    <w:rsid w:val="00CB46D5"/>
    <w:rsid w:val="00CB4741"/>
    <w:rsid w:val="00CB4879"/>
    <w:rsid w:val="00CB4A12"/>
    <w:rsid w:val="00CB4AAC"/>
    <w:rsid w:val="00CB52B4"/>
    <w:rsid w:val="00CB53A9"/>
    <w:rsid w:val="00CB555B"/>
    <w:rsid w:val="00CB5567"/>
    <w:rsid w:val="00CB558E"/>
    <w:rsid w:val="00CB55BF"/>
    <w:rsid w:val="00CB5695"/>
    <w:rsid w:val="00CB5892"/>
    <w:rsid w:val="00CB5945"/>
    <w:rsid w:val="00CB5A95"/>
    <w:rsid w:val="00CB5B6A"/>
    <w:rsid w:val="00CB5C6D"/>
    <w:rsid w:val="00CB5F51"/>
    <w:rsid w:val="00CB637D"/>
    <w:rsid w:val="00CB655B"/>
    <w:rsid w:val="00CB65AC"/>
    <w:rsid w:val="00CB680B"/>
    <w:rsid w:val="00CB6884"/>
    <w:rsid w:val="00CB6E94"/>
    <w:rsid w:val="00CB71F2"/>
    <w:rsid w:val="00CB72AE"/>
    <w:rsid w:val="00CB76DC"/>
    <w:rsid w:val="00CB7869"/>
    <w:rsid w:val="00CB79D2"/>
    <w:rsid w:val="00CB7B9A"/>
    <w:rsid w:val="00CB7C32"/>
    <w:rsid w:val="00CB7ED7"/>
    <w:rsid w:val="00CC01D7"/>
    <w:rsid w:val="00CC037F"/>
    <w:rsid w:val="00CC04DD"/>
    <w:rsid w:val="00CC067D"/>
    <w:rsid w:val="00CC09FB"/>
    <w:rsid w:val="00CC0A14"/>
    <w:rsid w:val="00CC0A8D"/>
    <w:rsid w:val="00CC0CE7"/>
    <w:rsid w:val="00CC0DD2"/>
    <w:rsid w:val="00CC16F3"/>
    <w:rsid w:val="00CC197A"/>
    <w:rsid w:val="00CC1BA7"/>
    <w:rsid w:val="00CC1EA0"/>
    <w:rsid w:val="00CC1FE2"/>
    <w:rsid w:val="00CC256C"/>
    <w:rsid w:val="00CC2637"/>
    <w:rsid w:val="00CC2730"/>
    <w:rsid w:val="00CC2B2A"/>
    <w:rsid w:val="00CC2CB9"/>
    <w:rsid w:val="00CC2D41"/>
    <w:rsid w:val="00CC2F4D"/>
    <w:rsid w:val="00CC3299"/>
    <w:rsid w:val="00CC32E8"/>
    <w:rsid w:val="00CC36CF"/>
    <w:rsid w:val="00CC37A3"/>
    <w:rsid w:val="00CC381F"/>
    <w:rsid w:val="00CC3990"/>
    <w:rsid w:val="00CC3BD4"/>
    <w:rsid w:val="00CC3D6C"/>
    <w:rsid w:val="00CC436A"/>
    <w:rsid w:val="00CC44B2"/>
    <w:rsid w:val="00CC44BA"/>
    <w:rsid w:val="00CC44C7"/>
    <w:rsid w:val="00CC49E5"/>
    <w:rsid w:val="00CC4AC5"/>
    <w:rsid w:val="00CC4AF9"/>
    <w:rsid w:val="00CC4D7B"/>
    <w:rsid w:val="00CC4F18"/>
    <w:rsid w:val="00CC4F64"/>
    <w:rsid w:val="00CC5021"/>
    <w:rsid w:val="00CC5188"/>
    <w:rsid w:val="00CC521D"/>
    <w:rsid w:val="00CC526C"/>
    <w:rsid w:val="00CC545A"/>
    <w:rsid w:val="00CC55D1"/>
    <w:rsid w:val="00CC563E"/>
    <w:rsid w:val="00CC56EE"/>
    <w:rsid w:val="00CC5884"/>
    <w:rsid w:val="00CC5A83"/>
    <w:rsid w:val="00CC5B23"/>
    <w:rsid w:val="00CC5B6B"/>
    <w:rsid w:val="00CC5CFA"/>
    <w:rsid w:val="00CC648F"/>
    <w:rsid w:val="00CC6571"/>
    <w:rsid w:val="00CC67AB"/>
    <w:rsid w:val="00CC6BD3"/>
    <w:rsid w:val="00CC6D78"/>
    <w:rsid w:val="00CC6F51"/>
    <w:rsid w:val="00CC716E"/>
    <w:rsid w:val="00CC7306"/>
    <w:rsid w:val="00CC73D7"/>
    <w:rsid w:val="00CC742C"/>
    <w:rsid w:val="00CC75E4"/>
    <w:rsid w:val="00CC763D"/>
    <w:rsid w:val="00CC76FE"/>
    <w:rsid w:val="00CC7730"/>
    <w:rsid w:val="00CC77F0"/>
    <w:rsid w:val="00CC7C6C"/>
    <w:rsid w:val="00CC7C86"/>
    <w:rsid w:val="00CC7E95"/>
    <w:rsid w:val="00CD01FC"/>
    <w:rsid w:val="00CD0275"/>
    <w:rsid w:val="00CD0276"/>
    <w:rsid w:val="00CD0676"/>
    <w:rsid w:val="00CD078E"/>
    <w:rsid w:val="00CD087C"/>
    <w:rsid w:val="00CD0AAF"/>
    <w:rsid w:val="00CD0CC7"/>
    <w:rsid w:val="00CD0E9D"/>
    <w:rsid w:val="00CD17A0"/>
    <w:rsid w:val="00CD1B49"/>
    <w:rsid w:val="00CD1D32"/>
    <w:rsid w:val="00CD1E6B"/>
    <w:rsid w:val="00CD1EF4"/>
    <w:rsid w:val="00CD22E5"/>
    <w:rsid w:val="00CD2687"/>
    <w:rsid w:val="00CD2CD1"/>
    <w:rsid w:val="00CD2F10"/>
    <w:rsid w:val="00CD2FD7"/>
    <w:rsid w:val="00CD33E6"/>
    <w:rsid w:val="00CD35B5"/>
    <w:rsid w:val="00CD38A7"/>
    <w:rsid w:val="00CD3A8B"/>
    <w:rsid w:val="00CD3FCA"/>
    <w:rsid w:val="00CD439F"/>
    <w:rsid w:val="00CD4436"/>
    <w:rsid w:val="00CD459B"/>
    <w:rsid w:val="00CD4853"/>
    <w:rsid w:val="00CD4B99"/>
    <w:rsid w:val="00CD4C7E"/>
    <w:rsid w:val="00CD4D1B"/>
    <w:rsid w:val="00CD4EF4"/>
    <w:rsid w:val="00CD4FC2"/>
    <w:rsid w:val="00CD5072"/>
    <w:rsid w:val="00CD50C4"/>
    <w:rsid w:val="00CD50EC"/>
    <w:rsid w:val="00CD5509"/>
    <w:rsid w:val="00CD5536"/>
    <w:rsid w:val="00CD55FD"/>
    <w:rsid w:val="00CD5BD8"/>
    <w:rsid w:val="00CD5CE9"/>
    <w:rsid w:val="00CD5D0D"/>
    <w:rsid w:val="00CD5E23"/>
    <w:rsid w:val="00CD5EA5"/>
    <w:rsid w:val="00CD5F9E"/>
    <w:rsid w:val="00CD60A5"/>
    <w:rsid w:val="00CD6301"/>
    <w:rsid w:val="00CD65A7"/>
    <w:rsid w:val="00CD6669"/>
    <w:rsid w:val="00CD67C2"/>
    <w:rsid w:val="00CD67C3"/>
    <w:rsid w:val="00CD68D8"/>
    <w:rsid w:val="00CD693B"/>
    <w:rsid w:val="00CD6C11"/>
    <w:rsid w:val="00CD6EF4"/>
    <w:rsid w:val="00CD71D6"/>
    <w:rsid w:val="00CD752D"/>
    <w:rsid w:val="00CD7546"/>
    <w:rsid w:val="00CD75F0"/>
    <w:rsid w:val="00CD77FB"/>
    <w:rsid w:val="00CD785C"/>
    <w:rsid w:val="00CE02C1"/>
    <w:rsid w:val="00CE0399"/>
    <w:rsid w:val="00CE04A1"/>
    <w:rsid w:val="00CE074D"/>
    <w:rsid w:val="00CE0B8A"/>
    <w:rsid w:val="00CE0D04"/>
    <w:rsid w:val="00CE0DAC"/>
    <w:rsid w:val="00CE1076"/>
    <w:rsid w:val="00CE112A"/>
    <w:rsid w:val="00CE1281"/>
    <w:rsid w:val="00CE1606"/>
    <w:rsid w:val="00CE16CE"/>
    <w:rsid w:val="00CE1B2D"/>
    <w:rsid w:val="00CE1BA6"/>
    <w:rsid w:val="00CE1BF2"/>
    <w:rsid w:val="00CE1DFB"/>
    <w:rsid w:val="00CE22B0"/>
    <w:rsid w:val="00CE244E"/>
    <w:rsid w:val="00CE2AEA"/>
    <w:rsid w:val="00CE2CA1"/>
    <w:rsid w:val="00CE2CEB"/>
    <w:rsid w:val="00CE2FFD"/>
    <w:rsid w:val="00CE303D"/>
    <w:rsid w:val="00CE30E5"/>
    <w:rsid w:val="00CE3620"/>
    <w:rsid w:val="00CE37FF"/>
    <w:rsid w:val="00CE39E9"/>
    <w:rsid w:val="00CE3A2A"/>
    <w:rsid w:val="00CE3CEA"/>
    <w:rsid w:val="00CE3EFA"/>
    <w:rsid w:val="00CE414A"/>
    <w:rsid w:val="00CE4328"/>
    <w:rsid w:val="00CE4534"/>
    <w:rsid w:val="00CE4BA0"/>
    <w:rsid w:val="00CE4C54"/>
    <w:rsid w:val="00CE4E9A"/>
    <w:rsid w:val="00CE50E6"/>
    <w:rsid w:val="00CE570E"/>
    <w:rsid w:val="00CE579F"/>
    <w:rsid w:val="00CE5863"/>
    <w:rsid w:val="00CE59DF"/>
    <w:rsid w:val="00CE59E9"/>
    <w:rsid w:val="00CE5A2C"/>
    <w:rsid w:val="00CE5C23"/>
    <w:rsid w:val="00CE5C31"/>
    <w:rsid w:val="00CE5EC8"/>
    <w:rsid w:val="00CE614F"/>
    <w:rsid w:val="00CE6382"/>
    <w:rsid w:val="00CE6487"/>
    <w:rsid w:val="00CE6546"/>
    <w:rsid w:val="00CE65A7"/>
    <w:rsid w:val="00CE675F"/>
    <w:rsid w:val="00CE6946"/>
    <w:rsid w:val="00CE6A07"/>
    <w:rsid w:val="00CE6A9D"/>
    <w:rsid w:val="00CE7171"/>
    <w:rsid w:val="00CE71A1"/>
    <w:rsid w:val="00CE769E"/>
    <w:rsid w:val="00CE7734"/>
    <w:rsid w:val="00CE78CD"/>
    <w:rsid w:val="00CE79FC"/>
    <w:rsid w:val="00CE7D7F"/>
    <w:rsid w:val="00CE7F7C"/>
    <w:rsid w:val="00CF01B5"/>
    <w:rsid w:val="00CF03D8"/>
    <w:rsid w:val="00CF0566"/>
    <w:rsid w:val="00CF06B4"/>
    <w:rsid w:val="00CF06DC"/>
    <w:rsid w:val="00CF07A0"/>
    <w:rsid w:val="00CF0A3F"/>
    <w:rsid w:val="00CF0A6C"/>
    <w:rsid w:val="00CF0A6D"/>
    <w:rsid w:val="00CF0D41"/>
    <w:rsid w:val="00CF1093"/>
    <w:rsid w:val="00CF10FC"/>
    <w:rsid w:val="00CF1221"/>
    <w:rsid w:val="00CF15D1"/>
    <w:rsid w:val="00CF1615"/>
    <w:rsid w:val="00CF18D8"/>
    <w:rsid w:val="00CF1C84"/>
    <w:rsid w:val="00CF1D65"/>
    <w:rsid w:val="00CF1D9D"/>
    <w:rsid w:val="00CF1E6B"/>
    <w:rsid w:val="00CF20E7"/>
    <w:rsid w:val="00CF2138"/>
    <w:rsid w:val="00CF2302"/>
    <w:rsid w:val="00CF2557"/>
    <w:rsid w:val="00CF280C"/>
    <w:rsid w:val="00CF28D3"/>
    <w:rsid w:val="00CF2C6A"/>
    <w:rsid w:val="00CF2D9D"/>
    <w:rsid w:val="00CF3091"/>
    <w:rsid w:val="00CF3187"/>
    <w:rsid w:val="00CF330D"/>
    <w:rsid w:val="00CF3348"/>
    <w:rsid w:val="00CF3513"/>
    <w:rsid w:val="00CF36A7"/>
    <w:rsid w:val="00CF36CB"/>
    <w:rsid w:val="00CF39DA"/>
    <w:rsid w:val="00CF4090"/>
    <w:rsid w:val="00CF4397"/>
    <w:rsid w:val="00CF464D"/>
    <w:rsid w:val="00CF4761"/>
    <w:rsid w:val="00CF490A"/>
    <w:rsid w:val="00CF4A61"/>
    <w:rsid w:val="00CF4B15"/>
    <w:rsid w:val="00CF4C22"/>
    <w:rsid w:val="00CF4E71"/>
    <w:rsid w:val="00CF4E77"/>
    <w:rsid w:val="00CF4FD6"/>
    <w:rsid w:val="00CF5071"/>
    <w:rsid w:val="00CF5171"/>
    <w:rsid w:val="00CF518E"/>
    <w:rsid w:val="00CF545C"/>
    <w:rsid w:val="00CF5716"/>
    <w:rsid w:val="00CF5A2B"/>
    <w:rsid w:val="00CF5C18"/>
    <w:rsid w:val="00CF5E7B"/>
    <w:rsid w:val="00CF6201"/>
    <w:rsid w:val="00CF6246"/>
    <w:rsid w:val="00CF6298"/>
    <w:rsid w:val="00CF6374"/>
    <w:rsid w:val="00CF63B4"/>
    <w:rsid w:val="00CF6556"/>
    <w:rsid w:val="00CF67D9"/>
    <w:rsid w:val="00CF6A78"/>
    <w:rsid w:val="00CF6DED"/>
    <w:rsid w:val="00CF6E75"/>
    <w:rsid w:val="00CF6ED3"/>
    <w:rsid w:val="00CF6FBF"/>
    <w:rsid w:val="00CF730B"/>
    <w:rsid w:val="00CF7320"/>
    <w:rsid w:val="00CF757F"/>
    <w:rsid w:val="00CF7748"/>
    <w:rsid w:val="00CF7773"/>
    <w:rsid w:val="00CF7904"/>
    <w:rsid w:val="00CF7BAA"/>
    <w:rsid w:val="00CF7CB3"/>
    <w:rsid w:val="00CF7DF7"/>
    <w:rsid w:val="00D00253"/>
    <w:rsid w:val="00D004DA"/>
    <w:rsid w:val="00D00570"/>
    <w:rsid w:val="00D00CA9"/>
    <w:rsid w:val="00D010B5"/>
    <w:rsid w:val="00D01301"/>
    <w:rsid w:val="00D0132B"/>
    <w:rsid w:val="00D01A42"/>
    <w:rsid w:val="00D01C2F"/>
    <w:rsid w:val="00D01D0B"/>
    <w:rsid w:val="00D01D6C"/>
    <w:rsid w:val="00D01DBF"/>
    <w:rsid w:val="00D01E57"/>
    <w:rsid w:val="00D0205F"/>
    <w:rsid w:val="00D020EE"/>
    <w:rsid w:val="00D02172"/>
    <w:rsid w:val="00D02213"/>
    <w:rsid w:val="00D02634"/>
    <w:rsid w:val="00D028E5"/>
    <w:rsid w:val="00D02DF7"/>
    <w:rsid w:val="00D02E4C"/>
    <w:rsid w:val="00D02E89"/>
    <w:rsid w:val="00D030A1"/>
    <w:rsid w:val="00D03172"/>
    <w:rsid w:val="00D0347A"/>
    <w:rsid w:val="00D03556"/>
    <w:rsid w:val="00D035C0"/>
    <w:rsid w:val="00D03670"/>
    <w:rsid w:val="00D03919"/>
    <w:rsid w:val="00D03C18"/>
    <w:rsid w:val="00D03F46"/>
    <w:rsid w:val="00D03F5F"/>
    <w:rsid w:val="00D0435F"/>
    <w:rsid w:val="00D04676"/>
    <w:rsid w:val="00D04740"/>
    <w:rsid w:val="00D0484D"/>
    <w:rsid w:val="00D04EF5"/>
    <w:rsid w:val="00D053D2"/>
    <w:rsid w:val="00D054F3"/>
    <w:rsid w:val="00D0556D"/>
    <w:rsid w:val="00D05723"/>
    <w:rsid w:val="00D05970"/>
    <w:rsid w:val="00D05BFC"/>
    <w:rsid w:val="00D05E1F"/>
    <w:rsid w:val="00D06032"/>
    <w:rsid w:val="00D062CB"/>
    <w:rsid w:val="00D0660F"/>
    <w:rsid w:val="00D06952"/>
    <w:rsid w:val="00D06A14"/>
    <w:rsid w:val="00D06D27"/>
    <w:rsid w:val="00D06DEA"/>
    <w:rsid w:val="00D07606"/>
    <w:rsid w:val="00D076CE"/>
    <w:rsid w:val="00D0773E"/>
    <w:rsid w:val="00D07755"/>
    <w:rsid w:val="00D077A8"/>
    <w:rsid w:val="00D0794D"/>
    <w:rsid w:val="00D07E99"/>
    <w:rsid w:val="00D10A50"/>
    <w:rsid w:val="00D10B70"/>
    <w:rsid w:val="00D11069"/>
    <w:rsid w:val="00D11181"/>
    <w:rsid w:val="00D11240"/>
    <w:rsid w:val="00D113FC"/>
    <w:rsid w:val="00D11454"/>
    <w:rsid w:val="00D117A4"/>
    <w:rsid w:val="00D11A89"/>
    <w:rsid w:val="00D11E92"/>
    <w:rsid w:val="00D11EB7"/>
    <w:rsid w:val="00D11F65"/>
    <w:rsid w:val="00D11FAD"/>
    <w:rsid w:val="00D12244"/>
    <w:rsid w:val="00D1288A"/>
    <w:rsid w:val="00D12D1F"/>
    <w:rsid w:val="00D12DC8"/>
    <w:rsid w:val="00D12F00"/>
    <w:rsid w:val="00D13178"/>
    <w:rsid w:val="00D132A3"/>
    <w:rsid w:val="00D1341E"/>
    <w:rsid w:val="00D13429"/>
    <w:rsid w:val="00D1349E"/>
    <w:rsid w:val="00D13ADA"/>
    <w:rsid w:val="00D13B0E"/>
    <w:rsid w:val="00D13BEB"/>
    <w:rsid w:val="00D13DEB"/>
    <w:rsid w:val="00D13DEF"/>
    <w:rsid w:val="00D13EC6"/>
    <w:rsid w:val="00D13FDD"/>
    <w:rsid w:val="00D14168"/>
    <w:rsid w:val="00D1420A"/>
    <w:rsid w:val="00D142A2"/>
    <w:rsid w:val="00D142E1"/>
    <w:rsid w:val="00D14356"/>
    <w:rsid w:val="00D145AC"/>
    <w:rsid w:val="00D146DF"/>
    <w:rsid w:val="00D1499B"/>
    <w:rsid w:val="00D14B42"/>
    <w:rsid w:val="00D14D4B"/>
    <w:rsid w:val="00D15191"/>
    <w:rsid w:val="00D15286"/>
    <w:rsid w:val="00D153FF"/>
    <w:rsid w:val="00D1551A"/>
    <w:rsid w:val="00D158A6"/>
    <w:rsid w:val="00D15C28"/>
    <w:rsid w:val="00D15C94"/>
    <w:rsid w:val="00D15FBC"/>
    <w:rsid w:val="00D15FC4"/>
    <w:rsid w:val="00D16021"/>
    <w:rsid w:val="00D16122"/>
    <w:rsid w:val="00D161C2"/>
    <w:rsid w:val="00D16327"/>
    <w:rsid w:val="00D166FE"/>
    <w:rsid w:val="00D16790"/>
    <w:rsid w:val="00D169B6"/>
    <w:rsid w:val="00D16AAC"/>
    <w:rsid w:val="00D16DA2"/>
    <w:rsid w:val="00D16E06"/>
    <w:rsid w:val="00D176EB"/>
    <w:rsid w:val="00D178A4"/>
    <w:rsid w:val="00D17B97"/>
    <w:rsid w:val="00D17BEB"/>
    <w:rsid w:val="00D17EDE"/>
    <w:rsid w:val="00D17F01"/>
    <w:rsid w:val="00D2018A"/>
    <w:rsid w:val="00D20500"/>
    <w:rsid w:val="00D2066E"/>
    <w:rsid w:val="00D206A0"/>
    <w:rsid w:val="00D20A2B"/>
    <w:rsid w:val="00D20A9E"/>
    <w:rsid w:val="00D20AF1"/>
    <w:rsid w:val="00D20B0D"/>
    <w:rsid w:val="00D20B17"/>
    <w:rsid w:val="00D20B92"/>
    <w:rsid w:val="00D20C2E"/>
    <w:rsid w:val="00D20D0A"/>
    <w:rsid w:val="00D20EA6"/>
    <w:rsid w:val="00D2103E"/>
    <w:rsid w:val="00D2151C"/>
    <w:rsid w:val="00D215E9"/>
    <w:rsid w:val="00D2167A"/>
    <w:rsid w:val="00D217A9"/>
    <w:rsid w:val="00D219B7"/>
    <w:rsid w:val="00D219D7"/>
    <w:rsid w:val="00D21B8F"/>
    <w:rsid w:val="00D21F5D"/>
    <w:rsid w:val="00D21FAB"/>
    <w:rsid w:val="00D21FD9"/>
    <w:rsid w:val="00D22022"/>
    <w:rsid w:val="00D220CC"/>
    <w:rsid w:val="00D2218C"/>
    <w:rsid w:val="00D22544"/>
    <w:rsid w:val="00D2277E"/>
    <w:rsid w:val="00D22806"/>
    <w:rsid w:val="00D2286C"/>
    <w:rsid w:val="00D22893"/>
    <w:rsid w:val="00D22B40"/>
    <w:rsid w:val="00D22BA8"/>
    <w:rsid w:val="00D22BF6"/>
    <w:rsid w:val="00D22E64"/>
    <w:rsid w:val="00D230BE"/>
    <w:rsid w:val="00D23182"/>
    <w:rsid w:val="00D23192"/>
    <w:rsid w:val="00D2324C"/>
    <w:rsid w:val="00D23382"/>
    <w:rsid w:val="00D23738"/>
    <w:rsid w:val="00D2375C"/>
    <w:rsid w:val="00D23A67"/>
    <w:rsid w:val="00D23E15"/>
    <w:rsid w:val="00D23F1C"/>
    <w:rsid w:val="00D24333"/>
    <w:rsid w:val="00D24607"/>
    <w:rsid w:val="00D246C7"/>
    <w:rsid w:val="00D2496C"/>
    <w:rsid w:val="00D2498E"/>
    <w:rsid w:val="00D24C90"/>
    <w:rsid w:val="00D24F06"/>
    <w:rsid w:val="00D2518D"/>
    <w:rsid w:val="00D25191"/>
    <w:rsid w:val="00D253F3"/>
    <w:rsid w:val="00D25C32"/>
    <w:rsid w:val="00D25C3D"/>
    <w:rsid w:val="00D25CD6"/>
    <w:rsid w:val="00D25F8D"/>
    <w:rsid w:val="00D25FD0"/>
    <w:rsid w:val="00D26623"/>
    <w:rsid w:val="00D2689C"/>
    <w:rsid w:val="00D268CA"/>
    <w:rsid w:val="00D26C13"/>
    <w:rsid w:val="00D26C31"/>
    <w:rsid w:val="00D26DEF"/>
    <w:rsid w:val="00D26F51"/>
    <w:rsid w:val="00D271AD"/>
    <w:rsid w:val="00D2751A"/>
    <w:rsid w:val="00D27579"/>
    <w:rsid w:val="00D2782D"/>
    <w:rsid w:val="00D2783C"/>
    <w:rsid w:val="00D27E1D"/>
    <w:rsid w:val="00D27FE8"/>
    <w:rsid w:val="00D30256"/>
    <w:rsid w:val="00D302BC"/>
    <w:rsid w:val="00D302E5"/>
    <w:rsid w:val="00D3071F"/>
    <w:rsid w:val="00D30A9A"/>
    <w:rsid w:val="00D30B5D"/>
    <w:rsid w:val="00D30CD1"/>
    <w:rsid w:val="00D30D54"/>
    <w:rsid w:val="00D310EF"/>
    <w:rsid w:val="00D31126"/>
    <w:rsid w:val="00D317BD"/>
    <w:rsid w:val="00D3182F"/>
    <w:rsid w:val="00D31A01"/>
    <w:rsid w:val="00D31BAA"/>
    <w:rsid w:val="00D31C06"/>
    <w:rsid w:val="00D32117"/>
    <w:rsid w:val="00D322C9"/>
    <w:rsid w:val="00D32440"/>
    <w:rsid w:val="00D32650"/>
    <w:rsid w:val="00D32A47"/>
    <w:rsid w:val="00D32CB6"/>
    <w:rsid w:val="00D33327"/>
    <w:rsid w:val="00D339D9"/>
    <w:rsid w:val="00D33A01"/>
    <w:rsid w:val="00D33A4C"/>
    <w:rsid w:val="00D33B16"/>
    <w:rsid w:val="00D33D88"/>
    <w:rsid w:val="00D33E47"/>
    <w:rsid w:val="00D33E77"/>
    <w:rsid w:val="00D33EAB"/>
    <w:rsid w:val="00D33F6B"/>
    <w:rsid w:val="00D34135"/>
    <w:rsid w:val="00D3428D"/>
    <w:rsid w:val="00D34300"/>
    <w:rsid w:val="00D344A0"/>
    <w:rsid w:val="00D344DC"/>
    <w:rsid w:val="00D3463E"/>
    <w:rsid w:val="00D3483D"/>
    <w:rsid w:val="00D34855"/>
    <w:rsid w:val="00D34883"/>
    <w:rsid w:val="00D34C07"/>
    <w:rsid w:val="00D34EF1"/>
    <w:rsid w:val="00D350FB"/>
    <w:rsid w:val="00D3536C"/>
    <w:rsid w:val="00D353F1"/>
    <w:rsid w:val="00D35AB9"/>
    <w:rsid w:val="00D35C5A"/>
    <w:rsid w:val="00D35E10"/>
    <w:rsid w:val="00D360F9"/>
    <w:rsid w:val="00D367E8"/>
    <w:rsid w:val="00D369D7"/>
    <w:rsid w:val="00D36A2F"/>
    <w:rsid w:val="00D36A9D"/>
    <w:rsid w:val="00D36FCF"/>
    <w:rsid w:val="00D3711F"/>
    <w:rsid w:val="00D37124"/>
    <w:rsid w:val="00D3714B"/>
    <w:rsid w:val="00D371FD"/>
    <w:rsid w:val="00D37309"/>
    <w:rsid w:val="00D37470"/>
    <w:rsid w:val="00D3759B"/>
    <w:rsid w:val="00D37732"/>
    <w:rsid w:val="00D3775B"/>
    <w:rsid w:val="00D37DA3"/>
    <w:rsid w:val="00D40062"/>
    <w:rsid w:val="00D4007B"/>
    <w:rsid w:val="00D40088"/>
    <w:rsid w:val="00D4026E"/>
    <w:rsid w:val="00D402EC"/>
    <w:rsid w:val="00D403D2"/>
    <w:rsid w:val="00D408C7"/>
    <w:rsid w:val="00D409A2"/>
    <w:rsid w:val="00D40A9E"/>
    <w:rsid w:val="00D40C93"/>
    <w:rsid w:val="00D4114E"/>
    <w:rsid w:val="00D4193B"/>
    <w:rsid w:val="00D41D2D"/>
    <w:rsid w:val="00D41D61"/>
    <w:rsid w:val="00D42070"/>
    <w:rsid w:val="00D4210E"/>
    <w:rsid w:val="00D42155"/>
    <w:rsid w:val="00D42567"/>
    <w:rsid w:val="00D425DD"/>
    <w:rsid w:val="00D42B71"/>
    <w:rsid w:val="00D42BB7"/>
    <w:rsid w:val="00D42C15"/>
    <w:rsid w:val="00D42C83"/>
    <w:rsid w:val="00D42CA4"/>
    <w:rsid w:val="00D42D1C"/>
    <w:rsid w:val="00D42E82"/>
    <w:rsid w:val="00D42EA9"/>
    <w:rsid w:val="00D4325F"/>
    <w:rsid w:val="00D434B2"/>
    <w:rsid w:val="00D43639"/>
    <w:rsid w:val="00D438FF"/>
    <w:rsid w:val="00D43953"/>
    <w:rsid w:val="00D43A83"/>
    <w:rsid w:val="00D43C00"/>
    <w:rsid w:val="00D43D9A"/>
    <w:rsid w:val="00D44003"/>
    <w:rsid w:val="00D44888"/>
    <w:rsid w:val="00D44D03"/>
    <w:rsid w:val="00D44E54"/>
    <w:rsid w:val="00D44E78"/>
    <w:rsid w:val="00D44FE4"/>
    <w:rsid w:val="00D45144"/>
    <w:rsid w:val="00D452B7"/>
    <w:rsid w:val="00D456E3"/>
    <w:rsid w:val="00D45ABD"/>
    <w:rsid w:val="00D45D2D"/>
    <w:rsid w:val="00D45E1C"/>
    <w:rsid w:val="00D45E36"/>
    <w:rsid w:val="00D45E90"/>
    <w:rsid w:val="00D46007"/>
    <w:rsid w:val="00D46126"/>
    <w:rsid w:val="00D46177"/>
    <w:rsid w:val="00D46192"/>
    <w:rsid w:val="00D46215"/>
    <w:rsid w:val="00D4635F"/>
    <w:rsid w:val="00D463BC"/>
    <w:rsid w:val="00D46975"/>
    <w:rsid w:val="00D469B2"/>
    <w:rsid w:val="00D46D09"/>
    <w:rsid w:val="00D46D8E"/>
    <w:rsid w:val="00D47108"/>
    <w:rsid w:val="00D471B7"/>
    <w:rsid w:val="00D4736D"/>
    <w:rsid w:val="00D47541"/>
    <w:rsid w:val="00D479DE"/>
    <w:rsid w:val="00D47D71"/>
    <w:rsid w:val="00D47F16"/>
    <w:rsid w:val="00D5001E"/>
    <w:rsid w:val="00D50381"/>
    <w:rsid w:val="00D503A4"/>
    <w:rsid w:val="00D5042A"/>
    <w:rsid w:val="00D506F3"/>
    <w:rsid w:val="00D5083C"/>
    <w:rsid w:val="00D50D62"/>
    <w:rsid w:val="00D51178"/>
    <w:rsid w:val="00D51321"/>
    <w:rsid w:val="00D515A0"/>
    <w:rsid w:val="00D51791"/>
    <w:rsid w:val="00D51896"/>
    <w:rsid w:val="00D51C67"/>
    <w:rsid w:val="00D521A4"/>
    <w:rsid w:val="00D52260"/>
    <w:rsid w:val="00D52360"/>
    <w:rsid w:val="00D52364"/>
    <w:rsid w:val="00D524CF"/>
    <w:rsid w:val="00D527EC"/>
    <w:rsid w:val="00D52AF7"/>
    <w:rsid w:val="00D52C69"/>
    <w:rsid w:val="00D52DD9"/>
    <w:rsid w:val="00D52E4D"/>
    <w:rsid w:val="00D530B1"/>
    <w:rsid w:val="00D53486"/>
    <w:rsid w:val="00D53534"/>
    <w:rsid w:val="00D53587"/>
    <w:rsid w:val="00D535AC"/>
    <w:rsid w:val="00D53971"/>
    <w:rsid w:val="00D53DEA"/>
    <w:rsid w:val="00D53FC3"/>
    <w:rsid w:val="00D54056"/>
    <w:rsid w:val="00D54097"/>
    <w:rsid w:val="00D5419B"/>
    <w:rsid w:val="00D54314"/>
    <w:rsid w:val="00D5435B"/>
    <w:rsid w:val="00D54368"/>
    <w:rsid w:val="00D54E5B"/>
    <w:rsid w:val="00D54F15"/>
    <w:rsid w:val="00D54FB1"/>
    <w:rsid w:val="00D5536B"/>
    <w:rsid w:val="00D554B7"/>
    <w:rsid w:val="00D557C6"/>
    <w:rsid w:val="00D55866"/>
    <w:rsid w:val="00D55874"/>
    <w:rsid w:val="00D559D5"/>
    <w:rsid w:val="00D55A3B"/>
    <w:rsid w:val="00D56080"/>
    <w:rsid w:val="00D561B3"/>
    <w:rsid w:val="00D562AE"/>
    <w:rsid w:val="00D56DAD"/>
    <w:rsid w:val="00D56DE2"/>
    <w:rsid w:val="00D56EF0"/>
    <w:rsid w:val="00D56FF7"/>
    <w:rsid w:val="00D57474"/>
    <w:rsid w:val="00D57A35"/>
    <w:rsid w:val="00D57A87"/>
    <w:rsid w:val="00D57BFC"/>
    <w:rsid w:val="00D57DC5"/>
    <w:rsid w:val="00D601BE"/>
    <w:rsid w:val="00D606E7"/>
    <w:rsid w:val="00D60770"/>
    <w:rsid w:val="00D60818"/>
    <w:rsid w:val="00D6088A"/>
    <w:rsid w:val="00D60F35"/>
    <w:rsid w:val="00D61113"/>
    <w:rsid w:val="00D613CE"/>
    <w:rsid w:val="00D61452"/>
    <w:rsid w:val="00D619A8"/>
    <w:rsid w:val="00D61BA7"/>
    <w:rsid w:val="00D61BE2"/>
    <w:rsid w:val="00D61BE7"/>
    <w:rsid w:val="00D61C8E"/>
    <w:rsid w:val="00D6225B"/>
    <w:rsid w:val="00D623B1"/>
    <w:rsid w:val="00D62477"/>
    <w:rsid w:val="00D6257F"/>
    <w:rsid w:val="00D62682"/>
    <w:rsid w:val="00D6268C"/>
    <w:rsid w:val="00D627A4"/>
    <w:rsid w:val="00D6298B"/>
    <w:rsid w:val="00D62A8A"/>
    <w:rsid w:val="00D62BEC"/>
    <w:rsid w:val="00D62C33"/>
    <w:rsid w:val="00D62CA8"/>
    <w:rsid w:val="00D62D2B"/>
    <w:rsid w:val="00D62DCC"/>
    <w:rsid w:val="00D62EAB"/>
    <w:rsid w:val="00D62F03"/>
    <w:rsid w:val="00D62F08"/>
    <w:rsid w:val="00D6313E"/>
    <w:rsid w:val="00D631AD"/>
    <w:rsid w:val="00D6354C"/>
    <w:rsid w:val="00D63A5A"/>
    <w:rsid w:val="00D63AA2"/>
    <w:rsid w:val="00D63DED"/>
    <w:rsid w:val="00D64180"/>
    <w:rsid w:val="00D641E9"/>
    <w:rsid w:val="00D642B6"/>
    <w:rsid w:val="00D64346"/>
    <w:rsid w:val="00D64432"/>
    <w:rsid w:val="00D64456"/>
    <w:rsid w:val="00D64473"/>
    <w:rsid w:val="00D6457A"/>
    <w:rsid w:val="00D6478A"/>
    <w:rsid w:val="00D647FD"/>
    <w:rsid w:val="00D64D98"/>
    <w:rsid w:val="00D64E27"/>
    <w:rsid w:val="00D64E62"/>
    <w:rsid w:val="00D64F1D"/>
    <w:rsid w:val="00D65309"/>
    <w:rsid w:val="00D657D4"/>
    <w:rsid w:val="00D65872"/>
    <w:rsid w:val="00D65A9C"/>
    <w:rsid w:val="00D65AEE"/>
    <w:rsid w:val="00D65BB0"/>
    <w:rsid w:val="00D65C7B"/>
    <w:rsid w:val="00D6600D"/>
    <w:rsid w:val="00D6610D"/>
    <w:rsid w:val="00D66190"/>
    <w:rsid w:val="00D6660D"/>
    <w:rsid w:val="00D6669C"/>
    <w:rsid w:val="00D66814"/>
    <w:rsid w:val="00D6685F"/>
    <w:rsid w:val="00D66A32"/>
    <w:rsid w:val="00D66AED"/>
    <w:rsid w:val="00D66B12"/>
    <w:rsid w:val="00D66DE2"/>
    <w:rsid w:val="00D6708B"/>
    <w:rsid w:val="00D6710B"/>
    <w:rsid w:val="00D67869"/>
    <w:rsid w:val="00D6789B"/>
    <w:rsid w:val="00D67A00"/>
    <w:rsid w:val="00D67C00"/>
    <w:rsid w:val="00D67C69"/>
    <w:rsid w:val="00D67D51"/>
    <w:rsid w:val="00D67E73"/>
    <w:rsid w:val="00D67F2F"/>
    <w:rsid w:val="00D70369"/>
    <w:rsid w:val="00D70524"/>
    <w:rsid w:val="00D7053D"/>
    <w:rsid w:val="00D70699"/>
    <w:rsid w:val="00D70924"/>
    <w:rsid w:val="00D70C59"/>
    <w:rsid w:val="00D70D5E"/>
    <w:rsid w:val="00D70D91"/>
    <w:rsid w:val="00D70E2A"/>
    <w:rsid w:val="00D71395"/>
    <w:rsid w:val="00D71566"/>
    <w:rsid w:val="00D71A51"/>
    <w:rsid w:val="00D71DB0"/>
    <w:rsid w:val="00D71EDD"/>
    <w:rsid w:val="00D7203C"/>
    <w:rsid w:val="00D7294F"/>
    <w:rsid w:val="00D7295A"/>
    <w:rsid w:val="00D72B69"/>
    <w:rsid w:val="00D73274"/>
    <w:rsid w:val="00D732C1"/>
    <w:rsid w:val="00D735D1"/>
    <w:rsid w:val="00D7398E"/>
    <w:rsid w:val="00D73AF4"/>
    <w:rsid w:val="00D73BF7"/>
    <w:rsid w:val="00D73C1A"/>
    <w:rsid w:val="00D73C8F"/>
    <w:rsid w:val="00D73E8A"/>
    <w:rsid w:val="00D73EA4"/>
    <w:rsid w:val="00D73F45"/>
    <w:rsid w:val="00D73FDC"/>
    <w:rsid w:val="00D74444"/>
    <w:rsid w:val="00D74B44"/>
    <w:rsid w:val="00D74BB7"/>
    <w:rsid w:val="00D74F8C"/>
    <w:rsid w:val="00D75223"/>
    <w:rsid w:val="00D75267"/>
    <w:rsid w:val="00D7534B"/>
    <w:rsid w:val="00D755E3"/>
    <w:rsid w:val="00D76047"/>
    <w:rsid w:val="00D76824"/>
    <w:rsid w:val="00D76A71"/>
    <w:rsid w:val="00D76A75"/>
    <w:rsid w:val="00D76AC6"/>
    <w:rsid w:val="00D76FFA"/>
    <w:rsid w:val="00D770E9"/>
    <w:rsid w:val="00D77108"/>
    <w:rsid w:val="00D77381"/>
    <w:rsid w:val="00D80032"/>
    <w:rsid w:val="00D80045"/>
    <w:rsid w:val="00D80244"/>
    <w:rsid w:val="00D803EA"/>
    <w:rsid w:val="00D8060F"/>
    <w:rsid w:val="00D80759"/>
    <w:rsid w:val="00D80857"/>
    <w:rsid w:val="00D80878"/>
    <w:rsid w:val="00D80AD1"/>
    <w:rsid w:val="00D80B86"/>
    <w:rsid w:val="00D80C9E"/>
    <w:rsid w:val="00D80E62"/>
    <w:rsid w:val="00D8127C"/>
    <w:rsid w:val="00D812B6"/>
    <w:rsid w:val="00D81683"/>
    <w:rsid w:val="00D81762"/>
    <w:rsid w:val="00D818F0"/>
    <w:rsid w:val="00D81B1B"/>
    <w:rsid w:val="00D81C8E"/>
    <w:rsid w:val="00D81F67"/>
    <w:rsid w:val="00D82405"/>
    <w:rsid w:val="00D8247F"/>
    <w:rsid w:val="00D824C9"/>
    <w:rsid w:val="00D825C8"/>
    <w:rsid w:val="00D82782"/>
    <w:rsid w:val="00D827DD"/>
    <w:rsid w:val="00D82D25"/>
    <w:rsid w:val="00D82D69"/>
    <w:rsid w:val="00D82E84"/>
    <w:rsid w:val="00D82EE8"/>
    <w:rsid w:val="00D82F90"/>
    <w:rsid w:val="00D83392"/>
    <w:rsid w:val="00D833D0"/>
    <w:rsid w:val="00D83421"/>
    <w:rsid w:val="00D83499"/>
    <w:rsid w:val="00D835DD"/>
    <w:rsid w:val="00D83638"/>
    <w:rsid w:val="00D838F0"/>
    <w:rsid w:val="00D83BC8"/>
    <w:rsid w:val="00D84318"/>
    <w:rsid w:val="00D844F4"/>
    <w:rsid w:val="00D84581"/>
    <w:rsid w:val="00D845EA"/>
    <w:rsid w:val="00D84AB8"/>
    <w:rsid w:val="00D84B95"/>
    <w:rsid w:val="00D84C52"/>
    <w:rsid w:val="00D84DC2"/>
    <w:rsid w:val="00D851F5"/>
    <w:rsid w:val="00D854A9"/>
    <w:rsid w:val="00D85504"/>
    <w:rsid w:val="00D856FB"/>
    <w:rsid w:val="00D85BBB"/>
    <w:rsid w:val="00D85DEB"/>
    <w:rsid w:val="00D85DFC"/>
    <w:rsid w:val="00D85F44"/>
    <w:rsid w:val="00D8616E"/>
    <w:rsid w:val="00D861B5"/>
    <w:rsid w:val="00D86578"/>
    <w:rsid w:val="00D86610"/>
    <w:rsid w:val="00D86E93"/>
    <w:rsid w:val="00D870CA"/>
    <w:rsid w:val="00D87145"/>
    <w:rsid w:val="00D87374"/>
    <w:rsid w:val="00D875A1"/>
    <w:rsid w:val="00D87879"/>
    <w:rsid w:val="00D87BAC"/>
    <w:rsid w:val="00D87E6B"/>
    <w:rsid w:val="00D9034E"/>
    <w:rsid w:val="00D903F2"/>
    <w:rsid w:val="00D90460"/>
    <w:rsid w:val="00D90F0D"/>
    <w:rsid w:val="00D90FEB"/>
    <w:rsid w:val="00D90FFE"/>
    <w:rsid w:val="00D91135"/>
    <w:rsid w:val="00D913BF"/>
    <w:rsid w:val="00D9146E"/>
    <w:rsid w:val="00D9154A"/>
    <w:rsid w:val="00D91600"/>
    <w:rsid w:val="00D916D2"/>
    <w:rsid w:val="00D9188F"/>
    <w:rsid w:val="00D918B8"/>
    <w:rsid w:val="00D918DE"/>
    <w:rsid w:val="00D91A4A"/>
    <w:rsid w:val="00D91A5F"/>
    <w:rsid w:val="00D91BDF"/>
    <w:rsid w:val="00D91C33"/>
    <w:rsid w:val="00D92282"/>
    <w:rsid w:val="00D9243C"/>
    <w:rsid w:val="00D9249A"/>
    <w:rsid w:val="00D926F1"/>
    <w:rsid w:val="00D9290E"/>
    <w:rsid w:val="00D92984"/>
    <w:rsid w:val="00D929B4"/>
    <w:rsid w:val="00D92A17"/>
    <w:rsid w:val="00D92A86"/>
    <w:rsid w:val="00D92BE6"/>
    <w:rsid w:val="00D92C07"/>
    <w:rsid w:val="00D92CAD"/>
    <w:rsid w:val="00D92F83"/>
    <w:rsid w:val="00D92FCF"/>
    <w:rsid w:val="00D93046"/>
    <w:rsid w:val="00D933AA"/>
    <w:rsid w:val="00D93418"/>
    <w:rsid w:val="00D93430"/>
    <w:rsid w:val="00D935E2"/>
    <w:rsid w:val="00D93627"/>
    <w:rsid w:val="00D93A05"/>
    <w:rsid w:val="00D93EB2"/>
    <w:rsid w:val="00D93F01"/>
    <w:rsid w:val="00D93FBD"/>
    <w:rsid w:val="00D9481A"/>
    <w:rsid w:val="00D94887"/>
    <w:rsid w:val="00D949FD"/>
    <w:rsid w:val="00D94AA3"/>
    <w:rsid w:val="00D94F00"/>
    <w:rsid w:val="00D9527B"/>
    <w:rsid w:val="00D9566E"/>
    <w:rsid w:val="00D95A5B"/>
    <w:rsid w:val="00D95C03"/>
    <w:rsid w:val="00D95DC1"/>
    <w:rsid w:val="00D95EA9"/>
    <w:rsid w:val="00D95F71"/>
    <w:rsid w:val="00D96122"/>
    <w:rsid w:val="00D962B0"/>
    <w:rsid w:val="00D96318"/>
    <w:rsid w:val="00D9656F"/>
    <w:rsid w:val="00D965BC"/>
    <w:rsid w:val="00D96857"/>
    <w:rsid w:val="00D968D2"/>
    <w:rsid w:val="00D971A0"/>
    <w:rsid w:val="00D97308"/>
    <w:rsid w:val="00D97458"/>
    <w:rsid w:val="00D97624"/>
    <w:rsid w:val="00D9790F"/>
    <w:rsid w:val="00D97E53"/>
    <w:rsid w:val="00DA0290"/>
    <w:rsid w:val="00DA04E4"/>
    <w:rsid w:val="00DA05DD"/>
    <w:rsid w:val="00DA0C79"/>
    <w:rsid w:val="00DA0F33"/>
    <w:rsid w:val="00DA1257"/>
    <w:rsid w:val="00DA1307"/>
    <w:rsid w:val="00DA136C"/>
    <w:rsid w:val="00DA17FB"/>
    <w:rsid w:val="00DA1999"/>
    <w:rsid w:val="00DA1AF3"/>
    <w:rsid w:val="00DA1D20"/>
    <w:rsid w:val="00DA24C7"/>
    <w:rsid w:val="00DA278F"/>
    <w:rsid w:val="00DA292B"/>
    <w:rsid w:val="00DA297E"/>
    <w:rsid w:val="00DA2993"/>
    <w:rsid w:val="00DA2BC8"/>
    <w:rsid w:val="00DA2BD7"/>
    <w:rsid w:val="00DA2C38"/>
    <w:rsid w:val="00DA2D1D"/>
    <w:rsid w:val="00DA2EBE"/>
    <w:rsid w:val="00DA3000"/>
    <w:rsid w:val="00DA3032"/>
    <w:rsid w:val="00DA3591"/>
    <w:rsid w:val="00DA38C1"/>
    <w:rsid w:val="00DA3A4E"/>
    <w:rsid w:val="00DA3AB8"/>
    <w:rsid w:val="00DA3BE0"/>
    <w:rsid w:val="00DA3DB2"/>
    <w:rsid w:val="00DA3F5C"/>
    <w:rsid w:val="00DA419A"/>
    <w:rsid w:val="00DA4217"/>
    <w:rsid w:val="00DA45DA"/>
    <w:rsid w:val="00DA47C8"/>
    <w:rsid w:val="00DA4A52"/>
    <w:rsid w:val="00DA4AE7"/>
    <w:rsid w:val="00DA509B"/>
    <w:rsid w:val="00DA50A7"/>
    <w:rsid w:val="00DA549B"/>
    <w:rsid w:val="00DA5E95"/>
    <w:rsid w:val="00DA5E9A"/>
    <w:rsid w:val="00DA608E"/>
    <w:rsid w:val="00DA61C0"/>
    <w:rsid w:val="00DA61E6"/>
    <w:rsid w:val="00DA6486"/>
    <w:rsid w:val="00DA69A4"/>
    <w:rsid w:val="00DA6C45"/>
    <w:rsid w:val="00DA6EC2"/>
    <w:rsid w:val="00DA6EC7"/>
    <w:rsid w:val="00DA7604"/>
    <w:rsid w:val="00DA771E"/>
    <w:rsid w:val="00DA7799"/>
    <w:rsid w:val="00DA796F"/>
    <w:rsid w:val="00DA7A17"/>
    <w:rsid w:val="00DA7D93"/>
    <w:rsid w:val="00DA7E90"/>
    <w:rsid w:val="00DA7F03"/>
    <w:rsid w:val="00DA7FC4"/>
    <w:rsid w:val="00DB0098"/>
    <w:rsid w:val="00DB0686"/>
    <w:rsid w:val="00DB0759"/>
    <w:rsid w:val="00DB07F7"/>
    <w:rsid w:val="00DB0D70"/>
    <w:rsid w:val="00DB0DAA"/>
    <w:rsid w:val="00DB11C8"/>
    <w:rsid w:val="00DB1398"/>
    <w:rsid w:val="00DB14EC"/>
    <w:rsid w:val="00DB17F7"/>
    <w:rsid w:val="00DB193E"/>
    <w:rsid w:val="00DB1BB4"/>
    <w:rsid w:val="00DB1BE4"/>
    <w:rsid w:val="00DB1CBB"/>
    <w:rsid w:val="00DB1DF9"/>
    <w:rsid w:val="00DB2217"/>
    <w:rsid w:val="00DB2809"/>
    <w:rsid w:val="00DB2915"/>
    <w:rsid w:val="00DB2B3A"/>
    <w:rsid w:val="00DB2F44"/>
    <w:rsid w:val="00DB3027"/>
    <w:rsid w:val="00DB31ED"/>
    <w:rsid w:val="00DB3296"/>
    <w:rsid w:val="00DB348F"/>
    <w:rsid w:val="00DB34B5"/>
    <w:rsid w:val="00DB3703"/>
    <w:rsid w:val="00DB37F5"/>
    <w:rsid w:val="00DB387D"/>
    <w:rsid w:val="00DB38F2"/>
    <w:rsid w:val="00DB3993"/>
    <w:rsid w:val="00DB39CB"/>
    <w:rsid w:val="00DB3B2D"/>
    <w:rsid w:val="00DB3BFB"/>
    <w:rsid w:val="00DB3D5E"/>
    <w:rsid w:val="00DB3DB7"/>
    <w:rsid w:val="00DB3FC5"/>
    <w:rsid w:val="00DB3FF6"/>
    <w:rsid w:val="00DB40AF"/>
    <w:rsid w:val="00DB4233"/>
    <w:rsid w:val="00DB4234"/>
    <w:rsid w:val="00DB450E"/>
    <w:rsid w:val="00DB4682"/>
    <w:rsid w:val="00DB476C"/>
    <w:rsid w:val="00DB4872"/>
    <w:rsid w:val="00DB49C3"/>
    <w:rsid w:val="00DB4A6E"/>
    <w:rsid w:val="00DB4FD6"/>
    <w:rsid w:val="00DB5187"/>
    <w:rsid w:val="00DB52AA"/>
    <w:rsid w:val="00DB5999"/>
    <w:rsid w:val="00DB5A4B"/>
    <w:rsid w:val="00DB5D84"/>
    <w:rsid w:val="00DB5DE7"/>
    <w:rsid w:val="00DB5E88"/>
    <w:rsid w:val="00DB5E9A"/>
    <w:rsid w:val="00DB6620"/>
    <w:rsid w:val="00DB6674"/>
    <w:rsid w:val="00DB6ADF"/>
    <w:rsid w:val="00DB6C40"/>
    <w:rsid w:val="00DB6C84"/>
    <w:rsid w:val="00DB6CA5"/>
    <w:rsid w:val="00DB6D47"/>
    <w:rsid w:val="00DB6D4C"/>
    <w:rsid w:val="00DB7076"/>
    <w:rsid w:val="00DB7142"/>
    <w:rsid w:val="00DB731B"/>
    <w:rsid w:val="00DB767D"/>
    <w:rsid w:val="00DB76B0"/>
    <w:rsid w:val="00DB77AA"/>
    <w:rsid w:val="00DB78B5"/>
    <w:rsid w:val="00DB7AD4"/>
    <w:rsid w:val="00DB7B68"/>
    <w:rsid w:val="00DB7F0C"/>
    <w:rsid w:val="00DB7F34"/>
    <w:rsid w:val="00DC02E1"/>
    <w:rsid w:val="00DC0794"/>
    <w:rsid w:val="00DC0966"/>
    <w:rsid w:val="00DC0AAB"/>
    <w:rsid w:val="00DC0AAF"/>
    <w:rsid w:val="00DC0C5E"/>
    <w:rsid w:val="00DC0E69"/>
    <w:rsid w:val="00DC0ED8"/>
    <w:rsid w:val="00DC0F6D"/>
    <w:rsid w:val="00DC10EC"/>
    <w:rsid w:val="00DC127D"/>
    <w:rsid w:val="00DC185A"/>
    <w:rsid w:val="00DC199C"/>
    <w:rsid w:val="00DC1DE5"/>
    <w:rsid w:val="00DC1EA2"/>
    <w:rsid w:val="00DC1F0C"/>
    <w:rsid w:val="00DC1FEF"/>
    <w:rsid w:val="00DC223F"/>
    <w:rsid w:val="00DC2271"/>
    <w:rsid w:val="00DC2312"/>
    <w:rsid w:val="00DC25F1"/>
    <w:rsid w:val="00DC285C"/>
    <w:rsid w:val="00DC2934"/>
    <w:rsid w:val="00DC2938"/>
    <w:rsid w:val="00DC2CD4"/>
    <w:rsid w:val="00DC2D11"/>
    <w:rsid w:val="00DC2F53"/>
    <w:rsid w:val="00DC30C6"/>
    <w:rsid w:val="00DC3227"/>
    <w:rsid w:val="00DC32BB"/>
    <w:rsid w:val="00DC3363"/>
    <w:rsid w:val="00DC345E"/>
    <w:rsid w:val="00DC34E8"/>
    <w:rsid w:val="00DC3955"/>
    <w:rsid w:val="00DC3977"/>
    <w:rsid w:val="00DC3AF1"/>
    <w:rsid w:val="00DC3B79"/>
    <w:rsid w:val="00DC3FBB"/>
    <w:rsid w:val="00DC4130"/>
    <w:rsid w:val="00DC44F2"/>
    <w:rsid w:val="00DC455E"/>
    <w:rsid w:val="00DC4767"/>
    <w:rsid w:val="00DC4991"/>
    <w:rsid w:val="00DC49C3"/>
    <w:rsid w:val="00DC4B9F"/>
    <w:rsid w:val="00DC4C04"/>
    <w:rsid w:val="00DC4C9A"/>
    <w:rsid w:val="00DC4D77"/>
    <w:rsid w:val="00DC4FA4"/>
    <w:rsid w:val="00DC5129"/>
    <w:rsid w:val="00DC5528"/>
    <w:rsid w:val="00DC5551"/>
    <w:rsid w:val="00DC5965"/>
    <w:rsid w:val="00DC5995"/>
    <w:rsid w:val="00DC5A06"/>
    <w:rsid w:val="00DC5BAB"/>
    <w:rsid w:val="00DC5C63"/>
    <w:rsid w:val="00DC5CC8"/>
    <w:rsid w:val="00DC5DBB"/>
    <w:rsid w:val="00DC630A"/>
    <w:rsid w:val="00DC634D"/>
    <w:rsid w:val="00DC6585"/>
    <w:rsid w:val="00DC66C6"/>
    <w:rsid w:val="00DC68C3"/>
    <w:rsid w:val="00DC6F89"/>
    <w:rsid w:val="00DC7011"/>
    <w:rsid w:val="00DC7115"/>
    <w:rsid w:val="00DC750D"/>
    <w:rsid w:val="00DC774D"/>
    <w:rsid w:val="00DC7759"/>
    <w:rsid w:val="00DC7B36"/>
    <w:rsid w:val="00DC7B97"/>
    <w:rsid w:val="00DC7EB7"/>
    <w:rsid w:val="00DD0346"/>
    <w:rsid w:val="00DD0567"/>
    <w:rsid w:val="00DD056C"/>
    <w:rsid w:val="00DD082F"/>
    <w:rsid w:val="00DD0AD0"/>
    <w:rsid w:val="00DD0AF0"/>
    <w:rsid w:val="00DD0D0E"/>
    <w:rsid w:val="00DD0D1C"/>
    <w:rsid w:val="00DD0F5B"/>
    <w:rsid w:val="00DD117C"/>
    <w:rsid w:val="00DD125E"/>
    <w:rsid w:val="00DD151E"/>
    <w:rsid w:val="00DD197C"/>
    <w:rsid w:val="00DD198A"/>
    <w:rsid w:val="00DD1A98"/>
    <w:rsid w:val="00DD1E73"/>
    <w:rsid w:val="00DD2224"/>
    <w:rsid w:val="00DD255C"/>
    <w:rsid w:val="00DD2A3B"/>
    <w:rsid w:val="00DD33E6"/>
    <w:rsid w:val="00DD3565"/>
    <w:rsid w:val="00DD39C4"/>
    <w:rsid w:val="00DD3A87"/>
    <w:rsid w:val="00DD3ADC"/>
    <w:rsid w:val="00DD3D0F"/>
    <w:rsid w:val="00DD3F0F"/>
    <w:rsid w:val="00DD4101"/>
    <w:rsid w:val="00DD43D8"/>
    <w:rsid w:val="00DD472E"/>
    <w:rsid w:val="00DD4992"/>
    <w:rsid w:val="00DD4AB6"/>
    <w:rsid w:val="00DD4BC7"/>
    <w:rsid w:val="00DD4CB9"/>
    <w:rsid w:val="00DD4ECD"/>
    <w:rsid w:val="00DD4F27"/>
    <w:rsid w:val="00DD4F3B"/>
    <w:rsid w:val="00DD5018"/>
    <w:rsid w:val="00DD56BC"/>
    <w:rsid w:val="00DD56FE"/>
    <w:rsid w:val="00DD5910"/>
    <w:rsid w:val="00DD5B98"/>
    <w:rsid w:val="00DD6105"/>
    <w:rsid w:val="00DD68E8"/>
    <w:rsid w:val="00DD68F9"/>
    <w:rsid w:val="00DD6AC9"/>
    <w:rsid w:val="00DD6F73"/>
    <w:rsid w:val="00DD707F"/>
    <w:rsid w:val="00DD719E"/>
    <w:rsid w:val="00DD7208"/>
    <w:rsid w:val="00DD79B5"/>
    <w:rsid w:val="00DD7BFE"/>
    <w:rsid w:val="00DD7C78"/>
    <w:rsid w:val="00DD7E5C"/>
    <w:rsid w:val="00DE003E"/>
    <w:rsid w:val="00DE00B5"/>
    <w:rsid w:val="00DE0208"/>
    <w:rsid w:val="00DE036E"/>
    <w:rsid w:val="00DE07C4"/>
    <w:rsid w:val="00DE09E8"/>
    <w:rsid w:val="00DE0D8A"/>
    <w:rsid w:val="00DE110B"/>
    <w:rsid w:val="00DE11A5"/>
    <w:rsid w:val="00DE12E4"/>
    <w:rsid w:val="00DE134C"/>
    <w:rsid w:val="00DE1654"/>
    <w:rsid w:val="00DE1B14"/>
    <w:rsid w:val="00DE1B67"/>
    <w:rsid w:val="00DE1C20"/>
    <w:rsid w:val="00DE1E56"/>
    <w:rsid w:val="00DE1FF3"/>
    <w:rsid w:val="00DE2095"/>
    <w:rsid w:val="00DE2519"/>
    <w:rsid w:val="00DE2562"/>
    <w:rsid w:val="00DE25C4"/>
    <w:rsid w:val="00DE27EA"/>
    <w:rsid w:val="00DE28F2"/>
    <w:rsid w:val="00DE2BF1"/>
    <w:rsid w:val="00DE2EA2"/>
    <w:rsid w:val="00DE3256"/>
    <w:rsid w:val="00DE35A5"/>
    <w:rsid w:val="00DE3694"/>
    <w:rsid w:val="00DE36EB"/>
    <w:rsid w:val="00DE3817"/>
    <w:rsid w:val="00DE3977"/>
    <w:rsid w:val="00DE3B44"/>
    <w:rsid w:val="00DE3EDE"/>
    <w:rsid w:val="00DE3FD1"/>
    <w:rsid w:val="00DE4032"/>
    <w:rsid w:val="00DE4182"/>
    <w:rsid w:val="00DE44D4"/>
    <w:rsid w:val="00DE5040"/>
    <w:rsid w:val="00DE5059"/>
    <w:rsid w:val="00DE5185"/>
    <w:rsid w:val="00DE520E"/>
    <w:rsid w:val="00DE5394"/>
    <w:rsid w:val="00DE543E"/>
    <w:rsid w:val="00DE5527"/>
    <w:rsid w:val="00DE5619"/>
    <w:rsid w:val="00DE5716"/>
    <w:rsid w:val="00DE5753"/>
    <w:rsid w:val="00DE58B5"/>
    <w:rsid w:val="00DE599E"/>
    <w:rsid w:val="00DE5A95"/>
    <w:rsid w:val="00DE5D24"/>
    <w:rsid w:val="00DE5F14"/>
    <w:rsid w:val="00DE61DD"/>
    <w:rsid w:val="00DE6239"/>
    <w:rsid w:val="00DE62D7"/>
    <w:rsid w:val="00DE6477"/>
    <w:rsid w:val="00DE64D4"/>
    <w:rsid w:val="00DE6710"/>
    <w:rsid w:val="00DE678B"/>
    <w:rsid w:val="00DE67D4"/>
    <w:rsid w:val="00DE68C1"/>
    <w:rsid w:val="00DE6D58"/>
    <w:rsid w:val="00DE7041"/>
    <w:rsid w:val="00DE7242"/>
    <w:rsid w:val="00DE72B1"/>
    <w:rsid w:val="00DE7391"/>
    <w:rsid w:val="00DE7915"/>
    <w:rsid w:val="00DE79D8"/>
    <w:rsid w:val="00DE7BE2"/>
    <w:rsid w:val="00DE7C24"/>
    <w:rsid w:val="00DE7C29"/>
    <w:rsid w:val="00DE7DFF"/>
    <w:rsid w:val="00DF0011"/>
    <w:rsid w:val="00DF005D"/>
    <w:rsid w:val="00DF0135"/>
    <w:rsid w:val="00DF023B"/>
    <w:rsid w:val="00DF026B"/>
    <w:rsid w:val="00DF0425"/>
    <w:rsid w:val="00DF05B2"/>
    <w:rsid w:val="00DF072F"/>
    <w:rsid w:val="00DF07AE"/>
    <w:rsid w:val="00DF09BC"/>
    <w:rsid w:val="00DF0A61"/>
    <w:rsid w:val="00DF0B9A"/>
    <w:rsid w:val="00DF0BD2"/>
    <w:rsid w:val="00DF0C77"/>
    <w:rsid w:val="00DF0C81"/>
    <w:rsid w:val="00DF0DF4"/>
    <w:rsid w:val="00DF0EC0"/>
    <w:rsid w:val="00DF0F7B"/>
    <w:rsid w:val="00DF0FFD"/>
    <w:rsid w:val="00DF12B8"/>
    <w:rsid w:val="00DF1585"/>
    <w:rsid w:val="00DF1783"/>
    <w:rsid w:val="00DF1D97"/>
    <w:rsid w:val="00DF1E56"/>
    <w:rsid w:val="00DF1FA6"/>
    <w:rsid w:val="00DF23E5"/>
    <w:rsid w:val="00DF2416"/>
    <w:rsid w:val="00DF30AA"/>
    <w:rsid w:val="00DF3211"/>
    <w:rsid w:val="00DF33F6"/>
    <w:rsid w:val="00DF34AB"/>
    <w:rsid w:val="00DF3752"/>
    <w:rsid w:val="00DF379E"/>
    <w:rsid w:val="00DF37E4"/>
    <w:rsid w:val="00DF382E"/>
    <w:rsid w:val="00DF390A"/>
    <w:rsid w:val="00DF3998"/>
    <w:rsid w:val="00DF3B9B"/>
    <w:rsid w:val="00DF3D7C"/>
    <w:rsid w:val="00DF431B"/>
    <w:rsid w:val="00DF4521"/>
    <w:rsid w:val="00DF453C"/>
    <w:rsid w:val="00DF45ED"/>
    <w:rsid w:val="00DF485A"/>
    <w:rsid w:val="00DF4909"/>
    <w:rsid w:val="00DF4CF7"/>
    <w:rsid w:val="00DF4D0A"/>
    <w:rsid w:val="00DF4F2F"/>
    <w:rsid w:val="00DF521F"/>
    <w:rsid w:val="00DF53BC"/>
    <w:rsid w:val="00DF56A8"/>
    <w:rsid w:val="00DF5B8B"/>
    <w:rsid w:val="00DF608C"/>
    <w:rsid w:val="00DF6141"/>
    <w:rsid w:val="00DF61A9"/>
    <w:rsid w:val="00DF638A"/>
    <w:rsid w:val="00DF658D"/>
    <w:rsid w:val="00DF67E9"/>
    <w:rsid w:val="00DF6AB9"/>
    <w:rsid w:val="00DF6B56"/>
    <w:rsid w:val="00DF6FE2"/>
    <w:rsid w:val="00DF710A"/>
    <w:rsid w:val="00DF726C"/>
    <w:rsid w:val="00DF7360"/>
    <w:rsid w:val="00DF7803"/>
    <w:rsid w:val="00DF7E00"/>
    <w:rsid w:val="00E00137"/>
    <w:rsid w:val="00E0015D"/>
    <w:rsid w:val="00E001F9"/>
    <w:rsid w:val="00E00254"/>
    <w:rsid w:val="00E00394"/>
    <w:rsid w:val="00E00494"/>
    <w:rsid w:val="00E004E2"/>
    <w:rsid w:val="00E0098E"/>
    <w:rsid w:val="00E00A5A"/>
    <w:rsid w:val="00E00B9B"/>
    <w:rsid w:val="00E010BF"/>
    <w:rsid w:val="00E012B6"/>
    <w:rsid w:val="00E01502"/>
    <w:rsid w:val="00E01786"/>
    <w:rsid w:val="00E0189A"/>
    <w:rsid w:val="00E01936"/>
    <w:rsid w:val="00E019DC"/>
    <w:rsid w:val="00E01B31"/>
    <w:rsid w:val="00E01D04"/>
    <w:rsid w:val="00E01EA2"/>
    <w:rsid w:val="00E0209B"/>
    <w:rsid w:val="00E02167"/>
    <w:rsid w:val="00E02558"/>
    <w:rsid w:val="00E025CC"/>
    <w:rsid w:val="00E0261C"/>
    <w:rsid w:val="00E02728"/>
    <w:rsid w:val="00E028F5"/>
    <w:rsid w:val="00E02993"/>
    <w:rsid w:val="00E02B53"/>
    <w:rsid w:val="00E02EA7"/>
    <w:rsid w:val="00E02F33"/>
    <w:rsid w:val="00E032EC"/>
    <w:rsid w:val="00E03628"/>
    <w:rsid w:val="00E03979"/>
    <w:rsid w:val="00E0397F"/>
    <w:rsid w:val="00E03AF8"/>
    <w:rsid w:val="00E03B00"/>
    <w:rsid w:val="00E03BB8"/>
    <w:rsid w:val="00E03C80"/>
    <w:rsid w:val="00E042A8"/>
    <w:rsid w:val="00E042F0"/>
    <w:rsid w:val="00E0438E"/>
    <w:rsid w:val="00E04521"/>
    <w:rsid w:val="00E04634"/>
    <w:rsid w:val="00E04894"/>
    <w:rsid w:val="00E04D79"/>
    <w:rsid w:val="00E04E64"/>
    <w:rsid w:val="00E04F38"/>
    <w:rsid w:val="00E0517C"/>
    <w:rsid w:val="00E052C2"/>
    <w:rsid w:val="00E05675"/>
    <w:rsid w:val="00E05B26"/>
    <w:rsid w:val="00E05D39"/>
    <w:rsid w:val="00E060D3"/>
    <w:rsid w:val="00E060E7"/>
    <w:rsid w:val="00E066A3"/>
    <w:rsid w:val="00E06720"/>
    <w:rsid w:val="00E068EC"/>
    <w:rsid w:val="00E069D3"/>
    <w:rsid w:val="00E06C95"/>
    <w:rsid w:val="00E06D08"/>
    <w:rsid w:val="00E06DA8"/>
    <w:rsid w:val="00E06E3F"/>
    <w:rsid w:val="00E07147"/>
    <w:rsid w:val="00E075CA"/>
    <w:rsid w:val="00E077E7"/>
    <w:rsid w:val="00E07B36"/>
    <w:rsid w:val="00E07CC9"/>
    <w:rsid w:val="00E07D2C"/>
    <w:rsid w:val="00E07E7B"/>
    <w:rsid w:val="00E07EA3"/>
    <w:rsid w:val="00E1028B"/>
    <w:rsid w:val="00E10399"/>
    <w:rsid w:val="00E10452"/>
    <w:rsid w:val="00E10478"/>
    <w:rsid w:val="00E107D3"/>
    <w:rsid w:val="00E10A32"/>
    <w:rsid w:val="00E10ABC"/>
    <w:rsid w:val="00E10BCD"/>
    <w:rsid w:val="00E10DAF"/>
    <w:rsid w:val="00E10DDE"/>
    <w:rsid w:val="00E1100C"/>
    <w:rsid w:val="00E11027"/>
    <w:rsid w:val="00E11578"/>
    <w:rsid w:val="00E11A1D"/>
    <w:rsid w:val="00E11AA1"/>
    <w:rsid w:val="00E11BF3"/>
    <w:rsid w:val="00E11C21"/>
    <w:rsid w:val="00E11CB0"/>
    <w:rsid w:val="00E11CD0"/>
    <w:rsid w:val="00E121F7"/>
    <w:rsid w:val="00E124A6"/>
    <w:rsid w:val="00E124AB"/>
    <w:rsid w:val="00E1275D"/>
    <w:rsid w:val="00E12773"/>
    <w:rsid w:val="00E129EC"/>
    <w:rsid w:val="00E12BBF"/>
    <w:rsid w:val="00E12F7A"/>
    <w:rsid w:val="00E13008"/>
    <w:rsid w:val="00E1303A"/>
    <w:rsid w:val="00E13094"/>
    <w:rsid w:val="00E130D8"/>
    <w:rsid w:val="00E13130"/>
    <w:rsid w:val="00E1317A"/>
    <w:rsid w:val="00E1359B"/>
    <w:rsid w:val="00E13633"/>
    <w:rsid w:val="00E136A3"/>
    <w:rsid w:val="00E13B36"/>
    <w:rsid w:val="00E14046"/>
    <w:rsid w:val="00E142CE"/>
    <w:rsid w:val="00E14473"/>
    <w:rsid w:val="00E1469B"/>
    <w:rsid w:val="00E146BF"/>
    <w:rsid w:val="00E14790"/>
    <w:rsid w:val="00E14854"/>
    <w:rsid w:val="00E14945"/>
    <w:rsid w:val="00E14B2F"/>
    <w:rsid w:val="00E14B32"/>
    <w:rsid w:val="00E15052"/>
    <w:rsid w:val="00E1514F"/>
    <w:rsid w:val="00E15274"/>
    <w:rsid w:val="00E1540E"/>
    <w:rsid w:val="00E15997"/>
    <w:rsid w:val="00E15A28"/>
    <w:rsid w:val="00E15DC2"/>
    <w:rsid w:val="00E16051"/>
    <w:rsid w:val="00E1655C"/>
    <w:rsid w:val="00E16885"/>
    <w:rsid w:val="00E16AA0"/>
    <w:rsid w:val="00E16BB9"/>
    <w:rsid w:val="00E16BD0"/>
    <w:rsid w:val="00E16EDA"/>
    <w:rsid w:val="00E1732B"/>
    <w:rsid w:val="00E173B3"/>
    <w:rsid w:val="00E175C5"/>
    <w:rsid w:val="00E1767B"/>
    <w:rsid w:val="00E17721"/>
    <w:rsid w:val="00E177F8"/>
    <w:rsid w:val="00E17880"/>
    <w:rsid w:val="00E179AB"/>
    <w:rsid w:val="00E17E70"/>
    <w:rsid w:val="00E203AC"/>
    <w:rsid w:val="00E204E8"/>
    <w:rsid w:val="00E204F9"/>
    <w:rsid w:val="00E20532"/>
    <w:rsid w:val="00E20855"/>
    <w:rsid w:val="00E20953"/>
    <w:rsid w:val="00E2097C"/>
    <w:rsid w:val="00E20A11"/>
    <w:rsid w:val="00E20C66"/>
    <w:rsid w:val="00E20C9A"/>
    <w:rsid w:val="00E2104D"/>
    <w:rsid w:val="00E21112"/>
    <w:rsid w:val="00E2119D"/>
    <w:rsid w:val="00E21207"/>
    <w:rsid w:val="00E2138C"/>
    <w:rsid w:val="00E2143B"/>
    <w:rsid w:val="00E215BC"/>
    <w:rsid w:val="00E215D8"/>
    <w:rsid w:val="00E216A5"/>
    <w:rsid w:val="00E219B4"/>
    <w:rsid w:val="00E219BE"/>
    <w:rsid w:val="00E21A2D"/>
    <w:rsid w:val="00E21CBE"/>
    <w:rsid w:val="00E21E6B"/>
    <w:rsid w:val="00E22194"/>
    <w:rsid w:val="00E2233A"/>
    <w:rsid w:val="00E225F0"/>
    <w:rsid w:val="00E2345A"/>
    <w:rsid w:val="00E23AEB"/>
    <w:rsid w:val="00E23B02"/>
    <w:rsid w:val="00E23B26"/>
    <w:rsid w:val="00E23B7F"/>
    <w:rsid w:val="00E23C28"/>
    <w:rsid w:val="00E23C75"/>
    <w:rsid w:val="00E23C9C"/>
    <w:rsid w:val="00E23E7E"/>
    <w:rsid w:val="00E24070"/>
    <w:rsid w:val="00E240BA"/>
    <w:rsid w:val="00E240E8"/>
    <w:rsid w:val="00E241F8"/>
    <w:rsid w:val="00E2455E"/>
    <w:rsid w:val="00E2489B"/>
    <w:rsid w:val="00E24C02"/>
    <w:rsid w:val="00E24D24"/>
    <w:rsid w:val="00E24E7B"/>
    <w:rsid w:val="00E25356"/>
    <w:rsid w:val="00E255AD"/>
    <w:rsid w:val="00E255E3"/>
    <w:rsid w:val="00E25661"/>
    <w:rsid w:val="00E256BD"/>
    <w:rsid w:val="00E256BE"/>
    <w:rsid w:val="00E259FD"/>
    <w:rsid w:val="00E25B9A"/>
    <w:rsid w:val="00E25C98"/>
    <w:rsid w:val="00E25F4C"/>
    <w:rsid w:val="00E2617D"/>
    <w:rsid w:val="00E261F6"/>
    <w:rsid w:val="00E26384"/>
    <w:rsid w:val="00E2680E"/>
    <w:rsid w:val="00E2684D"/>
    <w:rsid w:val="00E26ADB"/>
    <w:rsid w:val="00E26C98"/>
    <w:rsid w:val="00E270FB"/>
    <w:rsid w:val="00E27131"/>
    <w:rsid w:val="00E27457"/>
    <w:rsid w:val="00E27842"/>
    <w:rsid w:val="00E27CE0"/>
    <w:rsid w:val="00E27F73"/>
    <w:rsid w:val="00E3009E"/>
    <w:rsid w:val="00E300A5"/>
    <w:rsid w:val="00E30391"/>
    <w:rsid w:val="00E30576"/>
    <w:rsid w:val="00E30E6C"/>
    <w:rsid w:val="00E30F05"/>
    <w:rsid w:val="00E31026"/>
    <w:rsid w:val="00E3134D"/>
    <w:rsid w:val="00E31541"/>
    <w:rsid w:val="00E319F3"/>
    <w:rsid w:val="00E31B2A"/>
    <w:rsid w:val="00E31DBF"/>
    <w:rsid w:val="00E31DE4"/>
    <w:rsid w:val="00E31E71"/>
    <w:rsid w:val="00E31EC0"/>
    <w:rsid w:val="00E31F6E"/>
    <w:rsid w:val="00E320CA"/>
    <w:rsid w:val="00E320ED"/>
    <w:rsid w:val="00E32210"/>
    <w:rsid w:val="00E32269"/>
    <w:rsid w:val="00E322D4"/>
    <w:rsid w:val="00E32366"/>
    <w:rsid w:val="00E32668"/>
    <w:rsid w:val="00E32A9F"/>
    <w:rsid w:val="00E32BC1"/>
    <w:rsid w:val="00E32C97"/>
    <w:rsid w:val="00E32D81"/>
    <w:rsid w:val="00E32DA7"/>
    <w:rsid w:val="00E32E94"/>
    <w:rsid w:val="00E33418"/>
    <w:rsid w:val="00E3345D"/>
    <w:rsid w:val="00E335C2"/>
    <w:rsid w:val="00E3379E"/>
    <w:rsid w:val="00E33BFF"/>
    <w:rsid w:val="00E33CD6"/>
    <w:rsid w:val="00E33DF9"/>
    <w:rsid w:val="00E33E16"/>
    <w:rsid w:val="00E33EFB"/>
    <w:rsid w:val="00E340A1"/>
    <w:rsid w:val="00E3424D"/>
    <w:rsid w:val="00E348F0"/>
    <w:rsid w:val="00E3490B"/>
    <w:rsid w:val="00E349C4"/>
    <w:rsid w:val="00E34A98"/>
    <w:rsid w:val="00E34BEB"/>
    <w:rsid w:val="00E34CCA"/>
    <w:rsid w:val="00E35243"/>
    <w:rsid w:val="00E356C9"/>
    <w:rsid w:val="00E359B7"/>
    <w:rsid w:val="00E35AEA"/>
    <w:rsid w:val="00E35F50"/>
    <w:rsid w:val="00E3603E"/>
    <w:rsid w:val="00E3626B"/>
    <w:rsid w:val="00E3643D"/>
    <w:rsid w:val="00E36ADC"/>
    <w:rsid w:val="00E36B46"/>
    <w:rsid w:val="00E36BFC"/>
    <w:rsid w:val="00E36EB2"/>
    <w:rsid w:val="00E370C7"/>
    <w:rsid w:val="00E3717B"/>
    <w:rsid w:val="00E37227"/>
    <w:rsid w:val="00E3723A"/>
    <w:rsid w:val="00E372B5"/>
    <w:rsid w:val="00E374F7"/>
    <w:rsid w:val="00E375FB"/>
    <w:rsid w:val="00E376EA"/>
    <w:rsid w:val="00E378B4"/>
    <w:rsid w:val="00E3792C"/>
    <w:rsid w:val="00E37A18"/>
    <w:rsid w:val="00E37BE6"/>
    <w:rsid w:val="00E37BFB"/>
    <w:rsid w:val="00E37DFF"/>
    <w:rsid w:val="00E37F24"/>
    <w:rsid w:val="00E37F57"/>
    <w:rsid w:val="00E37F8B"/>
    <w:rsid w:val="00E40045"/>
    <w:rsid w:val="00E4016E"/>
    <w:rsid w:val="00E40228"/>
    <w:rsid w:val="00E402DC"/>
    <w:rsid w:val="00E40469"/>
    <w:rsid w:val="00E40490"/>
    <w:rsid w:val="00E40565"/>
    <w:rsid w:val="00E40A7D"/>
    <w:rsid w:val="00E40E9E"/>
    <w:rsid w:val="00E40F15"/>
    <w:rsid w:val="00E41080"/>
    <w:rsid w:val="00E41086"/>
    <w:rsid w:val="00E410FE"/>
    <w:rsid w:val="00E41104"/>
    <w:rsid w:val="00E41109"/>
    <w:rsid w:val="00E412D7"/>
    <w:rsid w:val="00E414C9"/>
    <w:rsid w:val="00E419BB"/>
    <w:rsid w:val="00E419C9"/>
    <w:rsid w:val="00E42013"/>
    <w:rsid w:val="00E4220D"/>
    <w:rsid w:val="00E42C15"/>
    <w:rsid w:val="00E42D65"/>
    <w:rsid w:val="00E42FF4"/>
    <w:rsid w:val="00E430E2"/>
    <w:rsid w:val="00E432F7"/>
    <w:rsid w:val="00E43347"/>
    <w:rsid w:val="00E435EE"/>
    <w:rsid w:val="00E435F2"/>
    <w:rsid w:val="00E4367E"/>
    <w:rsid w:val="00E43807"/>
    <w:rsid w:val="00E43ECB"/>
    <w:rsid w:val="00E43F7F"/>
    <w:rsid w:val="00E442FF"/>
    <w:rsid w:val="00E44360"/>
    <w:rsid w:val="00E4436C"/>
    <w:rsid w:val="00E443FF"/>
    <w:rsid w:val="00E444D3"/>
    <w:rsid w:val="00E44648"/>
    <w:rsid w:val="00E44A74"/>
    <w:rsid w:val="00E44BDD"/>
    <w:rsid w:val="00E44FDA"/>
    <w:rsid w:val="00E45110"/>
    <w:rsid w:val="00E451B0"/>
    <w:rsid w:val="00E451F1"/>
    <w:rsid w:val="00E453E1"/>
    <w:rsid w:val="00E455F9"/>
    <w:rsid w:val="00E45758"/>
    <w:rsid w:val="00E45824"/>
    <w:rsid w:val="00E459AD"/>
    <w:rsid w:val="00E45D3D"/>
    <w:rsid w:val="00E45DEB"/>
    <w:rsid w:val="00E45EA9"/>
    <w:rsid w:val="00E45F67"/>
    <w:rsid w:val="00E45FF9"/>
    <w:rsid w:val="00E4670E"/>
    <w:rsid w:val="00E46950"/>
    <w:rsid w:val="00E46AC1"/>
    <w:rsid w:val="00E46D0A"/>
    <w:rsid w:val="00E4748E"/>
    <w:rsid w:val="00E474C2"/>
    <w:rsid w:val="00E475E7"/>
    <w:rsid w:val="00E476FA"/>
    <w:rsid w:val="00E47808"/>
    <w:rsid w:val="00E47998"/>
    <w:rsid w:val="00E47B78"/>
    <w:rsid w:val="00E47BB9"/>
    <w:rsid w:val="00E47DF2"/>
    <w:rsid w:val="00E47F7E"/>
    <w:rsid w:val="00E5005C"/>
    <w:rsid w:val="00E50763"/>
    <w:rsid w:val="00E50EDA"/>
    <w:rsid w:val="00E51104"/>
    <w:rsid w:val="00E51155"/>
    <w:rsid w:val="00E5124B"/>
    <w:rsid w:val="00E5152B"/>
    <w:rsid w:val="00E519BD"/>
    <w:rsid w:val="00E51EB1"/>
    <w:rsid w:val="00E51F47"/>
    <w:rsid w:val="00E521BF"/>
    <w:rsid w:val="00E524AC"/>
    <w:rsid w:val="00E52805"/>
    <w:rsid w:val="00E52AF3"/>
    <w:rsid w:val="00E52B91"/>
    <w:rsid w:val="00E532CA"/>
    <w:rsid w:val="00E539E4"/>
    <w:rsid w:val="00E53CCF"/>
    <w:rsid w:val="00E5405C"/>
    <w:rsid w:val="00E543D7"/>
    <w:rsid w:val="00E5474A"/>
    <w:rsid w:val="00E54AE8"/>
    <w:rsid w:val="00E54B9A"/>
    <w:rsid w:val="00E54F22"/>
    <w:rsid w:val="00E55078"/>
    <w:rsid w:val="00E550AC"/>
    <w:rsid w:val="00E5537A"/>
    <w:rsid w:val="00E554D6"/>
    <w:rsid w:val="00E559DE"/>
    <w:rsid w:val="00E55B61"/>
    <w:rsid w:val="00E55C46"/>
    <w:rsid w:val="00E55CB1"/>
    <w:rsid w:val="00E55EA9"/>
    <w:rsid w:val="00E55EC6"/>
    <w:rsid w:val="00E55FEA"/>
    <w:rsid w:val="00E5631E"/>
    <w:rsid w:val="00E563EC"/>
    <w:rsid w:val="00E565CD"/>
    <w:rsid w:val="00E56786"/>
    <w:rsid w:val="00E56A31"/>
    <w:rsid w:val="00E570A4"/>
    <w:rsid w:val="00E570D0"/>
    <w:rsid w:val="00E571AA"/>
    <w:rsid w:val="00E571EE"/>
    <w:rsid w:val="00E573B8"/>
    <w:rsid w:val="00E57827"/>
    <w:rsid w:val="00E5789A"/>
    <w:rsid w:val="00E57AA7"/>
    <w:rsid w:val="00E57BFB"/>
    <w:rsid w:val="00E57C3C"/>
    <w:rsid w:val="00E57C67"/>
    <w:rsid w:val="00E57C6E"/>
    <w:rsid w:val="00E57C9C"/>
    <w:rsid w:val="00E57CB4"/>
    <w:rsid w:val="00E57EEB"/>
    <w:rsid w:val="00E57F2B"/>
    <w:rsid w:val="00E60012"/>
    <w:rsid w:val="00E60076"/>
    <w:rsid w:val="00E60080"/>
    <w:rsid w:val="00E6024C"/>
    <w:rsid w:val="00E602D2"/>
    <w:rsid w:val="00E604A1"/>
    <w:rsid w:val="00E605A1"/>
    <w:rsid w:val="00E60726"/>
    <w:rsid w:val="00E60742"/>
    <w:rsid w:val="00E607F5"/>
    <w:rsid w:val="00E608A0"/>
    <w:rsid w:val="00E608B5"/>
    <w:rsid w:val="00E6107A"/>
    <w:rsid w:val="00E610E4"/>
    <w:rsid w:val="00E61130"/>
    <w:rsid w:val="00E612CC"/>
    <w:rsid w:val="00E61339"/>
    <w:rsid w:val="00E61362"/>
    <w:rsid w:val="00E61448"/>
    <w:rsid w:val="00E61581"/>
    <w:rsid w:val="00E6184C"/>
    <w:rsid w:val="00E61B59"/>
    <w:rsid w:val="00E621AF"/>
    <w:rsid w:val="00E621DC"/>
    <w:rsid w:val="00E626DB"/>
    <w:rsid w:val="00E6296F"/>
    <w:rsid w:val="00E62ABD"/>
    <w:rsid w:val="00E62CFA"/>
    <w:rsid w:val="00E62EE2"/>
    <w:rsid w:val="00E62F89"/>
    <w:rsid w:val="00E634C1"/>
    <w:rsid w:val="00E63A89"/>
    <w:rsid w:val="00E63C12"/>
    <w:rsid w:val="00E63F83"/>
    <w:rsid w:val="00E64023"/>
    <w:rsid w:val="00E6411A"/>
    <w:rsid w:val="00E64483"/>
    <w:rsid w:val="00E64A43"/>
    <w:rsid w:val="00E64B21"/>
    <w:rsid w:val="00E64BB5"/>
    <w:rsid w:val="00E64BEB"/>
    <w:rsid w:val="00E64C6E"/>
    <w:rsid w:val="00E64CF6"/>
    <w:rsid w:val="00E64D2C"/>
    <w:rsid w:val="00E64DBA"/>
    <w:rsid w:val="00E64DC4"/>
    <w:rsid w:val="00E6502C"/>
    <w:rsid w:val="00E6531B"/>
    <w:rsid w:val="00E659D1"/>
    <w:rsid w:val="00E65A3E"/>
    <w:rsid w:val="00E65AF7"/>
    <w:rsid w:val="00E65AFA"/>
    <w:rsid w:val="00E65C2D"/>
    <w:rsid w:val="00E65E93"/>
    <w:rsid w:val="00E66284"/>
    <w:rsid w:val="00E66383"/>
    <w:rsid w:val="00E663EC"/>
    <w:rsid w:val="00E664DA"/>
    <w:rsid w:val="00E6678B"/>
    <w:rsid w:val="00E66A15"/>
    <w:rsid w:val="00E66BDD"/>
    <w:rsid w:val="00E66DC1"/>
    <w:rsid w:val="00E66DEC"/>
    <w:rsid w:val="00E67009"/>
    <w:rsid w:val="00E67080"/>
    <w:rsid w:val="00E67251"/>
    <w:rsid w:val="00E6736C"/>
    <w:rsid w:val="00E67624"/>
    <w:rsid w:val="00E6795B"/>
    <w:rsid w:val="00E67B61"/>
    <w:rsid w:val="00E70041"/>
    <w:rsid w:val="00E70316"/>
    <w:rsid w:val="00E70387"/>
    <w:rsid w:val="00E70448"/>
    <w:rsid w:val="00E705AD"/>
    <w:rsid w:val="00E7088F"/>
    <w:rsid w:val="00E70AE1"/>
    <w:rsid w:val="00E70F9F"/>
    <w:rsid w:val="00E70FA3"/>
    <w:rsid w:val="00E71065"/>
    <w:rsid w:val="00E713A5"/>
    <w:rsid w:val="00E713E8"/>
    <w:rsid w:val="00E71439"/>
    <w:rsid w:val="00E718EC"/>
    <w:rsid w:val="00E718F5"/>
    <w:rsid w:val="00E7195C"/>
    <w:rsid w:val="00E71E9B"/>
    <w:rsid w:val="00E71F87"/>
    <w:rsid w:val="00E71FF0"/>
    <w:rsid w:val="00E725D6"/>
    <w:rsid w:val="00E7269C"/>
    <w:rsid w:val="00E72CB3"/>
    <w:rsid w:val="00E731B8"/>
    <w:rsid w:val="00E73412"/>
    <w:rsid w:val="00E736BB"/>
    <w:rsid w:val="00E7372E"/>
    <w:rsid w:val="00E737E1"/>
    <w:rsid w:val="00E73918"/>
    <w:rsid w:val="00E74004"/>
    <w:rsid w:val="00E74196"/>
    <w:rsid w:val="00E74899"/>
    <w:rsid w:val="00E74C39"/>
    <w:rsid w:val="00E74E3E"/>
    <w:rsid w:val="00E74F38"/>
    <w:rsid w:val="00E751B2"/>
    <w:rsid w:val="00E75739"/>
    <w:rsid w:val="00E75932"/>
    <w:rsid w:val="00E759E3"/>
    <w:rsid w:val="00E75A97"/>
    <w:rsid w:val="00E75C52"/>
    <w:rsid w:val="00E762B0"/>
    <w:rsid w:val="00E762BF"/>
    <w:rsid w:val="00E763E8"/>
    <w:rsid w:val="00E765F4"/>
    <w:rsid w:val="00E767C0"/>
    <w:rsid w:val="00E76F7F"/>
    <w:rsid w:val="00E772BE"/>
    <w:rsid w:val="00E775E3"/>
    <w:rsid w:val="00E77626"/>
    <w:rsid w:val="00E776BC"/>
    <w:rsid w:val="00E776FE"/>
    <w:rsid w:val="00E7772B"/>
    <w:rsid w:val="00E7776F"/>
    <w:rsid w:val="00E777B6"/>
    <w:rsid w:val="00E77A6E"/>
    <w:rsid w:val="00E80447"/>
    <w:rsid w:val="00E80738"/>
    <w:rsid w:val="00E80821"/>
    <w:rsid w:val="00E80A66"/>
    <w:rsid w:val="00E80D73"/>
    <w:rsid w:val="00E80EBE"/>
    <w:rsid w:val="00E810C5"/>
    <w:rsid w:val="00E81338"/>
    <w:rsid w:val="00E81413"/>
    <w:rsid w:val="00E815DE"/>
    <w:rsid w:val="00E81754"/>
    <w:rsid w:val="00E81929"/>
    <w:rsid w:val="00E81F5B"/>
    <w:rsid w:val="00E820AE"/>
    <w:rsid w:val="00E820D5"/>
    <w:rsid w:val="00E820D6"/>
    <w:rsid w:val="00E82343"/>
    <w:rsid w:val="00E82480"/>
    <w:rsid w:val="00E82660"/>
    <w:rsid w:val="00E8266F"/>
    <w:rsid w:val="00E827B2"/>
    <w:rsid w:val="00E827E4"/>
    <w:rsid w:val="00E82839"/>
    <w:rsid w:val="00E83097"/>
    <w:rsid w:val="00E8333D"/>
    <w:rsid w:val="00E833DF"/>
    <w:rsid w:val="00E83A81"/>
    <w:rsid w:val="00E83E11"/>
    <w:rsid w:val="00E83FAC"/>
    <w:rsid w:val="00E84555"/>
    <w:rsid w:val="00E845E6"/>
    <w:rsid w:val="00E84977"/>
    <w:rsid w:val="00E84E81"/>
    <w:rsid w:val="00E84F80"/>
    <w:rsid w:val="00E84F91"/>
    <w:rsid w:val="00E851F0"/>
    <w:rsid w:val="00E85527"/>
    <w:rsid w:val="00E85935"/>
    <w:rsid w:val="00E85BB1"/>
    <w:rsid w:val="00E85D39"/>
    <w:rsid w:val="00E864DB"/>
    <w:rsid w:val="00E8657F"/>
    <w:rsid w:val="00E86582"/>
    <w:rsid w:val="00E8672E"/>
    <w:rsid w:val="00E86DC9"/>
    <w:rsid w:val="00E86F24"/>
    <w:rsid w:val="00E87428"/>
    <w:rsid w:val="00E87863"/>
    <w:rsid w:val="00E87B60"/>
    <w:rsid w:val="00E87E05"/>
    <w:rsid w:val="00E87EE0"/>
    <w:rsid w:val="00E90134"/>
    <w:rsid w:val="00E90439"/>
    <w:rsid w:val="00E9065B"/>
    <w:rsid w:val="00E906AC"/>
    <w:rsid w:val="00E908CE"/>
    <w:rsid w:val="00E909FF"/>
    <w:rsid w:val="00E90C5C"/>
    <w:rsid w:val="00E90D24"/>
    <w:rsid w:val="00E90E71"/>
    <w:rsid w:val="00E90F12"/>
    <w:rsid w:val="00E90F20"/>
    <w:rsid w:val="00E90FA4"/>
    <w:rsid w:val="00E9100C"/>
    <w:rsid w:val="00E91151"/>
    <w:rsid w:val="00E91164"/>
    <w:rsid w:val="00E91364"/>
    <w:rsid w:val="00E9145E"/>
    <w:rsid w:val="00E9183B"/>
    <w:rsid w:val="00E91A3E"/>
    <w:rsid w:val="00E91DB2"/>
    <w:rsid w:val="00E91F78"/>
    <w:rsid w:val="00E9215B"/>
    <w:rsid w:val="00E92242"/>
    <w:rsid w:val="00E922E0"/>
    <w:rsid w:val="00E923EC"/>
    <w:rsid w:val="00E92673"/>
    <w:rsid w:val="00E9299E"/>
    <w:rsid w:val="00E92B7E"/>
    <w:rsid w:val="00E93112"/>
    <w:rsid w:val="00E93324"/>
    <w:rsid w:val="00E934D9"/>
    <w:rsid w:val="00E936DC"/>
    <w:rsid w:val="00E93733"/>
    <w:rsid w:val="00E93A1E"/>
    <w:rsid w:val="00E93DC3"/>
    <w:rsid w:val="00E94079"/>
    <w:rsid w:val="00E940D1"/>
    <w:rsid w:val="00E94248"/>
    <w:rsid w:val="00E9448C"/>
    <w:rsid w:val="00E94AB7"/>
    <w:rsid w:val="00E94C33"/>
    <w:rsid w:val="00E94DEC"/>
    <w:rsid w:val="00E94E9D"/>
    <w:rsid w:val="00E951AC"/>
    <w:rsid w:val="00E95402"/>
    <w:rsid w:val="00E954E6"/>
    <w:rsid w:val="00E954F0"/>
    <w:rsid w:val="00E957A2"/>
    <w:rsid w:val="00E95C3C"/>
    <w:rsid w:val="00E95E8D"/>
    <w:rsid w:val="00E95FA7"/>
    <w:rsid w:val="00E96054"/>
    <w:rsid w:val="00E96230"/>
    <w:rsid w:val="00E967EC"/>
    <w:rsid w:val="00E96C61"/>
    <w:rsid w:val="00E96D2F"/>
    <w:rsid w:val="00E97139"/>
    <w:rsid w:val="00E97429"/>
    <w:rsid w:val="00E9750E"/>
    <w:rsid w:val="00E9757A"/>
    <w:rsid w:val="00E975F1"/>
    <w:rsid w:val="00E976E3"/>
    <w:rsid w:val="00E9789C"/>
    <w:rsid w:val="00E97989"/>
    <w:rsid w:val="00E97C63"/>
    <w:rsid w:val="00E97E19"/>
    <w:rsid w:val="00E97F13"/>
    <w:rsid w:val="00EA02EA"/>
    <w:rsid w:val="00EA0A82"/>
    <w:rsid w:val="00EA0B73"/>
    <w:rsid w:val="00EA0D49"/>
    <w:rsid w:val="00EA1031"/>
    <w:rsid w:val="00EA1256"/>
    <w:rsid w:val="00EA12A8"/>
    <w:rsid w:val="00EA1BAE"/>
    <w:rsid w:val="00EA1C20"/>
    <w:rsid w:val="00EA1C22"/>
    <w:rsid w:val="00EA1DF7"/>
    <w:rsid w:val="00EA203D"/>
    <w:rsid w:val="00EA20A0"/>
    <w:rsid w:val="00EA216A"/>
    <w:rsid w:val="00EA2739"/>
    <w:rsid w:val="00EA27E2"/>
    <w:rsid w:val="00EA297B"/>
    <w:rsid w:val="00EA2BBA"/>
    <w:rsid w:val="00EA2BCE"/>
    <w:rsid w:val="00EA302D"/>
    <w:rsid w:val="00EA3170"/>
    <w:rsid w:val="00EA34E7"/>
    <w:rsid w:val="00EA357D"/>
    <w:rsid w:val="00EA3666"/>
    <w:rsid w:val="00EA398C"/>
    <w:rsid w:val="00EA39FE"/>
    <w:rsid w:val="00EA3A03"/>
    <w:rsid w:val="00EA3B67"/>
    <w:rsid w:val="00EA3C5B"/>
    <w:rsid w:val="00EA3CD5"/>
    <w:rsid w:val="00EA4143"/>
    <w:rsid w:val="00EA432F"/>
    <w:rsid w:val="00EA43F7"/>
    <w:rsid w:val="00EA45E3"/>
    <w:rsid w:val="00EA4641"/>
    <w:rsid w:val="00EA4698"/>
    <w:rsid w:val="00EA46D9"/>
    <w:rsid w:val="00EA4A53"/>
    <w:rsid w:val="00EA4C34"/>
    <w:rsid w:val="00EA4DAB"/>
    <w:rsid w:val="00EA4E94"/>
    <w:rsid w:val="00EA52A4"/>
    <w:rsid w:val="00EA5534"/>
    <w:rsid w:val="00EA5641"/>
    <w:rsid w:val="00EA5888"/>
    <w:rsid w:val="00EA5915"/>
    <w:rsid w:val="00EA5A78"/>
    <w:rsid w:val="00EA5C3F"/>
    <w:rsid w:val="00EA5C5B"/>
    <w:rsid w:val="00EA5E72"/>
    <w:rsid w:val="00EA645B"/>
    <w:rsid w:val="00EA6B8E"/>
    <w:rsid w:val="00EA6C16"/>
    <w:rsid w:val="00EA6CC4"/>
    <w:rsid w:val="00EA6E81"/>
    <w:rsid w:val="00EA6EF2"/>
    <w:rsid w:val="00EA6F87"/>
    <w:rsid w:val="00EA7086"/>
    <w:rsid w:val="00EA71C8"/>
    <w:rsid w:val="00EA7298"/>
    <w:rsid w:val="00EA7930"/>
    <w:rsid w:val="00EA794A"/>
    <w:rsid w:val="00EA7A80"/>
    <w:rsid w:val="00EA7AE6"/>
    <w:rsid w:val="00EA7CCE"/>
    <w:rsid w:val="00EB0185"/>
    <w:rsid w:val="00EB0456"/>
    <w:rsid w:val="00EB04D4"/>
    <w:rsid w:val="00EB05C6"/>
    <w:rsid w:val="00EB0850"/>
    <w:rsid w:val="00EB0952"/>
    <w:rsid w:val="00EB0A2F"/>
    <w:rsid w:val="00EB0CF9"/>
    <w:rsid w:val="00EB0DA8"/>
    <w:rsid w:val="00EB0E2E"/>
    <w:rsid w:val="00EB106A"/>
    <w:rsid w:val="00EB1727"/>
    <w:rsid w:val="00EB1842"/>
    <w:rsid w:val="00EB19C4"/>
    <w:rsid w:val="00EB1C9A"/>
    <w:rsid w:val="00EB1DA5"/>
    <w:rsid w:val="00EB1E98"/>
    <w:rsid w:val="00EB20A7"/>
    <w:rsid w:val="00EB21F9"/>
    <w:rsid w:val="00EB224D"/>
    <w:rsid w:val="00EB22B8"/>
    <w:rsid w:val="00EB2302"/>
    <w:rsid w:val="00EB234D"/>
    <w:rsid w:val="00EB2900"/>
    <w:rsid w:val="00EB2C25"/>
    <w:rsid w:val="00EB2D31"/>
    <w:rsid w:val="00EB3AFE"/>
    <w:rsid w:val="00EB3EE1"/>
    <w:rsid w:val="00EB41C0"/>
    <w:rsid w:val="00EB440F"/>
    <w:rsid w:val="00EB44AD"/>
    <w:rsid w:val="00EB4755"/>
    <w:rsid w:val="00EB4777"/>
    <w:rsid w:val="00EB4A54"/>
    <w:rsid w:val="00EB4BB4"/>
    <w:rsid w:val="00EB4CD7"/>
    <w:rsid w:val="00EB4F87"/>
    <w:rsid w:val="00EB5037"/>
    <w:rsid w:val="00EB50A9"/>
    <w:rsid w:val="00EB53B5"/>
    <w:rsid w:val="00EB563D"/>
    <w:rsid w:val="00EB5708"/>
    <w:rsid w:val="00EB5C1A"/>
    <w:rsid w:val="00EB5FD3"/>
    <w:rsid w:val="00EB600A"/>
    <w:rsid w:val="00EB6130"/>
    <w:rsid w:val="00EB635E"/>
    <w:rsid w:val="00EB64A4"/>
    <w:rsid w:val="00EB650C"/>
    <w:rsid w:val="00EB68C4"/>
    <w:rsid w:val="00EB695B"/>
    <w:rsid w:val="00EB6968"/>
    <w:rsid w:val="00EB6A18"/>
    <w:rsid w:val="00EB6C36"/>
    <w:rsid w:val="00EB7022"/>
    <w:rsid w:val="00EB714A"/>
    <w:rsid w:val="00EB7182"/>
    <w:rsid w:val="00EB7208"/>
    <w:rsid w:val="00EB7355"/>
    <w:rsid w:val="00EB751D"/>
    <w:rsid w:val="00EB76D1"/>
    <w:rsid w:val="00EB7C4B"/>
    <w:rsid w:val="00EB7E00"/>
    <w:rsid w:val="00EB7ECA"/>
    <w:rsid w:val="00EC00F8"/>
    <w:rsid w:val="00EC014A"/>
    <w:rsid w:val="00EC037B"/>
    <w:rsid w:val="00EC048E"/>
    <w:rsid w:val="00EC0549"/>
    <w:rsid w:val="00EC05F9"/>
    <w:rsid w:val="00EC083B"/>
    <w:rsid w:val="00EC0F8B"/>
    <w:rsid w:val="00EC1263"/>
    <w:rsid w:val="00EC1388"/>
    <w:rsid w:val="00EC15D4"/>
    <w:rsid w:val="00EC1972"/>
    <w:rsid w:val="00EC21AB"/>
    <w:rsid w:val="00EC22C9"/>
    <w:rsid w:val="00EC26F3"/>
    <w:rsid w:val="00EC297A"/>
    <w:rsid w:val="00EC2B8D"/>
    <w:rsid w:val="00EC2D4E"/>
    <w:rsid w:val="00EC2D68"/>
    <w:rsid w:val="00EC2EF7"/>
    <w:rsid w:val="00EC3090"/>
    <w:rsid w:val="00EC3129"/>
    <w:rsid w:val="00EC322C"/>
    <w:rsid w:val="00EC32A3"/>
    <w:rsid w:val="00EC3305"/>
    <w:rsid w:val="00EC33BB"/>
    <w:rsid w:val="00EC3663"/>
    <w:rsid w:val="00EC37C5"/>
    <w:rsid w:val="00EC391D"/>
    <w:rsid w:val="00EC3B26"/>
    <w:rsid w:val="00EC3BCC"/>
    <w:rsid w:val="00EC3E21"/>
    <w:rsid w:val="00EC3F86"/>
    <w:rsid w:val="00EC4011"/>
    <w:rsid w:val="00EC41FD"/>
    <w:rsid w:val="00EC42EE"/>
    <w:rsid w:val="00EC4302"/>
    <w:rsid w:val="00EC46E6"/>
    <w:rsid w:val="00EC4956"/>
    <w:rsid w:val="00EC49B5"/>
    <w:rsid w:val="00EC4F18"/>
    <w:rsid w:val="00EC4FA7"/>
    <w:rsid w:val="00EC4FEA"/>
    <w:rsid w:val="00EC5312"/>
    <w:rsid w:val="00EC55D5"/>
    <w:rsid w:val="00EC55FE"/>
    <w:rsid w:val="00EC56BE"/>
    <w:rsid w:val="00EC5A58"/>
    <w:rsid w:val="00EC5AC8"/>
    <w:rsid w:val="00EC5CE0"/>
    <w:rsid w:val="00EC6121"/>
    <w:rsid w:val="00EC63DF"/>
    <w:rsid w:val="00EC6447"/>
    <w:rsid w:val="00EC6532"/>
    <w:rsid w:val="00EC676C"/>
    <w:rsid w:val="00EC67C2"/>
    <w:rsid w:val="00EC6DED"/>
    <w:rsid w:val="00EC72E1"/>
    <w:rsid w:val="00EC7320"/>
    <w:rsid w:val="00EC755E"/>
    <w:rsid w:val="00EC78D8"/>
    <w:rsid w:val="00EC7B93"/>
    <w:rsid w:val="00ED011C"/>
    <w:rsid w:val="00ED0207"/>
    <w:rsid w:val="00ED03DF"/>
    <w:rsid w:val="00ED06B0"/>
    <w:rsid w:val="00ED0C1F"/>
    <w:rsid w:val="00ED0EA8"/>
    <w:rsid w:val="00ED1127"/>
    <w:rsid w:val="00ED1AAE"/>
    <w:rsid w:val="00ED1C5E"/>
    <w:rsid w:val="00ED1D3E"/>
    <w:rsid w:val="00ED2114"/>
    <w:rsid w:val="00ED2239"/>
    <w:rsid w:val="00ED22A7"/>
    <w:rsid w:val="00ED22BF"/>
    <w:rsid w:val="00ED23CD"/>
    <w:rsid w:val="00ED246E"/>
    <w:rsid w:val="00ED2508"/>
    <w:rsid w:val="00ED269E"/>
    <w:rsid w:val="00ED28C8"/>
    <w:rsid w:val="00ED28FF"/>
    <w:rsid w:val="00ED2A92"/>
    <w:rsid w:val="00ED2B0A"/>
    <w:rsid w:val="00ED2DB0"/>
    <w:rsid w:val="00ED38B0"/>
    <w:rsid w:val="00ED3A3A"/>
    <w:rsid w:val="00ED3A7A"/>
    <w:rsid w:val="00ED3D11"/>
    <w:rsid w:val="00ED3F03"/>
    <w:rsid w:val="00ED405A"/>
    <w:rsid w:val="00ED413C"/>
    <w:rsid w:val="00ED41E7"/>
    <w:rsid w:val="00ED4250"/>
    <w:rsid w:val="00ED4468"/>
    <w:rsid w:val="00ED45F3"/>
    <w:rsid w:val="00ED4A4A"/>
    <w:rsid w:val="00ED4F85"/>
    <w:rsid w:val="00ED5336"/>
    <w:rsid w:val="00ED5569"/>
    <w:rsid w:val="00ED5BC3"/>
    <w:rsid w:val="00ED6009"/>
    <w:rsid w:val="00ED63C2"/>
    <w:rsid w:val="00ED692D"/>
    <w:rsid w:val="00ED6B92"/>
    <w:rsid w:val="00ED6BE5"/>
    <w:rsid w:val="00ED6E71"/>
    <w:rsid w:val="00ED6EFA"/>
    <w:rsid w:val="00ED6F6B"/>
    <w:rsid w:val="00ED6F8E"/>
    <w:rsid w:val="00ED7223"/>
    <w:rsid w:val="00ED731F"/>
    <w:rsid w:val="00ED74B8"/>
    <w:rsid w:val="00ED74C6"/>
    <w:rsid w:val="00ED7DDB"/>
    <w:rsid w:val="00ED7E3E"/>
    <w:rsid w:val="00ED7E61"/>
    <w:rsid w:val="00ED7E68"/>
    <w:rsid w:val="00EE0011"/>
    <w:rsid w:val="00EE029A"/>
    <w:rsid w:val="00EE05EF"/>
    <w:rsid w:val="00EE0646"/>
    <w:rsid w:val="00EE0653"/>
    <w:rsid w:val="00EE0807"/>
    <w:rsid w:val="00EE0A2B"/>
    <w:rsid w:val="00EE0B66"/>
    <w:rsid w:val="00EE0E64"/>
    <w:rsid w:val="00EE0EED"/>
    <w:rsid w:val="00EE17E6"/>
    <w:rsid w:val="00EE197C"/>
    <w:rsid w:val="00EE19E3"/>
    <w:rsid w:val="00EE21D3"/>
    <w:rsid w:val="00EE2272"/>
    <w:rsid w:val="00EE25A8"/>
    <w:rsid w:val="00EE2AFC"/>
    <w:rsid w:val="00EE2C19"/>
    <w:rsid w:val="00EE3019"/>
    <w:rsid w:val="00EE304A"/>
    <w:rsid w:val="00EE304E"/>
    <w:rsid w:val="00EE3418"/>
    <w:rsid w:val="00EE3439"/>
    <w:rsid w:val="00EE395A"/>
    <w:rsid w:val="00EE3A71"/>
    <w:rsid w:val="00EE4342"/>
    <w:rsid w:val="00EE48A0"/>
    <w:rsid w:val="00EE4A47"/>
    <w:rsid w:val="00EE4A8F"/>
    <w:rsid w:val="00EE4B5E"/>
    <w:rsid w:val="00EE5045"/>
    <w:rsid w:val="00EE5320"/>
    <w:rsid w:val="00EE57BC"/>
    <w:rsid w:val="00EE57D4"/>
    <w:rsid w:val="00EE58EC"/>
    <w:rsid w:val="00EE5AAF"/>
    <w:rsid w:val="00EE5CAE"/>
    <w:rsid w:val="00EE5D4A"/>
    <w:rsid w:val="00EE5ECA"/>
    <w:rsid w:val="00EE5ED0"/>
    <w:rsid w:val="00EE5F5A"/>
    <w:rsid w:val="00EE6198"/>
    <w:rsid w:val="00EE672D"/>
    <w:rsid w:val="00EE699A"/>
    <w:rsid w:val="00EE69E7"/>
    <w:rsid w:val="00EE6AC5"/>
    <w:rsid w:val="00EE6C33"/>
    <w:rsid w:val="00EE6C49"/>
    <w:rsid w:val="00EE6D7A"/>
    <w:rsid w:val="00EE7293"/>
    <w:rsid w:val="00EE74C2"/>
    <w:rsid w:val="00EE74D5"/>
    <w:rsid w:val="00EE75B7"/>
    <w:rsid w:val="00EE7687"/>
    <w:rsid w:val="00EE774A"/>
    <w:rsid w:val="00EE7BD0"/>
    <w:rsid w:val="00EE7D0B"/>
    <w:rsid w:val="00EF021E"/>
    <w:rsid w:val="00EF03D5"/>
    <w:rsid w:val="00EF053D"/>
    <w:rsid w:val="00EF0572"/>
    <w:rsid w:val="00EF06A0"/>
    <w:rsid w:val="00EF0934"/>
    <w:rsid w:val="00EF0BEB"/>
    <w:rsid w:val="00EF0FA7"/>
    <w:rsid w:val="00EF0FE4"/>
    <w:rsid w:val="00EF10C3"/>
    <w:rsid w:val="00EF1288"/>
    <w:rsid w:val="00EF17FD"/>
    <w:rsid w:val="00EF1856"/>
    <w:rsid w:val="00EF1E9A"/>
    <w:rsid w:val="00EF2159"/>
    <w:rsid w:val="00EF21FD"/>
    <w:rsid w:val="00EF2214"/>
    <w:rsid w:val="00EF227D"/>
    <w:rsid w:val="00EF2439"/>
    <w:rsid w:val="00EF252A"/>
    <w:rsid w:val="00EF27BA"/>
    <w:rsid w:val="00EF28AD"/>
    <w:rsid w:val="00EF2B00"/>
    <w:rsid w:val="00EF2CBC"/>
    <w:rsid w:val="00EF37D4"/>
    <w:rsid w:val="00EF38CA"/>
    <w:rsid w:val="00EF3AEA"/>
    <w:rsid w:val="00EF3C43"/>
    <w:rsid w:val="00EF4259"/>
    <w:rsid w:val="00EF4453"/>
    <w:rsid w:val="00EF45F5"/>
    <w:rsid w:val="00EF468F"/>
    <w:rsid w:val="00EF490C"/>
    <w:rsid w:val="00EF4B37"/>
    <w:rsid w:val="00EF4F43"/>
    <w:rsid w:val="00EF5201"/>
    <w:rsid w:val="00EF54AB"/>
    <w:rsid w:val="00EF5A11"/>
    <w:rsid w:val="00EF5FA7"/>
    <w:rsid w:val="00EF6325"/>
    <w:rsid w:val="00EF63EE"/>
    <w:rsid w:val="00EF6647"/>
    <w:rsid w:val="00EF66AC"/>
    <w:rsid w:val="00EF677E"/>
    <w:rsid w:val="00EF6889"/>
    <w:rsid w:val="00EF6BCB"/>
    <w:rsid w:val="00EF6C30"/>
    <w:rsid w:val="00EF7517"/>
    <w:rsid w:val="00EF7856"/>
    <w:rsid w:val="00EF78A8"/>
    <w:rsid w:val="00EF7B87"/>
    <w:rsid w:val="00EF7BA7"/>
    <w:rsid w:val="00EF7DF7"/>
    <w:rsid w:val="00EF7F3B"/>
    <w:rsid w:val="00F00120"/>
    <w:rsid w:val="00F00310"/>
    <w:rsid w:val="00F0070A"/>
    <w:rsid w:val="00F00795"/>
    <w:rsid w:val="00F00B06"/>
    <w:rsid w:val="00F00B8B"/>
    <w:rsid w:val="00F00C8A"/>
    <w:rsid w:val="00F00E32"/>
    <w:rsid w:val="00F00F43"/>
    <w:rsid w:val="00F0102C"/>
    <w:rsid w:val="00F01182"/>
    <w:rsid w:val="00F011DD"/>
    <w:rsid w:val="00F015A5"/>
    <w:rsid w:val="00F015D4"/>
    <w:rsid w:val="00F0171B"/>
    <w:rsid w:val="00F0196E"/>
    <w:rsid w:val="00F01B02"/>
    <w:rsid w:val="00F01D7F"/>
    <w:rsid w:val="00F01DD3"/>
    <w:rsid w:val="00F01E48"/>
    <w:rsid w:val="00F01FC7"/>
    <w:rsid w:val="00F020C0"/>
    <w:rsid w:val="00F021F7"/>
    <w:rsid w:val="00F0224C"/>
    <w:rsid w:val="00F02301"/>
    <w:rsid w:val="00F02348"/>
    <w:rsid w:val="00F0259D"/>
    <w:rsid w:val="00F029D8"/>
    <w:rsid w:val="00F02D20"/>
    <w:rsid w:val="00F02D32"/>
    <w:rsid w:val="00F02EF1"/>
    <w:rsid w:val="00F0303C"/>
    <w:rsid w:val="00F031DF"/>
    <w:rsid w:val="00F03548"/>
    <w:rsid w:val="00F036A9"/>
    <w:rsid w:val="00F03930"/>
    <w:rsid w:val="00F04383"/>
    <w:rsid w:val="00F04391"/>
    <w:rsid w:val="00F0463F"/>
    <w:rsid w:val="00F04972"/>
    <w:rsid w:val="00F04B03"/>
    <w:rsid w:val="00F04BD0"/>
    <w:rsid w:val="00F04E1C"/>
    <w:rsid w:val="00F050BB"/>
    <w:rsid w:val="00F05157"/>
    <w:rsid w:val="00F0548C"/>
    <w:rsid w:val="00F056D5"/>
    <w:rsid w:val="00F05846"/>
    <w:rsid w:val="00F05F4B"/>
    <w:rsid w:val="00F06017"/>
    <w:rsid w:val="00F06086"/>
    <w:rsid w:val="00F0645F"/>
    <w:rsid w:val="00F06669"/>
    <w:rsid w:val="00F06757"/>
    <w:rsid w:val="00F067AD"/>
    <w:rsid w:val="00F067BA"/>
    <w:rsid w:val="00F067BD"/>
    <w:rsid w:val="00F06D37"/>
    <w:rsid w:val="00F06F4F"/>
    <w:rsid w:val="00F070E2"/>
    <w:rsid w:val="00F074F0"/>
    <w:rsid w:val="00F075DB"/>
    <w:rsid w:val="00F076CA"/>
    <w:rsid w:val="00F07722"/>
    <w:rsid w:val="00F078E5"/>
    <w:rsid w:val="00F07A14"/>
    <w:rsid w:val="00F07C04"/>
    <w:rsid w:val="00F07C8E"/>
    <w:rsid w:val="00F07E86"/>
    <w:rsid w:val="00F10062"/>
    <w:rsid w:val="00F100DE"/>
    <w:rsid w:val="00F101DD"/>
    <w:rsid w:val="00F10252"/>
    <w:rsid w:val="00F104BC"/>
    <w:rsid w:val="00F106A0"/>
    <w:rsid w:val="00F106BC"/>
    <w:rsid w:val="00F109B4"/>
    <w:rsid w:val="00F10C2A"/>
    <w:rsid w:val="00F10DB1"/>
    <w:rsid w:val="00F10E1A"/>
    <w:rsid w:val="00F10E1E"/>
    <w:rsid w:val="00F10FAA"/>
    <w:rsid w:val="00F1117A"/>
    <w:rsid w:val="00F11207"/>
    <w:rsid w:val="00F11377"/>
    <w:rsid w:val="00F11486"/>
    <w:rsid w:val="00F114AE"/>
    <w:rsid w:val="00F11672"/>
    <w:rsid w:val="00F1179D"/>
    <w:rsid w:val="00F11A62"/>
    <w:rsid w:val="00F11B7A"/>
    <w:rsid w:val="00F11C0B"/>
    <w:rsid w:val="00F11DED"/>
    <w:rsid w:val="00F11E75"/>
    <w:rsid w:val="00F11E76"/>
    <w:rsid w:val="00F11FA2"/>
    <w:rsid w:val="00F122A6"/>
    <w:rsid w:val="00F1230A"/>
    <w:rsid w:val="00F1235B"/>
    <w:rsid w:val="00F127DF"/>
    <w:rsid w:val="00F12CAA"/>
    <w:rsid w:val="00F12DE1"/>
    <w:rsid w:val="00F12E88"/>
    <w:rsid w:val="00F12FB4"/>
    <w:rsid w:val="00F1308C"/>
    <w:rsid w:val="00F1322A"/>
    <w:rsid w:val="00F13520"/>
    <w:rsid w:val="00F13563"/>
    <w:rsid w:val="00F135C5"/>
    <w:rsid w:val="00F13664"/>
    <w:rsid w:val="00F1374A"/>
    <w:rsid w:val="00F13806"/>
    <w:rsid w:val="00F138B6"/>
    <w:rsid w:val="00F13A80"/>
    <w:rsid w:val="00F13C52"/>
    <w:rsid w:val="00F13C6A"/>
    <w:rsid w:val="00F13D52"/>
    <w:rsid w:val="00F13D7B"/>
    <w:rsid w:val="00F13F49"/>
    <w:rsid w:val="00F13FB8"/>
    <w:rsid w:val="00F141BB"/>
    <w:rsid w:val="00F14523"/>
    <w:rsid w:val="00F14537"/>
    <w:rsid w:val="00F1464E"/>
    <w:rsid w:val="00F14988"/>
    <w:rsid w:val="00F151B7"/>
    <w:rsid w:val="00F1531C"/>
    <w:rsid w:val="00F154FA"/>
    <w:rsid w:val="00F156F3"/>
    <w:rsid w:val="00F15764"/>
    <w:rsid w:val="00F15A8A"/>
    <w:rsid w:val="00F15D1B"/>
    <w:rsid w:val="00F15F58"/>
    <w:rsid w:val="00F15F70"/>
    <w:rsid w:val="00F1603C"/>
    <w:rsid w:val="00F160FD"/>
    <w:rsid w:val="00F16341"/>
    <w:rsid w:val="00F16B17"/>
    <w:rsid w:val="00F16C87"/>
    <w:rsid w:val="00F16E7A"/>
    <w:rsid w:val="00F16EF8"/>
    <w:rsid w:val="00F17047"/>
    <w:rsid w:val="00F1706E"/>
    <w:rsid w:val="00F17228"/>
    <w:rsid w:val="00F172F6"/>
    <w:rsid w:val="00F174B7"/>
    <w:rsid w:val="00F1757A"/>
    <w:rsid w:val="00F175C8"/>
    <w:rsid w:val="00F1768A"/>
    <w:rsid w:val="00F176BD"/>
    <w:rsid w:val="00F176DA"/>
    <w:rsid w:val="00F177D9"/>
    <w:rsid w:val="00F17828"/>
    <w:rsid w:val="00F17981"/>
    <w:rsid w:val="00F17CF9"/>
    <w:rsid w:val="00F202F0"/>
    <w:rsid w:val="00F2034B"/>
    <w:rsid w:val="00F20376"/>
    <w:rsid w:val="00F20579"/>
    <w:rsid w:val="00F205F6"/>
    <w:rsid w:val="00F2088D"/>
    <w:rsid w:val="00F20A4A"/>
    <w:rsid w:val="00F20AB9"/>
    <w:rsid w:val="00F20ADB"/>
    <w:rsid w:val="00F20BB0"/>
    <w:rsid w:val="00F20D88"/>
    <w:rsid w:val="00F21106"/>
    <w:rsid w:val="00F21703"/>
    <w:rsid w:val="00F21904"/>
    <w:rsid w:val="00F21DC7"/>
    <w:rsid w:val="00F21E6D"/>
    <w:rsid w:val="00F22037"/>
    <w:rsid w:val="00F220EB"/>
    <w:rsid w:val="00F221EE"/>
    <w:rsid w:val="00F2265F"/>
    <w:rsid w:val="00F226B7"/>
    <w:rsid w:val="00F22975"/>
    <w:rsid w:val="00F22A7E"/>
    <w:rsid w:val="00F22B30"/>
    <w:rsid w:val="00F22F68"/>
    <w:rsid w:val="00F22F73"/>
    <w:rsid w:val="00F230DC"/>
    <w:rsid w:val="00F2319E"/>
    <w:rsid w:val="00F2345C"/>
    <w:rsid w:val="00F236F6"/>
    <w:rsid w:val="00F23759"/>
    <w:rsid w:val="00F23782"/>
    <w:rsid w:val="00F23B79"/>
    <w:rsid w:val="00F23BB9"/>
    <w:rsid w:val="00F23C34"/>
    <w:rsid w:val="00F23C4A"/>
    <w:rsid w:val="00F23EF6"/>
    <w:rsid w:val="00F241E0"/>
    <w:rsid w:val="00F24476"/>
    <w:rsid w:val="00F244E2"/>
    <w:rsid w:val="00F2450C"/>
    <w:rsid w:val="00F24550"/>
    <w:rsid w:val="00F245F5"/>
    <w:rsid w:val="00F24611"/>
    <w:rsid w:val="00F24D61"/>
    <w:rsid w:val="00F24DFA"/>
    <w:rsid w:val="00F2512F"/>
    <w:rsid w:val="00F2545F"/>
    <w:rsid w:val="00F25490"/>
    <w:rsid w:val="00F259EC"/>
    <w:rsid w:val="00F25A67"/>
    <w:rsid w:val="00F25B07"/>
    <w:rsid w:val="00F25C2F"/>
    <w:rsid w:val="00F25E3D"/>
    <w:rsid w:val="00F262A1"/>
    <w:rsid w:val="00F26623"/>
    <w:rsid w:val="00F268C4"/>
    <w:rsid w:val="00F26934"/>
    <w:rsid w:val="00F26AC8"/>
    <w:rsid w:val="00F26B9F"/>
    <w:rsid w:val="00F26FED"/>
    <w:rsid w:val="00F2728E"/>
    <w:rsid w:val="00F27333"/>
    <w:rsid w:val="00F27383"/>
    <w:rsid w:val="00F274D0"/>
    <w:rsid w:val="00F27E27"/>
    <w:rsid w:val="00F27F00"/>
    <w:rsid w:val="00F3015C"/>
    <w:rsid w:val="00F30400"/>
    <w:rsid w:val="00F30703"/>
    <w:rsid w:val="00F30748"/>
    <w:rsid w:val="00F309CB"/>
    <w:rsid w:val="00F30BF2"/>
    <w:rsid w:val="00F30D0D"/>
    <w:rsid w:val="00F30D52"/>
    <w:rsid w:val="00F30EC3"/>
    <w:rsid w:val="00F3104A"/>
    <w:rsid w:val="00F3125A"/>
    <w:rsid w:val="00F31331"/>
    <w:rsid w:val="00F31783"/>
    <w:rsid w:val="00F31A1D"/>
    <w:rsid w:val="00F31C7C"/>
    <w:rsid w:val="00F31D31"/>
    <w:rsid w:val="00F31E74"/>
    <w:rsid w:val="00F32077"/>
    <w:rsid w:val="00F323A5"/>
    <w:rsid w:val="00F3283E"/>
    <w:rsid w:val="00F329D0"/>
    <w:rsid w:val="00F32B39"/>
    <w:rsid w:val="00F32D1F"/>
    <w:rsid w:val="00F338D6"/>
    <w:rsid w:val="00F33BD2"/>
    <w:rsid w:val="00F33C07"/>
    <w:rsid w:val="00F33D98"/>
    <w:rsid w:val="00F33DA7"/>
    <w:rsid w:val="00F3434B"/>
    <w:rsid w:val="00F34356"/>
    <w:rsid w:val="00F34375"/>
    <w:rsid w:val="00F343E8"/>
    <w:rsid w:val="00F3448E"/>
    <w:rsid w:val="00F344EA"/>
    <w:rsid w:val="00F345A0"/>
    <w:rsid w:val="00F347C3"/>
    <w:rsid w:val="00F349C9"/>
    <w:rsid w:val="00F34A03"/>
    <w:rsid w:val="00F34A3F"/>
    <w:rsid w:val="00F34B62"/>
    <w:rsid w:val="00F34CAD"/>
    <w:rsid w:val="00F34CC8"/>
    <w:rsid w:val="00F34CE9"/>
    <w:rsid w:val="00F34EAC"/>
    <w:rsid w:val="00F35002"/>
    <w:rsid w:val="00F3540E"/>
    <w:rsid w:val="00F354C5"/>
    <w:rsid w:val="00F35518"/>
    <w:rsid w:val="00F35520"/>
    <w:rsid w:val="00F35B94"/>
    <w:rsid w:val="00F35C31"/>
    <w:rsid w:val="00F35CEC"/>
    <w:rsid w:val="00F360BD"/>
    <w:rsid w:val="00F362F6"/>
    <w:rsid w:val="00F36723"/>
    <w:rsid w:val="00F36824"/>
    <w:rsid w:val="00F36850"/>
    <w:rsid w:val="00F3699F"/>
    <w:rsid w:val="00F36BEE"/>
    <w:rsid w:val="00F36C94"/>
    <w:rsid w:val="00F36D5C"/>
    <w:rsid w:val="00F3701E"/>
    <w:rsid w:val="00F371F1"/>
    <w:rsid w:val="00F374D4"/>
    <w:rsid w:val="00F3776F"/>
    <w:rsid w:val="00F37912"/>
    <w:rsid w:val="00F37945"/>
    <w:rsid w:val="00F37B92"/>
    <w:rsid w:val="00F37C18"/>
    <w:rsid w:val="00F37E30"/>
    <w:rsid w:val="00F37EE9"/>
    <w:rsid w:val="00F40081"/>
    <w:rsid w:val="00F40AAC"/>
    <w:rsid w:val="00F40C04"/>
    <w:rsid w:val="00F40C54"/>
    <w:rsid w:val="00F40D2A"/>
    <w:rsid w:val="00F4130B"/>
    <w:rsid w:val="00F4168C"/>
    <w:rsid w:val="00F417C7"/>
    <w:rsid w:val="00F41996"/>
    <w:rsid w:val="00F41B12"/>
    <w:rsid w:val="00F41B85"/>
    <w:rsid w:val="00F41D1E"/>
    <w:rsid w:val="00F41D76"/>
    <w:rsid w:val="00F42CB8"/>
    <w:rsid w:val="00F42EF4"/>
    <w:rsid w:val="00F42EF7"/>
    <w:rsid w:val="00F42F5C"/>
    <w:rsid w:val="00F43339"/>
    <w:rsid w:val="00F434EB"/>
    <w:rsid w:val="00F4381B"/>
    <w:rsid w:val="00F43D16"/>
    <w:rsid w:val="00F44002"/>
    <w:rsid w:val="00F44055"/>
    <w:rsid w:val="00F4437F"/>
    <w:rsid w:val="00F44560"/>
    <w:rsid w:val="00F447DB"/>
    <w:rsid w:val="00F447EC"/>
    <w:rsid w:val="00F44809"/>
    <w:rsid w:val="00F44856"/>
    <w:rsid w:val="00F44A20"/>
    <w:rsid w:val="00F44C3D"/>
    <w:rsid w:val="00F44EB2"/>
    <w:rsid w:val="00F450C1"/>
    <w:rsid w:val="00F453CC"/>
    <w:rsid w:val="00F454DE"/>
    <w:rsid w:val="00F45565"/>
    <w:rsid w:val="00F459F0"/>
    <w:rsid w:val="00F45A57"/>
    <w:rsid w:val="00F45AAD"/>
    <w:rsid w:val="00F45BB1"/>
    <w:rsid w:val="00F45E2C"/>
    <w:rsid w:val="00F46220"/>
    <w:rsid w:val="00F46288"/>
    <w:rsid w:val="00F462CD"/>
    <w:rsid w:val="00F464A3"/>
    <w:rsid w:val="00F465FB"/>
    <w:rsid w:val="00F46794"/>
    <w:rsid w:val="00F4684D"/>
    <w:rsid w:val="00F4688A"/>
    <w:rsid w:val="00F468A6"/>
    <w:rsid w:val="00F46C07"/>
    <w:rsid w:val="00F46D2E"/>
    <w:rsid w:val="00F46FD3"/>
    <w:rsid w:val="00F472EE"/>
    <w:rsid w:val="00F474A0"/>
    <w:rsid w:val="00F47533"/>
    <w:rsid w:val="00F47897"/>
    <w:rsid w:val="00F47C20"/>
    <w:rsid w:val="00F47C47"/>
    <w:rsid w:val="00F47DE7"/>
    <w:rsid w:val="00F47E51"/>
    <w:rsid w:val="00F47FBD"/>
    <w:rsid w:val="00F47FBF"/>
    <w:rsid w:val="00F50017"/>
    <w:rsid w:val="00F501CB"/>
    <w:rsid w:val="00F50223"/>
    <w:rsid w:val="00F5027F"/>
    <w:rsid w:val="00F50341"/>
    <w:rsid w:val="00F504F6"/>
    <w:rsid w:val="00F506E2"/>
    <w:rsid w:val="00F509B3"/>
    <w:rsid w:val="00F50DDF"/>
    <w:rsid w:val="00F50E46"/>
    <w:rsid w:val="00F51115"/>
    <w:rsid w:val="00F5115F"/>
    <w:rsid w:val="00F51912"/>
    <w:rsid w:val="00F51ABF"/>
    <w:rsid w:val="00F51F86"/>
    <w:rsid w:val="00F523B8"/>
    <w:rsid w:val="00F524DA"/>
    <w:rsid w:val="00F52651"/>
    <w:rsid w:val="00F526E8"/>
    <w:rsid w:val="00F527BE"/>
    <w:rsid w:val="00F5293C"/>
    <w:rsid w:val="00F52942"/>
    <w:rsid w:val="00F529B9"/>
    <w:rsid w:val="00F5301B"/>
    <w:rsid w:val="00F53093"/>
    <w:rsid w:val="00F53133"/>
    <w:rsid w:val="00F53314"/>
    <w:rsid w:val="00F533F8"/>
    <w:rsid w:val="00F53586"/>
    <w:rsid w:val="00F53636"/>
    <w:rsid w:val="00F53F18"/>
    <w:rsid w:val="00F54238"/>
    <w:rsid w:val="00F5423E"/>
    <w:rsid w:val="00F54377"/>
    <w:rsid w:val="00F5452D"/>
    <w:rsid w:val="00F54930"/>
    <w:rsid w:val="00F54BF7"/>
    <w:rsid w:val="00F54C87"/>
    <w:rsid w:val="00F54D08"/>
    <w:rsid w:val="00F5505E"/>
    <w:rsid w:val="00F5552D"/>
    <w:rsid w:val="00F55742"/>
    <w:rsid w:val="00F557C4"/>
    <w:rsid w:val="00F55AE6"/>
    <w:rsid w:val="00F55B3A"/>
    <w:rsid w:val="00F55C84"/>
    <w:rsid w:val="00F55D21"/>
    <w:rsid w:val="00F55D7E"/>
    <w:rsid w:val="00F5608F"/>
    <w:rsid w:val="00F5642F"/>
    <w:rsid w:val="00F564E9"/>
    <w:rsid w:val="00F56651"/>
    <w:rsid w:val="00F568BB"/>
    <w:rsid w:val="00F568BC"/>
    <w:rsid w:val="00F56A6D"/>
    <w:rsid w:val="00F56BC8"/>
    <w:rsid w:val="00F56D01"/>
    <w:rsid w:val="00F56D04"/>
    <w:rsid w:val="00F56FB5"/>
    <w:rsid w:val="00F57230"/>
    <w:rsid w:val="00F57243"/>
    <w:rsid w:val="00F57552"/>
    <w:rsid w:val="00F57810"/>
    <w:rsid w:val="00F57A2C"/>
    <w:rsid w:val="00F57A82"/>
    <w:rsid w:val="00F57E33"/>
    <w:rsid w:val="00F57E6B"/>
    <w:rsid w:val="00F57F76"/>
    <w:rsid w:val="00F60090"/>
    <w:rsid w:val="00F603B2"/>
    <w:rsid w:val="00F6070E"/>
    <w:rsid w:val="00F607CB"/>
    <w:rsid w:val="00F60DC1"/>
    <w:rsid w:val="00F61075"/>
    <w:rsid w:val="00F6116D"/>
    <w:rsid w:val="00F61203"/>
    <w:rsid w:val="00F61226"/>
    <w:rsid w:val="00F612CA"/>
    <w:rsid w:val="00F613FB"/>
    <w:rsid w:val="00F61506"/>
    <w:rsid w:val="00F6154A"/>
    <w:rsid w:val="00F61823"/>
    <w:rsid w:val="00F61829"/>
    <w:rsid w:val="00F61A0E"/>
    <w:rsid w:val="00F61B30"/>
    <w:rsid w:val="00F61D43"/>
    <w:rsid w:val="00F620DE"/>
    <w:rsid w:val="00F623BE"/>
    <w:rsid w:val="00F625B9"/>
    <w:rsid w:val="00F626C8"/>
    <w:rsid w:val="00F62837"/>
    <w:rsid w:val="00F628D7"/>
    <w:rsid w:val="00F628DB"/>
    <w:rsid w:val="00F62ACE"/>
    <w:rsid w:val="00F62BA4"/>
    <w:rsid w:val="00F62D3E"/>
    <w:rsid w:val="00F62DA3"/>
    <w:rsid w:val="00F63196"/>
    <w:rsid w:val="00F6377A"/>
    <w:rsid w:val="00F63E99"/>
    <w:rsid w:val="00F640C6"/>
    <w:rsid w:val="00F64230"/>
    <w:rsid w:val="00F6425B"/>
    <w:rsid w:val="00F643A4"/>
    <w:rsid w:val="00F64945"/>
    <w:rsid w:val="00F64A88"/>
    <w:rsid w:val="00F64A98"/>
    <w:rsid w:val="00F64B12"/>
    <w:rsid w:val="00F64C06"/>
    <w:rsid w:val="00F64C81"/>
    <w:rsid w:val="00F64CBB"/>
    <w:rsid w:val="00F65205"/>
    <w:rsid w:val="00F65242"/>
    <w:rsid w:val="00F65617"/>
    <w:rsid w:val="00F65C67"/>
    <w:rsid w:val="00F65C75"/>
    <w:rsid w:val="00F65C76"/>
    <w:rsid w:val="00F662EF"/>
    <w:rsid w:val="00F66370"/>
    <w:rsid w:val="00F667D0"/>
    <w:rsid w:val="00F6694D"/>
    <w:rsid w:val="00F66CB0"/>
    <w:rsid w:val="00F66EE0"/>
    <w:rsid w:val="00F67013"/>
    <w:rsid w:val="00F67119"/>
    <w:rsid w:val="00F67145"/>
    <w:rsid w:val="00F672F0"/>
    <w:rsid w:val="00F674CC"/>
    <w:rsid w:val="00F678EB"/>
    <w:rsid w:val="00F70082"/>
    <w:rsid w:val="00F703E7"/>
    <w:rsid w:val="00F707BD"/>
    <w:rsid w:val="00F708F4"/>
    <w:rsid w:val="00F70D6F"/>
    <w:rsid w:val="00F710EA"/>
    <w:rsid w:val="00F71178"/>
    <w:rsid w:val="00F711BF"/>
    <w:rsid w:val="00F711C6"/>
    <w:rsid w:val="00F7128F"/>
    <w:rsid w:val="00F716B9"/>
    <w:rsid w:val="00F71A56"/>
    <w:rsid w:val="00F71B64"/>
    <w:rsid w:val="00F71C1A"/>
    <w:rsid w:val="00F71D63"/>
    <w:rsid w:val="00F71D90"/>
    <w:rsid w:val="00F71E49"/>
    <w:rsid w:val="00F721DB"/>
    <w:rsid w:val="00F72238"/>
    <w:rsid w:val="00F72482"/>
    <w:rsid w:val="00F72485"/>
    <w:rsid w:val="00F725E1"/>
    <w:rsid w:val="00F72723"/>
    <w:rsid w:val="00F7283A"/>
    <w:rsid w:val="00F72AA9"/>
    <w:rsid w:val="00F72ACB"/>
    <w:rsid w:val="00F72BC9"/>
    <w:rsid w:val="00F72D10"/>
    <w:rsid w:val="00F72E8F"/>
    <w:rsid w:val="00F730CD"/>
    <w:rsid w:val="00F73145"/>
    <w:rsid w:val="00F73306"/>
    <w:rsid w:val="00F73311"/>
    <w:rsid w:val="00F7333E"/>
    <w:rsid w:val="00F7349F"/>
    <w:rsid w:val="00F7359A"/>
    <w:rsid w:val="00F7379F"/>
    <w:rsid w:val="00F73A0F"/>
    <w:rsid w:val="00F73D74"/>
    <w:rsid w:val="00F73D9E"/>
    <w:rsid w:val="00F73E73"/>
    <w:rsid w:val="00F74006"/>
    <w:rsid w:val="00F7414D"/>
    <w:rsid w:val="00F745F2"/>
    <w:rsid w:val="00F74666"/>
    <w:rsid w:val="00F74A25"/>
    <w:rsid w:val="00F74ACF"/>
    <w:rsid w:val="00F74E20"/>
    <w:rsid w:val="00F74F91"/>
    <w:rsid w:val="00F7504F"/>
    <w:rsid w:val="00F750A4"/>
    <w:rsid w:val="00F752D8"/>
    <w:rsid w:val="00F753F6"/>
    <w:rsid w:val="00F755B9"/>
    <w:rsid w:val="00F757CE"/>
    <w:rsid w:val="00F7598C"/>
    <w:rsid w:val="00F75C04"/>
    <w:rsid w:val="00F75ECF"/>
    <w:rsid w:val="00F76154"/>
    <w:rsid w:val="00F7623E"/>
    <w:rsid w:val="00F76AF7"/>
    <w:rsid w:val="00F76BAC"/>
    <w:rsid w:val="00F76D3A"/>
    <w:rsid w:val="00F77321"/>
    <w:rsid w:val="00F77439"/>
    <w:rsid w:val="00F77580"/>
    <w:rsid w:val="00F7775B"/>
    <w:rsid w:val="00F77A5D"/>
    <w:rsid w:val="00F77A67"/>
    <w:rsid w:val="00F77C92"/>
    <w:rsid w:val="00F77F67"/>
    <w:rsid w:val="00F80008"/>
    <w:rsid w:val="00F8009B"/>
    <w:rsid w:val="00F80338"/>
    <w:rsid w:val="00F8052B"/>
    <w:rsid w:val="00F8058D"/>
    <w:rsid w:val="00F80B17"/>
    <w:rsid w:val="00F80B93"/>
    <w:rsid w:val="00F80E3F"/>
    <w:rsid w:val="00F80F3E"/>
    <w:rsid w:val="00F8112A"/>
    <w:rsid w:val="00F81176"/>
    <w:rsid w:val="00F81340"/>
    <w:rsid w:val="00F814FD"/>
    <w:rsid w:val="00F81532"/>
    <w:rsid w:val="00F81638"/>
    <w:rsid w:val="00F816E5"/>
    <w:rsid w:val="00F81A8B"/>
    <w:rsid w:val="00F81AD8"/>
    <w:rsid w:val="00F820FD"/>
    <w:rsid w:val="00F82400"/>
    <w:rsid w:val="00F82636"/>
    <w:rsid w:val="00F82767"/>
    <w:rsid w:val="00F8299F"/>
    <w:rsid w:val="00F82E21"/>
    <w:rsid w:val="00F82E36"/>
    <w:rsid w:val="00F82F81"/>
    <w:rsid w:val="00F830DA"/>
    <w:rsid w:val="00F83230"/>
    <w:rsid w:val="00F832D7"/>
    <w:rsid w:val="00F83332"/>
    <w:rsid w:val="00F833E7"/>
    <w:rsid w:val="00F83692"/>
    <w:rsid w:val="00F837A0"/>
    <w:rsid w:val="00F83864"/>
    <w:rsid w:val="00F83AFD"/>
    <w:rsid w:val="00F83C94"/>
    <w:rsid w:val="00F83ED7"/>
    <w:rsid w:val="00F84158"/>
    <w:rsid w:val="00F842C0"/>
    <w:rsid w:val="00F8432A"/>
    <w:rsid w:val="00F84466"/>
    <w:rsid w:val="00F84815"/>
    <w:rsid w:val="00F84963"/>
    <w:rsid w:val="00F849C4"/>
    <w:rsid w:val="00F84E8A"/>
    <w:rsid w:val="00F84ED3"/>
    <w:rsid w:val="00F8536F"/>
    <w:rsid w:val="00F854D5"/>
    <w:rsid w:val="00F85541"/>
    <w:rsid w:val="00F85AFB"/>
    <w:rsid w:val="00F85D40"/>
    <w:rsid w:val="00F85E33"/>
    <w:rsid w:val="00F86160"/>
    <w:rsid w:val="00F86232"/>
    <w:rsid w:val="00F866A0"/>
    <w:rsid w:val="00F8670A"/>
    <w:rsid w:val="00F86971"/>
    <w:rsid w:val="00F86A31"/>
    <w:rsid w:val="00F86D29"/>
    <w:rsid w:val="00F86D54"/>
    <w:rsid w:val="00F86E8C"/>
    <w:rsid w:val="00F86EBE"/>
    <w:rsid w:val="00F87293"/>
    <w:rsid w:val="00F876BD"/>
    <w:rsid w:val="00F87A78"/>
    <w:rsid w:val="00F87ABD"/>
    <w:rsid w:val="00F87B25"/>
    <w:rsid w:val="00F87BA1"/>
    <w:rsid w:val="00F87BC4"/>
    <w:rsid w:val="00F87CF8"/>
    <w:rsid w:val="00F87D4F"/>
    <w:rsid w:val="00F90167"/>
    <w:rsid w:val="00F90182"/>
    <w:rsid w:val="00F90493"/>
    <w:rsid w:val="00F90689"/>
    <w:rsid w:val="00F908F2"/>
    <w:rsid w:val="00F90926"/>
    <w:rsid w:val="00F90A3D"/>
    <w:rsid w:val="00F90B05"/>
    <w:rsid w:val="00F9143C"/>
    <w:rsid w:val="00F916D6"/>
    <w:rsid w:val="00F91A3B"/>
    <w:rsid w:val="00F91BBF"/>
    <w:rsid w:val="00F920EF"/>
    <w:rsid w:val="00F92258"/>
    <w:rsid w:val="00F9225E"/>
    <w:rsid w:val="00F922C6"/>
    <w:rsid w:val="00F92523"/>
    <w:rsid w:val="00F927D9"/>
    <w:rsid w:val="00F928D7"/>
    <w:rsid w:val="00F92934"/>
    <w:rsid w:val="00F92A7D"/>
    <w:rsid w:val="00F92B05"/>
    <w:rsid w:val="00F92BCE"/>
    <w:rsid w:val="00F93178"/>
    <w:rsid w:val="00F93452"/>
    <w:rsid w:val="00F93460"/>
    <w:rsid w:val="00F9397C"/>
    <w:rsid w:val="00F93B0E"/>
    <w:rsid w:val="00F941D4"/>
    <w:rsid w:val="00F94226"/>
    <w:rsid w:val="00F943E9"/>
    <w:rsid w:val="00F944EB"/>
    <w:rsid w:val="00F948A3"/>
    <w:rsid w:val="00F9492B"/>
    <w:rsid w:val="00F94A46"/>
    <w:rsid w:val="00F94D0D"/>
    <w:rsid w:val="00F94F32"/>
    <w:rsid w:val="00F953F5"/>
    <w:rsid w:val="00F95459"/>
    <w:rsid w:val="00F95862"/>
    <w:rsid w:val="00F95C85"/>
    <w:rsid w:val="00F95D0C"/>
    <w:rsid w:val="00F96064"/>
    <w:rsid w:val="00F96134"/>
    <w:rsid w:val="00F9644F"/>
    <w:rsid w:val="00F964B5"/>
    <w:rsid w:val="00F9686B"/>
    <w:rsid w:val="00F96B5C"/>
    <w:rsid w:val="00F96CF9"/>
    <w:rsid w:val="00F9713E"/>
    <w:rsid w:val="00F972D4"/>
    <w:rsid w:val="00F97330"/>
    <w:rsid w:val="00F9740B"/>
    <w:rsid w:val="00F9742F"/>
    <w:rsid w:val="00F975C5"/>
    <w:rsid w:val="00F975CA"/>
    <w:rsid w:val="00F9764B"/>
    <w:rsid w:val="00F97E70"/>
    <w:rsid w:val="00FA0BD3"/>
    <w:rsid w:val="00FA10A3"/>
    <w:rsid w:val="00FA13D6"/>
    <w:rsid w:val="00FA186E"/>
    <w:rsid w:val="00FA1A9D"/>
    <w:rsid w:val="00FA1E7E"/>
    <w:rsid w:val="00FA1ECC"/>
    <w:rsid w:val="00FA1F10"/>
    <w:rsid w:val="00FA1F71"/>
    <w:rsid w:val="00FA2416"/>
    <w:rsid w:val="00FA255E"/>
    <w:rsid w:val="00FA2604"/>
    <w:rsid w:val="00FA2625"/>
    <w:rsid w:val="00FA2825"/>
    <w:rsid w:val="00FA29D8"/>
    <w:rsid w:val="00FA30BB"/>
    <w:rsid w:val="00FA3599"/>
    <w:rsid w:val="00FA3660"/>
    <w:rsid w:val="00FA3C3F"/>
    <w:rsid w:val="00FA4041"/>
    <w:rsid w:val="00FA41AB"/>
    <w:rsid w:val="00FA426E"/>
    <w:rsid w:val="00FA42CA"/>
    <w:rsid w:val="00FA43A3"/>
    <w:rsid w:val="00FA45F6"/>
    <w:rsid w:val="00FA48F0"/>
    <w:rsid w:val="00FA4EB4"/>
    <w:rsid w:val="00FA4F9E"/>
    <w:rsid w:val="00FA503D"/>
    <w:rsid w:val="00FA53A6"/>
    <w:rsid w:val="00FA54D9"/>
    <w:rsid w:val="00FA5565"/>
    <w:rsid w:val="00FA5C99"/>
    <w:rsid w:val="00FA5F89"/>
    <w:rsid w:val="00FA6191"/>
    <w:rsid w:val="00FA61BD"/>
    <w:rsid w:val="00FA63C9"/>
    <w:rsid w:val="00FA64ED"/>
    <w:rsid w:val="00FA6B37"/>
    <w:rsid w:val="00FA6D81"/>
    <w:rsid w:val="00FA6E78"/>
    <w:rsid w:val="00FA6F45"/>
    <w:rsid w:val="00FA700B"/>
    <w:rsid w:val="00FA796F"/>
    <w:rsid w:val="00FA7A08"/>
    <w:rsid w:val="00FA7A83"/>
    <w:rsid w:val="00FA7DCE"/>
    <w:rsid w:val="00FA7E14"/>
    <w:rsid w:val="00FA7EB7"/>
    <w:rsid w:val="00FB03B3"/>
    <w:rsid w:val="00FB0615"/>
    <w:rsid w:val="00FB074F"/>
    <w:rsid w:val="00FB0A77"/>
    <w:rsid w:val="00FB0EA8"/>
    <w:rsid w:val="00FB0F05"/>
    <w:rsid w:val="00FB105C"/>
    <w:rsid w:val="00FB11A8"/>
    <w:rsid w:val="00FB1626"/>
    <w:rsid w:val="00FB1706"/>
    <w:rsid w:val="00FB1AED"/>
    <w:rsid w:val="00FB1D40"/>
    <w:rsid w:val="00FB20A8"/>
    <w:rsid w:val="00FB255E"/>
    <w:rsid w:val="00FB277D"/>
    <w:rsid w:val="00FB2859"/>
    <w:rsid w:val="00FB311B"/>
    <w:rsid w:val="00FB3395"/>
    <w:rsid w:val="00FB33E5"/>
    <w:rsid w:val="00FB373D"/>
    <w:rsid w:val="00FB385D"/>
    <w:rsid w:val="00FB39D6"/>
    <w:rsid w:val="00FB3B9F"/>
    <w:rsid w:val="00FB3C22"/>
    <w:rsid w:val="00FB3C44"/>
    <w:rsid w:val="00FB3CDE"/>
    <w:rsid w:val="00FB3F63"/>
    <w:rsid w:val="00FB4439"/>
    <w:rsid w:val="00FB44BB"/>
    <w:rsid w:val="00FB45C3"/>
    <w:rsid w:val="00FB46BB"/>
    <w:rsid w:val="00FB4C5B"/>
    <w:rsid w:val="00FB4E33"/>
    <w:rsid w:val="00FB4EF4"/>
    <w:rsid w:val="00FB4F6D"/>
    <w:rsid w:val="00FB4FE9"/>
    <w:rsid w:val="00FB50F6"/>
    <w:rsid w:val="00FB5280"/>
    <w:rsid w:val="00FB52BB"/>
    <w:rsid w:val="00FB55AE"/>
    <w:rsid w:val="00FB56F7"/>
    <w:rsid w:val="00FB5E71"/>
    <w:rsid w:val="00FB6107"/>
    <w:rsid w:val="00FB621F"/>
    <w:rsid w:val="00FB62BA"/>
    <w:rsid w:val="00FB63A5"/>
    <w:rsid w:val="00FB687D"/>
    <w:rsid w:val="00FB6B22"/>
    <w:rsid w:val="00FB6D91"/>
    <w:rsid w:val="00FB7029"/>
    <w:rsid w:val="00FB7080"/>
    <w:rsid w:val="00FB70E5"/>
    <w:rsid w:val="00FB70FC"/>
    <w:rsid w:val="00FB713C"/>
    <w:rsid w:val="00FB74A6"/>
    <w:rsid w:val="00FB7713"/>
    <w:rsid w:val="00FB7DA1"/>
    <w:rsid w:val="00FB7E91"/>
    <w:rsid w:val="00FC06B1"/>
    <w:rsid w:val="00FC0D06"/>
    <w:rsid w:val="00FC0DB8"/>
    <w:rsid w:val="00FC1562"/>
    <w:rsid w:val="00FC16ED"/>
    <w:rsid w:val="00FC1E0A"/>
    <w:rsid w:val="00FC1E50"/>
    <w:rsid w:val="00FC21A1"/>
    <w:rsid w:val="00FC22C7"/>
    <w:rsid w:val="00FC292A"/>
    <w:rsid w:val="00FC2FC0"/>
    <w:rsid w:val="00FC301D"/>
    <w:rsid w:val="00FC34D4"/>
    <w:rsid w:val="00FC36DF"/>
    <w:rsid w:val="00FC3950"/>
    <w:rsid w:val="00FC39D4"/>
    <w:rsid w:val="00FC39F3"/>
    <w:rsid w:val="00FC3B76"/>
    <w:rsid w:val="00FC3C09"/>
    <w:rsid w:val="00FC3DAC"/>
    <w:rsid w:val="00FC3E29"/>
    <w:rsid w:val="00FC3E85"/>
    <w:rsid w:val="00FC40C4"/>
    <w:rsid w:val="00FC4640"/>
    <w:rsid w:val="00FC4806"/>
    <w:rsid w:val="00FC4CAE"/>
    <w:rsid w:val="00FC4DD9"/>
    <w:rsid w:val="00FC4DDC"/>
    <w:rsid w:val="00FC5033"/>
    <w:rsid w:val="00FC5561"/>
    <w:rsid w:val="00FC565B"/>
    <w:rsid w:val="00FC585C"/>
    <w:rsid w:val="00FC59DD"/>
    <w:rsid w:val="00FC5CB9"/>
    <w:rsid w:val="00FC5D59"/>
    <w:rsid w:val="00FC5D9F"/>
    <w:rsid w:val="00FC5DCF"/>
    <w:rsid w:val="00FC5DF1"/>
    <w:rsid w:val="00FC5E4E"/>
    <w:rsid w:val="00FC5F44"/>
    <w:rsid w:val="00FC63B6"/>
    <w:rsid w:val="00FC63CA"/>
    <w:rsid w:val="00FC6520"/>
    <w:rsid w:val="00FC657A"/>
    <w:rsid w:val="00FC69A4"/>
    <w:rsid w:val="00FC6A4A"/>
    <w:rsid w:val="00FC6AD5"/>
    <w:rsid w:val="00FC6B67"/>
    <w:rsid w:val="00FC6CC0"/>
    <w:rsid w:val="00FC6DE5"/>
    <w:rsid w:val="00FC6E7D"/>
    <w:rsid w:val="00FC6F8F"/>
    <w:rsid w:val="00FC707B"/>
    <w:rsid w:val="00FC7899"/>
    <w:rsid w:val="00FC78EF"/>
    <w:rsid w:val="00FC7A90"/>
    <w:rsid w:val="00FC7AF8"/>
    <w:rsid w:val="00FC7D22"/>
    <w:rsid w:val="00FC7F27"/>
    <w:rsid w:val="00FD01B5"/>
    <w:rsid w:val="00FD05DF"/>
    <w:rsid w:val="00FD0A06"/>
    <w:rsid w:val="00FD0C45"/>
    <w:rsid w:val="00FD0CE8"/>
    <w:rsid w:val="00FD0D56"/>
    <w:rsid w:val="00FD0EE2"/>
    <w:rsid w:val="00FD0FD6"/>
    <w:rsid w:val="00FD1500"/>
    <w:rsid w:val="00FD1565"/>
    <w:rsid w:val="00FD1595"/>
    <w:rsid w:val="00FD15D1"/>
    <w:rsid w:val="00FD1611"/>
    <w:rsid w:val="00FD195D"/>
    <w:rsid w:val="00FD1A1A"/>
    <w:rsid w:val="00FD1C0D"/>
    <w:rsid w:val="00FD20D1"/>
    <w:rsid w:val="00FD220B"/>
    <w:rsid w:val="00FD22E0"/>
    <w:rsid w:val="00FD2656"/>
    <w:rsid w:val="00FD2873"/>
    <w:rsid w:val="00FD2B00"/>
    <w:rsid w:val="00FD32FE"/>
    <w:rsid w:val="00FD362A"/>
    <w:rsid w:val="00FD36B6"/>
    <w:rsid w:val="00FD37D3"/>
    <w:rsid w:val="00FD3B92"/>
    <w:rsid w:val="00FD3C52"/>
    <w:rsid w:val="00FD3C96"/>
    <w:rsid w:val="00FD3D1C"/>
    <w:rsid w:val="00FD3DC5"/>
    <w:rsid w:val="00FD4259"/>
    <w:rsid w:val="00FD4A67"/>
    <w:rsid w:val="00FD4F32"/>
    <w:rsid w:val="00FD5501"/>
    <w:rsid w:val="00FD57C4"/>
    <w:rsid w:val="00FD59D5"/>
    <w:rsid w:val="00FD5BAF"/>
    <w:rsid w:val="00FD5C6E"/>
    <w:rsid w:val="00FD5E6D"/>
    <w:rsid w:val="00FD5EA7"/>
    <w:rsid w:val="00FD5FB9"/>
    <w:rsid w:val="00FD662F"/>
    <w:rsid w:val="00FD67DE"/>
    <w:rsid w:val="00FD6D7F"/>
    <w:rsid w:val="00FD7370"/>
    <w:rsid w:val="00FD7395"/>
    <w:rsid w:val="00FD7523"/>
    <w:rsid w:val="00FD75BC"/>
    <w:rsid w:val="00FD7749"/>
    <w:rsid w:val="00FD78AF"/>
    <w:rsid w:val="00FD7AA6"/>
    <w:rsid w:val="00FD7AB1"/>
    <w:rsid w:val="00FD7E03"/>
    <w:rsid w:val="00FD7E2D"/>
    <w:rsid w:val="00FE006C"/>
    <w:rsid w:val="00FE027A"/>
    <w:rsid w:val="00FE03D4"/>
    <w:rsid w:val="00FE0488"/>
    <w:rsid w:val="00FE061B"/>
    <w:rsid w:val="00FE0680"/>
    <w:rsid w:val="00FE0685"/>
    <w:rsid w:val="00FE06C3"/>
    <w:rsid w:val="00FE06E4"/>
    <w:rsid w:val="00FE0E90"/>
    <w:rsid w:val="00FE13A6"/>
    <w:rsid w:val="00FE14BF"/>
    <w:rsid w:val="00FE1741"/>
    <w:rsid w:val="00FE17CD"/>
    <w:rsid w:val="00FE1BDD"/>
    <w:rsid w:val="00FE1C3D"/>
    <w:rsid w:val="00FE1CD2"/>
    <w:rsid w:val="00FE1F4E"/>
    <w:rsid w:val="00FE2050"/>
    <w:rsid w:val="00FE23EA"/>
    <w:rsid w:val="00FE2499"/>
    <w:rsid w:val="00FE2778"/>
    <w:rsid w:val="00FE2927"/>
    <w:rsid w:val="00FE2C3D"/>
    <w:rsid w:val="00FE2D60"/>
    <w:rsid w:val="00FE2E82"/>
    <w:rsid w:val="00FE3498"/>
    <w:rsid w:val="00FE3578"/>
    <w:rsid w:val="00FE3690"/>
    <w:rsid w:val="00FE375E"/>
    <w:rsid w:val="00FE3848"/>
    <w:rsid w:val="00FE3973"/>
    <w:rsid w:val="00FE3A08"/>
    <w:rsid w:val="00FE3AE0"/>
    <w:rsid w:val="00FE3AF2"/>
    <w:rsid w:val="00FE3BA6"/>
    <w:rsid w:val="00FE3E36"/>
    <w:rsid w:val="00FE3E78"/>
    <w:rsid w:val="00FE3F35"/>
    <w:rsid w:val="00FE4026"/>
    <w:rsid w:val="00FE4128"/>
    <w:rsid w:val="00FE43C3"/>
    <w:rsid w:val="00FE46AE"/>
    <w:rsid w:val="00FE46D5"/>
    <w:rsid w:val="00FE4ADF"/>
    <w:rsid w:val="00FE4BF0"/>
    <w:rsid w:val="00FE4C17"/>
    <w:rsid w:val="00FE4DF5"/>
    <w:rsid w:val="00FE5404"/>
    <w:rsid w:val="00FE59E1"/>
    <w:rsid w:val="00FE5A7C"/>
    <w:rsid w:val="00FE5DB7"/>
    <w:rsid w:val="00FE5F32"/>
    <w:rsid w:val="00FE6209"/>
    <w:rsid w:val="00FE63D3"/>
    <w:rsid w:val="00FE64A2"/>
    <w:rsid w:val="00FE68E2"/>
    <w:rsid w:val="00FE6AE9"/>
    <w:rsid w:val="00FE6DE2"/>
    <w:rsid w:val="00FE6FC2"/>
    <w:rsid w:val="00FE704C"/>
    <w:rsid w:val="00FE7082"/>
    <w:rsid w:val="00FE70F2"/>
    <w:rsid w:val="00FE72C5"/>
    <w:rsid w:val="00FE73B5"/>
    <w:rsid w:val="00FE744A"/>
    <w:rsid w:val="00FE77AF"/>
    <w:rsid w:val="00FF0037"/>
    <w:rsid w:val="00FF0473"/>
    <w:rsid w:val="00FF048C"/>
    <w:rsid w:val="00FF0B36"/>
    <w:rsid w:val="00FF176D"/>
    <w:rsid w:val="00FF17CA"/>
    <w:rsid w:val="00FF19E6"/>
    <w:rsid w:val="00FF1DC0"/>
    <w:rsid w:val="00FF264E"/>
    <w:rsid w:val="00FF2B03"/>
    <w:rsid w:val="00FF2E9F"/>
    <w:rsid w:val="00FF3300"/>
    <w:rsid w:val="00FF34C6"/>
    <w:rsid w:val="00FF3700"/>
    <w:rsid w:val="00FF386E"/>
    <w:rsid w:val="00FF38B2"/>
    <w:rsid w:val="00FF3B89"/>
    <w:rsid w:val="00FF3BA1"/>
    <w:rsid w:val="00FF3E87"/>
    <w:rsid w:val="00FF4362"/>
    <w:rsid w:val="00FF4A4D"/>
    <w:rsid w:val="00FF4C35"/>
    <w:rsid w:val="00FF4F0C"/>
    <w:rsid w:val="00FF502F"/>
    <w:rsid w:val="00FF5177"/>
    <w:rsid w:val="00FF51C7"/>
    <w:rsid w:val="00FF5225"/>
    <w:rsid w:val="00FF54B8"/>
    <w:rsid w:val="00FF5768"/>
    <w:rsid w:val="00FF5D11"/>
    <w:rsid w:val="00FF6014"/>
    <w:rsid w:val="00FF606B"/>
    <w:rsid w:val="00FF6162"/>
    <w:rsid w:val="00FF62B5"/>
    <w:rsid w:val="00FF66CB"/>
    <w:rsid w:val="00FF67EF"/>
    <w:rsid w:val="00FF68BA"/>
    <w:rsid w:val="00FF6EDA"/>
    <w:rsid w:val="00FF6FD1"/>
    <w:rsid w:val="00FF702D"/>
    <w:rsid w:val="00FF7572"/>
    <w:rsid w:val="00FF7859"/>
    <w:rsid w:val="00FF7878"/>
    <w:rsid w:val="00FF7A71"/>
    <w:rsid w:val="00FF7C50"/>
    <w:rsid w:val="00FF7C9E"/>
    <w:rsid w:val="00FF7F79"/>
    <w:rsid w:val="00FF7F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f9fc,white"/>
    </o:shapedefaults>
    <o:shapelayout v:ext="edit">
      <o:idmap v:ext="edit" data="1"/>
    </o:shapelayout>
  </w:shapeDefaults>
  <w:decimalSymbol w:val="."/>
  <w:listSeparator w:val=","/>
  <w14:docId w14:val="2A39CA69"/>
  <w15:docId w15:val="{EBEEDEFE-17D8-4E48-98E1-C9B42D6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254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54A2F"/>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254A2F"/>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54A2F"/>
    <w:pPr>
      <w:keepNext/>
      <w:spacing w:before="240" w:after="60" w:line="240" w:lineRule="auto"/>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254A2F"/>
    <w:pPr>
      <w:keepNext/>
      <w:spacing w:after="0" w:line="240" w:lineRule="auto"/>
      <w:ind w:right="65"/>
      <w:jc w:val="both"/>
      <w:outlineLvl w:val="4"/>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254A2F"/>
    <w:pPr>
      <w:keepNext/>
      <w:spacing w:after="0" w:line="240" w:lineRule="auto"/>
      <w:outlineLvl w:val="5"/>
    </w:pPr>
    <w:rPr>
      <w:rFonts w:ascii="Times New Roman" w:eastAsia="Times New Roman" w:hAnsi="Times New Roman" w:cs="Times New Roman"/>
      <w:i/>
      <w:sz w:val="18"/>
      <w:szCs w:val="20"/>
    </w:rPr>
  </w:style>
  <w:style w:type="paragraph" w:styleId="Heading7">
    <w:name w:val="heading 7"/>
    <w:basedOn w:val="Normal"/>
    <w:next w:val="Normal"/>
    <w:link w:val="Heading7Char"/>
    <w:qFormat/>
    <w:rsid w:val="00254A2F"/>
    <w:pPr>
      <w:keepNext/>
      <w:spacing w:after="0" w:line="240" w:lineRule="auto"/>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254A2F"/>
    <w:pPr>
      <w:keepNext/>
      <w:pBdr>
        <w:bottom w:val="single" w:sz="12" w:space="2" w:color="auto"/>
      </w:pBdr>
      <w:tabs>
        <w:tab w:val="right" w:pos="5040"/>
        <w:tab w:val="right" w:pos="6480"/>
        <w:tab w:val="right" w:pos="7920"/>
      </w:tabs>
      <w:spacing w:after="0" w:line="240" w:lineRule="auto"/>
      <w:jc w:val="both"/>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254A2F"/>
    <w:pPr>
      <w:keepNext/>
      <w:spacing w:after="0" w:line="240" w:lineRule="auto"/>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A2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254A2F"/>
    <w:rPr>
      <w:rFonts w:ascii="Arial" w:eastAsia="Times New Roman" w:hAnsi="Arial" w:cs="Times New Roman"/>
      <w:b/>
      <w:i/>
      <w:sz w:val="24"/>
      <w:szCs w:val="20"/>
      <w:lang w:val="en-GB"/>
    </w:rPr>
  </w:style>
  <w:style w:type="character" w:customStyle="1" w:styleId="Heading3Char">
    <w:name w:val="Heading 3 Char"/>
    <w:basedOn w:val="DefaultParagraphFont"/>
    <w:link w:val="Heading3"/>
    <w:rsid w:val="00254A2F"/>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254A2F"/>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254A2F"/>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rsid w:val="00254A2F"/>
    <w:rPr>
      <w:rFonts w:ascii="Times New Roman" w:eastAsia="Times New Roman" w:hAnsi="Times New Roman" w:cs="Times New Roman"/>
      <w:i/>
      <w:sz w:val="18"/>
      <w:szCs w:val="20"/>
      <w:lang w:val="en-GB"/>
    </w:rPr>
  </w:style>
  <w:style w:type="character" w:customStyle="1" w:styleId="Heading7Char">
    <w:name w:val="Heading 7 Char"/>
    <w:basedOn w:val="DefaultParagraphFont"/>
    <w:link w:val="Heading7"/>
    <w:rsid w:val="00254A2F"/>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254A2F"/>
    <w:rPr>
      <w:rFonts w:ascii="Times New Roman" w:eastAsia="Times New Roman" w:hAnsi="Times New Roman" w:cs="Times New Roman"/>
      <w:b/>
      <w:sz w:val="20"/>
      <w:szCs w:val="20"/>
      <w:lang w:val="en-GB"/>
    </w:rPr>
  </w:style>
  <w:style w:type="character" w:customStyle="1" w:styleId="Heading9Char">
    <w:name w:val="Heading 9 Char"/>
    <w:basedOn w:val="DefaultParagraphFont"/>
    <w:link w:val="Heading9"/>
    <w:rsid w:val="00254A2F"/>
    <w:rPr>
      <w:rFonts w:ascii="Times New Roman" w:eastAsia="Times New Roman" w:hAnsi="Times New Roman" w:cs="Times New Roman"/>
      <w:i/>
      <w:sz w:val="20"/>
      <w:szCs w:val="20"/>
      <w:lang w:val="en-GB"/>
    </w:rPr>
  </w:style>
  <w:style w:type="paragraph" w:styleId="NoSpacing">
    <w:name w:val="No Spacing"/>
    <w:link w:val="NoSpacingChar"/>
    <w:uiPriority w:val="1"/>
    <w:qFormat/>
    <w:rsid w:val="00254A2F"/>
    <w:pPr>
      <w:spacing w:after="0" w:line="240" w:lineRule="auto"/>
    </w:pPr>
    <w:rPr>
      <w:lang w:val="en-US"/>
    </w:rPr>
  </w:style>
  <w:style w:type="character" w:customStyle="1" w:styleId="NoSpacingChar">
    <w:name w:val="No Spacing Char"/>
    <w:basedOn w:val="DefaultParagraphFont"/>
    <w:link w:val="NoSpacing"/>
    <w:uiPriority w:val="1"/>
    <w:rsid w:val="00254A2F"/>
    <w:rPr>
      <w:rFonts w:eastAsiaTheme="minorEastAsia"/>
      <w:lang w:val="en-US"/>
    </w:rPr>
  </w:style>
  <w:style w:type="paragraph" w:styleId="BalloonText">
    <w:name w:val="Balloon Text"/>
    <w:basedOn w:val="Normal"/>
    <w:link w:val="BalloonTextChar"/>
    <w:uiPriority w:val="99"/>
    <w:semiHidden/>
    <w:unhideWhenUsed/>
    <w:rsid w:val="00254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A2F"/>
    <w:rPr>
      <w:rFonts w:ascii="Tahoma" w:hAnsi="Tahoma" w:cs="Tahoma"/>
      <w:sz w:val="16"/>
      <w:szCs w:val="16"/>
      <w:lang w:val="en-US"/>
    </w:rPr>
  </w:style>
  <w:style w:type="paragraph" w:styleId="Header">
    <w:name w:val="header"/>
    <w:basedOn w:val="Normal"/>
    <w:link w:val="HeaderChar"/>
    <w:uiPriority w:val="99"/>
    <w:unhideWhenUsed/>
    <w:qFormat/>
    <w:rsid w:val="00254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2F"/>
    <w:rPr>
      <w:lang w:val="en-US"/>
    </w:rPr>
  </w:style>
  <w:style w:type="paragraph" w:styleId="Footer">
    <w:name w:val="footer"/>
    <w:basedOn w:val="Normal"/>
    <w:link w:val="FooterChar"/>
    <w:uiPriority w:val="99"/>
    <w:unhideWhenUsed/>
    <w:rsid w:val="00254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2F"/>
    <w:rPr>
      <w:lang w:val="en-US"/>
    </w:rPr>
  </w:style>
  <w:style w:type="table" w:styleId="TableGrid">
    <w:name w:val="Table Grid"/>
    <w:basedOn w:val="TableNormal"/>
    <w:uiPriority w:val="39"/>
    <w:rsid w:val="00254A2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54A2F"/>
    <w:rPr>
      <w:color w:val="0000FF" w:themeColor="hyperlink"/>
      <w:u w:val="single"/>
    </w:rPr>
  </w:style>
  <w:style w:type="paragraph" w:styleId="FootnoteText">
    <w:name w:val="footnote text"/>
    <w:basedOn w:val="Normal"/>
    <w:link w:val="FootnoteTextChar"/>
    <w:uiPriority w:val="99"/>
    <w:semiHidden/>
    <w:rsid w:val="00254A2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54A2F"/>
    <w:rPr>
      <w:rFonts w:ascii="Times New Roman" w:eastAsia="Times New Roman" w:hAnsi="Times New Roman" w:cs="Times New Roman"/>
      <w:sz w:val="20"/>
      <w:szCs w:val="20"/>
      <w:lang w:val="en-GB"/>
    </w:rPr>
  </w:style>
  <w:style w:type="character" w:styleId="PageNumber">
    <w:name w:val="page number"/>
    <w:basedOn w:val="DefaultParagraphFont"/>
    <w:rsid w:val="00254A2F"/>
  </w:style>
  <w:style w:type="character" w:customStyle="1" w:styleId="CommentTextChar">
    <w:name w:val="Comment Text Char"/>
    <w:basedOn w:val="DefaultParagraphFont"/>
    <w:link w:val="CommentText"/>
    <w:uiPriority w:val="99"/>
    <w:semiHidden/>
    <w:rsid w:val="00254A2F"/>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rsid w:val="00254A2F"/>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254A2F"/>
    <w:rPr>
      <w:sz w:val="20"/>
      <w:szCs w:val="20"/>
      <w:lang w:val="en-US"/>
    </w:rPr>
  </w:style>
  <w:style w:type="paragraph" w:styleId="BodyText">
    <w:name w:val="Body Text"/>
    <w:basedOn w:val="Normal"/>
    <w:link w:val="BodyTextChar"/>
    <w:uiPriority w:val="99"/>
    <w:qFormat/>
    <w:rsid w:val="00254A2F"/>
    <w:pPr>
      <w:tabs>
        <w:tab w:val="right" w:pos="5040"/>
        <w:tab w:val="right" w:pos="6480"/>
        <w:tab w:val="right" w:pos="7920"/>
        <w:tab w:val="right" w:pos="9360"/>
      </w:tabs>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254A2F"/>
    <w:rPr>
      <w:rFonts w:ascii="Times New Roman" w:eastAsia="Times New Roman" w:hAnsi="Times New Roman" w:cs="Times New Roman"/>
      <w:sz w:val="20"/>
      <w:szCs w:val="20"/>
      <w:lang w:val="en-GB"/>
    </w:rPr>
  </w:style>
  <w:style w:type="paragraph" w:styleId="BodyText2">
    <w:name w:val="Body Text 2"/>
    <w:basedOn w:val="Normal"/>
    <w:link w:val="BodyText2Char"/>
    <w:rsid w:val="00254A2F"/>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254A2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254A2F"/>
    <w:pPr>
      <w:tabs>
        <w:tab w:val="left" w:pos="270"/>
      </w:tabs>
      <w:spacing w:after="0" w:line="240" w:lineRule="auto"/>
      <w:ind w:left="270" w:hanging="27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54A2F"/>
    <w:rPr>
      <w:rFonts w:ascii="Times New Roman" w:eastAsia="Times New Roman" w:hAnsi="Times New Roman" w:cs="Times New Roman"/>
      <w:sz w:val="20"/>
      <w:szCs w:val="20"/>
      <w:lang w:val="en-GB"/>
    </w:rPr>
  </w:style>
  <w:style w:type="paragraph" w:customStyle="1" w:styleId="Addresses">
    <w:name w:val="Addresses"/>
    <w:basedOn w:val="Normal"/>
    <w:rsid w:val="00254A2F"/>
    <w:pPr>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254A2F"/>
    <w:pPr>
      <w:spacing w:after="0" w:line="240" w:lineRule="auto"/>
      <w:ind w:right="65"/>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254A2F"/>
    <w:rPr>
      <w:rFonts w:ascii="Times New Roman" w:eastAsia="Times New Roman" w:hAnsi="Times New Roman" w:cs="Times New Roman"/>
      <w:sz w:val="20"/>
      <w:szCs w:val="20"/>
      <w:lang w:val="en-GB"/>
    </w:rPr>
  </w:style>
  <w:style w:type="character" w:customStyle="1" w:styleId="DocumentMapChar">
    <w:name w:val="Document Map Char"/>
    <w:basedOn w:val="DefaultParagraphFont"/>
    <w:link w:val="DocumentMap"/>
    <w:semiHidden/>
    <w:rsid w:val="00254A2F"/>
    <w:rPr>
      <w:rFonts w:ascii="Tahoma" w:eastAsia="Times New Roman" w:hAnsi="Tahoma" w:cs="Times New Roman"/>
      <w:sz w:val="20"/>
      <w:szCs w:val="20"/>
      <w:shd w:val="clear" w:color="auto" w:fill="000080"/>
      <w:lang w:val="en-GB"/>
    </w:rPr>
  </w:style>
  <w:style w:type="paragraph" w:styleId="DocumentMap">
    <w:name w:val="Document Map"/>
    <w:basedOn w:val="Normal"/>
    <w:link w:val="DocumentMapChar"/>
    <w:semiHidden/>
    <w:rsid w:val="00254A2F"/>
    <w:pPr>
      <w:shd w:val="clear" w:color="auto" w:fill="000080"/>
      <w:spacing w:after="0" w:line="240" w:lineRule="auto"/>
    </w:pPr>
    <w:rPr>
      <w:rFonts w:ascii="Tahoma" w:eastAsia="Times New Roman" w:hAnsi="Tahoma" w:cs="Times New Roman"/>
      <w:sz w:val="20"/>
      <w:szCs w:val="20"/>
    </w:rPr>
  </w:style>
  <w:style w:type="character" w:customStyle="1" w:styleId="DocumentMapChar1">
    <w:name w:val="Document Map Char1"/>
    <w:basedOn w:val="DefaultParagraphFont"/>
    <w:uiPriority w:val="99"/>
    <w:semiHidden/>
    <w:rsid w:val="00254A2F"/>
    <w:rPr>
      <w:rFonts w:ascii="Tahoma" w:hAnsi="Tahoma" w:cs="Tahoma"/>
      <w:sz w:val="16"/>
      <w:szCs w:val="16"/>
      <w:lang w:val="en-US"/>
    </w:rPr>
  </w:style>
  <w:style w:type="paragraph" w:styleId="BodyTextIndent2">
    <w:name w:val="Body Text Indent 2"/>
    <w:basedOn w:val="Normal"/>
    <w:link w:val="BodyTextIndent2Char"/>
    <w:rsid w:val="00254A2F"/>
    <w:pPr>
      <w:spacing w:after="0" w:line="240" w:lineRule="auto"/>
      <w:ind w:left="284"/>
      <w:jc w:val="both"/>
    </w:pPr>
    <w:rPr>
      <w:rFonts w:ascii="Times New Roman" w:eastAsia="Times New Roman" w:hAnsi="Times New Roman" w:cs="Times New Roman"/>
      <w:i/>
      <w:sz w:val="20"/>
      <w:szCs w:val="20"/>
    </w:rPr>
  </w:style>
  <w:style w:type="character" w:customStyle="1" w:styleId="BodyTextIndent2Char">
    <w:name w:val="Body Text Indent 2 Char"/>
    <w:basedOn w:val="DefaultParagraphFont"/>
    <w:link w:val="BodyTextIndent2"/>
    <w:rsid w:val="00254A2F"/>
    <w:rPr>
      <w:rFonts w:ascii="Times New Roman" w:eastAsia="Times New Roman" w:hAnsi="Times New Roman" w:cs="Times New Roman"/>
      <w:i/>
      <w:sz w:val="20"/>
      <w:szCs w:val="20"/>
      <w:lang w:val="en-GB"/>
    </w:rPr>
  </w:style>
  <w:style w:type="character" w:styleId="FollowedHyperlink">
    <w:name w:val="FollowedHyperlink"/>
    <w:basedOn w:val="DefaultParagraphFont"/>
    <w:rsid w:val="00254A2F"/>
    <w:rPr>
      <w:color w:val="800080"/>
      <w:u w:val="single"/>
    </w:rPr>
  </w:style>
  <w:style w:type="paragraph" w:customStyle="1" w:styleId="t">
    <w:name w:val="t"/>
    <w:basedOn w:val="Normal"/>
    <w:rsid w:val="00254A2F"/>
    <w:pPr>
      <w:tabs>
        <w:tab w:val="right" w:pos="5760"/>
        <w:tab w:val="right" w:pos="7200"/>
        <w:tab w:val="right" w:pos="8640"/>
      </w:tabs>
      <w:spacing w:after="0" w:line="240" w:lineRule="auto"/>
      <w:jc w:val="both"/>
    </w:pPr>
    <w:rPr>
      <w:rFonts w:ascii="Times New Roman" w:eastAsia="Times New Roman" w:hAnsi="Times New Roman" w:cs="Times New Roman"/>
      <w:sz w:val="20"/>
      <w:szCs w:val="20"/>
    </w:rPr>
  </w:style>
  <w:style w:type="paragraph" w:styleId="BodyTextIndent3">
    <w:name w:val="Body Text Indent 3"/>
    <w:basedOn w:val="Normal"/>
    <w:link w:val="BodyTextIndent3Char"/>
    <w:rsid w:val="00254A2F"/>
    <w:pPr>
      <w:suppressAutoHyphens/>
      <w:spacing w:after="0" w:line="240" w:lineRule="auto"/>
      <w:ind w:left="360" w:hanging="360"/>
      <w:jc w:val="both"/>
    </w:pPr>
    <w:rPr>
      <w:rFonts w:ascii="Times New Roman" w:eastAsia="Times New Roman" w:hAnsi="Times New Roman" w:cs="Times New Roman"/>
      <w:spacing w:val="-2"/>
      <w:sz w:val="20"/>
      <w:szCs w:val="20"/>
    </w:rPr>
  </w:style>
  <w:style w:type="character" w:customStyle="1" w:styleId="BodyTextIndent3Char">
    <w:name w:val="Body Text Indent 3 Char"/>
    <w:basedOn w:val="DefaultParagraphFont"/>
    <w:link w:val="BodyTextIndent3"/>
    <w:rsid w:val="00254A2F"/>
    <w:rPr>
      <w:rFonts w:ascii="Times New Roman" w:eastAsia="Times New Roman" w:hAnsi="Times New Roman" w:cs="Times New Roman"/>
      <w:spacing w:val="-2"/>
      <w:sz w:val="20"/>
      <w:szCs w:val="20"/>
      <w:lang w:val="en-GB"/>
    </w:rPr>
  </w:style>
  <w:style w:type="paragraph" w:customStyle="1" w:styleId="Document1">
    <w:name w:val="Document 1"/>
    <w:rsid w:val="00254A2F"/>
    <w:pPr>
      <w:keepNext/>
      <w:keepLines/>
      <w:widowControl w:val="0"/>
      <w:tabs>
        <w:tab w:val="left" w:pos="-720"/>
      </w:tabs>
      <w:suppressAutoHyphens/>
      <w:spacing w:after="0" w:line="240" w:lineRule="auto"/>
    </w:pPr>
    <w:rPr>
      <w:rFonts w:ascii="Swiss Light 10pt" w:eastAsia="Times New Roman" w:hAnsi="Swiss Light 10pt" w:cs="Times New Roman"/>
      <w:sz w:val="20"/>
      <w:szCs w:val="20"/>
      <w:lang w:val="en-US"/>
    </w:rPr>
  </w:style>
  <w:style w:type="paragraph" w:styleId="BlockText">
    <w:name w:val="Block Text"/>
    <w:basedOn w:val="Normal"/>
    <w:rsid w:val="00254A2F"/>
    <w:pPr>
      <w:widowControl w:val="0"/>
      <w:tabs>
        <w:tab w:val="left" w:pos="-845"/>
        <w:tab w:val="left" w:pos="-740"/>
        <w:tab w:val="left" w:pos="-528"/>
        <w:tab w:val="left" w:pos="0"/>
        <w:tab w:val="left" w:pos="720"/>
        <w:tab w:val="decimal" w:pos="3207"/>
        <w:tab w:val="decimal" w:pos="4568"/>
        <w:tab w:val="decimal" w:pos="6318"/>
        <w:tab w:val="decimal" w:pos="7678"/>
        <w:tab w:val="decimal" w:pos="8931"/>
        <w:tab w:val="decimal" w:pos="9356"/>
      </w:tabs>
      <w:suppressAutoHyphens/>
      <w:spacing w:after="0" w:line="240" w:lineRule="auto"/>
      <w:ind w:left="720" w:right="120" w:hanging="720"/>
      <w:jc w:val="both"/>
    </w:pPr>
    <w:rPr>
      <w:rFonts w:ascii="Times New Roman" w:eastAsia="Times New Roman" w:hAnsi="Times New Roman" w:cs="Times New Roman"/>
      <w:sz w:val="24"/>
      <w:szCs w:val="20"/>
    </w:rPr>
  </w:style>
  <w:style w:type="paragraph" w:styleId="NormalIndent">
    <w:name w:val="Normal Indent"/>
    <w:basedOn w:val="Normal"/>
    <w:rsid w:val="00254A2F"/>
    <w:pPr>
      <w:widowControl w:val="0"/>
      <w:spacing w:after="0" w:line="240" w:lineRule="auto"/>
      <w:ind w:left="720"/>
    </w:pPr>
    <w:rPr>
      <w:rFonts w:ascii="Swiss Light 10pt" w:eastAsia="Times New Roman" w:hAnsi="Swiss Light 10pt" w:cs="Times New Roman"/>
      <w:sz w:val="20"/>
      <w:szCs w:val="20"/>
    </w:rPr>
  </w:style>
  <w:style w:type="paragraph" w:styleId="HTMLPreformatted">
    <w:name w:val="HTML Preformatted"/>
    <w:basedOn w:val="Normal"/>
    <w:link w:val="HTMLPreformattedChar"/>
    <w:rsid w:val="00254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254A2F"/>
    <w:rPr>
      <w:rFonts w:ascii="Courier New" w:eastAsia="MS Mincho" w:hAnsi="Courier New" w:cs="Courier New"/>
      <w:sz w:val="20"/>
      <w:szCs w:val="20"/>
      <w:lang w:val="en-US" w:eastAsia="ja-JP"/>
    </w:rPr>
  </w:style>
  <w:style w:type="character" w:styleId="HTMLKeyboard">
    <w:name w:val="HTML Keyboard"/>
    <w:basedOn w:val="DefaultParagraphFont"/>
    <w:rsid w:val="00254A2F"/>
    <w:rPr>
      <w:rFonts w:ascii="Courier New" w:eastAsia="MS Mincho" w:hAnsi="Courier New" w:cs="Courier New"/>
      <w:sz w:val="20"/>
      <w:szCs w:val="20"/>
    </w:rPr>
  </w:style>
  <w:style w:type="paragraph" w:styleId="Date">
    <w:name w:val="Date"/>
    <w:basedOn w:val="Normal"/>
    <w:next w:val="Normal"/>
    <w:link w:val="DateChar"/>
    <w:rsid w:val="00254A2F"/>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254A2F"/>
    <w:rPr>
      <w:rFonts w:ascii="Times New Roman" w:eastAsia="Times New Roman" w:hAnsi="Times New Roman" w:cs="Times New Roman"/>
      <w:sz w:val="20"/>
      <w:szCs w:val="20"/>
      <w:lang w:val="en-GB"/>
    </w:rPr>
  </w:style>
  <w:style w:type="paragraph" w:customStyle="1" w:styleId="NormalJustifiedChar">
    <w:name w:val="Normal + Justified Char"/>
    <w:aliases w:val="line spacing:  1.5 lines Char Char Char Char Char Char Char"/>
    <w:basedOn w:val="Normal"/>
    <w:uiPriority w:val="99"/>
    <w:rsid w:val="00254A2F"/>
    <w:pPr>
      <w:tabs>
        <w:tab w:val="num" w:pos="360"/>
      </w:tabs>
      <w:spacing w:after="0" w:line="240" w:lineRule="auto"/>
      <w:ind w:left="360" w:hanging="360"/>
    </w:pPr>
    <w:rPr>
      <w:rFonts w:ascii="Times New Roman" w:eastAsia="Times New Roman" w:hAnsi="Times New Roman" w:cs="Times New Roman"/>
      <w:sz w:val="20"/>
      <w:szCs w:val="20"/>
    </w:rPr>
  </w:style>
  <w:style w:type="character" w:customStyle="1" w:styleId="linespacing15linesCharCharCharCharCharCharCharChar">
    <w:name w:val="line spacing:  1.5 lines Char Char Char Char Char Char Char Char"/>
    <w:basedOn w:val="DefaultParagraphFont"/>
    <w:rsid w:val="00254A2F"/>
    <w:rPr>
      <w:lang w:val="en-GB" w:eastAsia="en-US" w:bidi="ar-SA"/>
    </w:rPr>
  </w:style>
  <w:style w:type="paragraph" w:styleId="NormalWeb">
    <w:name w:val="Normal (Web)"/>
    <w:basedOn w:val="Normal"/>
    <w:uiPriority w:val="99"/>
    <w:rsid w:val="00254A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4A2F"/>
    <w:pPr>
      <w:spacing w:after="0" w:line="240" w:lineRule="auto"/>
      <w:ind w:left="720"/>
    </w:pPr>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254A2F"/>
    <w:pPr>
      <w:outlineLvl w:val="9"/>
    </w:pPr>
  </w:style>
  <w:style w:type="paragraph" w:styleId="TOC1">
    <w:name w:val="toc 1"/>
    <w:basedOn w:val="Normal"/>
    <w:next w:val="Normal"/>
    <w:autoRedefine/>
    <w:uiPriority w:val="39"/>
    <w:unhideWhenUsed/>
    <w:rsid w:val="00254A2F"/>
    <w:pPr>
      <w:tabs>
        <w:tab w:val="right" w:leader="dot" w:pos="11187"/>
      </w:tabs>
      <w:spacing w:after="100"/>
      <w:ind w:right="227"/>
    </w:pPr>
  </w:style>
  <w:style w:type="paragraph" w:styleId="TOC3">
    <w:name w:val="toc 3"/>
    <w:basedOn w:val="Normal"/>
    <w:next w:val="Normal"/>
    <w:autoRedefine/>
    <w:uiPriority w:val="39"/>
    <w:unhideWhenUsed/>
    <w:rsid w:val="00254A2F"/>
    <w:pPr>
      <w:spacing w:after="100"/>
      <w:ind w:left="440"/>
    </w:pPr>
  </w:style>
  <w:style w:type="paragraph" w:styleId="CommentSubject">
    <w:name w:val="annotation subject"/>
    <w:basedOn w:val="CommentText"/>
    <w:next w:val="CommentText"/>
    <w:link w:val="CommentSubjectChar"/>
    <w:uiPriority w:val="99"/>
    <w:semiHidden/>
    <w:unhideWhenUsed/>
    <w:rsid w:val="00254A2F"/>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254A2F"/>
    <w:rPr>
      <w:b/>
      <w:bCs/>
      <w:sz w:val="20"/>
      <w:szCs w:val="20"/>
      <w:lang w:val="en-US"/>
    </w:rPr>
  </w:style>
  <w:style w:type="table" w:customStyle="1" w:styleId="LightShading1">
    <w:name w:val="Light Shading1"/>
    <w:basedOn w:val="TableNormal"/>
    <w:uiPriority w:val="60"/>
    <w:rsid w:val="00254A2F"/>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54A2F"/>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254A2F"/>
    <w:pPr>
      <w:spacing w:after="0" w:line="240" w:lineRule="auto"/>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254A2F"/>
    <w:pPr>
      <w:spacing w:after="0" w:line="240" w:lineRule="auto"/>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MediumGrid11">
    <w:name w:val="Medium Grid 11"/>
    <w:basedOn w:val="TableNormal"/>
    <w:uiPriority w:val="67"/>
    <w:rsid w:val="00254A2F"/>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Pa36">
    <w:name w:val="Pa36"/>
    <w:basedOn w:val="Normal"/>
    <w:next w:val="Normal"/>
    <w:uiPriority w:val="99"/>
    <w:rsid w:val="002D0E2C"/>
    <w:pPr>
      <w:autoSpaceDE w:val="0"/>
      <w:autoSpaceDN w:val="0"/>
      <w:adjustRightInd w:val="0"/>
      <w:spacing w:after="0" w:line="201" w:lineRule="atLeast"/>
    </w:pPr>
    <w:rPr>
      <w:rFonts w:ascii="Times" w:hAnsi="Times" w:cs="Times"/>
      <w:sz w:val="24"/>
      <w:szCs w:val="24"/>
    </w:rPr>
  </w:style>
  <w:style w:type="character" w:customStyle="1" w:styleId="A8">
    <w:name w:val="A8"/>
    <w:uiPriority w:val="99"/>
    <w:rsid w:val="002D0E2C"/>
    <w:rPr>
      <w:rFonts w:ascii="Zapf Dingbats ITC" w:hAnsi="Zapf Dingbats ITC" w:cs="Zapf Dingbats ITC"/>
      <w:color w:val="000000"/>
      <w:sz w:val="12"/>
      <w:szCs w:val="12"/>
    </w:rPr>
  </w:style>
  <w:style w:type="paragraph" w:customStyle="1" w:styleId="Pa33">
    <w:name w:val="Pa33"/>
    <w:basedOn w:val="Normal"/>
    <w:next w:val="Normal"/>
    <w:uiPriority w:val="99"/>
    <w:rsid w:val="001808F1"/>
    <w:pPr>
      <w:autoSpaceDE w:val="0"/>
      <w:autoSpaceDN w:val="0"/>
      <w:adjustRightInd w:val="0"/>
      <w:spacing w:after="0" w:line="201" w:lineRule="atLeast"/>
    </w:pPr>
    <w:rPr>
      <w:rFonts w:ascii="Times" w:hAnsi="Times" w:cs="Times"/>
      <w:sz w:val="24"/>
      <w:szCs w:val="24"/>
    </w:rPr>
  </w:style>
  <w:style w:type="paragraph" w:customStyle="1" w:styleId="Pa37">
    <w:name w:val="Pa37"/>
    <w:basedOn w:val="Normal"/>
    <w:next w:val="Normal"/>
    <w:uiPriority w:val="99"/>
    <w:rsid w:val="001808F1"/>
    <w:pPr>
      <w:autoSpaceDE w:val="0"/>
      <w:autoSpaceDN w:val="0"/>
      <w:adjustRightInd w:val="0"/>
      <w:spacing w:after="0" w:line="201" w:lineRule="atLeast"/>
    </w:pPr>
    <w:rPr>
      <w:rFonts w:ascii="Times" w:hAnsi="Times" w:cs="Times"/>
      <w:sz w:val="24"/>
      <w:szCs w:val="24"/>
    </w:rPr>
  </w:style>
  <w:style w:type="paragraph" w:customStyle="1" w:styleId="Pa10">
    <w:name w:val="Pa10"/>
    <w:basedOn w:val="Normal"/>
    <w:next w:val="Normal"/>
    <w:uiPriority w:val="99"/>
    <w:rsid w:val="001808F1"/>
    <w:pPr>
      <w:autoSpaceDE w:val="0"/>
      <w:autoSpaceDN w:val="0"/>
      <w:adjustRightInd w:val="0"/>
      <w:spacing w:after="0" w:line="181" w:lineRule="atLeast"/>
    </w:pPr>
    <w:rPr>
      <w:rFonts w:ascii="Times" w:hAnsi="Times" w:cs="Times"/>
      <w:sz w:val="24"/>
      <w:szCs w:val="24"/>
    </w:rPr>
  </w:style>
  <w:style w:type="paragraph" w:customStyle="1" w:styleId="Pa9">
    <w:name w:val="Pa9"/>
    <w:basedOn w:val="Normal"/>
    <w:next w:val="Normal"/>
    <w:uiPriority w:val="99"/>
    <w:rsid w:val="001808F1"/>
    <w:pPr>
      <w:autoSpaceDE w:val="0"/>
      <w:autoSpaceDN w:val="0"/>
      <w:adjustRightInd w:val="0"/>
      <w:spacing w:after="0" w:line="201" w:lineRule="atLeast"/>
    </w:pPr>
    <w:rPr>
      <w:rFonts w:ascii="Times" w:hAnsi="Times" w:cs="Times"/>
      <w:sz w:val="24"/>
      <w:szCs w:val="24"/>
    </w:rPr>
  </w:style>
  <w:style w:type="paragraph" w:customStyle="1" w:styleId="Pa8">
    <w:name w:val="Pa8"/>
    <w:basedOn w:val="Normal"/>
    <w:next w:val="Normal"/>
    <w:uiPriority w:val="99"/>
    <w:rsid w:val="001808F1"/>
    <w:pPr>
      <w:autoSpaceDE w:val="0"/>
      <w:autoSpaceDN w:val="0"/>
      <w:adjustRightInd w:val="0"/>
      <w:spacing w:after="0" w:line="201" w:lineRule="atLeast"/>
    </w:pPr>
    <w:rPr>
      <w:rFonts w:ascii="Times" w:hAnsi="Times" w:cs="Times"/>
      <w:sz w:val="24"/>
      <w:szCs w:val="24"/>
    </w:rPr>
  </w:style>
  <w:style w:type="paragraph" w:customStyle="1" w:styleId="Pa41">
    <w:name w:val="Pa41"/>
    <w:basedOn w:val="Normal"/>
    <w:next w:val="Normal"/>
    <w:uiPriority w:val="99"/>
    <w:rsid w:val="00FF4A4D"/>
    <w:pPr>
      <w:autoSpaceDE w:val="0"/>
      <w:autoSpaceDN w:val="0"/>
      <w:adjustRightInd w:val="0"/>
      <w:spacing w:after="0" w:line="201" w:lineRule="atLeast"/>
    </w:pPr>
    <w:rPr>
      <w:rFonts w:ascii="Times" w:hAnsi="Times" w:cs="Times"/>
      <w:sz w:val="24"/>
      <w:szCs w:val="24"/>
    </w:rPr>
  </w:style>
  <w:style w:type="character" w:styleId="CommentReference">
    <w:name w:val="annotation reference"/>
    <w:basedOn w:val="DefaultParagraphFont"/>
    <w:uiPriority w:val="99"/>
    <w:semiHidden/>
    <w:unhideWhenUsed/>
    <w:rsid w:val="00FC657A"/>
    <w:rPr>
      <w:sz w:val="16"/>
      <w:szCs w:val="16"/>
    </w:rPr>
  </w:style>
  <w:style w:type="paragraph" w:styleId="Revision">
    <w:name w:val="Revision"/>
    <w:hidden/>
    <w:uiPriority w:val="99"/>
    <w:semiHidden/>
    <w:rsid w:val="00506FC5"/>
    <w:pPr>
      <w:spacing w:after="0" w:line="240" w:lineRule="auto"/>
    </w:pPr>
    <w:rPr>
      <w:lang w:val="en-US"/>
    </w:rPr>
  </w:style>
  <w:style w:type="paragraph" w:customStyle="1" w:styleId="Default">
    <w:name w:val="Default"/>
    <w:rsid w:val="00D161C2"/>
    <w:pPr>
      <w:autoSpaceDE w:val="0"/>
      <w:autoSpaceDN w:val="0"/>
      <w:adjustRightInd w:val="0"/>
      <w:spacing w:after="0" w:line="240" w:lineRule="auto"/>
    </w:pPr>
    <w:rPr>
      <w:rFonts w:ascii="Times" w:hAnsi="Times" w:cs="Times"/>
      <w:color w:val="000000"/>
      <w:sz w:val="24"/>
      <w:szCs w:val="24"/>
    </w:rPr>
  </w:style>
  <w:style w:type="character" w:customStyle="1" w:styleId="A4">
    <w:name w:val="A4"/>
    <w:uiPriority w:val="99"/>
    <w:rsid w:val="00D161C2"/>
    <w:rPr>
      <w:color w:val="000000"/>
    </w:rPr>
  </w:style>
  <w:style w:type="paragraph" w:customStyle="1" w:styleId="Pa29">
    <w:name w:val="Pa29"/>
    <w:basedOn w:val="Default"/>
    <w:next w:val="Default"/>
    <w:uiPriority w:val="99"/>
    <w:rsid w:val="00A7764D"/>
    <w:pPr>
      <w:spacing w:line="201" w:lineRule="atLeast"/>
    </w:pPr>
    <w:rPr>
      <w:color w:val="auto"/>
      <w:lang w:val="en-US"/>
    </w:rPr>
  </w:style>
  <w:style w:type="paragraph" w:customStyle="1" w:styleId="Pa30">
    <w:name w:val="Pa30"/>
    <w:basedOn w:val="Default"/>
    <w:next w:val="Default"/>
    <w:uiPriority w:val="99"/>
    <w:rsid w:val="00A7764D"/>
    <w:pPr>
      <w:spacing w:line="201" w:lineRule="atLeast"/>
    </w:pPr>
    <w:rPr>
      <w:color w:val="auto"/>
      <w:lang w:val="en-US"/>
    </w:rPr>
  </w:style>
  <w:style w:type="paragraph" w:customStyle="1" w:styleId="Pa28">
    <w:name w:val="Pa28"/>
    <w:basedOn w:val="Default"/>
    <w:next w:val="Default"/>
    <w:uiPriority w:val="99"/>
    <w:rsid w:val="00A7764D"/>
    <w:pPr>
      <w:spacing w:line="201" w:lineRule="atLeast"/>
    </w:pPr>
    <w:rPr>
      <w:color w:val="auto"/>
      <w:lang w:val="en-US"/>
    </w:rPr>
  </w:style>
  <w:style w:type="paragraph" w:customStyle="1" w:styleId="Pa31">
    <w:name w:val="Pa31"/>
    <w:basedOn w:val="Default"/>
    <w:next w:val="Default"/>
    <w:uiPriority w:val="99"/>
    <w:rsid w:val="00A7764D"/>
    <w:pPr>
      <w:spacing w:line="201" w:lineRule="atLeast"/>
    </w:pPr>
    <w:rPr>
      <w:color w:val="auto"/>
      <w:lang w:val="en-US"/>
    </w:rPr>
  </w:style>
  <w:style w:type="character" w:customStyle="1" w:styleId="A5">
    <w:name w:val="A5"/>
    <w:uiPriority w:val="99"/>
    <w:rsid w:val="00A7764D"/>
    <w:rPr>
      <w:rFonts w:ascii="Zapf Dingbats ITC" w:hAnsi="Zapf Dingbats ITC" w:cs="Zapf Dingbats ITC"/>
      <w:color w:val="000000"/>
      <w:sz w:val="12"/>
      <w:szCs w:val="12"/>
    </w:rPr>
  </w:style>
  <w:style w:type="paragraph" w:customStyle="1" w:styleId="Pa32">
    <w:name w:val="Pa32"/>
    <w:basedOn w:val="Default"/>
    <w:next w:val="Default"/>
    <w:uiPriority w:val="99"/>
    <w:rsid w:val="00B5176C"/>
    <w:pPr>
      <w:spacing w:line="201" w:lineRule="atLeast"/>
    </w:pPr>
    <w:rPr>
      <w:color w:val="auto"/>
      <w:lang w:val="en-US"/>
    </w:rPr>
  </w:style>
  <w:style w:type="paragraph" w:customStyle="1" w:styleId="Pa611">
    <w:name w:val="Pa6+11"/>
    <w:basedOn w:val="Default"/>
    <w:next w:val="Default"/>
    <w:uiPriority w:val="99"/>
    <w:rsid w:val="00965202"/>
    <w:pPr>
      <w:spacing w:line="201" w:lineRule="atLeast"/>
    </w:pPr>
    <w:rPr>
      <w:rFonts w:ascii="Helvetica 65 Medium" w:hAnsi="Helvetica 65 Medium" w:cstheme="minorBidi"/>
      <w:color w:val="auto"/>
      <w:lang w:val="en-US"/>
    </w:rPr>
  </w:style>
  <w:style w:type="character" w:styleId="FootnoteReference">
    <w:name w:val="footnote reference"/>
    <w:basedOn w:val="DefaultParagraphFont"/>
    <w:uiPriority w:val="99"/>
    <w:unhideWhenUsed/>
    <w:rsid w:val="00965202"/>
    <w:rPr>
      <w:vertAlign w:val="superscript"/>
    </w:rPr>
  </w:style>
  <w:style w:type="paragraph" w:customStyle="1" w:styleId="Pa411">
    <w:name w:val="Pa4+11"/>
    <w:basedOn w:val="Default"/>
    <w:next w:val="Default"/>
    <w:uiPriority w:val="99"/>
    <w:rsid w:val="004577C8"/>
    <w:pPr>
      <w:spacing w:line="201" w:lineRule="atLeast"/>
    </w:pPr>
    <w:rPr>
      <w:rFonts w:cstheme="minorBidi"/>
      <w:color w:val="auto"/>
      <w:lang w:val="en-US"/>
    </w:rPr>
  </w:style>
  <w:style w:type="paragraph" w:customStyle="1" w:styleId="Pa312">
    <w:name w:val="Pa3+12"/>
    <w:basedOn w:val="Default"/>
    <w:next w:val="Default"/>
    <w:uiPriority w:val="99"/>
    <w:rsid w:val="004577C8"/>
    <w:pPr>
      <w:spacing w:line="201" w:lineRule="atLeast"/>
    </w:pPr>
    <w:rPr>
      <w:rFonts w:ascii="Helvetica 45 Light" w:hAnsi="Helvetica 45 Light" w:cstheme="minorBidi"/>
      <w:color w:val="auto"/>
      <w:lang w:val="en-US"/>
    </w:rPr>
  </w:style>
  <w:style w:type="character" w:customStyle="1" w:styleId="A412">
    <w:name w:val="A4+12"/>
    <w:uiPriority w:val="99"/>
    <w:rsid w:val="004577C8"/>
    <w:rPr>
      <w:rFonts w:ascii="Times" w:hAnsi="Times" w:cs="Times"/>
      <w:b/>
      <w:bCs/>
      <w:color w:val="000000"/>
      <w:sz w:val="22"/>
      <w:szCs w:val="22"/>
    </w:rPr>
  </w:style>
  <w:style w:type="paragraph" w:customStyle="1" w:styleId="Pa711">
    <w:name w:val="Pa7+11"/>
    <w:basedOn w:val="Default"/>
    <w:next w:val="Default"/>
    <w:uiPriority w:val="99"/>
    <w:rsid w:val="004577C8"/>
    <w:pPr>
      <w:spacing w:line="201" w:lineRule="atLeast"/>
    </w:pPr>
    <w:rPr>
      <w:rFonts w:ascii="Helvetica 65 Medium" w:hAnsi="Helvetica 65 Medium" w:cstheme="minorBidi"/>
      <w:color w:val="auto"/>
      <w:lang w:val="en-US"/>
    </w:rPr>
  </w:style>
  <w:style w:type="paragraph" w:customStyle="1" w:styleId="Pa1211">
    <w:name w:val="Pa12+11"/>
    <w:basedOn w:val="Default"/>
    <w:next w:val="Default"/>
    <w:uiPriority w:val="99"/>
    <w:rsid w:val="004577C8"/>
    <w:pPr>
      <w:spacing w:line="201" w:lineRule="atLeast"/>
    </w:pPr>
    <w:rPr>
      <w:rFonts w:ascii="Helvetica 65 Medium" w:hAnsi="Helvetica 65 Medium" w:cstheme="minorBidi"/>
      <w:color w:val="auto"/>
      <w:lang w:val="en-US"/>
    </w:rPr>
  </w:style>
  <w:style w:type="character" w:customStyle="1" w:styleId="A611">
    <w:name w:val="A6+11"/>
    <w:uiPriority w:val="99"/>
    <w:rsid w:val="004577C8"/>
    <w:rPr>
      <w:rFonts w:cs="Times"/>
      <w:color w:val="000000"/>
      <w:sz w:val="16"/>
      <w:szCs w:val="16"/>
    </w:rPr>
  </w:style>
  <w:style w:type="paragraph" w:customStyle="1" w:styleId="Pa1811">
    <w:name w:val="Pa18+11"/>
    <w:basedOn w:val="Default"/>
    <w:next w:val="Default"/>
    <w:uiPriority w:val="99"/>
    <w:rsid w:val="004577C8"/>
    <w:pPr>
      <w:spacing w:line="201" w:lineRule="atLeast"/>
    </w:pPr>
    <w:rPr>
      <w:rFonts w:ascii="Helvetica 65 Medium" w:hAnsi="Helvetica 65 Medium" w:cstheme="minorBidi"/>
      <w:color w:val="auto"/>
      <w:lang w:val="en-US"/>
    </w:rPr>
  </w:style>
  <w:style w:type="paragraph" w:customStyle="1" w:styleId="Pa1611">
    <w:name w:val="Pa16+11"/>
    <w:basedOn w:val="Default"/>
    <w:next w:val="Default"/>
    <w:uiPriority w:val="99"/>
    <w:rsid w:val="004577C8"/>
    <w:pPr>
      <w:spacing w:line="201" w:lineRule="atLeast"/>
    </w:pPr>
    <w:rPr>
      <w:rFonts w:ascii="Helvetica 65 Medium" w:hAnsi="Helvetica 65 Medium" w:cstheme="minorBidi"/>
      <w:color w:val="auto"/>
      <w:lang w:val="en-US"/>
    </w:rPr>
  </w:style>
  <w:style w:type="character" w:customStyle="1" w:styleId="A512">
    <w:name w:val="A5+12"/>
    <w:uiPriority w:val="99"/>
    <w:rsid w:val="004577C8"/>
    <w:rPr>
      <w:rFonts w:ascii="Zapf Dingbats ITC" w:hAnsi="Zapf Dingbats ITC" w:cs="Zapf Dingbats ITC"/>
      <w:color w:val="000000"/>
      <w:sz w:val="12"/>
      <w:szCs w:val="12"/>
    </w:rPr>
  </w:style>
  <w:style w:type="paragraph" w:customStyle="1" w:styleId="Pa249">
    <w:name w:val="Pa24+9"/>
    <w:basedOn w:val="Default"/>
    <w:next w:val="Default"/>
    <w:uiPriority w:val="99"/>
    <w:rsid w:val="004577C8"/>
    <w:pPr>
      <w:spacing w:line="201" w:lineRule="atLeast"/>
    </w:pPr>
    <w:rPr>
      <w:rFonts w:ascii="Helvetica 65 Medium" w:hAnsi="Helvetica 65 Medium" w:cstheme="minorBidi"/>
      <w:color w:val="auto"/>
      <w:lang w:val="en-US"/>
    </w:rPr>
  </w:style>
  <w:style w:type="character" w:customStyle="1" w:styleId="apple-converted-space">
    <w:name w:val="apple-converted-space"/>
    <w:basedOn w:val="DefaultParagraphFont"/>
    <w:rsid w:val="004577C8"/>
  </w:style>
  <w:style w:type="paragraph" w:customStyle="1" w:styleId="bf">
    <w:name w:val="bf"/>
    <w:basedOn w:val="Normal"/>
    <w:rsid w:val="00C80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z">
    <w:name w:val="az"/>
    <w:basedOn w:val="DefaultParagraphFont"/>
    <w:rsid w:val="00C80D07"/>
  </w:style>
  <w:style w:type="character" w:customStyle="1" w:styleId="ax">
    <w:name w:val="ax"/>
    <w:basedOn w:val="DefaultParagraphFont"/>
    <w:rsid w:val="00C80D07"/>
  </w:style>
  <w:style w:type="paragraph" w:styleId="EndnoteText">
    <w:name w:val="endnote text"/>
    <w:basedOn w:val="Normal"/>
    <w:link w:val="EndnoteTextChar"/>
    <w:semiHidden/>
    <w:unhideWhenUsed/>
    <w:rsid w:val="00F866A0"/>
    <w:pPr>
      <w:spacing w:after="0" w:line="240" w:lineRule="auto"/>
    </w:pPr>
    <w:rPr>
      <w:sz w:val="20"/>
      <w:szCs w:val="20"/>
    </w:rPr>
  </w:style>
  <w:style w:type="character" w:customStyle="1" w:styleId="EndnoteTextChar">
    <w:name w:val="Endnote Text Char"/>
    <w:basedOn w:val="DefaultParagraphFont"/>
    <w:link w:val="EndnoteText"/>
    <w:semiHidden/>
    <w:rsid w:val="00F866A0"/>
    <w:rPr>
      <w:sz w:val="20"/>
      <w:szCs w:val="20"/>
    </w:rPr>
  </w:style>
  <w:style w:type="character" w:styleId="EndnoteReference">
    <w:name w:val="endnote reference"/>
    <w:basedOn w:val="DefaultParagraphFont"/>
    <w:uiPriority w:val="99"/>
    <w:semiHidden/>
    <w:unhideWhenUsed/>
    <w:rsid w:val="00F866A0"/>
    <w:rPr>
      <w:vertAlign w:val="superscript"/>
    </w:rPr>
  </w:style>
  <w:style w:type="paragraph" w:customStyle="1" w:styleId="eq">
    <w:name w:val="eq"/>
    <w:basedOn w:val="Normal"/>
    <w:rsid w:val="00633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u">
    <w:name w:val="du"/>
    <w:basedOn w:val="DefaultParagraphFont"/>
    <w:rsid w:val="0063358B"/>
  </w:style>
  <w:style w:type="paragraph" w:customStyle="1" w:styleId="p43">
    <w:name w:val="p43"/>
    <w:basedOn w:val="Normal"/>
    <w:rsid w:val="00152F1E"/>
    <w:pPr>
      <w:widowControl w:val="0"/>
      <w:spacing w:after="0" w:line="260" w:lineRule="atLeast"/>
      <w:ind w:left="72" w:hanging="432"/>
      <w:jc w:val="both"/>
    </w:pPr>
    <w:rPr>
      <w:rFonts w:ascii="Times New Roman" w:eastAsia="Times New Roman" w:hAnsi="Times New Roman" w:cs="Times New Roman"/>
      <w:snapToGrid w:val="0"/>
      <w:sz w:val="24"/>
      <w:szCs w:val="20"/>
      <w:lang w:val="en-US" w:eastAsia="en-US"/>
    </w:rPr>
  </w:style>
  <w:style w:type="character" w:styleId="Strong">
    <w:name w:val="Strong"/>
    <w:basedOn w:val="DefaultParagraphFont"/>
    <w:uiPriority w:val="22"/>
    <w:qFormat/>
    <w:rsid w:val="004E321C"/>
    <w:rPr>
      <w:b/>
      <w:bCs/>
    </w:rPr>
  </w:style>
  <w:style w:type="table" w:customStyle="1" w:styleId="PwCTableText">
    <w:name w:val="PwC Table Text"/>
    <w:basedOn w:val="TableNormal"/>
    <w:uiPriority w:val="99"/>
    <w:qFormat/>
    <w:rsid w:val="00AB3ABC"/>
    <w:pPr>
      <w:spacing w:after="0" w:line="22" w:lineRule="exact"/>
    </w:pPr>
    <w:rPr>
      <w:rFonts w:ascii="Georgia" w:eastAsiaTheme="minorHAnsi" w:hAnsi="Georgia"/>
      <w:sz w:val="20"/>
      <w:szCs w:val="20"/>
      <w:lang w:val="en-GB" w:eastAsia="en-US"/>
    </w:rPr>
    <w:tblPr>
      <w:tblStyleRowBandSize w:val="1"/>
      <w:tblBorders>
        <w:bottom w:val="single" w:sz="4" w:space="0" w:color="1F497D" w:themeColor="text2"/>
        <w:insideH w:val="dotted" w:sz="4" w:space="0" w:color="1F497D" w:themeColor="text2"/>
      </w:tblBorders>
      <w:tblCellMar>
        <w:top w:w="113" w:type="dxa"/>
      </w:tblCellMar>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paragraph" w:styleId="PlainText">
    <w:name w:val="Plain Text"/>
    <w:basedOn w:val="Normal"/>
    <w:link w:val="PlainTextChar"/>
    <w:uiPriority w:val="99"/>
    <w:semiHidden/>
    <w:unhideWhenUsed/>
    <w:rsid w:val="00124D85"/>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semiHidden/>
    <w:rsid w:val="00124D85"/>
    <w:rPr>
      <w:rFonts w:ascii="Calibri" w:eastAsiaTheme="minorHAnsi" w:hAnsi="Calibri" w:cs="Consolas"/>
      <w:szCs w:val="21"/>
      <w:lang w:eastAsia="en-US"/>
    </w:rPr>
  </w:style>
  <w:style w:type="paragraph" w:customStyle="1" w:styleId="s5">
    <w:name w:val="s5"/>
    <w:basedOn w:val="Normal"/>
    <w:uiPriority w:val="99"/>
    <w:rsid w:val="00AF00C1"/>
    <w:pPr>
      <w:spacing w:before="100" w:beforeAutospacing="1" w:after="100" w:afterAutospacing="1" w:line="240" w:lineRule="auto"/>
    </w:pPr>
    <w:rPr>
      <w:rFonts w:ascii="Calibri" w:eastAsiaTheme="minorHAnsi" w:hAnsi="Calibri" w:cs="Times New Roman"/>
      <w:lang w:val="en-IE" w:eastAsia="en-US"/>
    </w:rPr>
  </w:style>
  <w:style w:type="paragraph" w:customStyle="1" w:styleId="s8">
    <w:name w:val="s8"/>
    <w:basedOn w:val="Normal"/>
    <w:uiPriority w:val="99"/>
    <w:rsid w:val="00AF00C1"/>
    <w:pPr>
      <w:spacing w:before="100" w:beforeAutospacing="1" w:after="100" w:afterAutospacing="1" w:line="240" w:lineRule="auto"/>
    </w:pPr>
    <w:rPr>
      <w:rFonts w:ascii="Calibri" w:eastAsiaTheme="minorHAnsi" w:hAnsi="Calibri" w:cs="Times New Roman"/>
      <w:lang w:val="en-IE" w:eastAsia="en-US"/>
    </w:rPr>
  </w:style>
  <w:style w:type="paragraph" w:customStyle="1" w:styleId="s9">
    <w:name w:val="s9"/>
    <w:basedOn w:val="Normal"/>
    <w:uiPriority w:val="99"/>
    <w:rsid w:val="00AF00C1"/>
    <w:pPr>
      <w:spacing w:before="100" w:beforeAutospacing="1" w:after="100" w:afterAutospacing="1" w:line="240" w:lineRule="auto"/>
    </w:pPr>
    <w:rPr>
      <w:rFonts w:ascii="Calibri" w:eastAsiaTheme="minorHAnsi" w:hAnsi="Calibri" w:cs="Times New Roman"/>
      <w:lang w:val="en-IE" w:eastAsia="en-US"/>
    </w:rPr>
  </w:style>
  <w:style w:type="paragraph" w:customStyle="1" w:styleId="s10">
    <w:name w:val="s10"/>
    <w:basedOn w:val="Normal"/>
    <w:uiPriority w:val="99"/>
    <w:rsid w:val="00AF00C1"/>
    <w:pPr>
      <w:spacing w:before="100" w:beforeAutospacing="1" w:after="100" w:afterAutospacing="1" w:line="240" w:lineRule="auto"/>
    </w:pPr>
    <w:rPr>
      <w:rFonts w:ascii="Calibri" w:eastAsiaTheme="minorHAnsi" w:hAnsi="Calibri" w:cs="Times New Roman"/>
      <w:lang w:val="en-IE" w:eastAsia="en-US"/>
    </w:rPr>
  </w:style>
  <w:style w:type="character" w:customStyle="1" w:styleId="s6">
    <w:name w:val="s6"/>
    <w:basedOn w:val="DefaultParagraphFont"/>
    <w:rsid w:val="00AF00C1"/>
  </w:style>
  <w:style w:type="character" w:customStyle="1" w:styleId="s7">
    <w:name w:val="s7"/>
    <w:basedOn w:val="DefaultParagraphFont"/>
    <w:rsid w:val="00AF00C1"/>
  </w:style>
  <w:style w:type="paragraph" w:styleId="ListBullet">
    <w:name w:val="List Bullet"/>
    <w:basedOn w:val="Normal"/>
    <w:uiPriority w:val="13"/>
    <w:unhideWhenUsed/>
    <w:qFormat/>
    <w:rsid w:val="00824EEA"/>
    <w:pPr>
      <w:numPr>
        <w:numId w:val="22"/>
      </w:numPr>
      <w:contextualSpacing/>
    </w:pPr>
    <w:rPr>
      <w:rFonts w:eastAsiaTheme="minorHAnsi"/>
      <w:lang w:val="en-IE" w:eastAsia="en-US"/>
    </w:rPr>
  </w:style>
  <w:style w:type="numbering" w:customStyle="1" w:styleId="PwCListBullets1">
    <w:name w:val="PwC List Bullets 1"/>
    <w:uiPriority w:val="99"/>
    <w:rsid w:val="00824EEA"/>
    <w:pPr>
      <w:numPr>
        <w:numId w:val="22"/>
      </w:numPr>
    </w:pPr>
  </w:style>
  <w:style w:type="paragraph" w:styleId="ListBullet2">
    <w:name w:val="List Bullet 2"/>
    <w:basedOn w:val="Normal"/>
    <w:uiPriority w:val="13"/>
    <w:unhideWhenUsed/>
    <w:qFormat/>
    <w:rsid w:val="00824EEA"/>
    <w:pPr>
      <w:numPr>
        <w:ilvl w:val="1"/>
        <w:numId w:val="22"/>
      </w:numPr>
      <w:contextualSpacing/>
    </w:pPr>
    <w:rPr>
      <w:rFonts w:eastAsiaTheme="minorHAnsi"/>
      <w:lang w:val="en-IE" w:eastAsia="en-US"/>
    </w:rPr>
  </w:style>
  <w:style w:type="paragraph" w:styleId="ListBullet3">
    <w:name w:val="List Bullet 3"/>
    <w:basedOn w:val="Normal"/>
    <w:uiPriority w:val="13"/>
    <w:unhideWhenUsed/>
    <w:qFormat/>
    <w:rsid w:val="00824EEA"/>
    <w:pPr>
      <w:numPr>
        <w:ilvl w:val="2"/>
        <w:numId w:val="22"/>
      </w:numPr>
      <w:contextualSpacing/>
    </w:pPr>
    <w:rPr>
      <w:rFonts w:eastAsiaTheme="minorHAnsi"/>
      <w:lang w:val="en-IE" w:eastAsia="en-US"/>
    </w:rPr>
  </w:style>
  <w:style w:type="paragraph" w:styleId="ListBullet4">
    <w:name w:val="List Bullet 4"/>
    <w:basedOn w:val="Normal"/>
    <w:uiPriority w:val="13"/>
    <w:unhideWhenUsed/>
    <w:rsid w:val="00824EEA"/>
    <w:pPr>
      <w:numPr>
        <w:ilvl w:val="3"/>
        <w:numId w:val="22"/>
      </w:numPr>
      <w:contextualSpacing/>
    </w:pPr>
    <w:rPr>
      <w:rFonts w:eastAsiaTheme="minorHAnsi"/>
      <w:lang w:val="en-IE" w:eastAsia="en-US"/>
    </w:rPr>
  </w:style>
  <w:style w:type="paragraph" w:styleId="ListBullet5">
    <w:name w:val="List Bullet 5"/>
    <w:basedOn w:val="Normal"/>
    <w:uiPriority w:val="13"/>
    <w:unhideWhenUsed/>
    <w:rsid w:val="00824EEA"/>
    <w:pPr>
      <w:numPr>
        <w:ilvl w:val="4"/>
        <w:numId w:val="22"/>
      </w:numPr>
      <w:contextualSpacing/>
    </w:pPr>
    <w:rPr>
      <w:rFonts w:eastAsiaTheme="minorHAnsi"/>
      <w:lang w:val="en-IE" w:eastAsia="en-US"/>
    </w:rPr>
  </w:style>
  <w:style w:type="paragraph" w:customStyle="1" w:styleId="TableListBullet">
    <w:name w:val="Table List Bullet"/>
    <w:basedOn w:val="ListBullet"/>
    <w:qFormat/>
    <w:rsid w:val="00824EEA"/>
    <w:pPr>
      <w:tabs>
        <w:tab w:val="left" w:pos="720"/>
      </w:tabs>
      <w:spacing w:before="60" w:after="60" w:line="240" w:lineRule="auto"/>
      <w:contextualSpacing w:val="0"/>
    </w:pPr>
    <w:rPr>
      <w:rFonts w:ascii="Georgia" w:eastAsiaTheme="minorEastAsia" w:hAnsi="Georgia" w:cs="Times New Roman"/>
      <w:sz w:val="18"/>
      <w:szCs w:val="20"/>
      <w:lang w:val="en-GB"/>
    </w:rPr>
  </w:style>
  <w:style w:type="paragraph" w:customStyle="1" w:styleId="TableListBulletwithextraspaces">
    <w:name w:val="Table List Bullet with extra spaces"/>
    <w:basedOn w:val="TableListBullet"/>
    <w:qFormat/>
    <w:rsid w:val="00824EEA"/>
    <w:pPr>
      <w:spacing w:before="240" w:after="240"/>
    </w:pPr>
  </w:style>
  <w:style w:type="paragraph" w:customStyle="1" w:styleId="TableBody">
    <w:name w:val="TableBody"/>
    <w:basedOn w:val="BodyText"/>
    <w:rsid w:val="00824EEA"/>
    <w:pPr>
      <w:tabs>
        <w:tab w:val="clear" w:pos="5040"/>
        <w:tab w:val="clear" w:pos="6480"/>
        <w:tab w:val="clear" w:pos="7920"/>
        <w:tab w:val="clear" w:pos="9360"/>
      </w:tabs>
      <w:spacing w:before="60" w:after="60"/>
      <w:jc w:val="left"/>
    </w:pPr>
    <w:rPr>
      <w:rFonts w:ascii="Georgia" w:eastAsiaTheme="minorHAnsi" w:hAnsi="Georgia" w:cstheme="minorBidi"/>
      <w:sz w:val="16"/>
      <w:lang w:eastAsia="en-US"/>
    </w:rPr>
  </w:style>
  <w:style w:type="paragraph" w:customStyle="1" w:styleId="TableListBullet2">
    <w:name w:val="Table List Bullet 2"/>
    <w:basedOn w:val="ListBullet2"/>
    <w:qFormat/>
    <w:rsid w:val="00824EEA"/>
    <w:pPr>
      <w:numPr>
        <w:ilvl w:val="0"/>
        <w:numId w:val="23"/>
      </w:numPr>
      <w:spacing w:before="60" w:after="60" w:line="240" w:lineRule="auto"/>
      <w:ind w:left="1094" w:hanging="357"/>
    </w:pPr>
    <w:rPr>
      <w:rFonts w:ascii="Georgia" w:eastAsiaTheme="minorEastAsia" w:hAnsi="Georgia" w:cs="Times New Roman"/>
      <w:sz w:val="18"/>
      <w:szCs w:val="20"/>
      <w:lang w:val="en-GB"/>
    </w:rPr>
  </w:style>
  <w:style w:type="paragraph" w:customStyle="1" w:styleId="BodyTextBulletLevel1">
    <w:name w:val="BodyTextBulletLevel1"/>
    <w:basedOn w:val="Normal"/>
    <w:uiPriority w:val="99"/>
    <w:rsid w:val="00377D28"/>
    <w:pPr>
      <w:widowControl w:val="0"/>
      <w:numPr>
        <w:numId w:val="79"/>
      </w:numPr>
      <w:suppressAutoHyphens/>
      <w:autoSpaceDE w:val="0"/>
      <w:autoSpaceDN w:val="0"/>
      <w:adjustRightInd w:val="0"/>
      <w:spacing w:after="0" w:line="200" w:lineRule="atLeast"/>
      <w:textAlignment w:val="center"/>
    </w:pPr>
    <w:rPr>
      <w:rFonts w:ascii="Gotham-Light" w:hAnsi="Gotham-Light" w:cs="Gotham-Light"/>
      <w:color w:val="000000"/>
      <w:spacing w:val="-2"/>
      <w:sz w:val="16"/>
      <w:szCs w:val="16"/>
      <w:lang w:eastAsia="en-US"/>
    </w:rPr>
  </w:style>
  <w:style w:type="paragraph" w:customStyle="1" w:styleId="SectionRunningHead">
    <w:name w:val="SectionRunningHead"/>
    <w:basedOn w:val="Normal"/>
    <w:uiPriority w:val="99"/>
    <w:rsid w:val="0074754A"/>
    <w:pPr>
      <w:widowControl w:val="0"/>
      <w:suppressAutoHyphens/>
      <w:autoSpaceDE w:val="0"/>
      <w:autoSpaceDN w:val="0"/>
      <w:adjustRightInd w:val="0"/>
      <w:spacing w:after="0" w:line="300" w:lineRule="atLeast"/>
      <w:textAlignment w:val="center"/>
    </w:pPr>
    <w:rPr>
      <w:rFonts w:ascii="Gotham-Light" w:hAnsi="Gotham-Light" w:cs="Gotham-Light"/>
      <w:color w:val="003E6F"/>
      <w:spacing w:val="4"/>
      <w:sz w:val="16"/>
      <w:szCs w:val="16"/>
      <w:lang w:eastAsia="en-US"/>
    </w:rPr>
  </w:style>
  <w:style w:type="table" w:customStyle="1" w:styleId="TableGrid1">
    <w:name w:val="Table Grid1"/>
    <w:basedOn w:val="TableNormal"/>
    <w:next w:val="TableGrid"/>
    <w:uiPriority w:val="39"/>
    <w:rsid w:val="00DA05D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CB55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Heading">
    <w:name w:val="NumberHeading"/>
    <w:basedOn w:val="Normal"/>
    <w:uiPriority w:val="99"/>
    <w:rsid w:val="004444BE"/>
    <w:pPr>
      <w:widowControl w:val="0"/>
      <w:suppressAutoHyphens/>
      <w:autoSpaceDE w:val="0"/>
      <w:autoSpaceDN w:val="0"/>
      <w:adjustRightInd w:val="0"/>
      <w:spacing w:after="0" w:line="200" w:lineRule="atLeast"/>
      <w:textAlignment w:val="center"/>
    </w:pPr>
    <w:rPr>
      <w:rFonts w:ascii="Gotham-Bold" w:hAnsi="Gotham-Bold" w:cs="Gotham-Bold"/>
      <w:b/>
      <w:bCs/>
      <w:color w:val="000000"/>
      <w:spacing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283">
      <w:bodyDiv w:val="1"/>
      <w:marLeft w:val="0"/>
      <w:marRight w:val="0"/>
      <w:marTop w:val="0"/>
      <w:marBottom w:val="0"/>
      <w:divBdr>
        <w:top w:val="none" w:sz="0" w:space="0" w:color="auto"/>
        <w:left w:val="none" w:sz="0" w:space="0" w:color="auto"/>
        <w:bottom w:val="none" w:sz="0" w:space="0" w:color="auto"/>
        <w:right w:val="none" w:sz="0" w:space="0" w:color="auto"/>
      </w:divBdr>
    </w:div>
    <w:div w:id="98718514">
      <w:bodyDiv w:val="1"/>
      <w:marLeft w:val="0"/>
      <w:marRight w:val="0"/>
      <w:marTop w:val="0"/>
      <w:marBottom w:val="0"/>
      <w:divBdr>
        <w:top w:val="none" w:sz="0" w:space="0" w:color="auto"/>
        <w:left w:val="none" w:sz="0" w:space="0" w:color="auto"/>
        <w:bottom w:val="none" w:sz="0" w:space="0" w:color="auto"/>
        <w:right w:val="none" w:sz="0" w:space="0" w:color="auto"/>
      </w:divBdr>
    </w:div>
    <w:div w:id="108161890">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912702">
      <w:bodyDiv w:val="1"/>
      <w:marLeft w:val="0"/>
      <w:marRight w:val="0"/>
      <w:marTop w:val="0"/>
      <w:marBottom w:val="0"/>
      <w:divBdr>
        <w:top w:val="none" w:sz="0" w:space="0" w:color="auto"/>
        <w:left w:val="none" w:sz="0" w:space="0" w:color="auto"/>
        <w:bottom w:val="none" w:sz="0" w:space="0" w:color="auto"/>
        <w:right w:val="none" w:sz="0" w:space="0" w:color="auto"/>
      </w:divBdr>
    </w:div>
    <w:div w:id="214200071">
      <w:bodyDiv w:val="1"/>
      <w:marLeft w:val="0"/>
      <w:marRight w:val="0"/>
      <w:marTop w:val="0"/>
      <w:marBottom w:val="0"/>
      <w:divBdr>
        <w:top w:val="none" w:sz="0" w:space="0" w:color="auto"/>
        <w:left w:val="none" w:sz="0" w:space="0" w:color="auto"/>
        <w:bottom w:val="none" w:sz="0" w:space="0" w:color="auto"/>
        <w:right w:val="none" w:sz="0" w:space="0" w:color="auto"/>
      </w:divBdr>
    </w:div>
    <w:div w:id="255596352">
      <w:bodyDiv w:val="1"/>
      <w:marLeft w:val="0"/>
      <w:marRight w:val="0"/>
      <w:marTop w:val="0"/>
      <w:marBottom w:val="0"/>
      <w:divBdr>
        <w:top w:val="none" w:sz="0" w:space="0" w:color="auto"/>
        <w:left w:val="none" w:sz="0" w:space="0" w:color="auto"/>
        <w:bottom w:val="none" w:sz="0" w:space="0" w:color="auto"/>
        <w:right w:val="none" w:sz="0" w:space="0" w:color="auto"/>
      </w:divBdr>
    </w:div>
    <w:div w:id="401757266">
      <w:bodyDiv w:val="1"/>
      <w:marLeft w:val="0"/>
      <w:marRight w:val="0"/>
      <w:marTop w:val="0"/>
      <w:marBottom w:val="0"/>
      <w:divBdr>
        <w:top w:val="none" w:sz="0" w:space="0" w:color="auto"/>
        <w:left w:val="none" w:sz="0" w:space="0" w:color="auto"/>
        <w:bottom w:val="none" w:sz="0" w:space="0" w:color="auto"/>
        <w:right w:val="none" w:sz="0" w:space="0" w:color="auto"/>
      </w:divBdr>
    </w:div>
    <w:div w:id="420877220">
      <w:bodyDiv w:val="1"/>
      <w:marLeft w:val="0"/>
      <w:marRight w:val="0"/>
      <w:marTop w:val="0"/>
      <w:marBottom w:val="0"/>
      <w:divBdr>
        <w:top w:val="none" w:sz="0" w:space="0" w:color="auto"/>
        <w:left w:val="none" w:sz="0" w:space="0" w:color="auto"/>
        <w:bottom w:val="none" w:sz="0" w:space="0" w:color="auto"/>
        <w:right w:val="none" w:sz="0" w:space="0" w:color="auto"/>
      </w:divBdr>
    </w:div>
    <w:div w:id="541751997">
      <w:bodyDiv w:val="1"/>
      <w:marLeft w:val="0"/>
      <w:marRight w:val="0"/>
      <w:marTop w:val="0"/>
      <w:marBottom w:val="0"/>
      <w:divBdr>
        <w:top w:val="none" w:sz="0" w:space="0" w:color="auto"/>
        <w:left w:val="none" w:sz="0" w:space="0" w:color="auto"/>
        <w:bottom w:val="none" w:sz="0" w:space="0" w:color="auto"/>
        <w:right w:val="none" w:sz="0" w:space="0" w:color="auto"/>
      </w:divBdr>
    </w:div>
    <w:div w:id="621958623">
      <w:bodyDiv w:val="1"/>
      <w:marLeft w:val="0"/>
      <w:marRight w:val="0"/>
      <w:marTop w:val="0"/>
      <w:marBottom w:val="0"/>
      <w:divBdr>
        <w:top w:val="none" w:sz="0" w:space="0" w:color="auto"/>
        <w:left w:val="none" w:sz="0" w:space="0" w:color="auto"/>
        <w:bottom w:val="none" w:sz="0" w:space="0" w:color="auto"/>
        <w:right w:val="none" w:sz="0" w:space="0" w:color="auto"/>
      </w:divBdr>
    </w:div>
    <w:div w:id="634531826">
      <w:bodyDiv w:val="1"/>
      <w:marLeft w:val="0"/>
      <w:marRight w:val="0"/>
      <w:marTop w:val="0"/>
      <w:marBottom w:val="0"/>
      <w:divBdr>
        <w:top w:val="none" w:sz="0" w:space="0" w:color="auto"/>
        <w:left w:val="none" w:sz="0" w:space="0" w:color="auto"/>
        <w:bottom w:val="none" w:sz="0" w:space="0" w:color="auto"/>
        <w:right w:val="none" w:sz="0" w:space="0" w:color="auto"/>
      </w:divBdr>
    </w:div>
    <w:div w:id="656227250">
      <w:bodyDiv w:val="1"/>
      <w:marLeft w:val="0"/>
      <w:marRight w:val="0"/>
      <w:marTop w:val="0"/>
      <w:marBottom w:val="0"/>
      <w:divBdr>
        <w:top w:val="none" w:sz="0" w:space="0" w:color="auto"/>
        <w:left w:val="none" w:sz="0" w:space="0" w:color="auto"/>
        <w:bottom w:val="none" w:sz="0" w:space="0" w:color="auto"/>
        <w:right w:val="none" w:sz="0" w:space="0" w:color="auto"/>
      </w:divBdr>
    </w:div>
    <w:div w:id="696352005">
      <w:bodyDiv w:val="1"/>
      <w:marLeft w:val="0"/>
      <w:marRight w:val="0"/>
      <w:marTop w:val="0"/>
      <w:marBottom w:val="0"/>
      <w:divBdr>
        <w:top w:val="none" w:sz="0" w:space="0" w:color="auto"/>
        <w:left w:val="none" w:sz="0" w:space="0" w:color="auto"/>
        <w:bottom w:val="none" w:sz="0" w:space="0" w:color="auto"/>
        <w:right w:val="none" w:sz="0" w:space="0" w:color="auto"/>
      </w:divBdr>
    </w:div>
    <w:div w:id="735249004">
      <w:bodyDiv w:val="1"/>
      <w:marLeft w:val="0"/>
      <w:marRight w:val="0"/>
      <w:marTop w:val="0"/>
      <w:marBottom w:val="0"/>
      <w:divBdr>
        <w:top w:val="none" w:sz="0" w:space="0" w:color="auto"/>
        <w:left w:val="none" w:sz="0" w:space="0" w:color="auto"/>
        <w:bottom w:val="none" w:sz="0" w:space="0" w:color="auto"/>
        <w:right w:val="none" w:sz="0" w:space="0" w:color="auto"/>
      </w:divBdr>
    </w:div>
    <w:div w:id="746652182">
      <w:bodyDiv w:val="1"/>
      <w:marLeft w:val="0"/>
      <w:marRight w:val="0"/>
      <w:marTop w:val="0"/>
      <w:marBottom w:val="0"/>
      <w:divBdr>
        <w:top w:val="none" w:sz="0" w:space="0" w:color="auto"/>
        <w:left w:val="none" w:sz="0" w:space="0" w:color="auto"/>
        <w:bottom w:val="none" w:sz="0" w:space="0" w:color="auto"/>
        <w:right w:val="none" w:sz="0" w:space="0" w:color="auto"/>
      </w:divBdr>
    </w:div>
    <w:div w:id="747725824">
      <w:bodyDiv w:val="1"/>
      <w:marLeft w:val="0"/>
      <w:marRight w:val="0"/>
      <w:marTop w:val="0"/>
      <w:marBottom w:val="0"/>
      <w:divBdr>
        <w:top w:val="none" w:sz="0" w:space="0" w:color="auto"/>
        <w:left w:val="none" w:sz="0" w:space="0" w:color="auto"/>
        <w:bottom w:val="none" w:sz="0" w:space="0" w:color="auto"/>
        <w:right w:val="none" w:sz="0" w:space="0" w:color="auto"/>
      </w:divBdr>
    </w:div>
    <w:div w:id="758134842">
      <w:bodyDiv w:val="1"/>
      <w:marLeft w:val="0"/>
      <w:marRight w:val="0"/>
      <w:marTop w:val="0"/>
      <w:marBottom w:val="0"/>
      <w:divBdr>
        <w:top w:val="none" w:sz="0" w:space="0" w:color="auto"/>
        <w:left w:val="none" w:sz="0" w:space="0" w:color="auto"/>
        <w:bottom w:val="none" w:sz="0" w:space="0" w:color="auto"/>
        <w:right w:val="none" w:sz="0" w:space="0" w:color="auto"/>
      </w:divBdr>
    </w:div>
    <w:div w:id="776143541">
      <w:bodyDiv w:val="1"/>
      <w:marLeft w:val="0"/>
      <w:marRight w:val="0"/>
      <w:marTop w:val="0"/>
      <w:marBottom w:val="0"/>
      <w:divBdr>
        <w:top w:val="none" w:sz="0" w:space="0" w:color="auto"/>
        <w:left w:val="none" w:sz="0" w:space="0" w:color="auto"/>
        <w:bottom w:val="none" w:sz="0" w:space="0" w:color="auto"/>
        <w:right w:val="none" w:sz="0" w:space="0" w:color="auto"/>
      </w:divBdr>
    </w:div>
    <w:div w:id="786045747">
      <w:bodyDiv w:val="1"/>
      <w:marLeft w:val="0"/>
      <w:marRight w:val="0"/>
      <w:marTop w:val="0"/>
      <w:marBottom w:val="0"/>
      <w:divBdr>
        <w:top w:val="none" w:sz="0" w:space="0" w:color="auto"/>
        <w:left w:val="none" w:sz="0" w:space="0" w:color="auto"/>
        <w:bottom w:val="none" w:sz="0" w:space="0" w:color="auto"/>
        <w:right w:val="none" w:sz="0" w:space="0" w:color="auto"/>
      </w:divBdr>
    </w:div>
    <w:div w:id="789709710">
      <w:bodyDiv w:val="1"/>
      <w:marLeft w:val="0"/>
      <w:marRight w:val="0"/>
      <w:marTop w:val="0"/>
      <w:marBottom w:val="0"/>
      <w:divBdr>
        <w:top w:val="none" w:sz="0" w:space="0" w:color="auto"/>
        <w:left w:val="none" w:sz="0" w:space="0" w:color="auto"/>
        <w:bottom w:val="none" w:sz="0" w:space="0" w:color="auto"/>
        <w:right w:val="none" w:sz="0" w:space="0" w:color="auto"/>
      </w:divBdr>
    </w:div>
    <w:div w:id="812677785">
      <w:bodyDiv w:val="1"/>
      <w:marLeft w:val="0"/>
      <w:marRight w:val="0"/>
      <w:marTop w:val="0"/>
      <w:marBottom w:val="0"/>
      <w:divBdr>
        <w:top w:val="none" w:sz="0" w:space="0" w:color="auto"/>
        <w:left w:val="none" w:sz="0" w:space="0" w:color="auto"/>
        <w:bottom w:val="none" w:sz="0" w:space="0" w:color="auto"/>
        <w:right w:val="none" w:sz="0" w:space="0" w:color="auto"/>
      </w:divBdr>
    </w:div>
    <w:div w:id="871766839">
      <w:bodyDiv w:val="1"/>
      <w:marLeft w:val="0"/>
      <w:marRight w:val="0"/>
      <w:marTop w:val="0"/>
      <w:marBottom w:val="0"/>
      <w:divBdr>
        <w:top w:val="none" w:sz="0" w:space="0" w:color="auto"/>
        <w:left w:val="none" w:sz="0" w:space="0" w:color="auto"/>
        <w:bottom w:val="none" w:sz="0" w:space="0" w:color="auto"/>
        <w:right w:val="none" w:sz="0" w:space="0" w:color="auto"/>
      </w:divBdr>
    </w:div>
    <w:div w:id="911086783">
      <w:bodyDiv w:val="1"/>
      <w:marLeft w:val="0"/>
      <w:marRight w:val="0"/>
      <w:marTop w:val="0"/>
      <w:marBottom w:val="0"/>
      <w:divBdr>
        <w:top w:val="none" w:sz="0" w:space="0" w:color="auto"/>
        <w:left w:val="none" w:sz="0" w:space="0" w:color="auto"/>
        <w:bottom w:val="none" w:sz="0" w:space="0" w:color="auto"/>
        <w:right w:val="none" w:sz="0" w:space="0" w:color="auto"/>
      </w:divBdr>
    </w:div>
    <w:div w:id="946084244">
      <w:bodyDiv w:val="1"/>
      <w:marLeft w:val="0"/>
      <w:marRight w:val="0"/>
      <w:marTop w:val="0"/>
      <w:marBottom w:val="0"/>
      <w:divBdr>
        <w:top w:val="none" w:sz="0" w:space="0" w:color="auto"/>
        <w:left w:val="none" w:sz="0" w:space="0" w:color="auto"/>
        <w:bottom w:val="none" w:sz="0" w:space="0" w:color="auto"/>
        <w:right w:val="none" w:sz="0" w:space="0" w:color="auto"/>
      </w:divBdr>
    </w:div>
    <w:div w:id="952443488">
      <w:bodyDiv w:val="1"/>
      <w:marLeft w:val="0"/>
      <w:marRight w:val="0"/>
      <w:marTop w:val="0"/>
      <w:marBottom w:val="0"/>
      <w:divBdr>
        <w:top w:val="none" w:sz="0" w:space="0" w:color="auto"/>
        <w:left w:val="none" w:sz="0" w:space="0" w:color="auto"/>
        <w:bottom w:val="none" w:sz="0" w:space="0" w:color="auto"/>
        <w:right w:val="none" w:sz="0" w:space="0" w:color="auto"/>
      </w:divBdr>
    </w:div>
    <w:div w:id="976256064">
      <w:bodyDiv w:val="1"/>
      <w:marLeft w:val="0"/>
      <w:marRight w:val="0"/>
      <w:marTop w:val="0"/>
      <w:marBottom w:val="0"/>
      <w:divBdr>
        <w:top w:val="none" w:sz="0" w:space="0" w:color="auto"/>
        <w:left w:val="none" w:sz="0" w:space="0" w:color="auto"/>
        <w:bottom w:val="none" w:sz="0" w:space="0" w:color="auto"/>
        <w:right w:val="none" w:sz="0" w:space="0" w:color="auto"/>
      </w:divBdr>
    </w:div>
    <w:div w:id="983394768">
      <w:bodyDiv w:val="1"/>
      <w:marLeft w:val="0"/>
      <w:marRight w:val="0"/>
      <w:marTop w:val="0"/>
      <w:marBottom w:val="0"/>
      <w:divBdr>
        <w:top w:val="none" w:sz="0" w:space="0" w:color="auto"/>
        <w:left w:val="none" w:sz="0" w:space="0" w:color="auto"/>
        <w:bottom w:val="none" w:sz="0" w:space="0" w:color="auto"/>
        <w:right w:val="none" w:sz="0" w:space="0" w:color="auto"/>
      </w:divBdr>
    </w:div>
    <w:div w:id="987129651">
      <w:bodyDiv w:val="1"/>
      <w:marLeft w:val="0"/>
      <w:marRight w:val="0"/>
      <w:marTop w:val="0"/>
      <w:marBottom w:val="0"/>
      <w:divBdr>
        <w:top w:val="none" w:sz="0" w:space="0" w:color="auto"/>
        <w:left w:val="none" w:sz="0" w:space="0" w:color="auto"/>
        <w:bottom w:val="none" w:sz="0" w:space="0" w:color="auto"/>
        <w:right w:val="none" w:sz="0" w:space="0" w:color="auto"/>
      </w:divBdr>
    </w:div>
    <w:div w:id="994644163">
      <w:bodyDiv w:val="1"/>
      <w:marLeft w:val="0"/>
      <w:marRight w:val="0"/>
      <w:marTop w:val="0"/>
      <w:marBottom w:val="0"/>
      <w:divBdr>
        <w:top w:val="none" w:sz="0" w:space="0" w:color="auto"/>
        <w:left w:val="none" w:sz="0" w:space="0" w:color="auto"/>
        <w:bottom w:val="none" w:sz="0" w:space="0" w:color="auto"/>
        <w:right w:val="none" w:sz="0" w:space="0" w:color="auto"/>
      </w:divBdr>
    </w:div>
    <w:div w:id="1013726274">
      <w:bodyDiv w:val="1"/>
      <w:marLeft w:val="0"/>
      <w:marRight w:val="0"/>
      <w:marTop w:val="0"/>
      <w:marBottom w:val="0"/>
      <w:divBdr>
        <w:top w:val="none" w:sz="0" w:space="0" w:color="auto"/>
        <w:left w:val="none" w:sz="0" w:space="0" w:color="auto"/>
        <w:bottom w:val="none" w:sz="0" w:space="0" w:color="auto"/>
        <w:right w:val="none" w:sz="0" w:space="0" w:color="auto"/>
      </w:divBdr>
    </w:div>
    <w:div w:id="1029065758">
      <w:bodyDiv w:val="1"/>
      <w:marLeft w:val="0"/>
      <w:marRight w:val="0"/>
      <w:marTop w:val="0"/>
      <w:marBottom w:val="0"/>
      <w:divBdr>
        <w:top w:val="none" w:sz="0" w:space="0" w:color="auto"/>
        <w:left w:val="none" w:sz="0" w:space="0" w:color="auto"/>
        <w:bottom w:val="none" w:sz="0" w:space="0" w:color="auto"/>
        <w:right w:val="none" w:sz="0" w:space="0" w:color="auto"/>
      </w:divBdr>
    </w:div>
    <w:div w:id="1043023460">
      <w:bodyDiv w:val="1"/>
      <w:marLeft w:val="0"/>
      <w:marRight w:val="0"/>
      <w:marTop w:val="0"/>
      <w:marBottom w:val="0"/>
      <w:divBdr>
        <w:top w:val="none" w:sz="0" w:space="0" w:color="auto"/>
        <w:left w:val="none" w:sz="0" w:space="0" w:color="auto"/>
        <w:bottom w:val="none" w:sz="0" w:space="0" w:color="auto"/>
        <w:right w:val="none" w:sz="0" w:space="0" w:color="auto"/>
      </w:divBdr>
    </w:div>
    <w:div w:id="1050571634">
      <w:bodyDiv w:val="1"/>
      <w:marLeft w:val="0"/>
      <w:marRight w:val="0"/>
      <w:marTop w:val="0"/>
      <w:marBottom w:val="0"/>
      <w:divBdr>
        <w:top w:val="none" w:sz="0" w:space="0" w:color="auto"/>
        <w:left w:val="none" w:sz="0" w:space="0" w:color="auto"/>
        <w:bottom w:val="none" w:sz="0" w:space="0" w:color="auto"/>
        <w:right w:val="none" w:sz="0" w:space="0" w:color="auto"/>
      </w:divBdr>
    </w:div>
    <w:div w:id="1063865810">
      <w:bodyDiv w:val="1"/>
      <w:marLeft w:val="0"/>
      <w:marRight w:val="0"/>
      <w:marTop w:val="0"/>
      <w:marBottom w:val="0"/>
      <w:divBdr>
        <w:top w:val="none" w:sz="0" w:space="0" w:color="auto"/>
        <w:left w:val="none" w:sz="0" w:space="0" w:color="auto"/>
        <w:bottom w:val="none" w:sz="0" w:space="0" w:color="auto"/>
        <w:right w:val="none" w:sz="0" w:space="0" w:color="auto"/>
      </w:divBdr>
    </w:div>
    <w:div w:id="1185173179">
      <w:bodyDiv w:val="1"/>
      <w:marLeft w:val="0"/>
      <w:marRight w:val="0"/>
      <w:marTop w:val="0"/>
      <w:marBottom w:val="0"/>
      <w:divBdr>
        <w:top w:val="none" w:sz="0" w:space="0" w:color="auto"/>
        <w:left w:val="none" w:sz="0" w:space="0" w:color="auto"/>
        <w:bottom w:val="none" w:sz="0" w:space="0" w:color="auto"/>
        <w:right w:val="none" w:sz="0" w:space="0" w:color="auto"/>
      </w:divBdr>
    </w:div>
    <w:div w:id="1258438246">
      <w:bodyDiv w:val="1"/>
      <w:marLeft w:val="0"/>
      <w:marRight w:val="0"/>
      <w:marTop w:val="0"/>
      <w:marBottom w:val="0"/>
      <w:divBdr>
        <w:top w:val="none" w:sz="0" w:space="0" w:color="auto"/>
        <w:left w:val="none" w:sz="0" w:space="0" w:color="auto"/>
        <w:bottom w:val="none" w:sz="0" w:space="0" w:color="auto"/>
        <w:right w:val="none" w:sz="0" w:space="0" w:color="auto"/>
      </w:divBdr>
    </w:div>
    <w:div w:id="1270502016">
      <w:bodyDiv w:val="1"/>
      <w:marLeft w:val="0"/>
      <w:marRight w:val="0"/>
      <w:marTop w:val="0"/>
      <w:marBottom w:val="0"/>
      <w:divBdr>
        <w:top w:val="none" w:sz="0" w:space="0" w:color="auto"/>
        <w:left w:val="none" w:sz="0" w:space="0" w:color="auto"/>
        <w:bottom w:val="none" w:sz="0" w:space="0" w:color="auto"/>
        <w:right w:val="none" w:sz="0" w:space="0" w:color="auto"/>
      </w:divBdr>
    </w:div>
    <w:div w:id="1288732491">
      <w:bodyDiv w:val="1"/>
      <w:marLeft w:val="0"/>
      <w:marRight w:val="0"/>
      <w:marTop w:val="0"/>
      <w:marBottom w:val="0"/>
      <w:divBdr>
        <w:top w:val="none" w:sz="0" w:space="0" w:color="auto"/>
        <w:left w:val="none" w:sz="0" w:space="0" w:color="auto"/>
        <w:bottom w:val="none" w:sz="0" w:space="0" w:color="auto"/>
        <w:right w:val="none" w:sz="0" w:space="0" w:color="auto"/>
      </w:divBdr>
    </w:div>
    <w:div w:id="1329216073">
      <w:bodyDiv w:val="1"/>
      <w:marLeft w:val="0"/>
      <w:marRight w:val="0"/>
      <w:marTop w:val="0"/>
      <w:marBottom w:val="0"/>
      <w:divBdr>
        <w:top w:val="none" w:sz="0" w:space="0" w:color="auto"/>
        <w:left w:val="none" w:sz="0" w:space="0" w:color="auto"/>
        <w:bottom w:val="none" w:sz="0" w:space="0" w:color="auto"/>
        <w:right w:val="none" w:sz="0" w:space="0" w:color="auto"/>
      </w:divBdr>
    </w:div>
    <w:div w:id="1333681066">
      <w:bodyDiv w:val="1"/>
      <w:marLeft w:val="0"/>
      <w:marRight w:val="0"/>
      <w:marTop w:val="0"/>
      <w:marBottom w:val="0"/>
      <w:divBdr>
        <w:top w:val="none" w:sz="0" w:space="0" w:color="auto"/>
        <w:left w:val="none" w:sz="0" w:space="0" w:color="auto"/>
        <w:bottom w:val="none" w:sz="0" w:space="0" w:color="auto"/>
        <w:right w:val="none" w:sz="0" w:space="0" w:color="auto"/>
      </w:divBdr>
    </w:div>
    <w:div w:id="1336424221">
      <w:bodyDiv w:val="1"/>
      <w:marLeft w:val="0"/>
      <w:marRight w:val="0"/>
      <w:marTop w:val="0"/>
      <w:marBottom w:val="0"/>
      <w:divBdr>
        <w:top w:val="none" w:sz="0" w:space="0" w:color="auto"/>
        <w:left w:val="none" w:sz="0" w:space="0" w:color="auto"/>
        <w:bottom w:val="none" w:sz="0" w:space="0" w:color="auto"/>
        <w:right w:val="none" w:sz="0" w:space="0" w:color="auto"/>
      </w:divBdr>
    </w:div>
    <w:div w:id="1338922255">
      <w:bodyDiv w:val="1"/>
      <w:marLeft w:val="0"/>
      <w:marRight w:val="0"/>
      <w:marTop w:val="0"/>
      <w:marBottom w:val="0"/>
      <w:divBdr>
        <w:top w:val="none" w:sz="0" w:space="0" w:color="auto"/>
        <w:left w:val="none" w:sz="0" w:space="0" w:color="auto"/>
        <w:bottom w:val="none" w:sz="0" w:space="0" w:color="auto"/>
        <w:right w:val="none" w:sz="0" w:space="0" w:color="auto"/>
      </w:divBdr>
    </w:div>
    <w:div w:id="1371372747">
      <w:bodyDiv w:val="1"/>
      <w:marLeft w:val="0"/>
      <w:marRight w:val="0"/>
      <w:marTop w:val="0"/>
      <w:marBottom w:val="0"/>
      <w:divBdr>
        <w:top w:val="none" w:sz="0" w:space="0" w:color="auto"/>
        <w:left w:val="none" w:sz="0" w:space="0" w:color="auto"/>
        <w:bottom w:val="none" w:sz="0" w:space="0" w:color="auto"/>
        <w:right w:val="none" w:sz="0" w:space="0" w:color="auto"/>
      </w:divBdr>
    </w:div>
    <w:div w:id="1375500750">
      <w:bodyDiv w:val="1"/>
      <w:marLeft w:val="0"/>
      <w:marRight w:val="0"/>
      <w:marTop w:val="0"/>
      <w:marBottom w:val="0"/>
      <w:divBdr>
        <w:top w:val="none" w:sz="0" w:space="0" w:color="auto"/>
        <w:left w:val="none" w:sz="0" w:space="0" w:color="auto"/>
        <w:bottom w:val="none" w:sz="0" w:space="0" w:color="auto"/>
        <w:right w:val="none" w:sz="0" w:space="0" w:color="auto"/>
      </w:divBdr>
    </w:div>
    <w:div w:id="1489056837">
      <w:bodyDiv w:val="1"/>
      <w:marLeft w:val="0"/>
      <w:marRight w:val="0"/>
      <w:marTop w:val="0"/>
      <w:marBottom w:val="0"/>
      <w:divBdr>
        <w:top w:val="none" w:sz="0" w:space="0" w:color="auto"/>
        <w:left w:val="none" w:sz="0" w:space="0" w:color="auto"/>
        <w:bottom w:val="none" w:sz="0" w:space="0" w:color="auto"/>
        <w:right w:val="none" w:sz="0" w:space="0" w:color="auto"/>
      </w:divBdr>
    </w:div>
    <w:div w:id="1579972339">
      <w:bodyDiv w:val="1"/>
      <w:marLeft w:val="0"/>
      <w:marRight w:val="0"/>
      <w:marTop w:val="0"/>
      <w:marBottom w:val="0"/>
      <w:divBdr>
        <w:top w:val="none" w:sz="0" w:space="0" w:color="auto"/>
        <w:left w:val="none" w:sz="0" w:space="0" w:color="auto"/>
        <w:bottom w:val="none" w:sz="0" w:space="0" w:color="auto"/>
        <w:right w:val="none" w:sz="0" w:space="0" w:color="auto"/>
      </w:divBdr>
    </w:div>
    <w:div w:id="1594584184">
      <w:bodyDiv w:val="1"/>
      <w:marLeft w:val="0"/>
      <w:marRight w:val="0"/>
      <w:marTop w:val="0"/>
      <w:marBottom w:val="0"/>
      <w:divBdr>
        <w:top w:val="none" w:sz="0" w:space="0" w:color="auto"/>
        <w:left w:val="none" w:sz="0" w:space="0" w:color="auto"/>
        <w:bottom w:val="none" w:sz="0" w:space="0" w:color="auto"/>
        <w:right w:val="none" w:sz="0" w:space="0" w:color="auto"/>
      </w:divBdr>
    </w:div>
    <w:div w:id="1602373962">
      <w:bodyDiv w:val="1"/>
      <w:marLeft w:val="0"/>
      <w:marRight w:val="0"/>
      <w:marTop w:val="0"/>
      <w:marBottom w:val="0"/>
      <w:divBdr>
        <w:top w:val="none" w:sz="0" w:space="0" w:color="auto"/>
        <w:left w:val="none" w:sz="0" w:space="0" w:color="auto"/>
        <w:bottom w:val="none" w:sz="0" w:space="0" w:color="auto"/>
        <w:right w:val="none" w:sz="0" w:space="0" w:color="auto"/>
      </w:divBdr>
    </w:div>
    <w:div w:id="1634407280">
      <w:bodyDiv w:val="1"/>
      <w:marLeft w:val="0"/>
      <w:marRight w:val="0"/>
      <w:marTop w:val="0"/>
      <w:marBottom w:val="0"/>
      <w:divBdr>
        <w:top w:val="none" w:sz="0" w:space="0" w:color="auto"/>
        <w:left w:val="none" w:sz="0" w:space="0" w:color="auto"/>
        <w:bottom w:val="none" w:sz="0" w:space="0" w:color="auto"/>
        <w:right w:val="none" w:sz="0" w:space="0" w:color="auto"/>
      </w:divBdr>
    </w:div>
    <w:div w:id="1654218619">
      <w:bodyDiv w:val="1"/>
      <w:marLeft w:val="0"/>
      <w:marRight w:val="0"/>
      <w:marTop w:val="0"/>
      <w:marBottom w:val="0"/>
      <w:divBdr>
        <w:top w:val="none" w:sz="0" w:space="0" w:color="auto"/>
        <w:left w:val="none" w:sz="0" w:space="0" w:color="auto"/>
        <w:bottom w:val="none" w:sz="0" w:space="0" w:color="auto"/>
        <w:right w:val="none" w:sz="0" w:space="0" w:color="auto"/>
      </w:divBdr>
    </w:div>
    <w:div w:id="1676033891">
      <w:bodyDiv w:val="1"/>
      <w:marLeft w:val="0"/>
      <w:marRight w:val="0"/>
      <w:marTop w:val="0"/>
      <w:marBottom w:val="0"/>
      <w:divBdr>
        <w:top w:val="none" w:sz="0" w:space="0" w:color="auto"/>
        <w:left w:val="none" w:sz="0" w:space="0" w:color="auto"/>
        <w:bottom w:val="none" w:sz="0" w:space="0" w:color="auto"/>
        <w:right w:val="none" w:sz="0" w:space="0" w:color="auto"/>
      </w:divBdr>
    </w:div>
    <w:div w:id="1712653697">
      <w:bodyDiv w:val="1"/>
      <w:marLeft w:val="0"/>
      <w:marRight w:val="0"/>
      <w:marTop w:val="0"/>
      <w:marBottom w:val="0"/>
      <w:divBdr>
        <w:top w:val="none" w:sz="0" w:space="0" w:color="auto"/>
        <w:left w:val="none" w:sz="0" w:space="0" w:color="auto"/>
        <w:bottom w:val="none" w:sz="0" w:space="0" w:color="auto"/>
        <w:right w:val="none" w:sz="0" w:space="0" w:color="auto"/>
      </w:divBdr>
    </w:div>
    <w:div w:id="1716545632">
      <w:bodyDiv w:val="1"/>
      <w:marLeft w:val="0"/>
      <w:marRight w:val="0"/>
      <w:marTop w:val="0"/>
      <w:marBottom w:val="0"/>
      <w:divBdr>
        <w:top w:val="none" w:sz="0" w:space="0" w:color="auto"/>
        <w:left w:val="none" w:sz="0" w:space="0" w:color="auto"/>
        <w:bottom w:val="none" w:sz="0" w:space="0" w:color="auto"/>
        <w:right w:val="none" w:sz="0" w:space="0" w:color="auto"/>
      </w:divBdr>
    </w:div>
    <w:div w:id="1717699977">
      <w:bodyDiv w:val="1"/>
      <w:marLeft w:val="0"/>
      <w:marRight w:val="0"/>
      <w:marTop w:val="0"/>
      <w:marBottom w:val="0"/>
      <w:divBdr>
        <w:top w:val="none" w:sz="0" w:space="0" w:color="auto"/>
        <w:left w:val="none" w:sz="0" w:space="0" w:color="auto"/>
        <w:bottom w:val="none" w:sz="0" w:space="0" w:color="auto"/>
        <w:right w:val="none" w:sz="0" w:space="0" w:color="auto"/>
      </w:divBdr>
    </w:div>
    <w:div w:id="1773747661">
      <w:bodyDiv w:val="1"/>
      <w:marLeft w:val="0"/>
      <w:marRight w:val="0"/>
      <w:marTop w:val="0"/>
      <w:marBottom w:val="0"/>
      <w:divBdr>
        <w:top w:val="none" w:sz="0" w:space="0" w:color="auto"/>
        <w:left w:val="none" w:sz="0" w:space="0" w:color="auto"/>
        <w:bottom w:val="none" w:sz="0" w:space="0" w:color="auto"/>
        <w:right w:val="none" w:sz="0" w:space="0" w:color="auto"/>
      </w:divBdr>
      <w:divsChild>
        <w:div w:id="951060984">
          <w:marLeft w:val="547"/>
          <w:marRight w:val="0"/>
          <w:marTop w:val="80"/>
          <w:marBottom w:val="0"/>
          <w:divBdr>
            <w:top w:val="none" w:sz="0" w:space="0" w:color="auto"/>
            <w:left w:val="none" w:sz="0" w:space="0" w:color="auto"/>
            <w:bottom w:val="none" w:sz="0" w:space="0" w:color="auto"/>
            <w:right w:val="none" w:sz="0" w:space="0" w:color="auto"/>
          </w:divBdr>
        </w:div>
        <w:div w:id="1813711100">
          <w:marLeft w:val="1166"/>
          <w:marRight w:val="0"/>
          <w:marTop w:val="80"/>
          <w:marBottom w:val="0"/>
          <w:divBdr>
            <w:top w:val="none" w:sz="0" w:space="0" w:color="auto"/>
            <w:left w:val="none" w:sz="0" w:space="0" w:color="auto"/>
            <w:bottom w:val="none" w:sz="0" w:space="0" w:color="auto"/>
            <w:right w:val="none" w:sz="0" w:space="0" w:color="auto"/>
          </w:divBdr>
        </w:div>
        <w:div w:id="2112504953">
          <w:marLeft w:val="1166"/>
          <w:marRight w:val="0"/>
          <w:marTop w:val="80"/>
          <w:marBottom w:val="0"/>
          <w:divBdr>
            <w:top w:val="none" w:sz="0" w:space="0" w:color="auto"/>
            <w:left w:val="none" w:sz="0" w:space="0" w:color="auto"/>
            <w:bottom w:val="none" w:sz="0" w:space="0" w:color="auto"/>
            <w:right w:val="none" w:sz="0" w:space="0" w:color="auto"/>
          </w:divBdr>
        </w:div>
        <w:div w:id="1239754906">
          <w:marLeft w:val="1166"/>
          <w:marRight w:val="0"/>
          <w:marTop w:val="80"/>
          <w:marBottom w:val="0"/>
          <w:divBdr>
            <w:top w:val="none" w:sz="0" w:space="0" w:color="auto"/>
            <w:left w:val="none" w:sz="0" w:space="0" w:color="auto"/>
            <w:bottom w:val="none" w:sz="0" w:space="0" w:color="auto"/>
            <w:right w:val="none" w:sz="0" w:space="0" w:color="auto"/>
          </w:divBdr>
        </w:div>
        <w:div w:id="1550918458">
          <w:marLeft w:val="547"/>
          <w:marRight w:val="0"/>
          <w:marTop w:val="80"/>
          <w:marBottom w:val="0"/>
          <w:divBdr>
            <w:top w:val="none" w:sz="0" w:space="0" w:color="auto"/>
            <w:left w:val="none" w:sz="0" w:space="0" w:color="auto"/>
            <w:bottom w:val="none" w:sz="0" w:space="0" w:color="auto"/>
            <w:right w:val="none" w:sz="0" w:space="0" w:color="auto"/>
          </w:divBdr>
        </w:div>
        <w:div w:id="1186283030">
          <w:marLeft w:val="1166"/>
          <w:marRight w:val="0"/>
          <w:marTop w:val="80"/>
          <w:marBottom w:val="0"/>
          <w:divBdr>
            <w:top w:val="none" w:sz="0" w:space="0" w:color="auto"/>
            <w:left w:val="none" w:sz="0" w:space="0" w:color="auto"/>
            <w:bottom w:val="none" w:sz="0" w:space="0" w:color="auto"/>
            <w:right w:val="none" w:sz="0" w:space="0" w:color="auto"/>
          </w:divBdr>
        </w:div>
        <w:div w:id="700471197">
          <w:marLeft w:val="1166"/>
          <w:marRight w:val="0"/>
          <w:marTop w:val="80"/>
          <w:marBottom w:val="0"/>
          <w:divBdr>
            <w:top w:val="none" w:sz="0" w:space="0" w:color="auto"/>
            <w:left w:val="none" w:sz="0" w:space="0" w:color="auto"/>
            <w:bottom w:val="none" w:sz="0" w:space="0" w:color="auto"/>
            <w:right w:val="none" w:sz="0" w:space="0" w:color="auto"/>
          </w:divBdr>
        </w:div>
        <w:div w:id="674192880">
          <w:marLeft w:val="547"/>
          <w:marRight w:val="0"/>
          <w:marTop w:val="80"/>
          <w:marBottom w:val="0"/>
          <w:divBdr>
            <w:top w:val="none" w:sz="0" w:space="0" w:color="auto"/>
            <w:left w:val="none" w:sz="0" w:space="0" w:color="auto"/>
            <w:bottom w:val="none" w:sz="0" w:space="0" w:color="auto"/>
            <w:right w:val="none" w:sz="0" w:space="0" w:color="auto"/>
          </w:divBdr>
        </w:div>
        <w:div w:id="1189835391">
          <w:marLeft w:val="1166"/>
          <w:marRight w:val="0"/>
          <w:marTop w:val="80"/>
          <w:marBottom w:val="0"/>
          <w:divBdr>
            <w:top w:val="none" w:sz="0" w:space="0" w:color="auto"/>
            <w:left w:val="none" w:sz="0" w:space="0" w:color="auto"/>
            <w:bottom w:val="none" w:sz="0" w:space="0" w:color="auto"/>
            <w:right w:val="none" w:sz="0" w:space="0" w:color="auto"/>
          </w:divBdr>
        </w:div>
        <w:div w:id="490213809">
          <w:marLeft w:val="1166"/>
          <w:marRight w:val="0"/>
          <w:marTop w:val="80"/>
          <w:marBottom w:val="0"/>
          <w:divBdr>
            <w:top w:val="none" w:sz="0" w:space="0" w:color="auto"/>
            <w:left w:val="none" w:sz="0" w:space="0" w:color="auto"/>
            <w:bottom w:val="none" w:sz="0" w:space="0" w:color="auto"/>
            <w:right w:val="none" w:sz="0" w:space="0" w:color="auto"/>
          </w:divBdr>
        </w:div>
        <w:div w:id="268203606">
          <w:marLeft w:val="547"/>
          <w:marRight w:val="0"/>
          <w:marTop w:val="80"/>
          <w:marBottom w:val="0"/>
          <w:divBdr>
            <w:top w:val="none" w:sz="0" w:space="0" w:color="auto"/>
            <w:left w:val="none" w:sz="0" w:space="0" w:color="auto"/>
            <w:bottom w:val="none" w:sz="0" w:space="0" w:color="auto"/>
            <w:right w:val="none" w:sz="0" w:space="0" w:color="auto"/>
          </w:divBdr>
        </w:div>
        <w:div w:id="2016495653">
          <w:marLeft w:val="1166"/>
          <w:marRight w:val="0"/>
          <w:marTop w:val="80"/>
          <w:marBottom w:val="0"/>
          <w:divBdr>
            <w:top w:val="none" w:sz="0" w:space="0" w:color="auto"/>
            <w:left w:val="none" w:sz="0" w:space="0" w:color="auto"/>
            <w:bottom w:val="none" w:sz="0" w:space="0" w:color="auto"/>
            <w:right w:val="none" w:sz="0" w:space="0" w:color="auto"/>
          </w:divBdr>
        </w:div>
        <w:div w:id="664935442">
          <w:marLeft w:val="1166"/>
          <w:marRight w:val="0"/>
          <w:marTop w:val="80"/>
          <w:marBottom w:val="0"/>
          <w:divBdr>
            <w:top w:val="none" w:sz="0" w:space="0" w:color="auto"/>
            <w:left w:val="none" w:sz="0" w:space="0" w:color="auto"/>
            <w:bottom w:val="none" w:sz="0" w:space="0" w:color="auto"/>
            <w:right w:val="none" w:sz="0" w:space="0" w:color="auto"/>
          </w:divBdr>
        </w:div>
      </w:divsChild>
    </w:div>
    <w:div w:id="1846632669">
      <w:bodyDiv w:val="1"/>
      <w:marLeft w:val="0"/>
      <w:marRight w:val="0"/>
      <w:marTop w:val="0"/>
      <w:marBottom w:val="0"/>
      <w:divBdr>
        <w:top w:val="none" w:sz="0" w:space="0" w:color="auto"/>
        <w:left w:val="none" w:sz="0" w:space="0" w:color="auto"/>
        <w:bottom w:val="none" w:sz="0" w:space="0" w:color="auto"/>
        <w:right w:val="none" w:sz="0" w:space="0" w:color="auto"/>
      </w:divBdr>
    </w:div>
    <w:div w:id="1868908978">
      <w:bodyDiv w:val="1"/>
      <w:marLeft w:val="0"/>
      <w:marRight w:val="0"/>
      <w:marTop w:val="0"/>
      <w:marBottom w:val="0"/>
      <w:divBdr>
        <w:top w:val="none" w:sz="0" w:space="0" w:color="auto"/>
        <w:left w:val="none" w:sz="0" w:space="0" w:color="auto"/>
        <w:bottom w:val="none" w:sz="0" w:space="0" w:color="auto"/>
        <w:right w:val="none" w:sz="0" w:space="0" w:color="auto"/>
      </w:divBdr>
    </w:div>
    <w:div w:id="1873028490">
      <w:bodyDiv w:val="1"/>
      <w:marLeft w:val="0"/>
      <w:marRight w:val="0"/>
      <w:marTop w:val="0"/>
      <w:marBottom w:val="0"/>
      <w:divBdr>
        <w:top w:val="none" w:sz="0" w:space="0" w:color="auto"/>
        <w:left w:val="none" w:sz="0" w:space="0" w:color="auto"/>
        <w:bottom w:val="none" w:sz="0" w:space="0" w:color="auto"/>
        <w:right w:val="none" w:sz="0" w:space="0" w:color="auto"/>
      </w:divBdr>
    </w:div>
    <w:div w:id="1910728940">
      <w:bodyDiv w:val="1"/>
      <w:marLeft w:val="0"/>
      <w:marRight w:val="0"/>
      <w:marTop w:val="0"/>
      <w:marBottom w:val="0"/>
      <w:divBdr>
        <w:top w:val="none" w:sz="0" w:space="0" w:color="auto"/>
        <w:left w:val="none" w:sz="0" w:space="0" w:color="auto"/>
        <w:bottom w:val="none" w:sz="0" w:space="0" w:color="auto"/>
        <w:right w:val="none" w:sz="0" w:space="0" w:color="auto"/>
      </w:divBdr>
    </w:div>
    <w:div w:id="1912932204">
      <w:bodyDiv w:val="1"/>
      <w:marLeft w:val="0"/>
      <w:marRight w:val="0"/>
      <w:marTop w:val="0"/>
      <w:marBottom w:val="0"/>
      <w:divBdr>
        <w:top w:val="none" w:sz="0" w:space="0" w:color="auto"/>
        <w:left w:val="none" w:sz="0" w:space="0" w:color="auto"/>
        <w:bottom w:val="none" w:sz="0" w:space="0" w:color="auto"/>
        <w:right w:val="none" w:sz="0" w:space="0" w:color="auto"/>
      </w:divBdr>
    </w:div>
    <w:div w:id="1919367725">
      <w:bodyDiv w:val="1"/>
      <w:marLeft w:val="0"/>
      <w:marRight w:val="0"/>
      <w:marTop w:val="0"/>
      <w:marBottom w:val="0"/>
      <w:divBdr>
        <w:top w:val="none" w:sz="0" w:space="0" w:color="auto"/>
        <w:left w:val="none" w:sz="0" w:space="0" w:color="auto"/>
        <w:bottom w:val="none" w:sz="0" w:space="0" w:color="auto"/>
        <w:right w:val="none" w:sz="0" w:space="0" w:color="auto"/>
      </w:divBdr>
    </w:div>
    <w:div w:id="1974094957">
      <w:bodyDiv w:val="1"/>
      <w:marLeft w:val="0"/>
      <w:marRight w:val="0"/>
      <w:marTop w:val="0"/>
      <w:marBottom w:val="0"/>
      <w:divBdr>
        <w:top w:val="none" w:sz="0" w:space="0" w:color="auto"/>
        <w:left w:val="none" w:sz="0" w:space="0" w:color="auto"/>
        <w:bottom w:val="none" w:sz="0" w:space="0" w:color="auto"/>
        <w:right w:val="none" w:sz="0" w:space="0" w:color="auto"/>
      </w:divBdr>
    </w:div>
    <w:div w:id="1990329619">
      <w:bodyDiv w:val="1"/>
      <w:marLeft w:val="0"/>
      <w:marRight w:val="0"/>
      <w:marTop w:val="0"/>
      <w:marBottom w:val="0"/>
      <w:divBdr>
        <w:top w:val="none" w:sz="0" w:space="0" w:color="auto"/>
        <w:left w:val="none" w:sz="0" w:space="0" w:color="auto"/>
        <w:bottom w:val="none" w:sz="0" w:space="0" w:color="auto"/>
        <w:right w:val="none" w:sz="0" w:space="0" w:color="auto"/>
      </w:divBdr>
    </w:div>
    <w:div w:id="2047833529">
      <w:bodyDiv w:val="1"/>
      <w:marLeft w:val="0"/>
      <w:marRight w:val="0"/>
      <w:marTop w:val="0"/>
      <w:marBottom w:val="0"/>
      <w:divBdr>
        <w:top w:val="none" w:sz="0" w:space="0" w:color="auto"/>
        <w:left w:val="none" w:sz="0" w:space="0" w:color="auto"/>
        <w:bottom w:val="none" w:sz="0" w:space="0" w:color="auto"/>
        <w:right w:val="none" w:sz="0" w:space="0" w:color="auto"/>
      </w:divBdr>
    </w:div>
    <w:div w:id="2067606199">
      <w:bodyDiv w:val="1"/>
      <w:marLeft w:val="0"/>
      <w:marRight w:val="0"/>
      <w:marTop w:val="0"/>
      <w:marBottom w:val="0"/>
      <w:divBdr>
        <w:top w:val="none" w:sz="0" w:space="0" w:color="auto"/>
        <w:left w:val="none" w:sz="0" w:space="0" w:color="auto"/>
        <w:bottom w:val="none" w:sz="0" w:space="0" w:color="auto"/>
        <w:right w:val="none" w:sz="0" w:space="0" w:color="auto"/>
      </w:divBdr>
    </w:div>
    <w:div w:id="207449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ggroup.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2018-03-21T08:54:34+00:00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E249D-E4CC-471D-9103-D772353D6D60}"/>
</file>

<file path=customXml/itemProps2.xml><?xml version="1.0" encoding="utf-8"?>
<ds:datastoreItem xmlns:ds="http://schemas.openxmlformats.org/officeDocument/2006/customXml" ds:itemID="{EF8452D5-2DF4-4B18-BC54-D6E302B45DDF}"/>
</file>

<file path=customXml/itemProps3.xml><?xml version="1.0" encoding="utf-8"?>
<ds:datastoreItem xmlns:ds="http://schemas.openxmlformats.org/officeDocument/2006/customXml" ds:itemID="{56E83D3B-5C22-4C0B-994D-D48DF856C69C}"/>
</file>

<file path=customXml/itemProps4.xml><?xml version="1.0" encoding="utf-8"?>
<ds:datastoreItem xmlns:ds="http://schemas.openxmlformats.org/officeDocument/2006/customXml" ds:itemID="{F6D9B272-2E47-4CA7-BDD5-731E9F9A9942}"/>
</file>

<file path=docProps/app.xml><?xml version="1.0" encoding="utf-8"?>
<Properties xmlns="http://schemas.openxmlformats.org/officeDocument/2006/extended-properties" xmlns:vt="http://schemas.openxmlformats.org/officeDocument/2006/docPropsVTypes">
  <Template>Normal</Template>
  <TotalTime>75</TotalTime>
  <Pages>24</Pages>
  <Words>13320</Words>
  <Characters>75928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IFG Group</Company>
  <LinksUpToDate>false</LinksUpToDate>
  <CharactersWithSpaces>89070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Perez</dc:creator>
  <cp:lastModifiedBy>Vinotha Anthony</cp:lastModifiedBy>
  <cp:revision>14</cp:revision>
  <cp:lastPrinted>2018-03-20T14:50:00Z</cp:lastPrinted>
  <dcterms:created xsi:type="dcterms:W3CDTF">2018-03-20T12:51:00Z</dcterms:created>
  <dcterms:modified xsi:type="dcterms:W3CDTF">2018-03-20T15:43:00Z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