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5479" w14:textId="77777777" w:rsidR="00D57EEC" w:rsidRPr="002D4325" w:rsidRDefault="00D57EEC" w:rsidP="00D57EEC">
      <w:pPr>
        <w:pStyle w:val="Body"/>
        <w:rPr>
          <w:b/>
          <w:bCs/>
          <w:sz w:val="22"/>
          <w:szCs w:val="22"/>
          <w:lang w:val="en-IE" w:eastAsia="zh-CN"/>
        </w:rPr>
      </w:pPr>
      <w:r w:rsidRPr="002D4325">
        <w:rPr>
          <w:b/>
          <w:bCs/>
          <w:sz w:val="22"/>
          <w:szCs w:val="22"/>
          <w:lang w:val="en-IE" w:eastAsia="zh-CN"/>
        </w:rPr>
        <w:t xml:space="preserve">Note: This submission to OAM is in respect of the regulatory announcement disclosed to the public via RIS on 8 May 2025 and published by Euronext Dublin under reference number ANN143243. </w:t>
      </w:r>
    </w:p>
    <w:p w14:paraId="29798D29" w14:textId="77777777" w:rsidR="00D57EEC" w:rsidRPr="002D4325" w:rsidRDefault="00D57EEC" w:rsidP="00D57EEC">
      <w:pPr>
        <w:pStyle w:val="Body"/>
        <w:rPr>
          <w:b/>
          <w:bCs/>
          <w:sz w:val="22"/>
          <w:szCs w:val="22"/>
          <w:lang w:val="en-IE" w:eastAsia="zh-CN"/>
        </w:rPr>
      </w:pPr>
      <w:r w:rsidRPr="002D4325">
        <w:rPr>
          <w:b/>
          <w:bCs/>
          <w:sz w:val="22"/>
          <w:szCs w:val="22"/>
          <w:lang w:val="en-IE" w:eastAsia="zh-CN"/>
        </w:rPr>
        <w:t>No changes have been made to this announcement.</w:t>
      </w:r>
    </w:p>
    <w:p w14:paraId="34E35D6E" w14:textId="77777777" w:rsidR="00D57EEC" w:rsidRDefault="00D57EEC" w:rsidP="00FA3858">
      <w:pPr>
        <w:pStyle w:val="Body"/>
        <w:rPr>
          <w:b/>
          <w:bCs/>
          <w:lang w:val="en-US" w:eastAsia="zh-CN"/>
        </w:rPr>
      </w:pPr>
    </w:p>
    <w:p w14:paraId="48CB8D91" w14:textId="34FBA485" w:rsidR="00FE2AFF" w:rsidRPr="00695F84" w:rsidRDefault="00FE2AFF" w:rsidP="00FA3858">
      <w:pPr>
        <w:pStyle w:val="Body"/>
        <w:rPr>
          <w:b/>
          <w:bCs/>
          <w:lang w:val="en-US" w:eastAsia="zh-CN"/>
        </w:rPr>
      </w:pPr>
      <w:r w:rsidRPr="00695F84">
        <w:rPr>
          <w:b/>
          <w:bCs/>
          <w:lang w:val="en-US" w:eastAsia="zh-CN"/>
        </w:rPr>
        <w:t>THIS ANNOUNCEMENT RELATES TO THE DISCLOSURE OF INFORMATION THAT QUALIFIED AS INSIDE INFORMATION WITHIN THE MEANING OF ARTICLE 7(1) OF THE MARKET ABUSE REGULATION (EU) 596/2014</w:t>
      </w:r>
      <w:r w:rsidR="00DD384E">
        <w:rPr>
          <w:b/>
          <w:bCs/>
          <w:lang w:val="en-US" w:eastAsia="zh-CN"/>
        </w:rPr>
        <w:t xml:space="preserve"> </w:t>
      </w:r>
      <w:r w:rsidR="00C97207">
        <w:rPr>
          <w:b/>
          <w:bCs/>
          <w:lang w:val="en-US" w:eastAsia="zh-CN"/>
        </w:rPr>
        <w:t>(“MAR”)</w:t>
      </w:r>
    </w:p>
    <w:p w14:paraId="4402C8DF" w14:textId="3B709A7A" w:rsidR="00FE2AFF" w:rsidRPr="00695F84" w:rsidRDefault="00A118F5" w:rsidP="00BD0161">
      <w:pPr>
        <w:pStyle w:val="SubHead"/>
        <w:jc w:val="center"/>
        <w:rPr>
          <w:lang w:val="en-US"/>
        </w:rPr>
      </w:pPr>
      <w:r>
        <w:rPr>
          <w:lang w:val="en-US"/>
        </w:rPr>
        <w:t xml:space="preserve">AIB Group </w:t>
      </w:r>
      <w:r w:rsidR="00FE2AFF" w:rsidRPr="00695F84">
        <w:rPr>
          <w:lang w:val="en-US"/>
        </w:rPr>
        <w:t>plc announces cash tender offer</w:t>
      </w:r>
    </w:p>
    <w:p w14:paraId="39E0DAA5" w14:textId="2397DE92" w:rsidR="00FE2AFF" w:rsidRPr="00695F84" w:rsidRDefault="000E0C88" w:rsidP="00FA3858">
      <w:pPr>
        <w:pStyle w:val="Body"/>
        <w:rPr>
          <w:lang w:val="en-US"/>
        </w:rPr>
      </w:pPr>
      <w:r>
        <w:rPr>
          <w:i/>
          <w:iCs/>
          <w:lang w:val="en-US"/>
        </w:rPr>
        <w:t>8</w:t>
      </w:r>
      <w:r w:rsidR="0099023C">
        <w:rPr>
          <w:i/>
          <w:iCs/>
          <w:lang w:val="en-US"/>
        </w:rPr>
        <w:t xml:space="preserve"> May</w:t>
      </w:r>
      <w:r w:rsidR="00BC1150" w:rsidRPr="00613423">
        <w:rPr>
          <w:i/>
          <w:iCs/>
          <w:lang w:val="en-US"/>
        </w:rPr>
        <w:t xml:space="preserve"> 202</w:t>
      </w:r>
      <w:r w:rsidR="006D3E95">
        <w:rPr>
          <w:i/>
          <w:iCs/>
          <w:lang w:val="en-US"/>
        </w:rPr>
        <w:t>5</w:t>
      </w:r>
      <w:r w:rsidR="00BC1150">
        <w:rPr>
          <w:lang w:val="en-US"/>
        </w:rPr>
        <w:t xml:space="preserve"> </w:t>
      </w:r>
      <w:r w:rsidR="00FE2AFF" w:rsidRPr="00695F84">
        <w:rPr>
          <w:lang w:val="en-US"/>
        </w:rPr>
        <w:t xml:space="preserve">— </w:t>
      </w:r>
      <w:r w:rsidR="00BC1150">
        <w:rPr>
          <w:lang w:val="en-US"/>
        </w:rPr>
        <w:t>AIB Group</w:t>
      </w:r>
      <w:r w:rsidR="00FE2AFF" w:rsidRPr="00695F84">
        <w:rPr>
          <w:lang w:val="en-US"/>
        </w:rPr>
        <w:t xml:space="preserve"> plc (the “Offeror”) announces the launch of an offer to purchase for cash any and all of its outstanding </w:t>
      </w:r>
      <w:r w:rsidR="006D3E95">
        <w:rPr>
          <w:lang w:val="en-US"/>
        </w:rPr>
        <w:t>Fixed</w:t>
      </w:r>
      <w:r w:rsidR="00E27648">
        <w:rPr>
          <w:lang w:val="en-US"/>
        </w:rPr>
        <w:t>-</w:t>
      </w:r>
      <w:r w:rsidR="006D3E95">
        <w:rPr>
          <w:lang w:val="en-US"/>
        </w:rPr>
        <w:t>to</w:t>
      </w:r>
      <w:r w:rsidR="00E27648">
        <w:rPr>
          <w:lang w:val="en-US"/>
        </w:rPr>
        <w:t>-</w:t>
      </w:r>
      <w:r w:rsidR="006D3E95">
        <w:rPr>
          <w:lang w:val="en-US"/>
        </w:rPr>
        <w:t>Floating Rate Senior</w:t>
      </w:r>
      <w:r w:rsidR="00FE2AFF" w:rsidRPr="00695F84">
        <w:rPr>
          <w:lang w:val="en-US"/>
        </w:rPr>
        <w:t xml:space="preserve"> </w:t>
      </w:r>
      <w:r w:rsidR="00D06F29">
        <w:rPr>
          <w:lang w:val="en-US"/>
        </w:rPr>
        <w:t>Notes</w:t>
      </w:r>
      <w:r w:rsidR="00FE2AFF" w:rsidRPr="00695F84">
        <w:rPr>
          <w:lang w:val="en-US"/>
        </w:rPr>
        <w:t xml:space="preserve"> due </w:t>
      </w:r>
      <w:r w:rsidR="006D3E95">
        <w:rPr>
          <w:lang w:val="en-US"/>
        </w:rPr>
        <w:t>2026</w:t>
      </w:r>
      <w:r w:rsidR="00FE2AFF" w:rsidRPr="00695F84">
        <w:rPr>
          <w:lang w:val="en-US"/>
        </w:rPr>
        <w:t xml:space="preserve"> (the “</w:t>
      </w:r>
      <w:r w:rsidR="00D06F29">
        <w:rPr>
          <w:lang w:val="en-US"/>
        </w:rPr>
        <w:t>Notes</w:t>
      </w:r>
      <w:r w:rsidR="00FE2AFF" w:rsidRPr="00695F84">
        <w:rPr>
          <w:lang w:val="en-US"/>
        </w:rPr>
        <w:t>”</w:t>
      </w:r>
      <w:r w:rsidR="0008309F">
        <w:rPr>
          <w:lang w:val="en-US"/>
        </w:rPr>
        <w:t>) subject to the satisfaction (or waiver) of the New Financing Condition</w:t>
      </w:r>
      <w:r w:rsidR="006D5E41">
        <w:rPr>
          <w:lang w:val="en-US"/>
        </w:rPr>
        <w:t xml:space="preserve"> (as defined below)</w:t>
      </w:r>
      <w:r w:rsidR="00FE2AFF" w:rsidRPr="00695F84">
        <w:rPr>
          <w:lang w:val="en-US"/>
        </w:rPr>
        <w:t xml:space="preserve"> </w:t>
      </w:r>
      <w:r w:rsidR="006D5E41">
        <w:rPr>
          <w:lang w:val="en-US"/>
        </w:rPr>
        <w:t>(such offer</w:t>
      </w:r>
      <w:r w:rsidR="00FE2AFF" w:rsidRPr="00695F84">
        <w:rPr>
          <w:lang w:val="en-US"/>
        </w:rPr>
        <w:t xml:space="preserve">, the “Offer”). </w:t>
      </w:r>
    </w:p>
    <w:p w14:paraId="0230B84C" w14:textId="47B858E5" w:rsidR="00FE2AFF" w:rsidRPr="00695F84" w:rsidRDefault="00FE2AFF" w:rsidP="00FA3858">
      <w:pPr>
        <w:pStyle w:val="Body"/>
        <w:rPr>
          <w:lang w:val="en-US"/>
        </w:rPr>
      </w:pPr>
      <w:r w:rsidRPr="00695F84">
        <w:rPr>
          <w:lang w:val="en-US"/>
        </w:rPr>
        <w:t xml:space="preserve">The Offeror is making the Offer on the terms and subject to the conditions set forth in the offer to purchase dated </w:t>
      </w:r>
      <w:r w:rsidR="000E0C88">
        <w:rPr>
          <w:lang w:val="en-US"/>
        </w:rPr>
        <w:t>8</w:t>
      </w:r>
      <w:r w:rsidR="0099023C">
        <w:rPr>
          <w:lang w:val="en-US"/>
        </w:rPr>
        <w:t xml:space="preserve"> </w:t>
      </w:r>
      <w:r w:rsidR="0099023C" w:rsidRPr="0099023C">
        <w:rPr>
          <w:lang w:val="en-US"/>
        </w:rPr>
        <w:t>May</w:t>
      </w:r>
      <w:r w:rsidR="00D06F29">
        <w:rPr>
          <w:lang w:val="en-US"/>
        </w:rPr>
        <w:t xml:space="preserve"> 202</w:t>
      </w:r>
      <w:r w:rsidR="006D3E95">
        <w:rPr>
          <w:lang w:val="en-US"/>
        </w:rPr>
        <w:t>5</w:t>
      </w:r>
      <w:r w:rsidRPr="00695F84">
        <w:rPr>
          <w:lang w:val="en-US"/>
        </w:rPr>
        <w:t xml:space="preserve"> (the “Offer to Purchase”)</w:t>
      </w:r>
      <w:r w:rsidR="00FA26EF">
        <w:rPr>
          <w:lang w:val="en-US"/>
        </w:rPr>
        <w:t xml:space="preserve"> and subject to the offer restrictions set out below and as more fully described in the Offer to Purchase</w:t>
      </w:r>
      <w:r w:rsidRPr="00695F84">
        <w:rPr>
          <w:lang w:val="en-US"/>
        </w:rPr>
        <w:t>. The Offer to Purchase is available, subject to eligibility confirmation and registration, from the Offer Website:</w:t>
      </w:r>
      <w:r w:rsidR="00FB1A4A">
        <w:rPr>
          <w:rStyle w:val="Hyperlink"/>
          <w:lang w:val="en-US"/>
        </w:rPr>
        <w:t xml:space="preserve"> </w:t>
      </w:r>
      <w:r w:rsidR="00897962" w:rsidRPr="00897962">
        <w:rPr>
          <w:rStyle w:val="Hyperlink"/>
          <w:lang w:val="en-US"/>
        </w:rPr>
        <w:t>https://deals.is.kroll.com/aib</w:t>
      </w:r>
      <w:r w:rsidRPr="00695F84">
        <w:rPr>
          <w:lang w:val="en-US"/>
        </w:rPr>
        <w:t>. Capitalized terms used in this announcement and not otherwise defined have the meanings ascribed to them in the Offer to Purchase.</w:t>
      </w:r>
      <w:r w:rsidR="00F9563D">
        <w:rPr>
          <w:lang w:val="en-US"/>
        </w:rPr>
        <w:t xml:space="preserve"> </w:t>
      </w:r>
    </w:p>
    <w:p w14:paraId="0DD50B04" w14:textId="044EAB2B" w:rsidR="00FE2AFF" w:rsidRPr="00695F84" w:rsidRDefault="00FE2AFF" w:rsidP="00FA3858">
      <w:pPr>
        <w:pStyle w:val="Body"/>
        <w:rPr>
          <w:lang w:val="en-US"/>
        </w:rPr>
      </w:pPr>
      <w:r w:rsidRPr="00695F84">
        <w:rPr>
          <w:lang w:val="en-US"/>
        </w:rPr>
        <w:t>The following table sets forth certain terms of the Offer:</w:t>
      </w:r>
    </w:p>
    <w:tbl>
      <w:tblPr>
        <w:tblW w:w="5282" w:type="pct"/>
        <w:tblInd w:w="-284" w:type="dxa"/>
        <w:tblBorders>
          <w:insideH w:val="single" w:sz="4" w:space="0" w:color="auto"/>
        </w:tblBorders>
        <w:tblLayout w:type="fixed"/>
        <w:tblLook w:val="04A0" w:firstRow="1" w:lastRow="0" w:firstColumn="1" w:lastColumn="0" w:noHBand="0" w:noVBand="1"/>
      </w:tblPr>
      <w:tblGrid>
        <w:gridCol w:w="243"/>
        <w:gridCol w:w="728"/>
        <w:gridCol w:w="673"/>
        <w:gridCol w:w="415"/>
        <w:gridCol w:w="968"/>
        <w:gridCol w:w="432"/>
        <w:gridCol w:w="655"/>
        <w:gridCol w:w="1133"/>
        <w:gridCol w:w="1309"/>
        <w:gridCol w:w="962"/>
        <w:gridCol w:w="1121"/>
        <w:gridCol w:w="1142"/>
      </w:tblGrid>
      <w:tr w:rsidR="009C0185" w:rsidRPr="00695F84" w14:paraId="4E95D501" w14:textId="135B3B07" w:rsidTr="009C0185">
        <w:trPr>
          <w:trHeight w:val="1084"/>
        </w:trPr>
        <w:tc>
          <w:tcPr>
            <w:tcW w:w="496" w:type="pct"/>
            <w:gridSpan w:val="2"/>
            <w:vAlign w:val="bottom"/>
          </w:tcPr>
          <w:p w14:paraId="61E4C9BB" w14:textId="77777777" w:rsidR="009C0185" w:rsidRPr="00695F84" w:rsidRDefault="009C0185" w:rsidP="009C0185">
            <w:pPr>
              <w:pStyle w:val="CellHead"/>
              <w:jc w:val="center"/>
              <w:rPr>
                <w:sz w:val="12"/>
                <w:szCs w:val="12"/>
                <w:lang w:val="en-US"/>
              </w:rPr>
            </w:pPr>
            <w:r w:rsidRPr="00695F84">
              <w:rPr>
                <w:sz w:val="12"/>
                <w:szCs w:val="12"/>
                <w:lang w:val="en-US"/>
              </w:rPr>
              <w:t xml:space="preserve">Title of </w:t>
            </w:r>
            <w:r>
              <w:rPr>
                <w:sz w:val="12"/>
                <w:szCs w:val="12"/>
                <w:lang w:val="en-US"/>
              </w:rPr>
              <w:t>Notes</w:t>
            </w:r>
          </w:p>
        </w:tc>
        <w:tc>
          <w:tcPr>
            <w:tcW w:w="556" w:type="pct"/>
            <w:gridSpan w:val="2"/>
            <w:shd w:val="clear" w:color="auto" w:fill="auto"/>
            <w:vAlign w:val="bottom"/>
          </w:tcPr>
          <w:p w14:paraId="555CE5C2" w14:textId="5B6E1E9B" w:rsidR="009C0185" w:rsidRPr="007551C2" w:rsidRDefault="009C0185" w:rsidP="009C0185">
            <w:pPr>
              <w:pStyle w:val="CellHead"/>
              <w:jc w:val="center"/>
              <w:rPr>
                <w:sz w:val="12"/>
                <w:szCs w:val="12"/>
                <w:lang w:val="en-US"/>
              </w:rPr>
            </w:pPr>
            <w:r>
              <w:rPr>
                <w:sz w:val="12"/>
                <w:szCs w:val="12"/>
                <w:lang w:val="en-US"/>
              </w:rPr>
              <w:t>CUSIP / ISIN Number(s)</w:t>
            </w:r>
          </w:p>
        </w:tc>
        <w:tc>
          <w:tcPr>
            <w:tcW w:w="495" w:type="pct"/>
            <w:shd w:val="clear" w:color="auto" w:fill="auto"/>
            <w:vAlign w:val="bottom"/>
          </w:tcPr>
          <w:p w14:paraId="7D22A11B" w14:textId="3E3A46C9" w:rsidR="009C0185" w:rsidRPr="007551C2" w:rsidRDefault="009C0185" w:rsidP="009C0185">
            <w:pPr>
              <w:pStyle w:val="CellHead"/>
              <w:jc w:val="center"/>
              <w:rPr>
                <w:sz w:val="12"/>
                <w:szCs w:val="12"/>
                <w:lang w:val="en-US"/>
              </w:rPr>
            </w:pPr>
            <w:r w:rsidRPr="007551C2">
              <w:rPr>
                <w:sz w:val="12"/>
                <w:szCs w:val="12"/>
                <w:lang w:val="en-US"/>
              </w:rPr>
              <w:t>Outstanding Principal Amount</w:t>
            </w:r>
          </w:p>
        </w:tc>
        <w:tc>
          <w:tcPr>
            <w:tcW w:w="556" w:type="pct"/>
            <w:gridSpan w:val="2"/>
            <w:shd w:val="clear" w:color="auto" w:fill="auto"/>
            <w:vAlign w:val="bottom"/>
          </w:tcPr>
          <w:p w14:paraId="3B9D9AE9" w14:textId="2629A602" w:rsidR="009C0185" w:rsidRPr="007551C2" w:rsidRDefault="009C0185" w:rsidP="009C0185">
            <w:pPr>
              <w:pStyle w:val="CellHead"/>
              <w:jc w:val="center"/>
              <w:rPr>
                <w:sz w:val="12"/>
                <w:szCs w:val="12"/>
                <w:lang w:val="en-US"/>
              </w:rPr>
            </w:pPr>
            <w:r>
              <w:rPr>
                <w:sz w:val="12"/>
                <w:szCs w:val="12"/>
                <w:lang w:val="en-US"/>
              </w:rPr>
              <w:t>Fixed Spread</w:t>
            </w:r>
          </w:p>
        </w:tc>
        <w:tc>
          <w:tcPr>
            <w:tcW w:w="579" w:type="pct"/>
            <w:vAlign w:val="bottom"/>
          </w:tcPr>
          <w:p w14:paraId="6A05818C" w14:textId="27DB5950" w:rsidR="009C0185" w:rsidRPr="007551C2" w:rsidRDefault="009C0185" w:rsidP="009C0185">
            <w:pPr>
              <w:pStyle w:val="CellHead"/>
              <w:jc w:val="center"/>
              <w:rPr>
                <w:sz w:val="12"/>
                <w:szCs w:val="12"/>
                <w:lang w:val="en-US"/>
              </w:rPr>
            </w:pPr>
            <w:r w:rsidRPr="009C0185">
              <w:rPr>
                <w:sz w:val="12"/>
                <w:szCs w:val="12"/>
                <w:lang w:val="en-US"/>
              </w:rPr>
              <w:t>Optional Redemption Date</w:t>
            </w:r>
          </w:p>
        </w:tc>
        <w:tc>
          <w:tcPr>
            <w:tcW w:w="669" w:type="pct"/>
            <w:shd w:val="clear" w:color="auto" w:fill="auto"/>
            <w:vAlign w:val="bottom"/>
          </w:tcPr>
          <w:p w14:paraId="2781FFF4" w14:textId="311ABE5B" w:rsidR="009C0185" w:rsidRPr="007551C2" w:rsidRDefault="009C0185" w:rsidP="009C0185">
            <w:pPr>
              <w:pStyle w:val="CellHead"/>
              <w:jc w:val="center"/>
              <w:rPr>
                <w:sz w:val="12"/>
                <w:szCs w:val="12"/>
                <w:lang w:val="en-US"/>
              </w:rPr>
            </w:pPr>
            <w:r w:rsidRPr="007551C2">
              <w:rPr>
                <w:sz w:val="12"/>
                <w:szCs w:val="12"/>
                <w:lang w:val="en-US"/>
              </w:rPr>
              <w:t xml:space="preserve">Reference </w:t>
            </w:r>
            <w:r w:rsidRPr="007551C2">
              <w:rPr>
                <w:sz w:val="12"/>
                <w:szCs w:val="12"/>
                <w:lang w:val="en-US"/>
              </w:rPr>
              <w:br/>
              <w:t>Treasury Security</w:t>
            </w:r>
          </w:p>
        </w:tc>
        <w:tc>
          <w:tcPr>
            <w:tcW w:w="492" w:type="pct"/>
            <w:shd w:val="clear" w:color="auto" w:fill="auto"/>
            <w:vAlign w:val="bottom"/>
          </w:tcPr>
          <w:p w14:paraId="41B6D917" w14:textId="39BB819B" w:rsidR="009C0185" w:rsidRPr="007551C2" w:rsidRDefault="009C0185" w:rsidP="009C0185">
            <w:pPr>
              <w:pStyle w:val="CellHead"/>
              <w:jc w:val="center"/>
              <w:rPr>
                <w:sz w:val="12"/>
                <w:szCs w:val="12"/>
                <w:lang w:val="en-US"/>
              </w:rPr>
            </w:pPr>
            <w:r w:rsidRPr="007551C2">
              <w:rPr>
                <w:sz w:val="12"/>
                <w:szCs w:val="12"/>
                <w:lang w:val="en-US"/>
              </w:rPr>
              <w:t>Bloomberg Reference Page</w:t>
            </w:r>
          </w:p>
        </w:tc>
        <w:tc>
          <w:tcPr>
            <w:tcW w:w="573" w:type="pct"/>
            <w:shd w:val="clear" w:color="auto" w:fill="auto"/>
            <w:vAlign w:val="bottom"/>
          </w:tcPr>
          <w:p w14:paraId="63E7CC4F" w14:textId="4D67FF54" w:rsidR="009C0185" w:rsidRPr="007551C2" w:rsidRDefault="009C0185" w:rsidP="009C0185">
            <w:pPr>
              <w:pStyle w:val="CellHead"/>
              <w:jc w:val="center"/>
              <w:rPr>
                <w:sz w:val="12"/>
                <w:szCs w:val="12"/>
                <w:lang w:val="en-US"/>
              </w:rPr>
            </w:pPr>
            <w:r>
              <w:rPr>
                <w:sz w:val="12"/>
                <w:szCs w:val="12"/>
                <w:lang w:val="en-US"/>
              </w:rPr>
              <w:t>Total Consideration</w:t>
            </w:r>
            <w:r w:rsidRPr="003A419C">
              <w:rPr>
                <w:sz w:val="12"/>
                <w:szCs w:val="12"/>
                <w:vertAlign w:val="superscript"/>
                <w:lang w:val="en-US"/>
              </w:rPr>
              <w:t>(</w:t>
            </w:r>
            <w:r w:rsidRPr="00535F0B">
              <w:rPr>
                <w:sz w:val="12"/>
                <w:szCs w:val="12"/>
                <w:vertAlign w:val="superscript"/>
                <w:lang w:val="en-US"/>
              </w:rPr>
              <w:t>1)</w:t>
            </w:r>
          </w:p>
        </w:tc>
        <w:tc>
          <w:tcPr>
            <w:tcW w:w="585" w:type="pct"/>
            <w:vAlign w:val="bottom"/>
          </w:tcPr>
          <w:p w14:paraId="51229DD6" w14:textId="06A3DA9C" w:rsidR="009C0185" w:rsidRPr="003A419C" w:rsidRDefault="009C0185" w:rsidP="009C0185">
            <w:pPr>
              <w:pStyle w:val="CellHead"/>
              <w:jc w:val="center"/>
              <w:rPr>
                <w:sz w:val="12"/>
                <w:szCs w:val="12"/>
                <w:lang w:val="en-US"/>
              </w:rPr>
            </w:pPr>
            <w:r>
              <w:rPr>
                <w:sz w:val="12"/>
                <w:szCs w:val="12"/>
                <w:lang w:val="en-US"/>
              </w:rPr>
              <w:t>Amount Subject to the Offer</w:t>
            </w:r>
          </w:p>
        </w:tc>
      </w:tr>
      <w:tr w:rsidR="009C0185" w:rsidRPr="00695F84" w14:paraId="4E482626" w14:textId="5A9AD39E" w:rsidTr="009C0185">
        <w:trPr>
          <w:trHeight w:val="2180"/>
        </w:trPr>
        <w:tc>
          <w:tcPr>
            <w:tcW w:w="496" w:type="pct"/>
            <w:gridSpan w:val="2"/>
          </w:tcPr>
          <w:p w14:paraId="18F34465" w14:textId="2A619756" w:rsidR="009C0185" w:rsidRPr="00695F84" w:rsidRDefault="009C0185" w:rsidP="009C0185">
            <w:pPr>
              <w:pStyle w:val="CellBody"/>
              <w:jc w:val="center"/>
              <w:rPr>
                <w:sz w:val="12"/>
                <w:szCs w:val="12"/>
                <w:lang w:val="en-US"/>
              </w:rPr>
            </w:pPr>
            <w:r>
              <w:rPr>
                <w:sz w:val="12"/>
                <w:szCs w:val="12"/>
                <w:lang w:val="en-US"/>
              </w:rPr>
              <w:t>Fixed-to Floating-Rate Senior Notes due 2026</w:t>
            </w:r>
          </w:p>
        </w:tc>
        <w:tc>
          <w:tcPr>
            <w:tcW w:w="556" w:type="pct"/>
            <w:gridSpan w:val="2"/>
            <w:shd w:val="clear" w:color="auto" w:fill="auto"/>
          </w:tcPr>
          <w:p w14:paraId="24F19226" w14:textId="2ECF9613" w:rsidR="009C0185" w:rsidRPr="007551C2" w:rsidRDefault="009C0185" w:rsidP="009C0185">
            <w:pPr>
              <w:pStyle w:val="CellBody"/>
              <w:jc w:val="center"/>
              <w:rPr>
                <w:sz w:val="12"/>
                <w:szCs w:val="12"/>
                <w:lang w:val="en-US"/>
              </w:rPr>
            </w:pPr>
            <w:r w:rsidRPr="006D3E95">
              <w:rPr>
                <w:sz w:val="12"/>
                <w:szCs w:val="12"/>
                <w:lang w:val="en-US"/>
              </w:rPr>
              <w:t xml:space="preserve">00135TAC8 (144A) / US00135TAC80 (144A) </w:t>
            </w:r>
            <w:bookmarkStart w:id="0" w:name="_Hlk193731358"/>
            <w:r w:rsidRPr="006D3E95">
              <w:rPr>
                <w:sz w:val="12"/>
                <w:szCs w:val="12"/>
                <w:lang w:val="en-US"/>
              </w:rPr>
              <w:t>G0R4HJAC0 (Reg S) / USG0R4HJAC07 (Reg S)</w:t>
            </w:r>
            <w:bookmarkEnd w:id="0"/>
          </w:p>
        </w:tc>
        <w:tc>
          <w:tcPr>
            <w:tcW w:w="495" w:type="pct"/>
            <w:shd w:val="clear" w:color="auto" w:fill="auto"/>
          </w:tcPr>
          <w:p w14:paraId="42CD494C" w14:textId="3A0F45F8" w:rsidR="009C0185" w:rsidRPr="007551C2" w:rsidRDefault="009C0185" w:rsidP="009C0185">
            <w:pPr>
              <w:pStyle w:val="CellBody"/>
              <w:jc w:val="center"/>
              <w:rPr>
                <w:sz w:val="12"/>
                <w:szCs w:val="12"/>
                <w:lang w:val="en-US"/>
              </w:rPr>
            </w:pPr>
            <w:r w:rsidRPr="007551C2">
              <w:rPr>
                <w:sz w:val="12"/>
                <w:szCs w:val="12"/>
                <w:lang w:val="en-US"/>
              </w:rPr>
              <w:t>U.S.$750,000,000</w:t>
            </w:r>
          </w:p>
        </w:tc>
        <w:tc>
          <w:tcPr>
            <w:tcW w:w="556" w:type="pct"/>
            <w:gridSpan w:val="2"/>
            <w:shd w:val="clear" w:color="auto" w:fill="auto"/>
          </w:tcPr>
          <w:p w14:paraId="7A324746" w14:textId="12CEC153" w:rsidR="009C0185" w:rsidRPr="007551C2" w:rsidDel="00A042B8" w:rsidRDefault="000E0C88" w:rsidP="009C0185">
            <w:pPr>
              <w:pStyle w:val="CellBody"/>
              <w:jc w:val="center"/>
              <w:rPr>
                <w:sz w:val="12"/>
                <w:szCs w:val="12"/>
                <w:lang w:val="en-US"/>
              </w:rPr>
            </w:pPr>
            <w:r>
              <w:rPr>
                <w:sz w:val="12"/>
                <w:szCs w:val="12"/>
                <w:lang w:val="en-US"/>
              </w:rPr>
              <w:t>70</w:t>
            </w:r>
            <w:r w:rsidR="009C0185">
              <w:rPr>
                <w:sz w:val="12"/>
                <w:szCs w:val="12"/>
                <w:lang w:val="en-US"/>
              </w:rPr>
              <w:t xml:space="preserve"> basis points</w:t>
            </w:r>
          </w:p>
        </w:tc>
        <w:tc>
          <w:tcPr>
            <w:tcW w:w="579" w:type="pct"/>
          </w:tcPr>
          <w:p w14:paraId="0C72AF6E" w14:textId="24FE0B16" w:rsidR="009C0185" w:rsidRDefault="009C0185" w:rsidP="009C0185">
            <w:pPr>
              <w:pStyle w:val="CellBody"/>
              <w:jc w:val="center"/>
              <w:rPr>
                <w:sz w:val="12"/>
                <w:szCs w:val="12"/>
                <w:lang w:val="en-US"/>
              </w:rPr>
            </w:pPr>
            <w:r w:rsidRPr="009C0185">
              <w:rPr>
                <w:sz w:val="12"/>
                <w:szCs w:val="12"/>
                <w:lang w:val="en-US"/>
              </w:rPr>
              <w:t>14 October 2025</w:t>
            </w:r>
          </w:p>
        </w:tc>
        <w:tc>
          <w:tcPr>
            <w:tcW w:w="669" w:type="pct"/>
            <w:shd w:val="clear" w:color="auto" w:fill="auto"/>
          </w:tcPr>
          <w:p w14:paraId="4B535D6F" w14:textId="1B0240A2" w:rsidR="009C0185" w:rsidRPr="007551C2" w:rsidRDefault="009C0185" w:rsidP="009C0185">
            <w:pPr>
              <w:pStyle w:val="CellBody"/>
              <w:jc w:val="center"/>
              <w:rPr>
                <w:sz w:val="12"/>
                <w:szCs w:val="12"/>
                <w:lang w:val="en-US"/>
              </w:rPr>
            </w:pPr>
            <w:r>
              <w:rPr>
                <w:sz w:val="12"/>
                <w:szCs w:val="12"/>
                <w:lang w:val="en-US"/>
              </w:rPr>
              <w:t xml:space="preserve">4.250 per cent. U.S. Treasury due </w:t>
            </w:r>
            <w:r w:rsidR="0099023C">
              <w:rPr>
                <w:sz w:val="12"/>
                <w:szCs w:val="12"/>
                <w:lang w:val="en-US"/>
              </w:rPr>
              <w:t xml:space="preserve">15 </w:t>
            </w:r>
            <w:r>
              <w:rPr>
                <w:sz w:val="12"/>
                <w:szCs w:val="12"/>
                <w:lang w:val="en-US"/>
              </w:rPr>
              <w:t>October 2025</w:t>
            </w:r>
          </w:p>
        </w:tc>
        <w:tc>
          <w:tcPr>
            <w:tcW w:w="492" w:type="pct"/>
            <w:shd w:val="clear" w:color="auto" w:fill="auto"/>
          </w:tcPr>
          <w:p w14:paraId="7AFA70B5" w14:textId="205CE8DC" w:rsidR="009C0185" w:rsidRPr="007551C2" w:rsidRDefault="009C0185" w:rsidP="009C0185">
            <w:pPr>
              <w:pStyle w:val="CellBody"/>
              <w:jc w:val="center"/>
              <w:rPr>
                <w:sz w:val="12"/>
                <w:szCs w:val="12"/>
                <w:lang w:val="en-US"/>
              </w:rPr>
            </w:pPr>
            <w:r w:rsidRPr="007551C2">
              <w:rPr>
                <w:sz w:val="12"/>
                <w:szCs w:val="12"/>
                <w:lang w:val="en-US"/>
              </w:rPr>
              <w:t>FIT</w:t>
            </w:r>
            <w:r>
              <w:rPr>
                <w:sz w:val="12"/>
                <w:szCs w:val="12"/>
                <w:lang w:val="en-US"/>
              </w:rPr>
              <w:t>3</w:t>
            </w:r>
          </w:p>
        </w:tc>
        <w:tc>
          <w:tcPr>
            <w:tcW w:w="573" w:type="pct"/>
            <w:shd w:val="clear" w:color="auto" w:fill="auto"/>
          </w:tcPr>
          <w:p w14:paraId="2ED57722" w14:textId="6C4716F0" w:rsidR="009C0185" w:rsidRPr="007551C2" w:rsidRDefault="009C0185" w:rsidP="009C0185">
            <w:pPr>
              <w:pStyle w:val="CellBody"/>
              <w:jc w:val="center"/>
              <w:rPr>
                <w:sz w:val="12"/>
                <w:szCs w:val="12"/>
                <w:lang w:val="en-US"/>
              </w:rPr>
            </w:pPr>
            <w:r>
              <w:rPr>
                <w:sz w:val="12"/>
                <w:szCs w:val="12"/>
                <w:lang w:val="en-US"/>
              </w:rPr>
              <w:t>To be determined as described in the Offer to Purchase</w:t>
            </w:r>
          </w:p>
        </w:tc>
        <w:tc>
          <w:tcPr>
            <w:tcW w:w="585" w:type="pct"/>
          </w:tcPr>
          <w:p w14:paraId="3989CFC4" w14:textId="5447EE14" w:rsidR="009C0185" w:rsidRDefault="009C0185" w:rsidP="009C0185">
            <w:pPr>
              <w:pStyle w:val="CellBody"/>
              <w:jc w:val="center"/>
              <w:rPr>
                <w:sz w:val="12"/>
                <w:szCs w:val="12"/>
                <w:lang w:val="en-US"/>
              </w:rPr>
            </w:pPr>
            <w:r>
              <w:rPr>
                <w:sz w:val="12"/>
                <w:szCs w:val="12"/>
                <w:lang w:val="en-US"/>
              </w:rPr>
              <w:t>Any and all</w:t>
            </w:r>
          </w:p>
        </w:tc>
      </w:tr>
      <w:tr w:rsidR="009C0185" w:rsidRPr="006B7F25" w14:paraId="59E09617" w14:textId="4FF5EC36" w:rsidTr="009C0185">
        <w:tblPrEx>
          <w:tblBorders>
            <w:insideH w:val="none" w:sz="0" w:space="0" w:color="auto"/>
          </w:tblBorders>
          <w:tblLook w:val="0000" w:firstRow="0" w:lastRow="0" w:firstColumn="0" w:lastColumn="0" w:noHBand="0" w:noVBand="0"/>
        </w:tblPrEx>
        <w:trPr>
          <w:gridBefore w:val="1"/>
          <w:gridAfter w:val="1"/>
          <w:wBefore w:w="124" w:type="pct"/>
          <w:wAfter w:w="585" w:type="pct"/>
          <w:trHeight w:val="239"/>
        </w:trPr>
        <w:tc>
          <w:tcPr>
            <w:tcW w:w="372" w:type="pct"/>
            <w:vAlign w:val="bottom"/>
          </w:tcPr>
          <w:p w14:paraId="54B589D4" w14:textId="77777777" w:rsidR="009C0185" w:rsidRPr="006B7F25" w:rsidRDefault="009C0185" w:rsidP="00632CBF">
            <w:pPr>
              <w:pStyle w:val="NoteBody"/>
              <w:jc w:val="center"/>
              <w:rPr>
                <w:sz w:val="12"/>
                <w:szCs w:val="12"/>
              </w:rPr>
            </w:pPr>
            <w:r w:rsidRPr="006B7F25">
              <w:rPr>
                <w:sz w:val="12"/>
                <w:szCs w:val="12"/>
              </w:rPr>
              <w:t>Note:</w:t>
            </w:r>
          </w:p>
        </w:tc>
        <w:tc>
          <w:tcPr>
            <w:tcW w:w="556" w:type="pct"/>
            <w:gridSpan w:val="2"/>
          </w:tcPr>
          <w:p w14:paraId="5ED34B93" w14:textId="77777777" w:rsidR="009C0185" w:rsidRPr="006B7F25" w:rsidRDefault="009C0185" w:rsidP="00A52520">
            <w:pPr>
              <w:pStyle w:val="NoteBody"/>
              <w:rPr>
                <w:sz w:val="12"/>
                <w:szCs w:val="12"/>
              </w:rPr>
            </w:pPr>
          </w:p>
        </w:tc>
        <w:tc>
          <w:tcPr>
            <w:tcW w:w="716" w:type="pct"/>
            <w:gridSpan w:val="2"/>
          </w:tcPr>
          <w:p w14:paraId="4EF271B3" w14:textId="77777777" w:rsidR="009C0185" w:rsidRPr="006B7F25" w:rsidRDefault="009C0185" w:rsidP="00A52520">
            <w:pPr>
              <w:pStyle w:val="NoteBody"/>
              <w:rPr>
                <w:sz w:val="12"/>
                <w:szCs w:val="12"/>
              </w:rPr>
            </w:pPr>
          </w:p>
        </w:tc>
        <w:tc>
          <w:tcPr>
            <w:tcW w:w="2647" w:type="pct"/>
            <w:gridSpan w:val="5"/>
          </w:tcPr>
          <w:p w14:paraId="2873A42B" w14:textId="26C0D685" w:rsidR="009C0185" w:rsidRPr="006B7F25" w:rsidRDefault="009C0185" w:rsidP="00A52520">
            <w:pPr>
              <w:pStyle w:val="NoteBody"/>
              <w:rPr>
                <w:sz w:val="12"/>
                <w:szCs w:val="12"/>
              </w:rPr>
            </w:pPr>
          </w:p>
        </w:tc>
      </w:tr>
      <w:tr w:rsidR="009C0185" w:rsidRPr="006B7F25" w14:paraId="3394F141" w14:textId="77777777" w:rsidTr="009C0185">
        <w:tblPrEx>
          <w:tblBorders>
            <w:insideH w:val="none" w:sz="0" w:space="0" w:color="auto"/>
          </w:tblBorders>
          <w:tblLook w:val="0000" w:firstRow="0" w:lastRow="0" w:firstColumn="0" w:lastColumn="0" w:noHBand="0" w:noVBand="0"/>
        </w:tblPrEx>
        <w:trPr>
          <w:gridBefore w:val="1"/>
          <w:gridAfter w:val="1"/>
          <w:wBefore w:w="124" w:type="pct"/>
          <w:wAfter w:w="585" w:type="pct"/>
          <w:trHeight w:val="229"/>
        </w:trPr>
        <w:tc>
          <w:tcPr>
            <w:tcW w:w="716" w:type="pct"/>
            <w:gridSpan w:val="2"/>
          </w:tcPr>
          <w:p w14:paraId="260C7E22" w14:textId="77777777" w:rsidR="009C0185" w:rsidRPr="006B7F25" w:rsidRDefault="009C0185" w:rsidP="00245E8C">
            <w:pPr>
              <w:pStyle w:val="NoteBody"/>
              <w:numPr>
                <w:ilvl w:val="0"/>
                <w:numId w:val="66"/>
              </w:numPr>
              <w:rPr>
                <w:sz w:val="12"/>
                <w:szCs w:val="12"/>
              </w:rPr>
            </w:pPr>
          </w:p>
        </w:tc>
        <w:tc>
          <w:tcPr>
            <w:tcW w:w="3575" w:type="pct"/>
            <w:gridSpan w:val="8"/>
            <w:vAlign w:val="bottom"/>
          </w:tcPr>
          <w:p w14:paraId="45464369" w14:textId="4600C182" w:rsidR="009C0185" w:rsidRPr="006B7F25" w:rsidRDefault="009C0185" w:rsidP="006F19A4">
            <w:pPr>
              <w:pStyle w:val="NoteBody"/>
              <w:rPr>
                <w:sz w:val="12"/>
                <w:szCs w:val="12"/>
              </w:rPr>
            </w:pPr>
            <w:r w:rsidRPr="006B7F25">
              <w:rPr>
                <w:sz w:val="12"/>
                <w:szCs w:val="12"/>
              </w:rPr>
              <w:t>The applicable Total Consideration is calculated with reference to the Fixed Spread.</w:t>
            </w:r>
          </w:p>
        </w:tc>
      </w:tr>
    </w:tbl>
    <w:p w14:paraId="40EC4EA1" w14:textId="369E40A4" w:rsidR="00FE2AFF" w:rsidRDefault="00FE2AFF" w:rsidP="006C014A">
      <w:pPr>
        <w:pStyle w:val="Body"/>
        <w:rPr>
          <w:lang w:val="en-US"/>
        </w:rPr>
      </w:pPr>
    </w:p>
    <w:p w14:paraId="1216866B" w14:textId="26D1278B" w:rsidR="00984E20" w:rsidRDefault="00CB420B" w:rsidP="00CB420B">
      <w:pPr>
        <w:pStyle w:val="Body"/>
        <w:rPr>
          <w:lang w:val="en-US"/>
        </w:rPr>
      </w:pPr>
      <w:r w:rsidRPr="00695F84">
        <w:rPr>
          <w:lang w:val="en-US"/>
        </w:rPr>
        <w:t xml:space="preserve">The Offer will expire at 5:00 p.m., New York City time, on </w:t>
      </w:r>
      <w:r w:rsidR="000E0C88">
        <w:rPr>
          <w:lang w:val="en-US"/>
        </w:rPr>
        <w:t xml:space="preserve">14 </w:t>
      </w:r>
      <w:r w:rsidR="0099023C" w:rsidRPr="0099023C">
        <w:rPr>
          <w:lang w:val="en-US"/>
        </w:rPr>
        <w:t>May</w:t>
      </w:r>
      <w:r w:rsidR="0099023C">
        <w:rPr>
          <w:lang w:val="en-US"/>
        </w:rPr>
        <w:t xml:space="preserve"> </w:t>
      </w:r>
      <w:r>
        <w:rPr>
          <w:lang w:val="en-US"/>
        </w:rPr>
        <w:t>202</w:t>
      </w:r>
      <w:r w:rsidR="006D3E95">
        <w:rPr>
          <w:lang w:val="en-US"/>
        </w:rPr>
        <w:t>5</w:t>
      </w:r>
      <w:r w:rsidRPr="00695F84">
        <w:rPr>
          <w:lang w:val="en-US"/>
        </w:rPr>
        <w:t xml:space="preserve"> unless extended or earlier terminated by the Offeror in its sole</w:t>
      </w:r>
      <w:r w:rsidR="00521E3F">
        <w:rPr>
          <w:lang w:val="en-US"/>
        </w:rPr>
        <w:t xml:space="preserve"> and absolute</w:t>
      </w:r>
      <w:r w:rsidRPr="00695F84">
        <w:rPr>
          <w:lang w:val="en-US"/>
        </w:rPr>
        <w:t xml:space="preserve"> discretion (such time and date, as the same may be extended, the “Expiration Deadline”). Holders who validly tender their </w:t>
      </w:r>
      <w:r>
        <w:rPr>
          <w:lang w:val="en-US"/>
        </w:rPr>
        <w:t>Notes</w:t>
      </w:r>
      <w:r w:rsidRPr="00695F84">
        <w:rPr>
          <w:lang w:val="en-US"/>
        </w:rPr>
        <w:t xml:space="preserve"> may withdraw such </w:t>
      </w:r>
      <w:r>
        <w:rPr>
          <w:lang w:val="en-US"/>
        </w:rPr>
        <w:t>Notes</w:t>
      </w:r>
      <w:r w:rsidRPr="00695F84">
        <w:rPr>
          <w:lang w:val="en-US"/>
        </w:rPr>
        <w:t xml:space="preserve"> at any time prior to 5:00 p.m., New York City time, on </w:t>
      </w:r>
      <w:r w:rsidR="000E0C88">
        <w:rPr>
          <w:lang w:val="en-US"/>
        </w:rPr>
        <w:t xml:space="preserve">14 </w:t>
      </w:r>
      <w:r w:rsidR="0099023C" w:rsidRPr="0099023C">
        <w:rPr>
          <w:lang w:val="en-US"/>
        </w:rPr>
        <w:t>May</w:t>
      </w:r>
      <w:r w:rsidR="0099023C">
        <w:rPr>
          <w:lang w:val="en-US"/>
        </w:rPr>
        <w:t xml:space="preserve"> </w:t>
      </w:r>
      <w:r w:rsidR="006B62CD">
        <w:rPr>
          <w:lang w:val="en-US"/>
        </w:rPr>
        <w:t>202</w:t>
      </w:r>
      <w:r w:rsidR="006D3E95">
        <w:rPr>
          <w:lang w:val="en-US"/>
        </w:rPr>
        <w:t>5</w:t>
      </w:r>
      <w:r w:rsidRPr="00695F84">
        <w:rPr>
          <w:lang w:val="en-US"/>
        </w:rPr>
        <w:t xml:space="preserve"> (such time and date, as the same may be extended, the “Withdrawal Deadline”).</w:t>
      </w:r>
      <w:r w:rsidRPr="00A501FF">
        <w:rPr>
          <w:lang w:val="en-US"/>
        </w:rPr>
        <w:t xml:space="preserve"> </w:t>
      </w:r>
    </w:p>
    <w:p w14:paraId="7DA2F0B2" w14:textId="20AB7FB9" w:rsidR="00CB420B" w:rsidRDefault="00CB420B" w:rsidP="00CB420B">
      <w:pPr>
        <w:pStyle w:val="Body"/>
        <w:rPr>
          <w:lang w:val="en-US"/>
        </w:rPr>
      </w:pPr>
      <w:r>
        <w:rPr>
          <w:lang w:val="en-US"/>
        </w:rPr>
        <w:t xml:space="preserve">The Offeror announced on </w:t>
      </w:r>
      <w:r w:rsidR="000E0C88">
        <w:rPr>
          <w:lang w:val="en-US"/>
        </w:rPr>
        <w:t>8</w:t>
      </w:r>
      <w:r w:rsidR="0099023C">
        <w:rPr>
          <w:lang w:val="en-US"/>
        </w:rPr>
        <w:t xml:space="preserve"> </w:t>
      </w:r>
      <w:r w:rsidR="0099023C" w:rsidRPr="0099023C">
        <w:rPr>
          <w:lang w:val="en-US"/>
        </w:rPr>
        <w:t>May</w:t>
      </w:r>
      <w:r>
        <w:rPr>
          <w:lang w:val="en-US"/>
        </w:rPr>
        <w:t xml:space="preserve"> 202</w:t>
      </w:r>
      <w:r w:rsidR="006D3E95">
        <w:rPr>
          <w:lang w:val="en-US"/>
        </w:rPr>
        <w:t>5</w:t>
      </w:r>
      <w:r>
        <w:rPr>
          <w:lang w:val="en-US"/>
        </w:rPr>
        <w:t xml:space="preserve"> its intention to issue a series of dollar</w:t>
      </w:r>
      <w:r w:rsidR="006D3E95">
        <w:rPr>
          <w:lang w:val="en-US"/>
        </w:rPr>
        <w:t>-</w:t>
      </w:r>
      <w:r>
        <w:rPr>
          <w:lang w:val="en-US"/>
        </w:rPr>
        <w:t>denominated notes (the “</w:t>
      </w:r>
      <w:r w:rsidRPr="008B267F">
        <w:rPr>
          <w:lang w:val="en-US"/>
        </w:rPr>
        <w:t>New Notes</w:t>
      </w:r>
      <w:r>
        <w:rPr>
          <w:lang w:val="en-US"/>
        </w:rPr>
        <w:t>”), subject to market conditions. Whether the Offeror will accept for purchase any Notes validly tendered in the Offer and complete the Offer is subject, without limitation, to the successful completion (in the sole determination of the Offeror of the issue of New Notes (the “</w:t>
      </w:r>
      <w:r w:rsidRPr="008B267F">
        <w:rPr>
          <w:lang w:val="en-US"/>
        </w:rPr>
        <w:t>New Financing Condition</w:t>
      </w:r>
      <w:r>
        <w:rPr>
          <w:lang w:val="en-US"/>
        </w:rPr>
        <w:t>”). Pricing of the issue of the New Notes is expected to occur prior to the Expiration Deadline for the Offer.</w:t>
      </w:r>
    </w:p>
    <w:p w14:paraId="358DB8DE" w14:textId="4E0DC36C" w:rsidR="00086D59" w:rsidRPr="00F33289" w:rsidRDefault="00086D59" w:rsidP="00086D59">
      <w:pPr>
        <w:pStyle w:val="Body"/>
        <w:rPr>
          <w:b/>
          <w:bCs/>
          <w:i/>
          <w:iCs/>
        </w:rPr>
      </w:pPr>
      <w:r w:rsidRPr="00067BB7">
        <w:lastRenderedPageBreak/>
        <w:t xml:space="preserve">When considering allocation of the New </w:t>
      </w:r>
      <w:r>
        <w:t>Notes</w:t>
      </w:r>
      <w:r w:rsidRPr="00067BB7">
        <w:t xml:space="preserve">, </w:t>
      </w:r>
      <w:r>
        <w:t>the Offeror</w:t>
      </w:r>
      <w:r w:rsidRPr="00067BB7">
        <w:t xml:space="preserve"> </w:t>
      </w:r>
      <w:r>
        <w:t>intends to</w:t>
      </w:r>
      <w:r w:rsidRPr="00067BB7">
        <w:t xml:space="preserve"> give preference to those </w:t>
      </w:r>
      <w:r>
        <w:t>Holders</w:t>
      </w:r>
      <w:r w:rsidRPr="00067BB7">
        <w:t xml:space="preserve"> who, prior to such allocation, have validly tendered (or</w:t>
      </w:r>
      <w:r>
        <w:t xml:space="preserve"> </w:t>
      </w:r>
      <w:r w:rsidRPr="00067BB7">
        <w:t xml:space="preserve">have given a firm indication to </w:t>
      </w:r>
      <w:r>
        <w:t>the Offeror</w:t>
      </w:r>
      <w:r w:rsidRPr="00067BB7">
        <w:t xml:space="preserve"> or </w:t>
      </w:r>
      <w:r w:rsidR="00391222">
        <w:t>the</w:t>
      </w:r>
      <w:r w:rsidR="00391222" w:rsidRPr="00067BB7">
        <w:t xml:space="preserve"> </w:t>
      </w:r>
      <w:r w:rsidRPr="00067BB7">
        <w:t xml:space="preserve">Dealer Manager that they intend to tender) their </w:t>
      </w:r>
      <w:r>
        <w:t>Notes</w:t>
      </w:r>
      <w:r w:rsidRPr="00067BB7">
        <w:t xml:space="preserve"> pursuant to the Offer. Therefore, a </w:t>
      </w:r>
      <w:r>
        <w:t>Holder</w:t>
      </w:r>
      <w:r w:rsidRPr="00067BB7">
        <w:t xml:space="preserve"> who wishes to subscribe for New </w:t>
      </w:r>
      <w:r>
        <w:t>Notes</w:t>
      </w:r>
      <w:r w:rsidRPr="00067BB7">
        <w:t xml:space="preserve"> in addition to tendering its </w:t>
      </w:r>
      <w:r>
        <w:t>Notes</w:t>
      </w:r>
      <w:r w:rsidRPr="00067BB7">
        <w:t xml:space="preserve"> for purchase pursuant to the Offer may be eligible to receive, at the sole and absolute discretion of </w:t>
      </w:r>
      <w:r>
        <w:t>the Offeror</w:t>
      </w:r>
      <w:r w:rsidRPr="00067BB7">
        <w:t xml:space="preserve">, priority in the allocation of the New </w:t>
      </w:r>
      <w:r>
        <w:t>Notes</w:t>
      </w:r>
      <w:r w:rsidRPr="00067BB7">
        <w:t xml:space="preserve">, subject to the issue of the New </w:t>
      </w:r>
      <w:r>
        <w:t>Notes</w:t>
      </w:r>
      <w:r w:rsidRPr="00067BB7">
        <w:t xml:space="preserve"> and such </w:t>
      </w:r>
      <w:r>
        <w:t>Holder</w:t>
      </w:r>
      <w:r w:rsidRPr="00067BB7">
        <w:t xml:space="preserve"> making a separate application for the purchase of such New </w:t>
      </w:r>
      <w:r>
        <w:t>Notes</w:t>
      </w:r>
      <w:r w:rsidRPr="00067BB7">
        <w:t xml:space="preserve"> to </w:t>
      </w:r>
      <w:r w:rsidR="00391222">
        <w:t>the</w:t>
      </w:r>
      <w:r w:rsidR="00391222" w:rsidRPr="00067BB7">
        <w:t xml:space="preserve"> </w:t>
      </w:r>
      <w:r w:rsidRPr="00067BB7">
        <w:t xml:space="preserve">Dealer Manager (in its capacity as a joint lead manager of the issue of the New </w:t>
      </w:r>
      <w:r>
        <w:t>Notes</w:t>
      </w:r>
      <w:r w:rsidRPr="00067BB7">
        <w:t xml:space="preserve">) or to any other joint lead manager of the issue of the New </w:t>
      </w:r>
      <w:r>
        <w:t>Notes</w:t>
      </w:r>
      <w:r w:rsidRPr="00067BB7">
        <w:t xml:space="preserve"> in accordance with the standard new issue procedures of such joint lead manager. However, </w:t>
      </w:r>
      <w:r>
        <w:t>the Offeror</w:t>
      </w:r>
      <w:r w:rsidRPr="00067BB7">
        <w:t xml:space="preserve"> is not obliged to allocate the New </w:t>
      </w:r>
      <w:r>
        <w:t>Notes</w:t>
      </w:r>
      <w:r w:rsidRPr="00067BB7">
        <w:t xml:space="preserve"> to a </w:t>
      </w:r>
      <w:r>
        <w:t>Holder</w:t>
      </w:r>
      <w:r w:rsidRPr="00067BB7">
        <w:t xml:space="preserve"> who has validly tendered or indicated a firm intention to tender the </w:t>
      </w:r>
      <w:r>
        <w:t>Notes</w:t>
      </w:r>
      <w:r w:rsidRPr="00067BB7">
        <w:t xml:space="preserve"> pursuant to the Offer </w:t>
      </w:r>
      <w:r w:rsidRPr="00067BB7">
        <w:rPr>
          <w:bCs/>
        </w:rPr>
        <w:t xml:space="preserve">and, if New </w:t>
      </w:r>
      <w:r>
        <w:rPr>
          <w:bCs/>
        </w:rPr>
        <w:t xml:space="preserve">Notes </w:t>
      </w:r>
      <w:r w:rsidRPr="00067BB7">
        <w:rPr>
          <w:bCs/>
        </w:rPr>
        <w:t xml:space="preserve">are allocated, the nominal amount thereof may be less or more than the nominal amount of </w:t>
      </w:r>
      <w:r>
        <w:rPr>
          <w:bCs/>
        </w:rPr>
        <w:t>Notes</w:t>
      </w:r>
      <w:r w:rsidRPr="00067BB7">
        <w:rPr>
          <w:bCs/>
        </w:rPr>
        <w:t xml:space="preserve"> tendered by such </w:t>
      </w:r>
      <w:r>
        <w:rPr>
          <w:bCs/>
        </w:rPr>
        <w:t>Holder</w:t>
      </w:r>
      <w:r w:rsidRPr="00067BB7">
        <w:rPr>
          <w:bCs/>
        </w:rPr>
        <w:t xml:space="preserve"> and accepted by the Offeror pursuant to the Offer</w:t>
      </w:r>
      <w:r w:rsidRPr="00067BB7">
        <w:t xml:space="preserve">. Any such allocation will also, among other factors, take into account the minimum denomination of the New </w:t>
      </w:r>
      <w:r>
        <w:t xml:space="preserve">Notes </w:t>
      </w:r>
      <w:r w:rsidRPr="00067BB7">
        <w:t xml:space="preserve">(being </w:t>
      </w:r>
      <w:r>
        <w:t>U.S$2</w:t>
      </w:r>
      <w:r w:rsidRPr="00067BB7">
        <w:t>00,000).</w:t>
      </w:r>
      <w:r>
        <w:t xml:space="preserve"> </w:t>
      </w:r>
    </w:p>
    <w:p w14:paraId="18F9FA16" w14:textId="77777777" w:rsidR="00086D59" w:rsidRDefault="00086D59" w:rsidP="00086D59">
      <w:pPr>
        <w:pStyle w:val="Body"/>
      </w:pPr>
      <w:r w:rsidRPr="00067BB7">
        <w:t xml:space="preserve">All allocations of the New </w:t>
      </w:r>
      <w:r>
        <w:t>Notes</w:t>
      </w:r>
      <w:r w:rsidRPr="00067BB7">
        <w:t xml:space="preserve">, while being considered by </w:t>
      </w:r>
      <w:r>
        <w:t>the Offeror</w:t>
      </w:r>
      <w:r w:rsidRPr="00067BB7">
        <w:t xml:space="preserve"> as set out above, will be made in accordance with customary new issue allocation processes and procedures. In the event that a </w:t>
      </w:r>
      <w:r>
        <w:t>Holder</w:t>
      </w:r>
      <w:r w:rsidRPr="00067BB7">
        <w:t xml:space="preserve"> validly tenders </w:t>
      </w:r>
      <w:r>
        <w:t>Notes</w:t>
      </w:r>
      <w:r w:rsidRPr="00067BB7">
        <w:t xml:space="preserve"> pursuant to the Offer, such </w:t>
      </w:r>
      <w:r>
        <w:t>Notes</w:t>
      </w:r>
      <w:r w:rsidRPr="00067BB7">
        <w:t xml:space="preserve"> will remain subject to such tender and the conditions of the Offer as set out in this </w:t>
      </w:r>
      <w:r>
        <w:t>Offer to Purchase</w:t>
      </w:r>
      <w:r w:rsidRPr="00067BB7">
        <w:t xml:space="preserve"> irrespective of whether that </w:t>
      </w:r>
      <w:r>
        <w:t>Holder</w:t>
      </w:r>
      <w:r w:rsidRPr="00067BB7">
        <w:t xml:space="preserve"> receives all, part or none of any allocation of New </w:t>
      </w:r>
      <w:r>
        <w:t xml:space="preserve">Notes </w:t>
      </w:r>
      <w:r w:rsidRPr="00067BB7">
        <w:t>for which it has applied.</w:t>
      </w:r>
    </w:p>
    <w:p w14:paraId="30F4CCD7" w14:textId="4EADE16E" w:rsidR="00060A71" w:rsidRDefault="00060A71" w:rsidP="00086D59">
      <w:pPr>
        <w:pStyle w:val="Body"/>
      </w:pPr>
      <w:r>
        <w:t xml:space="preserve">All valid tenders of the Notes will, subject to satisfaction or waiver of the New Financing Condition and other </w:t>
      </w:r>
      <w:r w:rsidR="009022E7">
        <w:t>c</w:t>
      </w:r>
      <w:r>
        <w:t xml:space="preserve">onditions of the Offer, be accepted in full and there will be no scaling of acceptances of Notes. </w:t>
      </w:r>
    </w:p>
    <w:p w14:paraId="48FBE4E0" w14:textId="010ED729" w:rsidR="00086D59" w:rsidRDefault="00086D59" w:rsidP="00086D59">
      <w:pPr>
        <w:pStyle w:val="Body"/>
      </w:pPr>
      <w:r>
        <w:t>Holders</w:t>
      </w:r>
      <w:r w:rsidRPr="0076545F">
        <w:t xml:space="preserve"> should note that the pricing and allocation of the New Notes are expected to take place prior to the Expiration Deadline for the Offer and any </w:t>
      </w:r>
      <w:r>
        <w:t>Holder</w:t>
      </w:r>
      <w:r w:rsidRPr="0076545F">
        <w:t xml:space="preserve"> that wishes to subscribe for New Notes in addition to tendering existing Notes for purchase pursuant to the Offer should therefore provide, as soon as practicable, to </w:t>
      </w:r>
      <w:r w:rsidR="00391222">
        <w:t>the</w:t>
      </w:r>
      <w:r w:rsidR="00391222" w:rsidRPr="0076545F">
        <w:t xml:space="preserve"> </w:t>
      </w:r>
      <w:r w:rsidRPr="0076545F">
        <w:t>Dealer Manager any indications of a firm intention to tender Notes for purchase pursuant to the Offer and the quantum of Notes that it intends to tender in order for this to be taken into account as part of the New Notes allocation process.</w:t>
      </w:r>
    </w:p>
    <w:p w14:paraId="6EF8CE7A" w14:textId="6E4F9FDD" w:rsidR="00CB420B" w:rsidRPr="00695F84" w:rsidRDefault="00CB420B" w:rsidP="00CB420B">
      <w:pPr>
        <w:pStyle w:val="Body"/>
        <w:rPr>
          <w:lang w:val="en-US"/>
        </w:rPr>
      </w:pPr>
      <w:r w:rsidRPr="00695F84">
        <w:rPr>
          <w:lang w:val="en-US"/>
        </w:rPr>
        <w:t xml:space="preserve">To participate in the Offer, and be eligible to receive the Total Consideration, Holders must validly tender and not validly withdraw their </w:t>
      </w:r>
      <w:r>
        <w:rPr>
          <w:lang w:val="en-US"/>
        </w:rPr>
        <w:t>Notes</w:t>
      </w:r>
      <w:r w:rsidRPr="00695F84">
        <w:rPr>
          <w:lang w:val="en-US"/>
        </w:rPr>
        <w:t xml:space="preserve"> so that they are received by the Information and Tender Agent at or prior to the Expiration Deadline (as the same may be extended), or deliver a properly completed and duly executed notice of guaranteed delivery by no later than 5:00 p.m. (New York City time) on </w:t>
      </w:r>
      <w:r w:rsidR="005B0716">
        <w:rPr>
          <w:lang w:val="en-US"/>
        </w:rPr>
        <w:t>15</w:t>
      </w:r>
      <w:r w:rsidR="006D3E95">
        <w:rPr>
          <w:lang w:val="en-US"/>
        </w:rPr>
        <w:t xml:space="preserve"> </w:t>
      </w:r>
      <w:r w:rsidR="0099023C" w:rsidRPr="0099023C">
        <w:rPr>
          <w:lang w:val="en-US"/>
        </w:rPr>
        <w:t>May</w:t>
      </w:r>
      <w:r>
        <w:rPr>
          <w:lang w:val="en-US"/>
        </w:rPr>
        <w:t xml:space="preserve"> 202</w:t>
      </w:r>
      <w:r w:rsidR="006D3E95">
        <w:rPr>
          <w:lang w:val="en-US"/>
        </w:rPr>
        <w:t>5</w:t>
      </w:r>
      <w:r>
        <w:rPr>
          <w:lang w:val="en-US"/>
        </w:rPr>
        <w:t>,</w:t>
      </w:r>
      <w:r w:rsidRPr="00695F84">
        <w:rPr>
          <w:lang w:val="en-US"/>
        </w:rPr>
        <w:t xml:space="preserve"> which is the Business Day after the Expiration Deadline (as the same may be extended), in accordance with the guaranteed delivery procedures described in the Offer to Purchase.</w:t>
      </w:r>
    </w:p>
    <w:p w14:paraId="449153A0" w14:textId="3D70FEAB" w:rsidR="00FE2AFF" w:rsidRPr="00695F84" w:rsidRDefault="00FE2AFF" w:rsidP="006C014A">
      <w:pPr>
        <w:pStyle w:val="Body"/>
        <w:rPr>
          <w:lang w:val="en-US"/>
        </w:rPr>
      </w:pPr>
      <w:r w:rsidRPr="00695F84">
        <w:rPr>
          <w:lang w:val="en-US"/>
        </w:rPr>
        <w:t xml:space="preserve">The Total Consideration will be calculated in the manner set out in the Offer to Purchase, with reference to the Purchase Yield being the sum of (i) the Fixed Spread specified in the table above and (ii) the Reference Yield based on the bid side price of the Reference Treasury Security specified above as reported on Bloomberg Reference Page </w:t>
      </w:r>
      <w:r w:rsidR="009471DD">
        <w:rPr>
          <w:lang w:val="en-US"/>
        </w:rPr>
        <w:t>FIT</w:t>
      </w:r>
      <w:r w:rsidR="00FD321B">
        <w:rPr>
          <w:lang w:val="en-US"/>
        </w:rPr>
        <w:t>3</w:t>
      </w:r>
      <w:r w:rsidR="009471DD" w:rsidRPr="00695F84">
        <w:rPr>
          <w:lang w:val="en-US"/>
        </w:rPr>
        <w:t xml:space="preserve"> </w:t>
      </w:r>
      <w:r w:rsidRPr="00695F84">
        <w:rPr>
          <w:lang w:val="en-US"/>
        </w:rPr>
        <w:t xml:space="preserve">at </w:t>
      </w:r>
      <w:r w:rsidR="00675613">
        <w:rPr>
          <w:lang w:val="en-US"/>
        </w:rPr>
        <w:t>11:00</w:t>
      </w:r>
      <w:r w:rsidR="00310FCA">
        <w:rPr>
          <w:lang w:val="en-US"/>
        </w:rPr>
        <w:t xml:space="preserve"> </w:t>
      </w:r>
      <w:r w:rsidR="00675613">
        <w:rPr>
          <w:lang w:val="en-US"/>
        </w:rPr>
        <w:t>a</w:t>
      </w:r>
      <w:r w:rsidR="00A33868">
        <w:rPr>
          <w:lang w:val="en-US"/>
        </w:rPr>
        <w:t>.</w:t>
      </w:r>
      <w:r w:rsidR="00675613">
        <w:rPr>
          <w:lang w:val="en-US"/>
        </w:rPr>
        <w:t>m.</w:t>
      </w:r>
      <w:r w:rsidRPr="00695F84">
        <w:rPr>
          <w:lang w:val="en-US"/>
        </w:rPr>
        <w:t xml:space="preserve"> (New York City time) on </w:t>
      </w:r>
      <w:r w:rsidR="000E0C88">
        <w:rPr>
          <w:lang w:val="en-US"/>
        </w:rPr>
        <w:t>1</w:t>
      </w:r>
      <w:r w:rsidR="00925885">
        <w:rPr>
          <w:lang w:val="en-US"/>
        </w:rPr>
        <w:t>4</w:t>
      </w:r>
      <w:r w:rsidR="000E0C88">
        <w:rPr>
          <w:lang w:val="en-US"/>
        </w:rPr>
        <w:t xml:space="preserve"> </w:t>
      </w:r>
      <w:r w:rsidR="0099023C" w:rsidRPr="0099023C">
        <w:rPr>
          <w:lang w:val="en-US"/>
        </w:rPr>
        <w:t>May</w:t>
      </w:r>
      <w:r w:rsidR="007746E8">
        <w:rPr>
          <w:lang w:val="en-US"/>
        </w:rPr>
        <w:t xml:space="preserve"> 202</w:t>
      </w:r>
      <w:r w:rsidR="006D3E95">
        <w:rPr>
          <w:lang w:val="en-US"/>
        </w:rPr>
        <w:t>5</w:t>
      </w:r>
      <w:r w:rsidRPr="00695F84">
        <w:rPr>
          <w:lang w:val="en-US"/>
        </w:rPr>
        <w:t>.</w:t>
      </w:r>
    </w:p>
    <w:p w14:paraId="1641F280" w14:textId="586ABD08" w:rsidR="00FE2AFF" w:rsidRPr="00695F84" w:rsidRDefault="00FE2AFF" w:rsidP="006C014A">
      <w:pPr>
        <w:pStyle w:val="Body"/>
        <w:rPr>
          <w:lang w:val="en-US"/>
        </w:rPr>
      </w:pPr>
      <w:r w:rsidRPr="00695F84">
        <w:rPr>
          <w:lang w:val="en-US"/>
        </w:rPr>
        <w:t xml:space="preserve">In addition to the Total Consideration, Holders whose </w:t>
      </w:r>
      <w:r w:rsidR="00CB4963">
        <w:rPr>
          <w:lang w:val="en-US"/>
        </w:rPr>
        <w:t>Notes</w:t>
      </w:r>
      <w:r w:rsidRPr="00695F84">
        <w:rPr>
          <w:lang w:val="en-US"/>
        </w:rPr>
        <w:t xml:space="preserve"> are accepted for purchase will also be eligible to receive a cash payment representing accrued and unpaid interest from, and including, the last interest payment date for the </w:t>
      </w:r>
      <w:r w:rsidR="00481E55">
        <w:rPr>
          <w:lang w:val="en-US"/>
        </w:rPr>
        <w:t>Notes</w:t>
      </w:r>
      <w:r w:rsidRPr="00695F84">
        <w:rPr>
          <w:lang w:val="en-US"/>
        </w:rPr>
        <w:t xml:space="preserve"> up to, but excluding, the Settlement Date (as defined below). The “Settlement Date” will </w:t>
      </w:r>
      <w:r w:rsidR="00FD321B">
        <w:t xml:space="preserve">promptly after the date which falls on the </w:t>
      </w:r>
      <w:r w:rsidR="00925885">
        <w:t xml:space="preserve">second </w:t>
      </w:r>
      <w:r w:rsidR="00FD321B">
        <w:t xml:space="preserve">Business Day after the Expiration Deadline, currently expected to be </w:t>
      </w:r>
      <w:r w:rsidR="000E0C88">
        <w:t>1</w:t>
      </w:r>
      <w:r w:rsidR="00925885">
        <w:t>6</w:t>
      </w:r>
      <w:r w:rsidR="000E0C88">
        <w:t xml:space="preserve"> </w:t>
      </w:r>
      <w:r w:rsidR="0099023C" w:rsidRPr="0099023C">
        <w:rPr>
          <w:lang w:val="en-US"/>
        </w:rPr>
        <w:t>May</w:t>
      </w:r>
      <w:r w:rsidR="00FD321B">
        <w:t xml:space="preserve"> 2025</w:t>
      </w:r>
      <w:r w:rsidRPr="00695F84">
        <w:rPr>
          <w:lang w:val="en-US"/>
        </w:rPr>
        <w:t xml:space="preserve"> (subject to extension).</w:t>
      </w:r>
      <w:r w:rsidR="00FD321B">
        <w:rPr>
          <w:lang w:val="en-US"/>
        </w:rPr>
        <w:t xml:space="preserve"> </w:t>
      </w:r>
    </w:p>
    <w:p w14:paraId="7B00D603" w14:textId="7160AAE4" w:rsidR="00FE2AFF" w:rsidRPr="00695F84" w:rsidRDefault="00FE2AFF" w:rsidP="006C014A">
      <w:pPr>
        <w:pStyle w:val="Body"/>
        <w:rPr>
          <w:lang w:val="en-US"/>
        </w:rPr>
      </w:pPr>
      <w:r w:rsidRPr="00695F84">
        <w:rPr>
          <w:lang w:val="en-US"/>
        </w:rPr>
        <w:t xml:space="preserve">The Total Consideration and the Accrued Interest Payment for </w:t>
      </w:r>
      <w:r w:rsidR="001F1083">
        <w:rPr>
          <w:lang w:val="en-US"/>
        </w:rPr>
        <w:t>Notes</w:t>
      </w:r>
      <w:r w:rsidRPr="00695F84">
        <w:rPr>
          <w:lang w:val="en-US"/>
        </w:rPr>
        <w:t xml:space="preserve"> validly tendered pursuant to the Offer at or prior to the Expiration Deadline, and accepted for purchase, will be paid to Holders on the Settlement Date. </w:t>
      </w:r>
    </w:p>
    <w:p w14:paraId="6A1F3629" w14:textId="3B606E72" w:rsidR="00FE2AFF" w:rsidRPr="00695F84" w:rsidRDefault="00FE2AFF" w:rsidP="006C014A">
      <w:pPr>
        <w:pStyle w:val="Body"/>
        <w:rPr>
          <w:lang w:val="en-US"/>
        </w:rPr>
      </w:pPr>
      <w:r w:rsidRPr="00695F84">
        <w:rPr>
          <w:lang w:val="en-US"/>
        </w:rPr>
        <w:lastRenderedPageBreak/>
        <w:t xml:space="preserve">Subject to applicable law and the terms and conditions of the Offer to Purchase, the Offeror may terminate the Offer, waive any or all of the </w:t>
      </w:r>
      <w:r w:rsidR="0030171E">
        <w:rPr>
          <w:lang w:val="en-US"/>
        </w:rPr>
        <w:t>c</w:t>
      </w:r>
      <w:r w:rsidRPr="00695F84">
        <w:rPr>
          <w:lang w:val="en-US"/>
        </w:rPr>
        <w:t>onditions</w:t>
      </w:r>
      <w:r w:rsidR="0030171E">
        <w:rPr>
          <w:lang w:val="en-US"/>
        </w:rPr>
        <w:t xml:space="preserve"> to the Offer (including</w:t>
      </w:r>
      <w:r w:rsidR="003C4A7C">
        <w:rPr>
          <w:lang w:val="en-US"/>
        </w:rPr>
        <w:t>, but not limited to, the New Financing Condition)</w:t>
      </w:r>
      <w:r w:rsidRPr="00695F84">
        <w:rPr>
          <w:lang w:val="en-US"/>
        </w:rPr>
        <w:t xml:space="preserve"> prior to the Expiration Deadline, extend the Expiration Deadline, or amend the terms of the Offer.</w:t>
      </w:r>
    </w:p>
    <w:p w14:paraId="4A6DB383" w14:textId="2F67AEBD" w:rsidR="00FE2AFF" w:rsidRPr="00695F84" w:rsidRDefault="00A33868" w:rsidP="006C014A">
      <w:pPr>
        <w:pStyle w:val="Body"/>
        <w:rPr>
          <w:lang w:val="en-US"/>
        </w:rPr>
      </w:pPr>
      <w:r>
        <w:rPr>
          <w:szCs w:val="19"/>
          <w:lang w:val="en-US"/>
        </w:rPr>
        <w:t xml:space="preserve">The purpose of the Offer is to provide liquidity to Holders and is being made as part of the Offeror’s active management of its consolidated stock of </w:t>
      </w:r>
      <w:r w:rsidR="006E4829">
        <w:rPr>
          <w:szCs w:val="19"/>
          <w:lang w:val="en-US"/>
        </w:rPr>
        <w:t>eligible</w:t>
      </w:r>
      <w:r>
        <w:rPr>
          <w:szCs w:val="19"/>
          <w:lang w:val="en-US"/>
        </w:rPr>
        <w:t xml:space="preserve"> liabilities whilst </w:t>
      </w:r>
      <w:r w:rsidR="006E4829">
        <w:rPr>
          <w:szCs w:val="19"/>
          <w:lang w:val="en-US"/>
        </w:rPr>
        <w:t xml:space="preserve">issuing New Notes </w:t>
      </w:r>
      <w:r>
        <w:rPr>
          <w:szCs w:val="19"/>
          <w:lang w:val="en-US"/>
        </w:rPr>
        <w:t>ultimately for the benefit of the Offeror’s business</w:t>
      </w:r>
      <w:r w:rsidR="00FE2AFF" w:rsidRPr="00695F84">
        <w:rPr>
          <w:lang w:val="en-US"/>
        </w:rPr>
        <w:t>.</w:t>
      </w:r>
    </w:p>
    <w:p w14:paraId="24D10CA1" w14:textId="37A75AEF" w:rsidR="00301D0B" w:rsidRPr="00695F84" w:rsidRDefault="00017E22" w:rsidP="006C014A">
      <w:pPr>
        <w:pStyle w:val="Body"/>
        <w:rPr>
          <w:lang w:val="en-US"/>
        </w:rPr>
      </w:pPr>
      <w:r w:rsidRPr="0020109F">
        <w:t xml:space="preserve">Unless stated otherwise, announcements in connection with the </w:t>
      </w:r>
      <w:r>
        <w:t>Offer</w:t>
      </w:r>
      <w:r w:rsidRPr="0020109F">
        <w:t xml:space="preserve"> will be made by the Offeror by (i) publication through the website of Euronext Dublin; (ii) the delivery of notices to </w:t>
      </w:r>
      <w:r>
        <w:t>DTC</w:t>
      </w:r>
      <w:r w:rsidRPr="0020109F">
        <w:t xml:space="preserve"> for communication to Direct Participants</w:t>
      </w:r>
      <w:r>
        <w:t xml:space="preserve"> and (iii) for the launch announcement and any announcement related to a material change to the Offer, </w:t>
      </w:r>
      <w:r w:rsidRPr="00E06070">
        <w:t xml:space="preserve">publication </w:t>
      </w:r>
      <w:r>
        <w:t>via PR Newswire</w:t>
      </w:r>
      <w:r w:rsidRPr="0020109F">
        <w:t xml:space="preserve">. Such announcements may also be made (a) on the relevant Reuters Insider Screen and/or (b) by the issue of a press release to a Notifying News Service. </w:t>
      </w:r>
      <w:r>
        <w:t xml:space="preserve">Copies of all such announcements, press releases and notices can also be obtained from the Information and Tender Agent, the contact details for which are </w:t>
      </w:r>
      <w:r w:rsidR="00373787">
        <w:t>set out below</w:t>
      </w:r>
      <w:r>
        <w:t xml:space="preserve">. Significant delays may be experienced where notices are delivered to DTC and Holders are urged to contact the Information and Tender Agent for the relevant announcements during the course of the Offer. In addition, Holders may contact the Dealer Manager for information using the contact details </w:t>
      </w:r>
      <w:r w:rsidR="00373787">
        <w:t>below.</w:t>
      </w:r>
    </w:p>
    <w:p w14:paraId="427D273F" w14:textId="51941793" w:rsidR="00FE2AFF" w:rsidRPr="00695F84" w:rsidRDefault="00FE2AFF" w:rsidP="006C014A">
      <w:pPr>
        <w:pStyle w:val="Body"/>
        <w:rPr>
          <w:lang w:val="en-US"/>
        </w:rPr>
      </w:pPr>
      <w:r w:rsidRPr="00695F84">
        <w:rPr>
          <w:lang w:val="en-US"/>
        </w:rPr>
        <w:t xml:space="preserve">The Offeror has retained </w:t>
      </w:r>
      <w:r w:rsidR="00525695">
        <w:rPr>
          <w:lang w:val="en-US"/>
        </w:rPr>
        <w:t>Morgan Stanley &amp; Co LLC</w:t>
      </w:r>
      <w:r w:rsidRPr="00695F84">
        <w:rPr>
          <w:lang w:val="en-US"/>
        </w:rPr>
        <w:t xml:space="preserve"> to act as the Dealer Manager for the Offer, </w:t>
      </w:r>
      <w:r w:rsidR="00FF5486">
        <w:rPr>
          <w:lang w:val="en-US"/>
        </w:rPr>
        <w:t xml:space="preserve">Goodbody Stockbrokers to act as Structuring Adviser for the Offer </w:t>
      </w:r>
      <w:r w:rsidRPr="00695F84">
        <w:rPr>
          <w:lang w:val="en-US"/>
        </w:rPr>
        <w:t xml:space="preserve">and </w:t>
      </w:r>
      <w:r w:rsidR="005174EF">
        <w:rPr>
          <w:lang w:val="en-US"/>
        </w:rPr>
        <w:t>Kroll Issuer Services Limited</w:t>
      </w:r>
      <w:r w:rsidRPr="00695F84">
        <w:rPr>
          <w:lang w:val="en-US"/>
        </w:rPr>
        <w:t xml:space="preserve"> to act as the Information and Tender Agent for the Offer. Questions regarding procedures for tendering </w:t>
      </w:r>
      <w:r w:rsidR="00874DAC">
        <w:rPr>
          <w:lang w:val="en-US"/>
        </w:rPr>
        <w:t>Notes</w:t>
      </w:r>
      <w:r w:rsidRPr="00695F84">
        <w:rPr>
          <w:lang w:val="en-US"/>
        </w:rPr>
        <w:t xml:space="preserve"> may be directed to </w:t>
      </w:r>
      <w:r w:rsidR="00607D0A">
        <w:rPr>
          <w:lang w:val="en-US"/>
        </w:rPr>
        <w:t>Kroll Issuer Services Limited</w:t>
      </w:r>
      <w:r w:rsidRPr="00695F84">
        <w:rPr>
          <w:lang w:val="en-US"/>
        </w:rPr>
        <w:t xml:space="preserve"> at +44 (0) 20 7704 0880 or by email at </w:t>
      </w:r>
      <w:r w:rsidR="00D14A1F">
        <w:rPr>
          <w:lang w:val="en-US"/>
        </w:rPr>
        <w:t>ai</w:t>
      </w:r>
      <w:r w:rsidR="00215945">
        <w:rPr>
          <w:lang w:val="en-US"/>
        </w:rPr>
        <w:t>b</w:t>
      </w:r>
      <w:r w:rsidR="00D14A1F">
        <w:rPr>
          <w:lang w:val="en-US"/>
        </w:rPr>
        <w:t>@is.kroll.com</w:t>
      </w:r>
      <w:r w:rsidRPr="00695F84">
        <w:rPr>
          <w:lang w:val="en-US"/>
        </w:rPr>
        <w:t>. Additionally, the Offer material is available at</w:t>
      </w:r>
      <w:r w:rsidR="008961D3">
        <w:rPr>
          <w:lang w:val="en-US"/>
        </w:rPr>
        <w:t xml:space="preserve"> </w:t>
      </w:r>
      <w:r w:rsidR="008961D3">
        <w:rPr>
          <w:rStyle w:val="Hyperlink"/>
          <w:lang w:val="en-US"/>
        </w:rPr>
        <w:t>https://deals.is.kroll.com/aib</w:t>
      </w:r>
      <w:r w:rsidRPr="00695F84">
        <w:rPr>
          <w:lang w:val="en-US"/>
        </w:rPr>
        <w:t xml:space="preserve">. Questions regarding the Offer may be directed to </w:t>
      </w:r>
      <w:r w:rsidR="007256B7">
        <w:rPr>
          <w:lang w:val="en-US"/>
        </w:rPr>
        <w:t xml:space="preserve">Morgan Stanley &amp; Co. LLC </w:t>
      </w:r>
      <w:r w:rsidRPr="00695F84">
        <w:rPr>
          <w:lang w:val="en-US"/>
        </w:rPr>
        <w:t xml:space="preserve">at </w:t>
      </w:r>
      <w:r w:rsidR="00275C6E">
        <w:rPr>
          <w:lang w:val="en-US"/>
        </w:rPr>
        <w:t xml:space="preserve">(within the United States) </w:t>
      </w:r>
      <w:r w:rsidR="00072E43" w:rsidRPr="00A70864">
        <w:rPr>
          <w:lang w:val="en-US"/>
        </w:rPr>
        <w:t>+1 212 761 1057</w:t>
      </w:r>
      <w:r w:rsidR="00072E43" w:rsidDel="00072E43">
        <w:rPr>
          <w:lang w:val="en-US"/>
        </w:rPr>
        <w:t xml:space="preserve"> </w:t>
      </w:r>
      <w:r w:rsidR="00072E43">
        <w:rPr>
          <w:lang w:val="en-US"/>
        </w:rPr>
        <w:t>(U.S. Collect) or</w:t>
      </w:r>
      <w:r w:rsidR="001E5803">
        <w:rPr>
          <w:lang w:val="en-US"/>
        </w:rPr>
        <w:t xml:space="preserve"> </w:t>
      </w:r>
      <w:r w:rsidR="00072E43" w:rsidRPr="00A70864">
        <w:rPr>
          <w:lang w:val="en-US"/>
        </w:rPr>
        <w:t>+1 800 624 1808</w:t>
      </w:r>
      <w:r w:rsidR="00072E43" w:rsidDel="00072E43">
        <w:rPr>
          <w:lang w:val="en-US"/>
        </w:rPr>
        <w:t xml:space="preserve"> </w:t>
      </w:r>
      <w:r w:rsidR="00072E43">
        <w:rPr>
          <w:lang w:val="en-US"/>
        </w:rPr>
        <w:t>(U.S. toll free)</w:t>
      </w:r>
      <w:r w:rsidRPr="00695F84">
        <w:rPr>
          <w:lang w:val="en-US"/>
        </w:rPr>
        <w:t xml:space="preserve"> </w:t>
      </w:r>
      <w:r w:rsidR="00547EE7">
        <w:rPr>
          <w:lang w:val="en-US"/>
        </w:rPr>
        <w:t>/ (outside the United States)</w:t>
      </w:r>
      <w:r w:rsidRPr="00695F84">
        <w:rPr>
          <w:lang w:val="en-US"/>
        </w:rPr>
        <w:t xml:space="preserve"> </w:t>
      </w:r>
      <w:r w:rsidR="00A70864" w:rsidRPr="00A70864">
        <w:rPr>
          <w:lang w:val="en-US"/>
        </w:rPr>
        <w:t>+44 20 7677 5040</w:t>
      </w:r>
      <w:r w:rsidR="00A70864" w:rsidDel="00A70864">
        <w:rPr>
          <w:lang w:val="en-US"/>
        </w:rPr>
        <w:t xml:space="preserve"> </w:t>
      </w:r>
      <w:r w:rsidR="00A70864">
        <w:rPr>
          <w:lang w:val="en-US"/>
        </w:rPr>
        <w:t>or by email to</w:t>
      </w:r>
      <w:r w:rsidR="00A70864" w:rsidRPr="00A70864">
        <w:rPr>
          <w:rStyle w:val="Hyperlink"/>
        </w:rPr>
        <w:t xml:space="preserve"> </w:t>
      </w:r>
      <w:hyperlink r:id="rId9" w:history="1">
        <w:r w:rsidR="00A70864" w:rsidRPr="00A70864">
          <w:rPr>
            <w:rStyle w:val="Hyperlink"/>
            <w:lang w:val="en-US"/>
          </w:rPr>
          <w:t>liabilitymanagementeurope@morganstanley.com</w:t>
        </w:r>
      </w:hyperlink>
      <w:r w:rsidRPr="00695F84">
        <w:rPr>
          <w:lang w:val="en-US"/>
        </w:rPr>
        <w:t>.</w:t>
      </w:r>
    </w:p>
    <w:p w14:paraId="565768FD" w14:textId="3CCA3C04" w:rsidR="00FE2AFF" w:rsidRPr="00695F84" w:rsidRDefault="00FE2AFF" w:rsidP="006C014A">
      <w:pPr>
        <w:pStyle w:val="Body"/>
        <w:rPr>
          <w:lang w:val="en-US"/>
        </w:rPr>
      </w:pPr>
      <w:r w:rsidRPr="00695F84">
        <w:rPr>
          <w:lang w:val="en-US"/>
        </w:rPr>
        <w:t xml:space="preserve">This press release is for informational purposes only and does not constitute an offer to sell, or a solicitation of an offer to buy, any security (including the </w:t>
      </w:r>
      <w:r w:rsidR="006D6317">
        <w:rPr>
          <w:lang w:val="en-US"/>
        </w:rPr>
        <w:t>Notes</w:t>
      </w:r>
      <w:r w:rsidRPr="00695F84">
        <w:rPr>
          <w:lang w:val="en-US"/>
        </w:rPr>
        <w:t xml:space="preserve">). No offer, solicitation, or sale will be made in any jurisdiction in which such an offer, solicitation, or sale would be unlawful. The Offer </w:t>
      </w:r>
      <w:r w:rsidR="00D37EC2">
        <w:rPr>
          <w:lang w:val="en-US"/>
        </w:rPr>
        <w:t>is</w:t>
      </w:r>
      <w:r w:rsidRPr="00695F84">
        <w:rPr>
          <w:lang w:val="en-US"/>
        </w:rPr>
        <w:t xml:space="preserve"> only being made pursuant to the Offer to Purchase. Holders are urged to carefully read the Offer to Purchase before making any decision with respect to the Offer.</w:t>
      </w:r>
      <w:r w:rsidR="000771B2">
        <w:rPr>
          <w:lang w:val="en-US"/>
        </w:rPr>
        <w:t xml:space="preserve"> </w:t>
      </w:r>
    </w:p>
    <w:p w14:paraId="7263883A" w14:textId="13337E5C" w:rsidR="00FE2AFF" w:rsidRPr="00695F84" w:rsidRDefault="00FE2AFF" w:rsidP="006C014A">
      <w:pPr>
        <w:pStyle w:val="Body"/>
        <w:rPr>
          <w:lang w:val="en-US"/>
        </w:rPr>
      </w:pPr>
      <w:r w:rsidRPr="00695F84">
        <w:rPr>
          <w:lang w:val="en-US"/>
        </w:rPr>
        <w:t>The distribution of this announcement in certain jurisdictions may be restricted by law. Persons into whose possession this announcement comes are required by the Offeror, the Dealer Manager and the Information and Tender Agent to inform themselves about and to observe any such restrictions.</w:t>
      </w:r>
    </w:p>
    <w:p w14:paraId="6F6DFC7F" w14:textId="398355EE" w:rsidR="00FE2AFF" w:rsidRDefault="00832DD7" w:rsidP="006C014A">
      <w:pPr>
        <w:pStyle w:val="Body"/>
        <w:rPr>
          <w:b/>
          <w:i/>
          <w:iCs/>
          <w:lang w:val="en-US"/>
        </w:rPr>
      </w:pPr>
      <w:r w:rsidRPr="00832DD7">
        <w:rPr>
          <w:b/>
          <w:lang w:val="en-US"/>
        </w:rPr>
        <w:t xml:space="preserve">This announcement is released by AIB Group plc and contains information that qualified as inside information for the purposes of Article 7 of </w:t>
      </w:r>
      <w:r>
        <w:rPr>
          <w:b/>
          <w:lang w:val="en-US"/>
        </w:rPr>
        <w:t>MAR</w:t>
      </w:r>
      <w:r w:rsidRPr="00832DD7">
        <w:rPr>
          <w:b/>
          <w:lang w:val="en-US"/>
        </w:rPr>
        <w:t xml:space="preserve">, encompassing information relating to the Offer and proposed issue of New Notes described above. For the purposes of MAR and Article 2 of Commission Implementing Regulation (EU) 2016/1055, this announcement is made by </w:t>
      </w:r>
      <w:r w:rsidR="006E4829">
        <w:rPr>
          <w:b/>
          <w:lang w:val="en-US"/>
        </w:rPr>
        <w:t>Eoin Moore</w:t>
      </w:r>
      <w:r w:rsidRPr="00832DD7">
        <w:rPr>
          <w:b/>
          <w:lang w:val="en-US"/>
        </w:rPr>
        <w:t xml:space="preserve">, Head of Term Funding. </w:t>
      </w:r>
    </w:p>
    <w:p w14:paraId="3D1AB421" w14:textId="37BEF1B0" w:rsidR="00786E72" w:rsidRPr="00E6375F" w:rsidRDefault="00786E72" w:rsidP="00786E72">
      <w:pPr>
        <w:pStyle w:val="Body"/>
      </w:pPr>
      <w:r w:rsidRPr="00E6375F">
        <w:rPr>
          <w:b/>
        </w:rPr>
        <w:t xml:space="preserve">DISCLAIMER </w:t>
      </w:r>
      <w:r w:rsidRPr="00E6375F">
        <w:t>This announcement must be read in conjunction wit</w:t>
      </w:r>
      <w:r>
        <w:t xml:space="preserve">h the Offer to Purchase. </w:t>
      </w:r>
      <w:r w:rsidRPr="00E6375F">
        <w:t xml:space="preserve">This announcement and the </w:t>
      </w:r>
      <w:r w:rsidR="000A0644">
        <w:t>Offer to Purchase</w:t>
      </w:r>
      <w:r w:rsidRPr="00E6375F">
        <w:t xml:space="preserve"> contain important information which should be read carefully before any decision is made with respect to the Offer.</w:t>
      </w:r>
      <w:r>
        <w:t xml:space="preserve"> </w:t>
      </w:r>
      <w:r w:rsidRPr="00E6375F">
        <w:t xml:space="preserve">If any </w:t>
      </w:r>
      <w:r w:rsidR="000B79EA">
        <w:t>Holder</w:t>
      </w:r>
      <w:r>
        <w:t xml:space="preserve"> </w:t>
      </w:r>
      <w:r w:rsidRPr="00E6375F">
        <w:t xml:space="preserve">is in any doubt as to the contents of the </w:t>
      </w:r>
      <w:r w:rsidR="000A0644">
        <w:t xml:space="preserve">Offer to Purchase </w:t>
      </w:r>
      <w:r w:rsidRPr="00E6375F">
        <w:t>or the action it should take, it is recommended to seek its own financial</w:t>
      </w:r>
      <w:r w:rsidR="00521E3F">
        <w:t>, accounting, regulatory</w:t>
      </w:r>
      <w:r>
        <w:t xml:space="preserve"> and legal</w:t>
      </w:r>
      <w:r w:rsidRPr="00E6375F">
        <w:t xml:space="preserve"> advice, including in respect of any </w:t>
      </w:r>
      <w:r w:rsidR="006E4829">
        <w:t xml:space="preserve">financial, accounting and </w:t>
      </w:r>
      <w:r w:rsidRPr="00E6375F">
        <w:t xml:space="preserve">tax consequences, from its broker, bank manager, solicitor, accountant or other independent financial, tax or legal adviser. Any individual or company whose </w:t>
      </w:r>
      <w:r>
        <w:t xml:space="preserve">Notes </w:t>
      </w:r>
      <w:r w:rsidRPr="00E6375F">
        <w:t xml:space="preserve">are held on its behalf by a broker, dealer, bank, custodian, trust company or other nominee must contact such entity if it wishes to tender such </w:t>
      </w:r>
      <w:r>
        <w:t xml:space="preserve">Notes </w:t>
      </w:r>
      <w:r w:rsidRPr="00E6375F">
        <w:t xml:space="preserve">pursuant to the Offer. None of </w:t>
      </w:r>
      <w:r>
        <w:t>the Offeror</w:t>
      </w:r>
      <w:r w:rsidRPr="00E6375F">
        <w:t xml:space="preserve">, the Dealer </w:t>
      </w:r>
      <w:r w:rsidRPr="00E6375F">
        <w:lastRenderedPageBreak/>
        <w:t>Manager</w:t>
      </w:r>
      <w:r>
        <w:t>,</w:t>
      </w:r>
      <w:r w:rsidR="008D68D3">
        <w:t xml:space="preserve"> the Structuring Adviser</w:t>
      </w:r>
      <w:r>
        <w:t xml:space="preserve"> </w:t>
      </w:r>
      <w:r w:rsidR="000A0644">
        <w:t xml:space="preserve">or the Information and Tender Agent </w:t>
      </w:r>
      <w:r>
        <w:t xml:space="preserve">or any of their respective directors, officers, employees, agents, advisers or affiliates has made or will make any assessment of the merits and risks of the Offer or of the impact of the Offer on the interests of </w:t>
      </w:r>
      <w:r w:rsidR="00465E83">
        <w:t>Holders</w:t>
      </w:r>
      <w:r>
        <w:t xml:space="preserve"> either as a class or individuals, and none of them</w:t>
      </w:r>
      <w:r w:rsidRPr="00E6375F">
        <w:t xml:space="preserve"> makes any recommendation whether </w:t>
      </w:r>
      <w:r w:rsidR="00465E83">
        <w:t>Holders</w:t>
      </w:r>
      <w:r>
        <w:t xml:space="preserve"> </w:t>
      </w:r>
      <w:r w:rsidRPr="00E6375F">
        <w:t xml:space="preserve">should tender </w:t>
      </w:r>
      <w:r>
        <w:t xml:space="preserve">Notes </w:t>
      </w:r>
      <w:r w:rsidRPr="00E6375F">
        <w:t xml:space="preserve">pursuant to </w:t>
      </w:r>
      <w:r>
        <w:t>the Offer</w:t>
      </w:r>
      <w:r w:rsidRPr="00E6375F">
        <w:t>.</w:t>
      </w:r>
      <w:r>
        <w:t xml:space="preserve"> None of the Offeror, the Dealer Manager</w:t>
      </w:r>
      <w:r w:rsidR="008D68D3">
        <w:t>, the Structuring Adviser</w:t>
      </w:r>
      <w:r w:rsidR="00465E83">
        <w:t xml:space="preserve"> </w:t>
      </w:r>
      <w:r>
        <w:t xml:space="preserve">or the </w:t>
      </w:r>
      <w:r w:rsidR="00465E83">
        <w:t>Information and Tender</w:t>
      </w:r>
      <w:r>
        <w:t xml:space="preserve"> Agent (or any of their respective directors, officers, employees, agents, advisers or affiliates) is providing </w:t>
      </w:r>
      <w:r w:rsidR="00465E83">
        <w:t>Holders</w:t>
      </w:r>
      <w:r>
        <w:t xml:space="preserve"> with any legal, business, tax, financial, investment, accounting or other advice in this announcement and/or the </w:t>
      </w:r>
      <w:r w:rsidR="007D60B9">
        <w:t>Offer to Purchase</w:t>
      </w:r>
      <w:r>
        <w:t xml:space="preserve"> and/or in connection with the Offer. </w:t>
      </w:r>
      <w:r w:rsidR="007D60B9">
        <w:t>Holders</w:t>
      </w:r>
      <w:r>
        <w:t xml:space="preserve"> should consult with their own advisers as needed to assist them in making investment decisions, and to advise them whether they are legally permitted to tender Notes for cash. </w:t>
      </w:r>
    </w:p>
    <w:p w14:paraId="697C95D6" w14:textId="5A2D3B30" w:rsidR="00FE2AFF" w:rsidRDefault="00FE2AFF" w:rsidP="00C9592C">
      <w:pPr>
        <w:pStyle w:val="SubHead"/>
        <w:rPr>
          <w:lang w:val="en-US"/>
        </w:rPr>
      </w:pPr>
      <w:r w:rsidRPr="00695F84">
        <w:rPr>
          <w:lang w:val="en-US"/>
        </w:rPr>
        <w:t>Offer and Distribution Restrictions</w:t>
      </w:r>
    </w:p>
    <w:p w14:paraId="636026FA" w14:textId="334ACDAC" w:rsidR="00115952" w:rsidRPr="00115952" w:rsidRDefault="00115952" w:rsidP="00115952">
      <w:pPr>
        <w:pStyle w:val="Body"/>
        <w:rPr>
          <w:i/>
          <w:iCs/>
        </w:rPr>
      </w:pPr>
      <w:bookmarkStart w:id="1" w:name="Offer_Restriction"/>
      <w:r w:rsidRPr="00115952">
        <w:rPr>
          <w:i/>
          <w:iCs/>
        </w:rPr>
        <w:t xml:space="preserve">This announcement and the </w:t>
      </w:r>
      <w:r>
        <w:rPr>
          <w:i/>
          <w:iCs/>
        </w:rPr>
        <w:t>Offer to Purchase</w:t>
      </w:r>
      <w:r w:rsidRPr="00115952">
        <w:rPr>
          <w:i/>
          <w:iCs/>
        </w:rPr>
        <w:t xml:space="preserve"> do not constitute an invitation to participate in the Offer in any jurisdiction in which, or to any person to or from whom, it is unlawful to make such invitation or for there to be such participation under applicable securities laws. The distribution of this announcement and the </w:t>
      </w:r>
      <w:r w:rsidR="00094F65">
        <w:rPr>
          <w:i/>
          <w:iCs/>
        </w:rPr>
        <w:t xml:space="preserve">Offer to Purchase </w:t>
      </w:r>
      <w:r w:rsidRPr="00115952">
        <w:rPr>
          <w:i/>
          <w:iCs/>
        </w:rPr>
        <w:t xml:space="preserve">in certain jurisdictions may be restricted by law. Persons into whose possession this announcement and the </w:t>
      </w:r>
      <w:r w:rsidR="00094F65">
        <w:rPr>
          <w:i/>
          <w:iCs/>
        </w:rPr>
        <w:t>Offer to Purchase</w:t>
      </w:r>
      <w:r w:rsidRPr="00115952">
        <w:rPr>
          <w:i/>
          <w:iCs/>
        </w:rPr>
        <w:t xml:space="preserve"> comes are required by each of the Offeror, the Dealer Manager, the Structuring Adviser and the </w:t>
      </w:r>
      <w:r w:rsidR="00094F65">
        <w:rPr>
          <w:i/>
          <w:iCs/>
        </w:rPr>
        <w:t>Information and Tender</w:t>
      </w:r>
      <w:r w:rsidRPr="00115952">
        <w:rPr>
          <w:i/>
          <w:iCs/>
        </w:rPr>
        <w:t xml:space="preserve"> Agent to inform themselves about, and to observe, any such restrictions.</w:t>
      </w:r>
    </w:p>
    <w:bookmarkEnd w:id="1"/>
    <w:p w14:paraId="267A94C5" w14:textId="14552A8F" w:rsidR="009F586B" w:rsidRPr="009F586B" w:rsidRDefault="009F586B" w:rsidP="009F586B">
      <w:pPr>
        <w:pStyle w:val="SubHead"/>
        <w:rPr>
          <w:b w:val="0"/>
          <w:bCs/>
          <w:i/>
          <w:iCs/>
        </w:rPr>
      </w:pPr>
      <w:r w:rsidRPr="009F586B">
        <w:rPr>
          <w:i/>
          <w:iCs/>
        </w:rPr>
        <w:t xml:space="preserve">Ireland </w:t>
      </w:r>
    </w:p>
    <w:p w14:paraId="47AA1EC2" w14:textId="2488DC66" w:rsidR="009F586B" w:rsidRDefault="009F586B" w:rsidP="009F586B">
      <w:pPr>
        <w:pStyle w:val="Body"/>
      </w:pPr>
      <w:r>
        <w:t>The Offer is not being made, directly or indirectly, to the public in Ireland and no offers or sales of any notes or securities under or in connection with such Offer may be effected to persons in Ireland except in conformity with the provisions of Irish laws and regulations (the “</w:t>
      </w:r>
      <w:r w:rsidRPr="00901981">
        <w:t xml:space="preserve">Applicable Irish Laws”) including: (i) the Companies Act 2014 (as amended) (the “Companies Act”); (ii) the Irish Central Bank Acts 1942 to </w:t>
      </w:r>
      <w:r w:rsidR="00D155CE">
        <w:t>2018</w:t>
      </w:r>
      <w:r w:rsidR="00D155CE" w:rsidRPr="00901981">
        <w:t xml:space="preserve"> </w:t>
      </w:r>
      <w:r w:rsidRPr="00901981">
        <w:t>(as amended) and any codes of practice made under Section 117(1) of the Central Bank Act 1989</w:t>
      </w:r>
      <w:r w:rsidR="006E4829" w:rsidRPr="00901981">
        <w:t xml:space="preserve"> (as amended)</w:t>
      </w:r>
      <w:r w:rsidRPr="00901981">
        <w:t>; (iii) Regulation (EU) 2017/1129, the European Union (Prospectus) Regulations 2019 and any rules issued under Section 1363 of the Companies Act by the Central Bank of Ireland (the “Central Bank</w:t>
      </w:r>
      <w:r>
        <w:t xml:space="preserve">”); (iv) the European Union (Markets in Financial Instruments) Regulations 2017 (as amended) and any codes or rules of conduct applicable thereunder, Regulation (EU) No 600/2014 and any delegated or implementing acts adopted thereunder and the provisions of the Investor Compensation Act 1998 (as amended); and (v) the </w:t>
      </w:r>
      <w:r w:rsidR="00A74841">
        <w:t>MAR</w:t>
      </w:r>
      <w:r>
        <w:t xml:space="preserve">, the European Union (Market Abuse) Regulations 2016 (as amended) and any rules and guidelines issued under Section 1370 of the Companies Act 2014 (as amended) by the Central Bank. </w:t>
      </w:r>
    </w:p>
    <w:p w14:paraId="144497A7" w14:textId="4D78AFF2" w:rsidR="009F586B" w:rsidRPr="003D5510" w:rsidRDefault="009F586B" w:rsidP="003D5510">
      <w:pPr>
        <w:pStyle w:val="Body"/>
        <w:rPr>
          <w:b/>
          <w:bCs/>
          <w:i/>
          <w:iCs/>
        </w:rPr>
      </w:pPr>
      <w:r>
        <w:t>The Offer and any other documents or materials relating to the Offer must not be distributed to persons in Ireland otherwise than in conformity with the provisions of the Applicable Irish Laws.</w:t>
      </w:r>
    </w:p>
    <w:p w14:paraId="6B8D1CC3" w14:textId="77777777" w:rsidR="00FE2AFF" w:rsidRPr="00695F84" w:rsidRDefault="00FE2AFF" w:rsidP="00C9592C">
      <w:pPr>
        <w:pStyle w:val="SubHeadItalicBold"/>
        <w:rPr>
          <w:lang w:val="en-US"/>
        </w:rPr>
      </w:pPr>
      <w:r w:rsidRPr="00695F84">
        <w:rPr>
          <w:lang w:val="en-US"/>
        </w:rPr>
        <w:t>United Kingdom</w:t>
      </w:r>
    </w:p>
    <w:p w14:paraId="1F9565DE" w14:textId="631D6BD9" w:rsidR="00FE2AFF" w:rsidRPr="00695F84" w:rsidRDefault="00FE2AFF" w:rsidP="006C014A">
      <w:pPr>
        <w:pStyle w:val="Body"/>
        <w:rPr>
          <w:lang w:val="en-US"/>
        </w:rPr>
      </w:pPr>
      <w:r w:rsidRPr="00695F84">
        <w:rPr>
          <w:lang w:val="en-US"/>
        </w:rPr>
        <w:t xml:space="preserve">The communication of this announcement is not being made, and has not been approved, by an </w:t>
      </w:r>
      <w:r w:rsidRPr="00FA3758">
        <w:t>authorised</w:t>
      </w:r>
      <w:r w:rsidRPr="00695F84">
        <w:rPr>
          <w:lang w:val="en-US"/>
        </w:rPr>
        <w:t xml:space="preserve"> person for the purposes of section 21 of the Financial Services and Markets Act 2000</w:t>
      </w:r>
      <w:r w:rsidR="00EA3EB4">
        <w:rPr>
          <w:lang w:val="en-US"/>
        </w:rPr>
        <w:t>, as amended</w:t>
      </w:r>
      <w:r w:rsidRPr="00695F84">
        <w:rPr>
          <w:lang w:val="en-US"/>
        </w:rPr>
        <w:t>.</w:t>
      </w:r>
    </w:p>
    <w:p w14:paraId="44FB4E0D" w14:textId="5D8A84F6" w:rsidR="00FE2AFF" w:rsidRDefault="00EA15B0" w:rsidP="006C014A">
      <w:pPr>
        <w:pStyle w:val="Body"/>
        <w:rPr>
          <w:lang w:val="en-US"/>
        </w:rPr>
      </w:pPr>
      <w:r>
        <w:rPr>
          <w:lang w:val="en-US"/>
        </w:rPr>
        <w:t>T</w:t>
      </w:r>
      <w:r w:rsidR="00FE2AFF" w:rsidRPr="00695F84">
        <w:rPr>
          <w:lang w:val="en-US"/>
        </w:rPr>
        <w:t>he communication of this announcement, the Offer to Purchase and any other documents or materials relating to the Offer is not being made and such documents and/or materials have not been approved by an authorised person for the purposes of section 21 of the Financial Services and Markets Act 2000</w:t>
      </w:r>
      <w:r w:rsidR="003957E2">
        <w:rPr>
          <w:lang w:val="en-US"/>
        </w:rPr>
        <w:t>, as amended</w:t>
      </w:r>
      <w:r w:rsidR="00FE2AFF" w:rsidRPr="00695F84">
        <w:rPr>
          <w:lang w:val="en-US"/>
        </w:rPr>
        <w:t>. Accordingly, this announcement</w:t>
      </w:r>
      <w:r w:rsidR="00DC4090">
        <w:rPr>
          <w:lang w:val="en-US"/>
        </w:rPr>
        <w:t>, the Offer to Purchase</w:t>
      </w:r>
      <w:r w:rsidR="00FE2AFF" w:rsidRPr="00695F84">
        <w:rPr>
          <w:lang w:val="en-US"/>
        </w:rPr>
        <w:t xml:space="preserve"> </w:t>
      </w:r>
      <w:r w:rsidR="002E2899">
        <w:rPr>
          <w:lang w:val="en-US"/>
        </w:rPr>
        <w:t xml:space="preserve">and </w:t>
      </w:r>
      <w:r w:rsidR="00FE2AFF" w:rsidRPr="00695F84">
        <w:rPr>
          <w:lang w:val="en-US"/>
        </w:rPr>
        <w:t xml:space="preserve">such documents and/or materials are not being distributed to, and must not be passed on to, </w:t>
      </w:r>
      <w:r w:rsidR="00F31657">
        <w:rPr>
          <w:lang w:val="en-US"/>
        </w:rPr>
        <w:t>the general public</w:t>
      </w:r>
      <w:r w:rsidR="00FE2AFF" w:rsidRPr="00695F84">
        <w:rPr>
          <w:lang w:val="en-US"/>
        </w:rPr>
        <w:t xml:space="preserve"> in the United Kingdom</w:t>
      </w:r>
      <w:r w:rsidR="00F31657">
        <w:rPr>
          <w:lang w:val="en-US"/>
        </w:rPr>
        <w:t xml:space="preserve">. </w:t>
      </w:r>
      <w:r w:rsidR="00BB084B">
        <w:rPr>
          <w:lang w:val="en-US"/>
        </w:rPr>
        <w:t xml:space="preserve">The communication of such documents and/or materials as a financial promotion is only being made to, and may only be acted upon by, </w:t>
      </w:r>
      <w:r w:rsidR="00FE2AFF" w:rsidRPr="00695F84">
        <w:rPr>
          <w:lang w:val="en-US"/>
        </w:rPr>
        <w:t xml:space="preserve">those persons in the United Kingdom falling within the definition of investment professionals (as defined in Article 19(5) of the Financial Services and Markets Act 2000 (Financial Promotion) Order 2005 (the “Financial Promotion Order”)), </w:t>
      </w:r>
      <w:r w:rsidR="00BB084B">
        <w:rPr>
          <w:lang w:val="en-US"/>
        </w:rPr>
        <w:t xml:space="preserve">or </w:t>
      </w:r>
      <w:r w:rsidR="00FE2AFF" w:rsidRPr="00695F84">
        <w:rPr>
          <w:lang w:val="en-US"/>
        </w:rPr>
        <w:t>persons who are within Article 43 of the Financial Promotion Order</w:t>
      </w:r>
      <w:r w:rsidR="005B2F2D">
        <w:rPr>
          <w:lang w:val="en-US"/>
        </w:rPr>
        <w:t xml:space="preserve"> or</w:t>
      </w:r>
      <w:r w:rsidR="00FE2AFF" w:rsidRPr="00695F84">
        <w:rPr>
          <w:lang w:val="en-US"/>
        </w:rPr>
        <w:t xml:space="preserve"> to any other persons to whom it may otherwise lawfully be made under the Financial Promotion Order (</w:t>
      </w:r>
      <w:r w:rsidR="005B2F2D">
        <w:rPr>
          <w:lang w:val="en-US"/>
        </w:rPr>
        <w:t xml:space="preserve">together, </w:t>
      </w:r>
      <w:r w:rsidR="00FE2AFF" w:rsidRPr="00695F84">
        <w:rPr>
          <w:lang w:val="en-US"/>
        </w:rPr>
        <w:t>“</w:t>
      </w:r>
      <w:r w:rsidR="0043555E">
        <w:rPr>
          <w:bCs/>
          <w:lang w:val="en-US"/>
        </w:rPr>
        <w:t>r</w:t>
      </w:r>
      <w:r w:rsidR="00FE2AFF" w:rsidRPr="00695F84">
        <w:rPr>
          <w:bCs/>
          <w:lang w:val="en-US"/>
        </w:rPr>
        <w:t xml:space="preserve">elevant </w:t>
      </w:r>
      <w:r w:rsidR="0043555E">
        <w:rPr>
          <w:bCs/>
          <w:lang w:val="en-US"/>
        </w:rPr>
        <w:t>p</w:t>
      </w:r>
      <w:r w:rsidR="00FE2AFF" w:rsidRPr="00695F84">
        <w:rPr>
          <w:bCs/>
          <w:lang w:val="en-US"/>
        </w:rPr>
        <w:t>ersons</w:t>
      </w:r>
      <w:r w:rsidR="00FE2AFF" w:rsidRPr="00695F84">
        <w:rPr>
          <w:lang w:val="en-US"/>
        </w:rPr>
        <w:t>”)</w:t>
      </w:r>
      <w:r w:rsidR="0035234B">
        <w:rPr>
          <w:lang w:val="en-US"/>
        </w:rPr>
        <w:t xml:space="preserve">.  </w:t>
      </w:r>
      <w:r w:rsidR="0035234B">
        <w:rPr>
          <w:lang w:val="en-US"/>
        </w:rPr>
        <w:lastRenderedPageBreak/>
        <w:t>Any investment or investment activity to which th</w:t>
      </w:r>
      <w:r w:rsidR="00931EC5">
        <w:rPr>
          <w:lang w:val="en-US"/>
        </w:rPr>
        <w:t>e Offer relates is available only to relevant persons and will be engaged in only with relevant persons (and is subject to other restrictions referred to in the Financial Promotion Order).</w:t>
      </w:r>
    </w:p>
    <w:p w14:paraId="56AF9154" w14:textId="77777777" w:rsidR="006E4829" w:rsidRPr="006E4829" w:rsidRDefault="006E4829" w:rsidP="006E4829">
      <w:pPr>
        <w:pStyle w:val="SubHeadItalicBold"/>
        <w:rPr>
          <w:lang w:val="en-US"/>
        </w:rPr>
      </w:pPr>
      <w:r w:rsidRPr="006E4829">
        <w:rPr>
          <w:lang w:val="en-US"/>
        </w:rPr>
        <w:t>Belgium</w:t>
      </w:r>
    </w:p>
    <w:p w14:paraId="68CA166E" w14:textId="202E784B" w:rsidR="006E4829" w:rsidRPr="00695F84" w:rsidRDefault="006E4829" w:rsidP="006E4829">
      <w:pPr>
        <w:pStyle w:val="Body"/>
        <w:rPr>
          <w:lang w:val="en-US"/>
        </w:rPr>
      </w:pPr>
      <w:r w:rsidRPr="006E4829">
        <w:rPr>
          <w:lang w:val="en-US"/>
        </w:rPr>
        <w:t>The Offer is not being made, and will not be made or advertised, directly or indirectly, to any individual in Belgium qualifying as a consumer within the meaning of Article I.1 of the Belgian Code of Economic Law, as amended from time to time (a “</w:t>
      </w:r>
      <w:r w:rsidRPr="00901981">
        <w:rPr>
          <w:lang w:val="en-US"/>
        </w:rPr>
        <w:t>Belgian Consumer</w:t>
      </w:r>
      <w:r w:rsidRPr="006E4829">
        <w:rPr>
          <w:lang w:val="en-US"/>
        </w:rPr>
        <w:t xml:space="preserve">”) and this </w:t>
      </w:r>
      <w:r w:rsidR="000D3C19">
        <w:rPr>
          <w:lang w:val="en-US"/>
        </w:rPr>
        <w:t xml:space="preserve">announcement, the </w:t>
      </w:r>
      <w:r w:rsidRPr="006E4829">
        <w:rPr>
          <w:lang w:val="en-US"/>
        </w:rPr>
        <w:t>Offer to Purchase or any other documents or materials relating to the Offer have not been and shall not be distributed, directly or indirectly, in Belgium to Belgian Consumers.</w:t>
      </w:r>
    </w:p>
    <w:p w14:paraId="77EE12D3" w14:textId="77777777" w:rsidR="00FE2AFF" w:rsidRPr="00695F84" w:rsidRDefault="00FE2AFF" w:rsidP="00C9592C">
      <w:pPr>
        <w:pStyle w:val="SubHeadItalicBold"/>
        <w:rPr>
          <w:lang w:val="en-US"/>
        </w:rPr>
      </w:pPr>
      <w:r w:rsidRPr="00695F84">
        <w:rPr>
          <w:lang w:val="en-US"/>
        </w:rPr>
        <w:t>France</w:t>
      </w:r>
    </w:p>
    <w:p w14:paraId="03551B26" w14:textId="3E99B406" w:rsidR="00FE2AFF" w:rsidRPr="00695F84" w:rsidRDefault="006E4829" w:rsidP="006C014A">
      <w:pPr>
        <w:pStyle w:val="Body"/>
        <w:rPr>
          <w:lang w:val="en-US"/>
        </w:rPr>
      </w:pPr>
      <w:r w:rsidRPr="006E4829">
        <w:rPr>
          <w:lang w:val="en-US"/>
        </w:rPr>
        <w:t>The Offer is not being made, directly or indirectly, in the Republic of France (“</w:t>
      </w:r>
      <w:r w:rsidRPr="00901981">
        <w:rPr>
          <w:lang w:val="en-US"/>
        </w:rPr>
        <w:t>France</w:t>
      </w:r>
      <w:r w:rsidRPr="006E4829">
        <w:rPr>
          <w:lang w:val="en-US"/>
        </w:rPr>
        <w:t>”) other than to qualified investors (</w:t>
      </w:r>
      <w:r w:rsidRPr="006E4829">
        <w:rPr>
          <w:i/>
          <w:iCs/>
          <w:lang w:val="en-US"/>
        </w:rPr>
        <w:t>investisseurs qualifiés</w:t>
      </w:r>
      <w:r w:rsidRPr="006E4829">
        <w:rPr>
          <w:lang w:val="en-US"/>
        </w:rPr>
        <w:t>) as defined in Article 2(e) of Regulation (EU) 2017/1129 (as amended). Neither this announcement, the Offer to Purchase nor any other documents or materials relating to the Offer have been or shall be distributed in France other than to qualified investors (</w:t>
      </w:r>
      <w:r w:rsidRPr="006E4829">
        <w:rPr>
          <w:i/>
          <w:iCs/>
          <w:lang w:val="en-US"/>
        </w:rPr>
        <w:t>investisseurs qualifiés</w:t>
      </w:r>
      <w:r w:rsidRPr="006E4829">
        <w:rPr>
          <w:lang w:val="en-US"/>
        </w:rPr>
        <w:t>) and only qualified investors (</w:t>
      </w:r>
      <w:r w:rsidRPr="006E4829">
        <w:rPr>
          <w:i/>
          <w:iCs/>
          <w:lang w:val="en-US"/>
        </w:rPr>
        <w:t>investisseurs qualifiés</w:t>
      </w:r>
      <w:r w:rsidRPr="006E4829">
        <w:rPr>
          <w:lang w:val="en-US"/>
        </w:rPr>
        <w:t xml:space="preserve">) are eligible to participate in the Offer. This announcement has not been and will not be submitted for clearance to nor approved by the </w:t>
      </w:r>
      <w:r w:rsidRPr="00A464A9">
        <w:rPr>
          <w:i/>
          <w:iCs/>
          <w:lang w:val="en-US"/>
        </w:rPr>
        <w:t>Autorité des Marchés Financiers</w:t>
      </w:r>
      <w:r w:rsidRPr="006E4829">
        <w:rPr>
          <w:lang w:val="en-US"/>
        </w:rPr>
        <w:t>.</w:t>
      </w:r>
    </w:p>
    <w:p w14:paraId="72FF22E5" w14:textId="77777777" w:rsidR="00FE2AFF" w:rsidRPr="00695F84" w:rsidRDefault="00FE2AFF" w:rsidP="00C9592C">
      <w:pPr>
        <w:pStyle w:val="SubHeadItalicBold"/>
        <w:rPr>
          <w:lang w:val="en-US"/>
        </w:rPr>
      </w:pPr>
      <w:r w:rsidRPr="00695F84">
        <w:rPr>
          <w:lang w:val="en-US"/>
        </w:rPr>
        <w:t>Italy</w:t>
      </w:r>
    </w:p>
    <w:p w14:paraId="2897A668" w14:textId="77777777" w:rsidR="00901981" w:rsidRDefault="00FE2AFF" w:rsidP="006C014A">
      <w:pPr>
        <w:pStyle w:val="Body"/>
        <w:rPr>
          <w:lang w:val="en-US"/>
        </w:rPr>
      </w:pPr>
      <w:r w:rsidRPr="00695F84">
        <w:rPr>
          <w:lang w:val="en-US"/>
        </w:rPr>
        <w:t>None of this announcement, the Offer to Purchase or any other document</w:t>
      </w:r>
      <w:r w:rsidR="00901981">
        <w:rPr>
          <w:lang w:val="en-US"/>
        </w:rPr>
        <w:t>s</w:t>
      </w:r>
      <w:r w:rsidRPr="00695F84">
        <w:rPr>
          <w:lang w:val="en-US"/>
        </w:rPr>
        <w:t xml:space="preserve"> or materials relating to the Offer have been or will be submitted to the clearance procedures of the Commissione Nazionale per le Società e la Borsa (“CONSOB”) pursuant to Italian laws and regulations. </w:t>
      </w:r>
    </w:p>
    <w:p w14:paraId="655F8A14" w14:textId="64F972AD" w:rsidR="00901981" w:rsidRDefault="00FE2AFF" w:rsidP="006C014A">
      <w:pPr>
        <w:pStyle w:val="Body"/>
        <w:rPr>
          <w:lang w:val="en-US"/>
        </w:rPr>
      </w:pPr>
      <w:r w:rsidRPr="00695F84">
        <w:rPr>
          <w:lang w:val="en-US"/>
        </w:rPr>
        <w:t xml:space="preserve">The Offer is being carried out in </w:t>
      </w:r>
      <w:r w:rsidR="00901981">
        <w:rPr>
          <w:lang w:val="en-US"/>
        </w:rPr>
        <w:t xml:space="preserve">the Republic of </w:t>
      </w:r>
      <w:r w:rsidRPr="00695F84">
        <w:rPr>
          <w:lang w:val="en-US"/>
        </w:rPr>
        <w:t xml:space="preserve">Italy as </w:t>
      </w:r>
      <w:r w:rsidR="00901981">
        <w:rPr>
          <w:lang w:val="en-US"/>
        </w:rPr>
        <w:t xml:space="preserve">an </w:t>
      </w:r>
      <w:r w:rsidRPr="00695F84">
        <w:rPr>
          <w:lang w:val="en-US"/>
        </w:rPr>
        <w:t>exempted offer pursuant to article 101-bis, paragraph 3-bis of the Legislative Decree No. 58 of 24 February 1998, as amended (the “Financial Services Act”) and article 35-bis, paragraph 4 of CONSOB Regulation No. 11971 of May 1999, as amended</w:t>
      </w:r>
      <w:r w:rsidR="00901981">
        <w:rPr>
          <w:lang w:val="en-US"/>
        </w:rPr>
        <w:t xml:space="preserve"> </w:t>
      </w:r>
      <w:r w:rsidR="00901981" w:rsidRPr="00901981">
        <w:rPr>
          <w:lang w:val="en-US"/>
        </w:rPr>
        <w:t>(the “Issuers’ Regulation”). The Offer is also being carried out in compliance with article 35-bis, paragraph 7 of the Issuers’ Regulation</w:t>
      </w:r>
      <w:r w:rsidRPr="00695F84">
        <w:rPr>
          <w:lang w:val="en-US"/>
        </w:rPr>
        <w:t xml:space="preserve">. </w:t>
      </w:r>
    </w:p>
    <w:p w14:paraId="40EA9DD6" w14:textId="7EADA976" w:rsidR="00FE2AFF" w:rsidRPr="00695F84" w:rsidRDefault="00FE2AFF" w:rsidP="006C014A">
      <w:pPr>
        <w:pStyle w:val="Body"/>
        <w:rPr>
          <w:lang w:val="en-US"/>
        </w:rPr>
      </w:pPr>
      <w:r w:rsidRPr="00695F84">
        <w:rPr>
          <w:lang w:val="en-US"/>
        </w:rPr>
        <w:t xml:space="preserve">Holders or beneficial owners of the </w:t>
      </w:r>
      <w:r w:rsidR="008863ED">
        <w:rPr>
          <w:lang w:val="en-US"/>
        </w:rPr>
        <w:t>Notes</w:t>
      </w:r>
      <w:r w:rsidRPr="00695F84">
        <w:rPr>
          <w:lang w:val="en-US"/>
        </w:rPr>
        <w:t xml:space="preserve"> that are located in Italy </w:t>
      </w:r>
      <w:r w:rsidR="00901981">
        <w:rPr>
          <w:lang w:val="en-US"/>
        </w:rPr>
        <w:t>may</w:t>
      </w:r>
      <w:r w:rsidR="00901981" w:rsidRPr="00695F84">
        <w:rPr>
          <w:lang w:val="en-US"/>
        </w:rPr>
        <w:t xml:space="preserve"> </w:t>
      </w:r>
      <w:r w:rsidRPr="00695F84">
        <w:rPr>
          <w:lang w:val="en-US"/>
        </w:rPr>
        <w:t xml:space="preserve">tender </w:t>
      </w:r>
      <w:r w:rsidR="00901981">
        <w:rPr>
          <w:lang w:val="en-US"/>
        </w:rPr>
        <w:t xml:space="preserve">their </w:t>
      </w:r>
      <w:r w:rsidR="008863ED">
        <w:rPr>
          <w:lang w:val="en-US"/>
        </w:rPr>
        <w:t>Notes</w:t>
      </w:r>
      <w:r w:rsidRPr="00695F84">
        <w:rPr>
          <w:lang w:val="en-US"/>
        </w:rPr>
        <w:t xml:space="preserve"> in the Offer through authorised persons (such as investment firms, banks or financial intermediaries permitted to conduct such activities in Italy in accordance with the Financial Services Act, CONSOB Regulation No. 20307 of 15 February 2018, as amended</w:t>
      </w:r>
      <w:r w:rsidR="00A464A9">
        <w:rPr>
          <w:lang w:val="en-US"/>
        </w:rPr>
        <w:t xml:space="preserve"> from time to time</w:t>
      </w:r>
      <w:r w:rsidRPr="00695F84">
        <w:rPr>
          <w:lang w:val="en-US"/>
        </w:rPr>
        <w:t xml:space="preserve">, and Legislative Decree No. 385 of </w:t>
      </w:r>
      <w:r w:rsidR="00521E3F">
        <w:rPr>
          <w:lang w:val="en-US"/>
        </w:rPr>
        <w:t xml:space="preserve">1 </w:t>
      </w:r>
      <w:r w:rsidRPr="00695F84">
        <w:rPr>
          <w:lang w:val="en-US"/>
        </w:rPr>
        <w:t xml:space="preserve">September 1993, as amended) and in compliance with applicable laws and regulations with requirements imposed by CONSOB </w:t>
      </w:r>
      <w:r w:rsidR="00A464A9">
        <w:rPr>
          <w:lang w:val="en-US"/>
        </w:rPr>
        <w:t xml:space="preserve">or </w:t>
      </w:r>
      <w:r w:rsidRPr="00695F84">
        <w:rPr>
          <w:lang w:val="en-US"/>
        </w:rPr>
        <w:t>any other Italian authority.</w:t>
      </w:r>
    </w:p>
    <w:p w14:paraId="03B5E1DA" w14:textId="0861C6AE" w:rsidR="00FE2AFF" w:rsidRPr="00695F84" w:rsidRDefault="00FE2AFF" w:rsidP="006C014A">
      <w:pPr>
        <w:pStyle w:val="Body"/>
        <w:rPr>
          <w:lang w:val="en-US"/>
        </w:rPr>
      </w:pPr>
      <w:r w:rsidRPr="00695F84">
        <w:rPr>
          <w:lang w:val="en-US"/>
        </w:rPr>
        <w:t xml:space="preserve">Each intermediary must comply with the applicable laws and regulations concerning information duties </w:t>
      </w:r>
      <w:r w:rsidRPr="00695F84">
        <w:rPr>
          <w:i/>
          <w:lang w:val="en-US"/>
        </w:rPr>
        <w:t xml:space="preserve">vis-à-vis </w:t>
      </w:r>
      <w:r w:rsidRPr="00695F84">
        <w:rPr>
          <w:lang w:val="en-US"/>
        </w:rPr>
        <w:t xml:space="preserve">its clients in connection with the </w:t>
      </w:r>
      <w:r w:rsidR="00BE1699">
        <w:rPr>
          <w:lang w:val="en-US"/>
        </w:rPr>
        <w:t>Notes</w:t>
      </w:r>
      <w:r w:rsidRPr="00695F84">
        <w:rPr>
          <w:lang w:val="en-US"/>
        </w:rPr>
        <w:t xml:space="preserve"> </w:t>
      </w:r>
      <w:r w:rsidR="00A464A9">
        <w:rPr>
          <w:lang w:val="en-US"/>
        </w:rPr>
        <w:t>and/</w:t>
      </w:r>
      <w:r w:rsidRPr="00695F84">
        <w:rPr>
          <w:lang w:val="en-US"/>
        </w:rPr>
        <w:t>or the Offer.</w:t>
      </w:r>
    </w:p>
    <w:p w14:paraId="73A62A21" w14:textId="77777777" w:rsidR="00FE2AFF" w:rsidRPr="00695F84" w:rsidRDefault="00FE2AFF" w:rsidP="00C9592C">
      <w:pPr>
        <w:pStyle w:val="SubHeadItalicBold"/>
        <w:rPr>
          <w:lang w:val="en-US"/>
        </w:rPr>
      </w:pPr>
      <w:r w:rsidRPr="00695F84">
        <w:rPr>
          <w:lang w:val="en-US"/>
        </w:rPr>
        <w:t>General</w:t>
      </w:r>
    </w:p>
    <w:p w14:paraId="48AB2E32" w14:textId="43BCF966" w:rsidR="00FE2AFF" w:rsidRPr="00695F84" w:rsidRDefault="00FE2AFF" w:rsidP="006C014A">
      <w:pPr>
        <w:pStyle w:val="Body"/>
        <w:rPr>
          <w:lang w:val="en-US"/>
        </w:rPr>
      </w:pPr>
      <w:r w:rsidRPr="00695F84">
        <w:rPr>
          <w:lang w:val="en-US"/>
        </w:rPr>
        <w:t>This announcement</w:t>
      </w:r>
      <w:r w:rsidR="005540CD">
        <w:rPr>
          <w:lang w:val="en-US"/>
        </w:rPr>
        <w:t xml:space="preserve"> and the Offer to Purchase</w:t>
      </w:r>
      <w:r w:rsidRPr="00695F84">
        <w:rPr>
          <w:lang w:val="en-US"/>
        </w:rPr>
        <w:t xml:space="preserve"> </w:t>
      </w:r>
      <w:r w:rsidR="005540CD">
        <w:rPr>
          <w:lang w:val="en-US"/>
        </w:rPr>
        <w:t>do</w:t>
      </w:r>
      <w:r w:rsidR="005540CD" w:rsidRPr="00695F84">
        <w:rPr>
          <w:lang w:val="en-US"/>
        </w:rPr>
        <w:t xml:space="preserve"> </w:t>
      </w:r>
      <w:r w:rsidRPr="00695F84">
        <w:rPr>
          <w:lang w:val="en-US"/>
        </w:rPr>
        <w:t xml:space="preserve">not constitute an offer to buy or the solicitation of an offer to sell </w:t>
      </w:r>
      <w:r w:rsidR="00A70E40">
        <w:rPr>
          <w:lang w:val="en-US"/>
        </w:rPr>
        <w:t>Notes</w:t>
      </w:r>
      <w:r w:rsidRPr="00695F84">
        <w:rPr>
          <w:lang w:val="en-US"/>
        </w:rPr>
        <w:t xml:space="preserve">, and tenders of </w:t>
      </w:r>
      <w:r w:rsidR="00A70E40">
        <w:rPr>
          <w:lang w:val="en-US"/>
        </w:rPr>
        <w:t>Notes</w:t>
      </w:r>
      <w:r w:rsidRPr="00695F84">
        <w:rPr>
          <w:lang w:val="en-US"/>
        </w:rPr>
        <w:t xml:space="preserve"> in the Offer will not be accepted from Holders, in any circumstances in which such offer or solicitation is unlawful. In those jurisdictions where the securities, blue sky or other laws require the Offer to be made by a licensed broker or dealer and the Dealer Manager or </w:t>
      </w:r>
      <w:r w:rsidR="00A464A9">
        <w:rPr>
          <w:lang w:val="en-US"/>
        </w:rPr>
        <w:t>its</w:t>
      </w:r>
      <w:r w:rsidRPr="00695F84">
        <w:rPr>
          <w:lang w:val="en-US"/>
        </w:rPr>
        <w:t xml:space="preserve"> affiliates is such a licensed broker or dealer in any such jurisdiction, the Offer shall be deemed to be made by </w:t>
      </w:r>
      <w:r w:rsidR="00A464A9">
        <w:rPr>
          <w:lang w:val="en-US"/>
        </w:rPr>
        <w:t>the</w:t>
      </w:r>
      <w:r w:rsidR="00A464A9" w:rsidRPr="00695F84">
        <w:rPr>
          <w:lang w:val="en-US"/>
        </w:rPr>
        <w:t xml:space="preserve"> </w:t>
      </w:r>
      <w:r w:rsidRPr="00695F84">
        <w:rPr>
          <w:lang w:val="en-US"/>
        </w:rPr>
        <w:t xml:space="preserve">Dealer Manager or </w:t>
      </w:r>
      <w:r w:rsidR="00A464A9">
        <w:rPr>
          <w:lang w:val="en-US"/>
        </w:rPr>
        <w:t xml:space="preserve">its </w:t>
      </w:r>
      <w:r w:rsidRPr="00695F84">
        <w:rPr>
          <w:lang w:val="en-US"/>
        </w:rPr>
        <w:t>affiliate, as the case may be, on behalf of the Offeror in such jurisdiction.</w:t>
      </w:r>
    </w:p>
    <w:p w14:paraId="6A1817E4" w14:textId="77777777" w:rsidR="00FE2AFF" w:rsidRPr="00695F84" w:rsidRDefault="00FE2AFF" w:rsidP="00C9592C">
      <w:pPr>
        <w:pStyle w:val="SubHead"/>
        <w:rPr>
          <w:lang w:val="en-US"/>
        </w:rPr>
      </w:pPr>
      <w:r w:rsidRPr="00695F84">
        <w:rPr>
          <w:lang w:val="en-US"/>
        </w:rPr>
        <w:lastRenderedPageBreak/>
        <w:t>Forward-Looking Information</w:t>
      </w:r>
    </w:p>
    <w:p w14:paraId="1DE45785" w14:textId="25666C87" w:rsidR="004749A2" w:rsidRPr="004749A2" w:rsidRDefault="004749A2" w:rsidP="004749A2">
      <w:pPr>
        <w:pStyle w:val="SubHead"/>
        <w:rPr>
          <w:b w:val="0"/>
          <w:sz w:val="20"/>
          <w:lang w:val="en-US"/>
        </w:rPr>
      </w:pPr>
      <w:r w:rsidRPr="004749A2">
        <w:rPr>
          <w:b w:val="0"/>
          <w:sz w:val="20"/>
          <w:lang w:val="en-US"/>
        </w:rPr>
        <w:t>Some of the information contained in this</w:t>
      </w:r>
      <w:r>
        <w:rPr>
          <w:b w:val="0"/>
          <w:sz w:val="20"/>
          <w:lang w:val="en-US"/>
        </w:rPr>
        <w:t xml:space="preserve"> announcement and the</w:t>
      </w:r>
      <w:r w:rsidRPr="004749A2">
        <w:rPr>
          <w:b w:val="0"/>
          <w:sz w:val="20"/>
          <w:lang w:val="en-US"/>
        </w:rPr>
        <w:t xml:space="preserve"> Offer to Purchase may constitute “forward-looking statements” within the meaning of the safe harbor provisions of the Private Securities Litigation Reform Act of 1995. Although the Offeror has based these forward-looking statements on its expectations and projections about future events, it is possible that actual results may differ materially from its expectations. In many cases, the Offeror includes a discussion of the factors that are most likely to cause forward-looking statements to differ from actual results together with the forward-looking statements themselves.</w:t>
      </w:r>
    </w:p>
    <w:p w14:paraId="5BFE4AE1" w14:textId="6ECDB2DF" w:rsidR="004749A2" w:rsidRPr="004749A2" w:rsidRDefault="004749A2" w:rsidP="004749A2">
      <w:pPr>
        <w:pStyle w:val="SubHead"/>
        <w:rPr>
          <w:b w:val="0"/>
          <w:sz w:val="20"/>
          <w:lang w:val="en-US"/>
        </w:rPr>
      </w:pPr>
      <w:r w:rsidRPr="004749A2">
        <w:rPr>
          <w:b w:val="0"/>
          <w:sz w:val="20"/>
          <w:lang w:val="en-US"/>
        </w:rPr>
        <w:t>In addition, Holders should consider the risks described in “</w:t>
      </w:r>
      <w:r w:rsidRPr="006B070D">
        <w:rPr>
          <w:b w:val="0"/>
          <w:i/>
          <w:iCs/>
          <w:sz w:val="20"/>
          <w:lang w:val="en-US"/>
        </w:rPr>
        <w:t>Risk Factors and Other Considerations</w:t>
      </w:r>
      <w:r w:rsidRPr="004749A2">
        <w:rPr>
          <w:b w:val="0"/>
          <w:sz w:val="20"/>
          <w:lang w:val="en-US"/>
        </w:rPr>
        <w:t xml:space="preserve">” in </w:t>
      </w:r>
      <w:r w:rsidR="006B070D">
        <w:rPr>
          <w:b w:val="0"/>
          <w:sz w:val="20"/>
          <w:lang w:val="en-US"/>
        </w:rPr>
        <w:t>the</w:t>
      </w:r>
      <w:r w:rsidRPr="004749A2">
        <w:rPr>
          <w:b w:val="0"/>
          <w:sz w:val="20"/>
          <w:lang w:val="en-US"/>
        </w:rPr>
        <w:t xml:space="preserve"> Offer to Purchase. Such risks could also cause actual results to differ from forward-looking information. In light of these and other uncertainties, the forward-looking statements included in this </w:t>
      </w:r>
      <w:r w:rsidR="006B070D">
        <w:rPr>
          <w:b w:val="0"/>
          <w:sz w:val="20"/>
          <w:lang w:val="en-US"/>
        </w:rPr>
        <w:t>announcement and the Offer to Purchase</w:t>
      </w:r>
      <w:r w:rsidRPr="004749A2">
        <w:rPr>
          <w:b w:val="0"/>
          <w:sz w:val="20"/>
          <w:lang w:val="en-US"/>
        </w:rPr>
        <w:t xml:space="preserve"> should not be regarded as a representation by the Offeror that its plans and objectives will be achieved.</w:t>
      </w:r>
    </w:p>
    <w:p w14:paraId="1A4CB61A" w14:textId="7BD13637" w:rsidR="00E86D6A" w:rsidRDefault="004749A2" w:rsidP="004749A2">
      <w:pPr>
        <w:pStyle w:val="Body"/>
        <w:rPr>
          <w:lang w:val="en-US"/>
        </w:rPr>
      </w:pPr>
      <w:r w:rsidRPr="004749A2">
        <w:rPr>
          <w:lang w:val="en-US"/>
        </w:rPr>
        <w:t>The Offeror undertakes no obligation to publicly update or revise any forward-looking statements, whether as a result of new information or future events or for any other reason.</w:t>
      </w:r>
    </w:p>
    <w:p w14:paraId="1BD0DE88" w14:textId="66E387EE" w:rsidR="00955235" w:rsidRPr="00695F84" w:rsidRDefault="00955235" w:rsidP="00955235">
      <w:pPr>
        <w:pStyle w:val="SubHead"/>
        <w:rPr>
          <w:lang w:val="en-US"/>
        </w:rPr>
      </w:pPr>
      <w:r>
        <w:rPr>
          <w:lang w:val="en-US"/>
        </w:rPr>
        <w:t>New Notes</w:t>
      </w:r>
    </w:p>
    <w:p w14:paraId="2419C3AF" w14:textId="0DA1FC1B" w:rsidR="00955235" w:rsidRDefault="0082550D" w:rsidP="004749A2">
      <w:pPr>
        <w:pStyle w:val="Body"/>
        <w:rPr>
          <w:lang w:val="en-US"/>
        </w:rPr>
      </w:pPr>
      <w:r w:rsidRPr="00D40F52">
        <w:rPr>
          <w:sz w:val="19"/>
          <w:szCs w:val="19"/>
        </w:rPr>
        <w:t xml:space="preserve">Any investment decision to purchase any New </w:t>
      </w:r>
      <w:r>
        <w:rPr>
          <w:sz w:val="19"/>
          <w:szCs w:val="19"/>
        </w:rPr>
        <w:t>Notes</w:t>
      </w:r>
      <w:r w:rsidRPr="00D40F52">
        <w:rPr>
          <w:sz w:val="19"/>
          <w:szCs w:val="19"/>
        </w:rPr>
        <w:t xml:space="preserve"> should be made solely on the basis of the information contained </w:t>
      </w:r>
      <w:r>
        <w:rPr>
          <w:sz w:val="19"/>
          <w:szCs w:val="19"/>
        </w:rPr>
        <w:t>in the base prospectus</w:t>
      </w:r>
      <w:r w:rsidRPr="006248A3">
        <w:rPr>
          <w:sz w:val="19"/>
          <w:szCs w:val="19"/>
        </w:rPr>
        <w:t xml:space="preserve"> </w:t>
      </w:r>
      <w:r>
        <w:rPr>
          <w:sz w:val="19"/>
          <w:szCs w:val="19"/>
        </w:rPr>
        <w:t xml:space="preserve">dated </w:t>
      </w:r>
      <w:r w:rsidR="00FD321B">
        <w:rPr>
          <w:sz w:val="19"/>
          <w:szCs w:val="19"/>
        </w:rPr>
        <w:t>26</w:t>
      </w:r>
      <w:r w:rsidR="00A464A9">
        <w:rPr>
          <w:sz w:val="19"/>
          <w:szCs w:val="19"/>
        </w:rPr>
        <w:t xml:space="preserve"> March 2025</w:t>
      </w:r>
      <w:r>
        <w:rPr>
          <w:sz w:val="19"/>
          <w:szCs w:val="19"/>
        </w:rPr>
        <w:t xml:space="preserve"> in connection with the Offeror’s U.S.$10,000,000,000 Global Medium Term Note Programme</w:t>
      </w:r>
      <w:r w:rsidR="0099023C">
        <w:rPr>
          <w:sz w:val="19"/>
          <w:szCs w:val="19"/>
        </w:rPr>
        <w:t xml:space="preserve"> </w:t>
      </w:r>
      <w:bookmarkStart w:id="2" w:name="_Hlk196919450"/>
      <w:r w:rsidR="0099023C">
        <w:rPr>
          <w:sz w:val="19"/>
          <w:szCs w:val="19"/>
        </w:rPr>
        <w:t xml:space="preserve">(the “Base Prospectus”), the supplement to the </w:t>
      </w:r>
      <w:r w:rsidR="007A547A">
        <w:rPr>
          <w:sz w:val="19"/>
          <w:szCs w:val="19"/>
        </w:rPr>
        <w:t>B</w:t>
      </w:r>
      <w:r w:rsidR="0099023C">
        <w:rPr>
          <w:sz w:val="19"/>
          <w:szCs w:val="19"/>
        </w:rPr>
        <w:t xml:space="preserve">ase </w:t>
      </w:r>
      <w:r w:rsidR="007A547A">
        <w:rPr>
          <w:sz w:val="19"/>
          <w:szCs w:val="19"/>
        </w:rPr>
        <w:t>P</w:t>
      </w:r>
      <w:r w:rsidR="0099023C">
        <w:rPr>
          <w:sz w:val="19"/>
          <w:szCs w:val="19"/>
        </w:rPr>
        <w:t xml:space="preserve">rospectus dated </w:t>
      </w:r>
      <w:r w:rsidR="00060A71">
        <w:rPr>
          <w:sz w:val="19"/>
          <w:szCs w:val="19"/>
        </w:rPr>
        <w:t>7</w:t>
      </w:r>
      <w:r w:rsidR="0099023C">
        <w:rPr>
          <w:sz w:val="19"/>
          <w:szCs w:val="19"/>
        </w:rPr>
        <w:t xml:space="preserve"> May 2025</w:t>
      </w:r>
      <w:r>
        <w:rPr>
          <w:sz w:val="19"/>
          <w:szCs w:val="19"/>
        </w:rPr>
        <w:t xml:space="preserve"> </w:t>
      </w:r>
      <w:bookmarkEnd w:id="2"/>
      <w:r w:rsidRPr="00FD321B">
        <w:rPr>
          <w:sz w:val="19"/>
          <w:szCs w:val="19"/>
        </w:rPr>
        <w:t>and</w:t>
      </w:r>
      <w:r>
        <w:rPr>
          <w:sz w:val="19"/>
          <w:szCs w:val="19"/>
        </w:rPr>
        <w:t xml:space="preserve"> the Final Terms in respect of the New Notes</w:t>
      </w:r>
      <w:r w:rsidRPr="006248A3">
        <w:rPr>
          <w:sz w:val="19"/>
          <w:szCs w:val="19"/>
        </w:rPr>
        <w:t xml:space="preserve"> (</w:t>
      </w:r>
      <w:r>
        <w:rPr>
          <w:sz w:val="19"/>
          <w:szCs w:val="19"/>
        </w:rPr>
        <w:t xml:space="preserve">together, </w:t>
      </w:r>
      <w:r w:rsidRPr="006248A3">
        <w:rPr>
          <w:sz w:val="19"/>
          <w:szCs w:val="19"/>
        </w:rPr>
        <w:t xml:space="preserve">the </w:t>
      </w:r>
      <w:r w:rsidR="008B267F">
        <w:rPr>
          <w:sz w:val="19"/>
          <w:szCs w:val="19"/>
        </w:rPr>
        <w:t>“</w:t>
      </w:r>
      <w:r w:rsidRPr="008B267F">
        <w:rPr>
          <w:bCs/>
          <w:sz w:val="19"/>
          <w:szCs w:val="19"/>
        </w:rPr>
        <w:t>Prospectus</w:t>
      </w:r>
      <w:r w:rsidR="008B267F">
        <w:rPr>
          <w:bCs/>
          <w:sz w:val="19"/>
          <w:szCs w:val="19"/>
        </w:rPr>
        <w:t>”</w:t>
      </w:r>
      <w:r w:rsidRPr="006248A3">
        <w:rPr>
          <w:sz w:val="19"/>
          <w:szCs w:val="19"/>
        </w:rPr>
        <w:t>)</w:t>
      </w:r>
      <w:r w:rsidRPr="00D40F52">
        <w:rPr>
          <w:sz w:val="19"/>
          <w:szCs w:val="19"/>
        </w:rPr>
        <w:t xml:space="preserve">, </w:t>
      </w:r>
      <w:r>
        <w:rPr>
          <w:sz w:val="19"/>
          <w:szCs w:val="19"/>
        </w:rPr>
        <w:t xml:space="preserve">pursuant to which the New Notes are intended to be issued, </w:t>
      </w:r>
      <w:r w:rsidRPr="00D40F52">
        <w:rPr>
          <w:sz w:val="19"/>
          <w:szCs w:val="19"/>
        </w:rPr>
        <w:t xml:space="preserve">and no reliance is to be placed on any representations other than those contained in the </w:t>
      </w:r>
      <w:r>
        <w:rPr>
          <w:sz w:val="19"/>
          <w:szCs w:val="19"/>
        </w:rPr>
        <w:t>Prospectus</w:t>
      </w:r>
      <w:r w:rsidRPr="00D40F52">
        <w:rPr>
          <w:sz w:val="19"/>
          <w:szCs w:val="19"/>
        </w:rPr>
        <w:t xml:space="preserve">. Subject to compliance with all applicable securities laws and regulations, the </w:t>
      </w:r>
      <w:r>
        <w:rPr>
          <w:sz w:val="19"/>
          <w:szCs w:val="19"/>
        </w:rPr>
        <w:t>Prospectus is</w:t>
      </w:r>
      <w:r w:rsidRPr="00D40F52">
        <w:rPr>
          <w:sz w:val="19"/>
          <w:szCs w:val="19"/>
        </w:rPr>
        <w:t xml:space="preserve"> available</w:t>
      </w:r>
      <w:r>
        <w:rPr>
          <w:sz w:val="19"/>
          <w:szCs w:val="19"/>
        </w:rPr>
        <w:t xml:space="preserve"> on the website of the Offeror and</w:t>
      </w:r>
      <w:r w:rsidRPr="00D40F52">
        <w:rPr>
          <w:sz w:val="19"/>
          <w:szCs w:val="19"/>
        </w:rPr>
        <w:t xml:space="preserve"> from the joint lead managers </w:t>
      </w:r>
      <w:r>
        <w:rPr>
          <w:sz w:val="19"/>
          <w:szCs w:val="19"/>
        </w:rPr>
        <w:t>of the issue of the New Notes,</w:t>
      </w:r>
      <w:r w:rsidRPr="00D40F52">
        <w:rPr>
          <w:sz w:val="19"/>
          <w:szCs w:val="19"/>
        </w:rPr>
        <w:t xml:space="preserve"> on request.</w:t>
      </w:r>
      <w:r>
        <w:rPr>
          <w:sz w:val="19"/>
          <w:szCs w:val="19"/>
        </w:rPr>
        <w:t xml:space="preserve"> </w:t>
      </w:r>
      <w:r w:rsidR="0099023C" w:rsidRPr="0099023C">
        <w:rPr>
          <w:sz w:val="19"/>
          <w:szCs w:val="19"/>
        </w:rPr>
        <w:t xml:space="preserve">The New Notes have not been and will not be registered under the United States Securities Act of 1933. The Offer is not an offer to sell or a solicitation of an offer to buy the New Notes. No action has been or will be taken in any jurisdiction in relation to the New Notes to permit a public offering of securities.  </w:t>
      </w:r>
    </w:p>
    <w:p w14:paraId="35756115" w14:textId="42128A2B" w:rsidR="008E74CE" w:rsidRPr="00A730E2" w:rsidRDefault="008E74CE" w:rsidP="008E74CE">
      <w:pPr>
        <w:pStyle w:val="Body"/>
        <w:rPr>
          <w:b/>
          <w:bCs/>
          <w:i/>
          <w:iCs/>
        </w:rPr>
      </w:pPr>
      <w:r w:rsidRPr="00480822">
        <w:rPr>
          <w:i/>
        </w:rPr>
        <w:t>Compliance information for the New Notes:</w:t>
      </w:r>
      <w:r w:rsidRPr="00480822">
        <w:rPr>
          <w:b/>
        </w:rPr>
        <w:t xml:space="preserve"> MiFID II and UK MiFIR product governance </w:t>
      </w:r>
      <w:r w:rsidRPr="00480822">
        <w:t xml:space="preserve">– eligible counterparties and professional clients only (all distribution channels). </w:t>
      </w:r>
      <w:r w:rsidRPr="00480822">
        <w:rPr>
          <w:b/>
        </w:rPr>
        <w:t>PRIIPs Regulation and UK PRIIPs Regulation</w:t>
      </w:r>
      <w:r w:rsidRPr="00480822">
        <w:t>– no sales to EEA or UK retail investors; no key information document has been or will be prepared. See the Prospectus for further information.</w:t>
      </w:r>
    </w:p>
    <w:p w14:paraId="0D7F8065" w14:textId="77777777" w:rsidR="00C45822" w:rsidRPr="00695F84" w:rsidRDefault="00C45822" w:rsidP="00E73D69">
      <w:pPr>
        <w:pStyle w:val="Body"/>
        <w:rPr>
          <w:lang w:val="en-US"/>
        </w:rPr>
      </w:pPr>
    </w:p>
    <w:sectPr w:rsidR="00C45822" w:rsidRPr="00695F84" w:rsidSect="00983B69">
      <w:headerReference w:type="even" r:id="rId10"/>
      <w:headerReference w:type="default" r:id="rId11"/>
      <w:footerReference w:type="even" r:id="rId12"/>
      <w:footerReference w:type="default" r:id="rId13"/>
      <w:headerReference w:type="first" r:id="rId14"/>
      <w:footerReference w:type="first" r:id="rId15"/>
      <w:pgSz w:w="11907" w:h="16840" w:code="9"/>
      <w:pgMar w:top="1412" w:right="1367" w:bottom="1985" w:left="1281" w:header="1049" w:footer="87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4408" w14:textId="77777777" w:rsidR="007B0D7C" w:rsidRDefault="007B0D7C">
      <w:r>
        <w:separator/>
      </w:r>
    </w:p>
  </w:endnote>
  <w:endnote w:type="continuationSeparator" w:id="0">
    <w:p w14:paraId="6C05DF27" w14:textId="77777777" w:rsidR="007B0D7C" w:rsidRDefault="007B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D0AD" w14:textId="77777777" w:rsidR="00925885" w:rsidRDefault="0092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50CC" w14:textId="669FF951" w:rsidR="00BA6688" w:rsidRDefault="00417872" w:rsidP="00605EB4">
    <w:pPr>
      <w:pStyle w:val="Footer"/>
    </w:pPr>
    <w:r>
      <w:fldChar w:fldCharType="begin"/>
    </w:r>
    <w:r>
      <w:instrText xml:space="preserve"> DOCPROPERTY "Document Number" </w:instrText>
    </w:r>
    <w:r>
      <w:fldChar w:fldCharType="separate"/>
    </w:r>
    <w:r w:rsidR="00FF2BC9">
      <w:t>3208975403</w:t>
    </w:r>
    <w:r>
      <w:fldChar w:fldCharType="end"/>
    </w:r>
    <w:r w:rsidR="00BA6688">
      <w:tab/>
    </w:r>
    <w:r w:rsidR="00BA6688">
      <w:rPr>
        <w:rStyle w:val="PageNumber"/>
        <w:sz w:val="20"/>
      </w:rPr>
      <w:fldChar w:fldCharType="begin"/>
    </w:r>
    <w:r w:rsidR="00BA6688">
      <w:rPr>
        <w:rStyle w:val="PageNumber"/>
        <w:sz w:val="20"/>
      </w:rPr>
      <w:instrText xml:space="preserve"> PAGE </w:instrText>
    </w:r>
    <w:r w:rsidR="00BA6688">
      <w:rPr>
        <w:rStyle w:val="PageNumber"/>
        <w:sz w:val="20"/>
      </w:rPr>
      <w:fldChar w:fldCharType="separate"/>
    </w:r>
    <w:r w:rsidR="00BA6688">
      <w:rPr>
        <w:rStyle w:val="PageNumber"/>
        <w:noProof/>
        <w:sz w:val="20"/>
      </w:rPr>
      <w:t>3</w:t>
    </w:r>
    <w:r w:rsidR="00BA6688">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6A6E" w14:textId="1F0002AE" w:rsidR="00BA6688" w:rsidRDefault="00417872" w:rsidP="00B17B3B">
    <w:pPr>
      <w:pStyle w:val="Footer"/>
    </w:pPr>
    <w:r>
      <w:fldChar w:fldCharType="begin"/>
    </w:r>
    <w:r>
      <w:instrText xml:space="preserve"> DOCPROPERTY "Document Number" </w:instrText>
    </w:r>
    <w:r>
      <w:fldChar w:fldCharType="separate"/>
    </w:r>
    <w:r w:rsidR="00FF2BC9">
      <w:t>3208975403</w:t>
    </w:r>
    <w:r>
      <w:fldChar w:fldCharType="end"/>
    </w:r>
    <w:r w:rsidR="00BA6688">
      <w:tab/>
    </w:r>
    <w:r w:rsidR="00BA6688">
      <w:rPr>
        <w:rStyle w:val="PageNumber"/>
        <w:sz w:val="20"/>
      </w:rPr>
      <w:fldChar w:fldCharType="begin"/>
    </w:r>
    <w:r w:rsidR="00BA6688">
      <w:rPr>
        <w:rStyle w:val="PageNumber"/>
        <w:sz w:val="20"/>
      </w:rPr>
      <w:instrText xml:space="preserve"> PAGE </w:instrText>
    </w:r>
    <w:r w:rsidR="00BA6688">
      <w:rPr>
        <w:rStyle w:val="PageNumber"/>
        <w:sz w:val="20"/>
      </w:rPr>
      <w:fldChar w:fldCharType="separate"/>
    </w:r>
    <w:r w:rsidR="00FF5E06">
      <w:rPr>
        <w:rStyle w:val="PageNumber"/>
        <w:noProof/>
        <w:sz w:val="20"/>
      </w:rPr>
      <w:t>2</w:t>
    </w:r>
    <w:r w:rsidR="00BA6688">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6762" w14:textId="77777777" w:rsidR="007B0D7C" w:rsidRDefault="007B0D7C">
      <w:r>
        <w:separator/>
      </w:r>
    </w:p>
  </w:footnote>
  <w:footnote w:type="continuationSeparator" w:id="0">
    <w:p w14:paraId="091FDD28" w14:textId="77777777" w:rsidR="007B0D7C" w:rsidRDefault="007B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987F" w14:textId="77777777" w:rsidR="00925885" w:rsidRDefault="0092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1A13" w14:textId="77777777" w:rsidR="00925885" w:rsidRDefault="0092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60DD" w14:textId="053DDA25" w:rsidR="006D3E95" w:rsidRDefault="006D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15:restartNumberingAfterBreak="0">
    <w:nsid w:val="018A3407"/>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39D5640"/>
    <w:multiLevelType w:val="hybridMultilevel"/>
    <w:tmpl w:val="38D6FD94"/>
    <w:lvl w:ilvl="0" w:tplc="ADC878F0">
      <w:start w:val="1"/>
      <w:numFmt w:val="upperLetter"/>
      <w:pStyle w:val="Alpha3-Aitalic"/>
      <w:lvlText w:val="(%1)"/>
      <w:lvlJc w:val="left"/>
      <w:pPr>
        <w:tabs>
          <w:tab w:val="num" w:pos="1559"/>
        </w:tabs>
        <w:ind w:left="1559"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15:restartNumberingAfterBreak="0">
    <w:nsid w:val="04C94037"/>
    <w:multiLevelType w:val="hybridMultilevel"/>
    <w:tmpl w:val="61E4DA6C"/>
    <w:lvl w:ilvl="0" w:tplc="10BE930E">
      <w:start w:val="1"/>
      <w:numFmt w:val="lowerRoman"/>
      <w:pStyle w:val="Roman2-i"/>
      <w:lvlText w:val="(%1)"/>
      <w:lvlJc w:val="left"/>
      <w:pPr>
        <w:tabs>
          <w:tab w:val="num" w:pos="992"/>
        </w:tabs>
        <w:ind w:left="992"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51076B7"/>
    <w:multiLevelType w:val="hybridMultilevel"/>
    <w:tmpl w:val="466AB0A8"/>
    <w:lvl w:ilvl="0" w:tplc="54C68D74">
      <w:start w:val="1"/>
      <w:numFmt w:val="decimal"/>
      <w:pStyle w:val="Arabic2-1"/>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1A3148"/>
    <w:multiLevelType w:val="multilevel"/>
    <w:tmpl w:val="D5B65C7A"/>
    <w:lvl w:ilvl="0">
      <w:start w:val="1"/>
      <w:numFmt w:val="bullet"/>
      <w:pStyle w:val="bullet6"/>
      <w:lvlText w:val=""/>
      <w:lvlJc w:val="left"/>
      <w:pPr>
        <w:tabs>
          <w:tab w:val="num" w:pos="3260"/>
        </w:tabs>
        <w:ind w:left="3260" w:hanging="567"/>
      </w:pPr>
      <w:rPr>
        <w:rFonts w:ascii="Symbol" w:hAnsi="Symbol" w:hint="default"/>
        <w:b/>
        <w:i w:val="0"/>
        <w:sz w:val="20"/>
      </w:rPr>
    </w:lvl>
    <w:lvl w:ilvl="1">
      <w:start w:val="1"/>
      <w:numFmt w:val="bullet"/>
      <w:lvlText w:val=""/>
      <w:lvlJc w:val="left"/>
      <w:pPr>
        <w:tabs>
          <w:tab w:val="num" w:pos="3685"/>
        </w:tabs>
        <w:ind w:left="3685" w:hanging="567"/>
      </w:pPr>
      <w:rPr>
        <w:rFonts w:ascii="Symbol" w:hAnsi="Symbol" w:hint="default"/>
        <w:sz w:val="20"/>
      </w:rPr>
    </w:lvl>
    <w:lvl w:ilvl="2">
      <w:start w:val="1"/>
      <w:numFmt w:val="bullet"/>
      <w:lvlText w:val=""/>
      <w:lvlJc w:val="left"/>
      <w:pPr>
        <w:tabs>
          <w:tab w:val="num" w:pos="4252"/>
        </w:tabs>
        <w:ind w:left="4252" w:hanging="567"/>
      </w:pPr>
      <w:rPr>
        <w:rFonts w:ascii="Symbol" w:hAnsi="Symbol" w:hint="default"/>
        <w:sz w:val="17"/>
      </w:rPr>
    </w:lvl>
    <w:lvl w:ilvl="3">
      <w:start w:val="1"/>
      <w:numFmt w:val="bullet"/>
      <w:lvlText w:val=""/>
      <w:lvlJc w:val="left"/>
      <w:pPr>
        <w:tabs>
          <w:tab w:val="num" w:pos="4819"/>
        </w:tabs>
        <w:ind w:left="4819" w:hanging="567"/>
      </w:pPr>
      <w:rPr>
        <w:rFonts w:ascii="Symbol" w:hAnsi="Symbol" w:hint="default"/>
        <w:sz w:val="19"/>
      </w:rPr>
    </w:lvl>
    <w:lvl w:ilvl="4">
      <w:start w:val="1"/>
      <w:numFmt w:val="bullet"/>
      <w:lvlText w:val=""/>
      <w:lvlJc w:val="left"/>
      <w:pPr>
        <w:tabs>
          <w:tab w:val="num" w:pos="5386"/>
        </w:tabs>
        <w:ind w:left="5386" w:hanging="567"/>
      </w:pPr>
      <w:rPr>
        <w:rFonts w:ascii="Symbol" w:hAnsi="Symbol" w:hint="default"/>
        <w:sz w:val="19"/>
      </w:rPr>
    </w:lvl>
    <w:lvl w:ilvl="5">
      <w:start w:val="1"/>
      <w:numFmt w:val="upperLetter"/>
      <w:lvlText w:val="(%6)"/>
      <w:lvlJc w:val="left"/>
      <w:pPr>
        <w:tabs>
          <w:tab w:val="num" w:pos="5953"/>
        </w:tabs>
        <w:ind w:left="5953" w:hanging="567"/>
      </w:pPr>
      <w:rPr>
        <w:rFonts w:hint="default"/>
        <w:sz w:val="19"/>
      </w:rPr>
    </w:lvl>
    <w:lvl w:ilvl="6">
      <w:start w:val="1"/>
      <w:numFmt w:val="decimal"/>
      <w:lvlText w:val="%1.%2.%3.%4.%5.%6.%7"/>
      <w:lvlJc w:val="left"/>
      <w:pPr>
        <w:tabs>
          <w:tab w:val="num" w:pos="6520"/>
        </w:tabs>
        <w:ind w:left="6520" w:hanging="3827"/>
      </w:pPr>
      <w:rPr>
        <w:rFonts w:hint="default"/>
      </w:rPr>
    </w:lvl>
    <w:lvl w:ilvl="7">
      <w:start w:val="1"/>
      <w:numFmt w:val="decimal"/>
      <w:lvlText w:val="%1.%2.%3.%4.%5.%6.%7.%8"/>
      <w:lvlJc w:val="left"/>
      <w:pPr>
        <w:tabs>
          <w:tab w:val="num" w:pos="4133"/>
        </w:tabs>
        <w:ind w:left="4133" w:hanging="1440"/>
      </w:pPr>
      <w:rPr>
        <w:rFonts w:hint="default"/>
      </w:rPr>
    </w:lvl>
    <w:lvl w:ilvl="8">
      <w:start w:val="1"/>
      <w:numFmt w:val="decimal"/>
      <w:lvlText w:val="%1.%2.%3.%4.%5.%6.%7.%8.%9"/>
      <w:lvlJc w:val="left"/>
      <w:pPr>
        <w:tabs>
          <w:tab w:val="num" w:pos="4493"/>
        </w:tabs>
        <w:ind w:left="4277" w:hanging="1584"/>
      </w:pPr>
      <w:rPr>
        <w:rFonts w:hint="default"/>
      </w:rPr>
    </w:lvl>
  </w:abstractNum>
  <w:abstractNum w:abstractNumId="7" w15:restartNumberingAfterBreak="0">
    <w:nsid w:val="06BE5611"/>
    <w:multiLevelType w:val="hybridMultilevel"/>
    <w:tmpl w:val="2960B452"/>
    <w:lvl w:ilvl="0" w:tplc="AD201522">
      <w:start w:val="1"/>
      <w:numFmt w:val="lowerRoman"/>
      <w:pStyle w:val="Roman3-i"/>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6F21B9D"/>
    <w:multiLevelType w:val="hybridMultilevel"/>
    <w:tmpl w:val="2B12B6DA"/>
    <w:lvl w:ilvl="0" w:tplc="11346DDC">
      <w:start w:val="1"/>
      <w:numFmt w:val="decimal"/>
      <w:pStyle w:val="Arabic5-1"/>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EE5F0B"/>
    <w:multiLevelType w:val="hybridMultilevel"/>
    <w:tmpl w:val="3A483FCA"/>
    <w:lvl w:ilvl="0" w:tplc="79C28C1A">
      <w:start w:val="1"/>
      <w:numFmt w:val="lowerLetter"/>
      <w:pStyle w:val="TableAlpha"/>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7A161E"/>
    <w:multiLevelType w:val="hybridMultilevel"/>
    <w:tmpl w:val="B750E5BC"/>
    <w:lvl w:ilvl="0" w:tplc="1CD467E2">
      <w:start w:val="1"/>
      <w:numFmt w:val="upperLetter"/>
      <w:pStyle w:val="Alpha5-A"/>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FE6D9F"/>
    <w:multiLevelType w:val="hybridMultilevel"/>
    <w:tmpl w:val="A5A6668C"/>
    <w:lvl w:ilvl="0" w:tplc="9010552A">
      <w:start w:val="1"/>
      <w:numFmt w:val="lowerLetter"/>
      <w:pStyle w:val="Alpha5-a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177F5A"/>
    <w:multiLevelType w:val="hybridMultilevel"/>
    <w:tmpl w:val="CE4CD726"/>
    <w:lvl w:ilvl="0" w:tplc="3DD810D4">
      <w:start w:val="1"/>
      <w:numFmt w:val="upperLetter"/>
      <w:pStyle w:val="Alpha5-Aitalic"/>
      <w:lvlText w:val="(%1)"/>
      <w:lvlJc w:val="left"/>
      <w:pPr>
        <w:tabs>
          <w:tab w:val="num" w:pos="2693"/>
        </w:tabs>
        <w:ind w:left="2693"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BF1B4C"/>
    <w:multiLevelType w:val="singleLevel"/>
    <w:tmpl w:val="DF9AC7CE"/>
    <w:lvl w:ilvl="0">
      <w:start w:val="1"/>
      <w:numFmt w:val="upperRoman"/>
      <w:pStyle w:val="Roman2-I0"/>
      <w:lvlText w:val="%1"/>
      <w:lvlJc w:val="left"/>
      <w:pPr>
        <w:tabs>
          <w:tab w:val="num" w:pos="992"/>
        </w:tabs>
        <w:ind w:left="992" w:hanging="567"/>
      </w:pPr>
      <w:rPr>
        <w:rFonts w:hint="default"/>
      </w:rPr>
    </w:lvl>
  </w:abstractNum>
  <w:abstractNum w:abstractNumId="14" w15:restartNumberingAfterBreak="0">
    <w:nsid w:val="10CC09DF"/>
    <w:multiLevelType w:val="hybridMultilevel"/>
    <w:tmpl w:val="B3BA89CC"/>
    <w:lvl w:ilvl="0" w:tplc="3C747E9C">
      <w:start w:val="1"/>
      <w:numFmt w:val="upperRoman"/>
      <w:pStyle w:val="Roman6-I"/>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48A18C7"/>
    <w:multiLevelType w:val="multilevel"/>
    <w:tmpl w:val="77580EE0"/>
    <w:lvl w:ilvl="0">
      <w:start w:val="1"/>
      <w:numFmt w:val="decimal"/>
      <w:pStyle w:val="Level1"/>
      <w:lvlText w:val="%1"/>
      <w:lvlJc w:val="left"/>
      <w:pPr>
        <w:tabs>
          <w:tab w:val="num" w:pos="425"/>
        </w:tabs>
        <w:ind w:left="425" w:hanging="425"/>
      </w:pPr>
      <w:rPr>
        <w:rFonts w:hint="default"/>
        <w:b/>
        <w:i w:val="0"/>
        <w:sz w:val="20"/>
        <w:szCs w:val="22"/>
      </w:rPr>
    </w:lvl>
    <w:lvl w:ilvl="1">
      <w:start w:val="1"/>
      <w:numFmt w:val="decimal"/>
      <w:pStyle w:val="Level2"/>
      <w:lvlText w:val="%1.%2"/>
      <w:lvlJc w:val="left"/>
      <w:pPr>
        <w:tabs>
          <w:tab w:val="num" w:pos="992"/>
        </w:tabs>
        <w:ind w:left="992" w:hanging="567"/>
      </w:pPr>
      <w:rPr>
        <w:rFonts w:hint="default"/>
        <w:sz w:val="20"/>
      </w:rPr>
    </w:lvl>
    <w:lvl w:ilvl="2">
      <w:start w:val="1"/>
      <w:numFmt w:val="decimal"/>
      <w:pStyle w:val="Level3"/>
      <w:lvlText w:val="%1.%2.%3"/>
      <w:lvlJc w:val="left"/>
      <w:pPr>
        <w:tabs>
          <w:tab w:val="num" w:pos="1559"/>
        </w:tabs>
        <w:ind w:left="1559" w:hanging="567"/>
      </w:pPr>
      <w:rPr>
        <w:rFonts w:hint="default"/>
        <w:sz w:val="17"/>
      </w:rPr>
    </w:lvl>
    <w:lvl w:ilvl="3">
      <w:start w:val="1"/>
      <w:numFmt w:val="lowerLetter"/>
      <w:pStyle w:val="Level4"/>
      <w:lvlText w:val="(%4)"/>
      <w:lvlJc w:val="left"/>
      <w:pPr>
        <w:tabs>
          <w:tab w:val="num" w:pos="2126"/>
        </w:tabs>
        <w:ind w:left="2126" w:hanging="567"/>
      </w:pPr>
      <w:rPr>
        <w:rFonts w:hint="default"/>
        <w:sz w:val="19"/>
      </w:rPr>
    </w:lvl>
    <w:lvl w:ilvl="4">
      <w:start w:val="1"/>
      <w:numFmt w:val="upperRoman"/>
      <w:pStyle w:val="Level5"/>
      <w:lvlText w:val="(%5)"/>
      <w:lvlJc w:val="left"/>
      <w:pPr>
        <w:tabs>
          <w:tab w:val="num" w:pos="2693"/>
        </w:tabs>
        <w:ind w:left="2693" w:hanging="567"/>
      </w:pPr>
      <w:rPr>
        <w:rFonts w:hint="default"/>
        <w:sz w:val="19"/>
      </w:rPr>
    </w:lvl>
    <w:lvl w:ilvl="5">
      <w:start w:val="1"/>
      <w:numFmt w:val="upperLetter"/>
      <w:pStyle w:val="Level6"/>
      <w:lvlText w:val="(%6)"/>
      <w:lvlJc w:val="left"/>
      <w:pPr>
        <w:tabs>
          <w:tab w:val="num" w:pos="3260"/>
        </w:tabs>
        <w:ind w:left="3260" w:hanging="567"/>
      </w:pPr>
      <w:rPr>
        <w:rFonts w:hint="default"/>
        <w:sz w:val="19"/>
      </w:rPr>
    </w:lvl>
    <w:lvl w:ilvl="6">
      <w:start w:val="1"/>
      <w:numFmt w:val="decimal"/>
      <w:lvlText w:val="%1.%2.%3.%4.%5.%6.%7"/>
      <w:lvlJc w:val="left"/>
      <w:pPr>
        <w:tabs>
          <w:tab w:val="num" w:pos="3827"/>
        </w:tabs>
        <w:ind w:left="3827" w:hanging="382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15B45773"/>
    <w:multiLevelType w:val="multilevel"/>
    <w:tmpl w:val="5740BC78"/>
    <w:lvl w:ilvl="0">
      <w:start w:val="1"/>
      <w:numFmt w:val="bullet"/>
      <w:pStyle w:val="bullet5"/>
      <w:lvlText w:val=""/>
      <w:lvlJc w:val="left"/>
      <w:pPr>
        <w:tabs>
          <w:tab w:val="num" w:pos="2693"/>
        </w:tabs>
        <w:ind w:left="2693" w:hanging="567"/>
      </w:pPr>
      <w:rPr>
        <w:rFonts w:ascii="Symbol" w:hAnsi="Symbol" w:hint="default"/>
        <w:b/>
        <w:i w:val="0"/>
        <w:sz w:val="20"/>
      </w:rPr>
    </w:lvl>
    <w:lvl w:ilvl="1">
      <w:start w:val="1"/>
      <w:numFmt w:val="bullet"/>
      <w:lvlText w:val=""/>
      <w:lvlJc w:val="left"/>
      <w:pPr>
        <w:tabs>
          <w:tab w:val="num" w:pos="3118"/>
        </w:tabs>
        <w:ind w:left="3118" w:hanging="567"/>
      </w:pPr>
      <w:rPr>
        <w:rFonts w:ascii="Symbol" w:hAnsi="Symbol" w:hint="default"/>
        <w:sz w:val="20"/>
      </w:rPr>
    </w:lvl>
    <w:lvl w:ilvl="2">
      <w:start w:val="1"/>
      <w:numFmt w:val="bullet"/>
      <w:lvlText w:val=""/>
      <w:lvlJc w:val="left"/>
      <w:pPr>
        <w:tabs>
          <w:tab w:val="num" w:pos="3685"/>
        </w:tabs>
        <w:ind w:left="3685" w:hanging="567"/>
      </w:pPr>
      <w:rPr>
        <w:rFonts w:ascii="Symbol" w:hAnsi="Symbol" w:hint="default"/>
        <w:sz w:val="17"/>
      </w:rPr>
    </w:lvl>
    <w:lvl w:ilvl="3">
      <w:start w:val="1"/>
      <w:numFmt w:val="bullet"/>
      <w:lvlText w:val=""/>
      <w:lvlJc w:val="left"/>
      <w:pPr>
        <w:tabs>
          <w:tab w:val="num" w:pos="4252"/>
        </w:tabs>
        <w:ind w:left="4252" w:hanging="567"/>
      </w:pPr>
      <w:rPr>
        <w:rFonts w:ascii="Symbol" w:hAnsi="Symbol" w:hint="default"/>
        <w:sz w:val="19"/>
      </w:rPr>
    </w:lvl>
    <w:lvl w:ilvl="4">
      <w:start w:val="1"/>
      <w:numFmt w:val="bullet"/>
      <w:lvlText w:val=""/>
      <w:lvlJc w:val="left"/>
      <w:pPr>
        <w:tabs>
          <w:tab w:val="num" w:pos="4819"/>
        </w:tabs>
        <w:ind w:left="4819" w:hanging="567"/>
      </w:pPr>
      <w:rPr>
        <w:rFonts w:ascii="Symbol" w:hAnsi="Symbol" w:hint="default"/>
        <w:sz w:val="19"/>
      </w:rPr>
    </w:lvl>
    <w:lvl w:ilvl="5">
      <w:start w:val="1"/>
      <w:numFmt w:val="upperLetter"/>
      <w:lvlText w:val="(%6)"/>
      <w:lvlJc w:val="left"/>
      <w:pPr>
        <w:tabs>
          <w:tab w:val="num" w:pos="5386"/>
        </w:tabs>
        <w:ind w:left="5386" w:hanging="567"/>
      </w:pPr>
      <w:rPr>
        <w:rFonts w:hint="default"/>
        <w:sz w:val="19"/>
      </w:rPr>
    </w:lvl>
    <w:lvl w:ilvl="6">
      <w:start w:val="1"/>
      <w:numFmt w:val="decimal"/>
      <w:lvlText w:val="%1.%2.%3.%4.%5.%6.%7"/>
      <w:lvlJc w:val="left"/>
      <w:pPr>
        <w:tabs>
          <w:tab w:val="num" w:pos="5953"/>
        </w:tabs>
        <w:ind w:left="5953" w:hanging="3827"/>
      </w:pPr>
      <w:rPr>
        <w:rFonts w:hint="default"/>
      </w:rPr>
    </w:lvl>
    <w:lvl w:ilvl="7">
      <w:start w:val="1"/>
      <w:numFmt w:val="decimal"/>
      <w:lvlText w:val="%1.%2.%3.%4.%5.%6.%7.%8"/>
      <w:lvlJc w:val="left"/>
      <w:pPr>
        <w:tabs>
          <w:tab w:val="num" w:pos="3566"/>
        </w:tabs>
        <w:ind w:left="3566" w:hanging="1440"/>
      </w:pPr>
      <w:rPr>
        <w:rFonts w:hint="default"/>
      </w:rPr>
    </w:lvl>
    <w:lvl w:ilvl="8">
      <w:start w:val="1"/>
      <w:numFmt w:val="decimal"/>
      <w:lvlText w:val="%1.%2.%3.%4.%5.%6.%7.%8.%9"/>
      <w:lvlJc w:val="left"/>
      <w:pPr>
        <w:tabs>
          <w:tab w:val="num" w:pos="3926"/>
        </w:tabs>
        <w:ind w:left="3710" w:hanging="1584"/>
      </w:pPr>
      <w:rPr>
        <w:rFonts w:hint="default"/>
      </w:rPr>
    </w:lvl>
  </w:abstractNum>
  <w:abstractNum w:abstractNumId="17" w15:restartNumberingAfterBreak="0">
    <w:nsid w:val="1822010C"/>
    <w:multiLevelType w:val="hybridMultilevel"/>
    <w:tmpl w:val="AF74A5C6"/>
    <w:lvl w:ilvl="0" w:tplc="6194F23C">
      <w:start w:val="1"/>
      <w:numFmt w:val="upperRoman"/>
      <w:pStyle w:val="Roman5-I"/>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2A5100"/>
    <w:multiLevelType w:val="singleLevel"/>
    <w:tmpl w:val="37B4483E"/>
    <w:lvl w:ilvl="0">
      <w:start w:val="1"/>
      <w:numFmt w:val="lowerLetter"/>
      <w:pStyle w:val="Alpha2-abolditalic"/>
      <w:lvlText w:val="(%1)"/>
      <w:lvlJc w:val="left"/>
      <w:pPr>
        <w:tabs>
          <w:tab w:val="num" w:pos="992"/>
        </w:tabs>
        <w:ind w:left="992" w:hanging="567"/>
      </w:pPr>
      <w:rPr>
        <w:rFonts w:hint="default"/>
      </w:rPr>
    </w:lvl>
  </w:abstractNum>
  <w:abstractNum w:abstractNumId="19" w15:restartNumberingAfterBreak="0">
    <w:nsid w:val="1BF71723"/>
    <w:multiLevelType w:val="hybridMultilevel"/>
    <w:tmpl w:val="A73427BC"/>
    <w:lvl w:ilvl="0" w:tplc="0B20427E">
      <w:start w:val="1"/>
      <w:numFmt w:val="upperRoman"/>
      <w:pStyle w:val="Roman6-I0"/>
      <w:lvlText w:val="%1"/>
      <w:lvlJc w:val="left"/>
      <w:pPr>
        <w:tabs>
          <w:tab w:val="num" w:pos="2693"/>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C8A1690"/>
    <w:multiLevelType w:val="hybridMultilevel"/>
    <w:tmpl w:val="11D2EE54"/>
    <w:lvl w:ilvl="0" w:tplc="895C3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2" w15:restartNumberingAfterBreak="0">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3" w15:restartNumberingAfterBreak="0">
    <w:nsid w:val="26151EF8"/>
    <w:multiLevelType w:val="singleLevel"/>
    <w:tmpl w:val="50E49316"/>
    <w:lvl w:ilvl="0">
      <w:start w:val="1"/>
      <w:numFmt w:val="lowerLetter"/>
      <w:pStyle w:val="Alpha2-abold"/>
      <w:lvlText w:val="(%1)"/>
      <w:lvlJc w:val="left"/>
      <w:pPr>
        <w:tabs>
          <w:tab w:val="num" w:pos="992"/>
        </w:tabs>
        <w:ind w:left="992" w:hanging="567"/>
      </w:pPr>
      <w:rPr>
        <w:rFonts w:hint="default"/>
      </w:rPr>
    </w:lvl>
  </w:abstractNum>
  <w:abstractNum w:abstractNumId="24" w15:restartNumberingAfterBreak="0">
    <w:nsid w:val="263D3B13"/>
    <w:multiLevelType w:val="hybridMultilevel"/>
    <w:tmpl w:val="F15A9424"/>
    <w:lvl w:ilvl="0" w:tplc="8B0CD4B2">
      <w:start w:val="1"/>
      <w:numFmt w:val="decimal"/>
      <w:pStyle w:val="Arabic6-1"/>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545890"/>
    <w:multiLevelType w:val="hybridMultilevel"/>
    <w:tmpl w:val="AACCEBA0"/>
    <w:lvl w:ilvl="0" w:tplc="FE2C952E">
      <w:start w:val="1"/>
      <w:numFmt w:val="upperLetter"/>
      <w:pStyle w:val="Alpha3-Abold"/>
      <w:lvlText w:val="(%1)"/>
      <w:lvlJc w:val="left"/>
      <w:pPr>
        <w:tabs>
          <w:tab w:val="num" w:pos="1559"/>
        </w:tabs>
        <w:ind w:left="1559" w:hanging="567"/>
      </w:pPr>
      <w:rPr>
        <w:rFonts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26" w15:restartNumberingAfterBreak="0">
    <w:nsid w:val="28ED50AE"/>
    <w:multiLevelType w:val="hybridMultilevel"/>
    <w:tmpl w:val="CCB4A3DC"/>
    <w:lvl w:ilvl="0" w:tplc="85FA26E4">
      <w:start w:val="1"/>
      <w:numFmt w:val="lowerRoman"/>
      <w:pStyle w:val="Roman5-i0"/>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BF63519"/>
    <w:multiLevelType w:val="multilevel"/>
    <w:tmpl w:val="CB228756"/>
    <w:lvl w:ilvl="0">
      <w:start w:val="1"/>
      <w:numFmt w:val="lowerRoman"/>
      <w:lvlText w:val="(%1)"/>
      <w:lvlJc w:val="left"/>
      <w:pPr>
        <w:tabs>
          <w:tab w:val="num" w:pos="1559"/>
        </w:tabs>
        <w:ind w:left="1559" w:hanging="567"/>
      </w:pPr>
      <w:rPr>
        <w:rFonts w:ascii="Arial" w:hAnsi="Arial" w:hint="default"/>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28" w15:restartNumberingAfterBreak="0">
    <w:nsid w:val="2CC83560"/>
    <w:multiLevelType w:val="hybridMultilevel"/>
    <w:tmpl w:val="909C5CA2"/>
    <w:lvl w:ilvl="0" w:tplc="3B98C68C">
      <w:start w:val="1"/>
      <w:numFmt w:val="lowerLetter"/>
      <w:pStyle w:val="Alpha3-a"/>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E2917BE"/>
    <w:multiLevelType w:val="singleLevel"/>
    <w:tmpl w:val="68D4F4A4"/>
    <w:lvl w:ilvl="0">
      <w:start w:val="1"/>
      <w:numFmt w:val="upperLetter"/>
      <w:pStyle w:val="Alpha2-A"/>
      <w:lvlText w:val="(%1)"/>
      <w:lvlJc w:val="left"/>
      <w:pPr>
        <w:tabs>
          <w:tab w:val="num" w:pos="992"/>
        </w:tabs>
        <w:ind w:left="992" w:hanging="567"/>
      </w:pPr>
      <w:rPr>
        <w:rFonts w:hint="default"/>
      </w:rPr>
    </w:lvl>
  </w:abstractNum>
  <w:abstractNum w:abstractNumId="30" w15:restartNumberingAfterBreak="0">
    <w:nsid w:val="30AF581B"/>
    <w:multiLevelType w:val="hybridMultilevel"/>
    <w:tmpl w:val="AEB0081A"/>
    <w:lvl w:ilvl="0" w:tplc="C4C0AD1A">
      <w:start w:val="1"/>
      <w:numFmt w:val="upperRoman"/>
      <w:pStyle w:val="Roman3-I0"/>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0D34226"/>
    <w:multiLevelType w:val="hybridMultilevel"/>
    <w:tmpl w:val="C5D061AC"/>
    <w:lvl w:ilvl="0" w:tplc="5BF8BC32">
      <w:start w:val="1"/>
      <w:numFmt w:val="bullet"/>
      <w:pStyle w:val="TableBullet"/>
      <w:lvlText w:val=""/>
      <w:lvlJc w:val="left"/>
      <w:pPr>
        <w:tabs>
          <w:tab w:val="num" w:pos="425"/>
        </w:tabs>
        <w:ind w:left="425" w:hanging="425"/>
      </w:pPr>
      <w:rPr>
        <w:rFonts w:ascii="Symbol" w:hAnsi="Symbol" w:hint="default"/>
        <w:sz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BF6B96"/>
    <w:multiLevelType w:val="hybridMultilevel"/>
    <w:tmpl w:val="518029CA"/>
    <w:lvl w:ilvl="0" w:tplc="617EA79A">
      <w:start w:val="1"/>
      <w:numFmt w:val="lowerLetter"/>
      <w:pStyle w:val="Alpha2-aitalic"/>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8A01AA1"/>
    <w:multiLevelType w:val="hybridMultilevel"/>
    <w:tmpl w:val="89B0B002"/>
    <w:lvl w:ilvl="0" w:tplc="E1DA12FA">
      <w:start w:val="1"/>
      <w:numFmt w:val="lowerRoman"/>
      <w:pStyle w:val="TableRoman"/>
      <w:lvlText w:val="(%1)"/>
      <w:lvlJc w:val="left"/>
      <w:pPr>
        <w:tabs>
          <w:tab w:val="num" w:pos="72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9A65F3E"/>
    <w:multiLevelType w:val="hybridMultilevel"/>
    <w:tmpl w:val="267605D6"/>
    <w:lvl w:ilvl="0" w:tplc="78B68378">
      <w:start w:val="1"/>
      <w:numFmt w:val="upperRoman"/>
      <w:pStyle w:val="Roman3-I1"/>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5468C7"/>
    <w:multiLevelType w:val="hybridMultilevel"/>
    <w:tmpl w:val="41000300"/>
    <w:lvl w:ilvl="0" w:tplc="089481A0">
      <w:start w:val="1"/>
      <w:numFmt w:val="upperLetter"/>
      <w:pStyle w:val="Alpha2-Aitalic0"/>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1606E9"/>
    <w:multiLevelType w:val="hybridMultilevel"/>
    <w:tmpl w:val="3B382C80"/>
    <w:lvl w:ilvl="0" w:tplc="D6D2E3D0">
      <w:start w:val="1"/>
      <w:numFmt w:val="decimal"/>
      <w:pStyle w:val="Arabic5-1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19169C"/>
    <w:multiLevelType w:val="hybridMultilevel"/>
    <w:tmpl w:val="34089BE8"/>
    <w:lvl w:ilvl="0" w:tplc="74160094">
      <w:start w:val="1"/>
      <w:numFmt w:val="decimal"/>
      <w:pStyle w:val="Arabic4-1"/>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2A1603"/>
    <w:multiLevelType w:val="singleLevel"/>
    <w:tmpl w:val="1BC0003A"/>
    <w:lvl w:ilvl="0">
      <w:start w:val="1"/>
      <w:numFmt w:val="upperLetter"/>
      <w:pStyle w:val="Alpha2-Abold0"/>
      <w:lvlText w:val="(%1)"/>
      <w:lvlJc w:val="left"/>
      <w:pPr>
        <w:tabs>
          <w:tab w:val="num" w:pos="992"/>
        </w:tabs>
        <w:ind w:left="992" w:hanging="567"/>
      </w:pPr>
      <w:rPr>
        <w:rFonts w:hint="default"/>
      </w:rPr>
    </w:lvl>
  </w:abstractNum>
  <w:abstractNum w:abstractNumId="39" w15:restartNumberingAfterBreak="0">
    <w:nsid w:val="42A6173E"/>
    <w:multiLevelType w:val="hybridMultilevel"/>
    <w:tmpl w:val="C17E9724"/>
    <w:lvl w:ilvl="0" w:tplc="E1EA765E">
      <w:start w:val="1"/>
      <w:numFmt w:val="upperRoman"/>
      <w:pStyle w:val="Roman4-I"/>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4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2" w15:restartNumberingAfterBreak="0">
    <w:nsid w:val="47DA3A4C"/>
    <w:multiLevelType w:val="hybridMultilevel"/>
    <w:tmpl w:val="5B02BACC"/>
    <w:lvl w:ilvl="0" w:tplc="D00C1072">
      <w:start w:val="1"/>
      <w:numFmt w:val="lowerLetter"/>
      <w:pStyle w:val="Alpha2-a0"/>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4476FE"/>
    <w:multiLevelType w:val="hybridMultilevel"/>
    <w:tmpl w:val="4DA8AB02"/>
    <w:lvl w:ilvl="0" w:tplc="AED00ECE">
      <w:start w:val="1"/>
      <w:numFmt w:val="decimal"/>
      <w:pStyle w:val="Arabic2-10"/>
      <w:lvlText w:val="(%1)"/>
      <w:lvlJc w:val="left"/>
      <w:pPr>
        <w:tabs>
          <w:tab w:val="num" w:pos="992"/>
        </w:tabs>
        <w:ind w:left="992" w:hanging="567"/>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44" w15:restartNumberingAfterBreak="0">
    <w:nsid w:val="4E177F65"/>
    <w:multiLevelType w:val="hybridMultilevel"/>
    <w:tmpl w:val="1F2AD64E"/>
    <w:lvl w:ilvl="0" w:tplc="0D34BF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AC3619"/>
    <w:multiLevelType w:val="singleLevel"/>
    <w:tmpl w:val="1DB4C2AE"/>
    <w:lvl w:ilvl="0">
      <w:start w:val="1"/>
      <w:numFmt w:val="upperRoman"/>
      <w:pStyle w:val="Roman2-I1"/>
      <w:lvlText w:val="(%1)"/>
      <w:lvlJc w:val="left"/>
      <w:pPr>
        <w:tabs>
          <w:tab w:val="num" w:pos="992"/>
        </w:tabs>
        <w:ind w:left="992" w:hanging="567"/>
      </w:pPr>
      <w:rPr>
        <w:rFonts w:hint="default"/>
      </w:rPr>
    </w:lvl>
  </w:abstractNum>
  <w:abstractNum w:abstractNumId="46" w15:restartNumberingAfterBreak="0">
    <w:nsid w:val="50A22FDC"/>
    <w:multiLevelType w:val="multilevel"/>
    <w:tmpl w:val="599C2E58"/>
    <w:lvl w:ilvl="0">
      <w:start w:val="1"/>
      <w:numFmt w:val="bullet"/>
      <w:pStyle w:val="bullet4"/>
      <w:lvlText w:val=""/>
      <w:lvlJc w:val="left"/>
      <w:pPr>
        <w:tabs>
          <w:tab w:val="num" w:pos="2126"/>
        </w:tabs>
        <w:ind w:left="2126" w:hanging="567"/>
      </w:pPr>
      <w:rPr>
        <w:rFonts w:ascii="Symbol" w:hAnsi="Symbol" w:hint="default"/>
        <w:b/>
        <w:i w:val="0"/>
        <w:sz w:val="20"/>
      </w:rPr>
    </w:lvl>
    <w:lvl w:ilvl="1">
      <w:start w:val="1"/>
      <w:numFmt w:val="bullet"/>
      <w:lvlText w:val=""/>
      <w:lvlJc w:val="left"/>
      <w:pPr>
        <w:tabs>
          <w:tab w:val="num" w:pos="2551"/>
        </w:tabs>
        <w:ind w:left="2551" w:hanging="567"/>
      </w:pPr>
      <w:rPr>
        <w:rFonts w:ascii="Symbol" w:hAnsi="Symbol" w:hint="default"/>
        <w:sz w:val="20"/>
      </w:rPr>
    </w:lvl>
    <w:lvl w:ilvl="2">
      <w:start w:val="1"/>
      <w:numFmt w:val="bullet"/>
      <w:lvlText w:val=""/>
      <w:lvlJc w:val="left"/>
      <w:pPr>
        <w:tabs>
          <w:tab w:val="num" w:pos="3118"/>
        </w:tabs>
        <w:ind w:left="3118" w:hanging="567"/>
      </w:pPr>
      <w:rPr>
        <w:rFonts w:ascii="Symbol" w:hAnsi="Symbol" w:hint="default"/>
        <w:sz w:val="17"/>
      </w:rPr>
    </w:lvl>
    <w:lvl w:ilvl="3">
      <w:start w:val="1"/>
      <w:numFmt w:val="bullet"/>
      <w:lvlText w:val=""/>
      <w:lvlJc w:val="left"/>
      <w:pPr>
        <w:tabs>
          <w:tab w:val="num" w:pos="3685"/>
        </w:tabs>
        <w:ind w:left="3685" w:hanging="567"/>
      </w:pPr>
      <w:rPr>
        <w:rFonts w:ascii="Symbol" w:hAnsi="Symbol" w:hint="default"/>
        <w:sz w:val="19"/>
      </w:rPr>
    </w:lvl>
    <w:lvl w:ilvl="4">
      <w:start w:val="1"/>
      <w:numFmt w:val="bullet"/>
      <w:lvlText w:val=""/>
      <w:lvlJc w:val="left"/>
      <w:pPr>
        <w:tabs>
          <w:tab w:val="num" w:pos="4252"/>
        </w:tabs>
        <w:ind w:left="4252" w:hanging="567"/>
      </w:pPr>
      <w:rPr>
        <w:rFonts w:ascii="Symbol" w:hAnsi="Symbol" w:hint="default"/>
        <w:sz w:val="19"/>
      </w:rPr>
    </w:lvl>
    <w:lvl w:ilvl="5">
      <w:start w:val="1"/>
      <w:numFmt w:val="upperLetter"/>
      <w:lvlText w:val="(%6)"/>
      <w:lvlJc w:val="left"/>
      <w:pPr>
        <w:tabs>
          <w:tab w:val="num" w:pos="4819"/>
        </w:tabs>
        <w:ind w:left="4819" w:hanging="567"/>
      </w:pPr>
      <w:rPr>
        <w:rFonts w:hint="default"/>
        <w:sz w:val="19"/>
      </w:rPr>
    </w:lvl>
    <w:lvl w:ilvl="6">
      <w:start w:val="1"/>
      <w:numFmt w:val="decimal"/>
      <w:lvlText w:val="%1.%2.%3.%4.%5.%6.%7"/>
      <w:lvlJc w:val="left"/>
      <w:pPr>
        <w:tabs>
          <w:tab w:val="num" w:pos="5386"/>
        </w:tabs>
        <w:ind w:left="5386" w:hanging="3827"/>
      </w:pPr>
      <w:rPr>
        <w:rFonts w:hint="default"/>
      </w:rPr>
    </w:lvl>
    <w:lvl w:ilvl="7">
      <w:start w:val="1"/>
      <w:numFmt w:val="decimal"/>
      <w:lvlText w:val="%1.%2.%3.%4.%5.%6.%7.%8"/>
      <w:lvlJc w:val="left"/>
      <w:pPr>
        <w:tabs>
          <w:tab w:val="num" w:pos="2999"/>
        </w:tabs>
        <w:ind w:left="2999" w:hanging="1440"/>
      </w:pPr>
      <w:rPr>
        <w:rFonts w:hint="default"/>
      </w:rPr>
    </w:lvl>
    <w:lvl w:ilvl="8">
      <w:start w:val="1"/>
      <w:numFmt w:val="decimal"/>
      <w:lvlText w:val="%1.%2.%3.%4.%5.%6.%7.%8.%9"/>
      <w:lvlJc w:val="left"/>
      <w:pPr>
        <w:tabs>
          <w:tab w:val="num" w:pos="3359"/>
        </w:tabs>
        <w:ind w:left="3143" w:hanging="1584"/>
      </w:pPr>
      <w:rPr>
        <w:rFonts w:hint="default"/>
      </w:rPr>
    </w:lvl>
  </w:abstractNum>
  <w:abstractNum w:abstractNumId="47" w15:restartNumberingAfterBreak="0">
    <w:nsid w:val="52107FBD"/>
    <w:multiLevelType w:val="hybridMultilevel"/>
    <w:tmpl w:val="8B76CFBC"/>
    <w:lvl w:ilvl="0" w:tplc="8B06F5F6">
      <w:start w:val="1"/>
      <w:numFmt w:val="decimal"/>
      <w:pStyle w:val="Arabic6-10"/>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26F327D"/>
    <w:multiLevelType w:val="multilevel"/>
    <w:tmpl w:val="43905C74"/>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417"/>
        </w:tabs>
        <w:ind w:left="1417" w:hanging="567"/>
      </w:pPr>
      <w:rPr>
        <w:rFonts w:ascii="Symbol" w:hAnsi="Symbol" w:hint="default"/>
        <w:sz w:val="20"/>
      </w:rPr>
    </w:lvl>
    <w:lvl w:ilvl="2">
      <w:start w:val="1"/>
      <w:numFmt w:val="bullet"/>
      <w:lvlText w:val=""/>
      <w:lvlJc w:val="left"/>
      <w:pPr>
        <w:tabs>
          <w:tab w:val="num" w:pos="1984"/>
        </w:tabs>
        <w:ind w:left="1984"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rFonts w:hint="default"/>
        <w:sz w:val="19"/>
      </w:rPr>
    </w:lvl>
    <w:lvl w:ilvl="6">
      <w:start w:val="1"/>
      <w:numFmt w:val="decimal"/>
      <w:lvlText w:val="%1.%2.%3.%4.%5.%6.%7"/>
      <w:lvlJc w:val="left"/>
      <w:pPr>
        <w:tabs>
          <w:tab w:val="num" w:pos="4252"/>
        </w:tabs>
        <w:ind w:left="4252" w:hanging="3827"/>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49" w15:restartNumberingAfterBreak="0">
    <w:nsid w:val="582C6602"/>
    <w:multiLevelType w:val="singleLevel"/>
    <w:tmpl w:val="D06E86F4"/>
    <w:lvl w:ilvl="0">
      <w:start w:val="1"/>
      <w:numFmt w:val="upperLetter"/>
      <w:pStyle w:val="Alpha2-Abolditalic0"/>
      <w:lvlText w:val="(%1)"/>
      <w:lvlJc w:val="left"/>
      <w:pPr>
        <w:tabs>
          <w:tab w:val="num" w:pos="992"/>
        </w:tabs>
        <w:ind w:left="992" w:hanging="567"/>
      </w:pPr>
      <w:rPr>
        <w:rFonts w:hint="default"/>
      </w:rPr>
    </w:lvl>
  </w:abstractNum>
  <w:abstractNum w:abstractNumId="50" w15:restartNumberingAfterBreak="0">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51" w15:restartNumberingAfterBreak="0">
    <w:nsid w:val="5BBB4E10"/>
    <w:multiLevelType w:val="hybridMultilevel"/>
    <w:tmpl w:val="E1FE8B66"/>
    <w:lvl w:ilvl="0" w:tplc="674C4EDC">
      <w:start w:val="1"/>
      <w:numFmt w:val="upperLetter"/>
      <w:pStyle w:val="Alpha5-Abold"/>
      <w:lvlText w:val="(%1)"/>
      <w:lvlJc w:val="left"/>
      <w:pPr>
        <w:tabs>
          <w:tab w:val="num" w:pos="2693"/>
        </w:tabs>
        <w:ind w:left="2693"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08B7E63"/>
    <w:multiLevelType w:val="singleLevel"/>
    <w:tmpl w:val="1B9E0494"/>
    <w:lvl w:ilvl="0">
      <w:start w:val="1"/>
      <w:numFmt w:val="decimal"/>
      <w:pStyle w:val="Note"/>
      <w:lvlText w:val="(%1)"/>
      <w:lvlJc w:val="left"/>
      <w:pPr>
        <w:tabs>
          <w:tab w:val="num" w:pos="425"/>
        </w:tabs>
        <w:ind w:left="425" w:hanging="425"/>
      </w:pPr>
    </w:lvl>
  </w:abstractNum>
  <w:abstractNum w:abstractNumId="53" w15:restartNumberingAfterBreak="0">
    <w:nsid w:val="61746202"/>
    <w:multiLevelType w:val="hybridMultilevel"/>
    <w:tmpl w:val="70282F64"/>
    <w:lvl w:ilvl="0" w:tplc="FF24D4FE">
      <w:start w:val="1"/>
      <w:numFmt w:val="lowerRoman"/>
      <w:pStyle w:val="Roman6-i1"/>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61913453"/>
    <w:multiLevelType w:val="hybridMultilevel"/>
    <w:tmpl w:val="01EE607E"/>
    <w:lvl w:ilvl="0" w:tplc="FEB4DA0E">
      <w:start w:val="1"/>
      <w:numFmt w:val="upperRoman"/>
      <w:pStyle w:val="Roman4-I0"/>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6841215"/>
    <w:multiLevelType w:val="hybridMultilevel"/>
    <w:tmpl w:val="C93A2CD2"/>
    <w:lvl w:ilvl="0" w:tplc="07A49A7A">
      <w:start w:val="1"/>
      <w:numFmt w:val="decimal"/>
      <w:pStyle w:val="Arabic4-1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9EF4378"/>
    <w:multiLevelType w:val="hybridMultilevel"/>
    <w:tmpl w:val="2F5ADFA4"/>
    <w:lvl w:ilvl="0" w:tplc="0B16C53C">
      <w:start w:val="1"/>
      <w:numFmt w:val="upperLetter"/>
      <w:pStyle w:val="Alpha4-A"/>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BBB44DA"/>
    <w:multiLevelType w:val="multilevel"/>
    <w:tmpl w:val="DEFAB320"/>
    <w:lvl w:ilvl="0">
      <w:start w:val="1"/>
      <w:numFmt w:val="bullet"/>
      <w:pStyle w:val="bullet3"/>
      <w:lvlText w:val=""/>
      <w:lvlJc w:val="left"/>
      <w:pPr>
        <w:tabs>
          <w:tab w:val="num" w:pos="1559"/>
        </w:tabs>
        <w:ind w:left="1559" w:hanging="567"/>
      </w:pPr>
      <w:rPr>
        <w:rFonts w:ascii="Symbol" w:hAnsi="Symbol" w:hint="default"/>
        <w:b/>
        <w:i w:val="0"/>
        <w:sz w:val="20"/>
      </w:rPr>
    </w:lvl>
    <w:lvl w:ilvl="1">
      <w:start w:val="1"/>
      <w:numFmt w:val="bullet"/>
      <w:lvlText w:val=""/>
      <w:lvlJc w:val="left"/>
      <w:pPr>
        <w:tabs>
          <w:tab w:val="num" w:pos="1984"/>
        </w:tabs>
        <w:ind w:left="1984" w:hanging="567"/>
      </w:pPr>
      <w:rPr>
        <w:rFonts w:ascii="Symbol" w:hAnsi="Symbol" w:hint="default"/>
        <w:sz w:val="20"/>
      </w:rPr>
    </w:lvl>
    <w:lvl w:ilvl="2">
      <w:start w:val="1"/>
      <w:numFmt w:val="bullet"/>
      <w:lvlText w:val=""/>
      <w:lvlJc w:val="left"/>
      <w:pPr>
        <w:tabs>
          <w:tab w:val="num" w:pos="2551"/>
        </w:tabs>
        <w:ind w:left="2551" w:hanging="567"/>
      </w:pPr>
      <w:rPr>
        <w:rFonts w:ascii="Symbol" w:hAnsi="Symbol" w:hint="default"/>
        <w:sz w:val="17"/>
      </w:rPr>
    </w:lvl>
    <w:lvl w:ilvl="3">
      <w:start w:val="1"/>
      <w:numFmt w:val="bullet"/>
      <w:lvlText w:val=""/>
      <w:lvlJc w:val="left"/>
      <w:pPr>
        <w:tabs>
          <w:tab w:val="num" w:pos="3118"/>
        </w:tabs>
        <w:ind w:left="3118" w:hanging="567"/>
      </w:pPr>
      <w:rPr>
        <w:rFonts w:ascii="Symbol" w:hAnsi="Symbol" w:hint="default"/>
        <w:sz w:val="19"/>
      </w:rPr>
    </w:lvl>
    <w:lvl w:ilvl="4">
      <w:start w:val="1"/>
      <w:numFmt w:val="bullet"/>
      <w:lvlText w:val=""/>
      <w:lvlJc w:val="left"/>
      <w:pPr>
        <w:tabs>
          <w:tab w:val="num" w:pos="3685"/>
        </w:tabs>
        <w:ind w:left="3685" w:hanging="567"/>
      </w:pPr>
      <w:rPr>
        <w:rFonts w:ascii="Symbol" w:hAnsi="Symbol" w:hint="default"/>
        <w:sz w:val="19"/>
      </w:rPr>
    </w:lvl>
    <w:lvl w:ilvl="5">
      <w:start w:val="1"/>
      <w:numFmt w:val="upperLetter"/>
      <w:lvlText w:val="(%6)"/>
      <w:lvlJc w:val="left"/>
      <w:pPr>
        <w:tabs>
          <w:tab w:val="num" w:pos="4252"/>
        </w:tabs>
        <w:ind w:left="4252" w:hanging="567"/>
      </w:pPr>
      <w:rPr>
        <w:rFonts w:hint="default"/>
        <w:sz w:val="19"/>
      </w:rPr>
    </w:lvl>
    <w:lvl w:ilvl="6">
      <w:start w:val="1"/>
      <w:numFmt w:val="decimal"/>
      <w:lvlText w:val="%1.%2.%3.%4.%5.%6.%7"/>
      <w:lvlJc w:val="left"/>
      <w:pPr>
        <w:tabs>
          <w:tab w:val="num" w:pos="4819"/>
        </w:tabs>
        <w:ind w:left="4819" w:hanging="3827"/>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792"/>
        </w:tabs>
        <w:ind w:left="2576" w:hanging="1584"/>
      </w:pPr>
      <w:rPr>
        <w:rFonts w:hint="default"/>
      </w:rPr>
    </w:lvl>
  </w:abstractNum>
  <w:abstractNum w:abstractNumId="58" w15:restartNumberingAfterBreak="0">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59" w15:restartNumberingAfterBreak="0">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60" w15:restartNumberingAfterBreak="0">
    <w:nsid w:val="71911479"/>
    <w:multiLevelType w:val="hybridMultilevel"/>
    <w:tmpl w:val="0F6C12BA"/>
    <w:lvl w:ilvl="0" w:tplc="54E8A734">
      <w:start w:val="1"/>
      <w:numFmt w:val="upperLetter"/>
      <w:pStyle w:val="Alpha4-Aitalic"/>
      <w:lvlText w:val="(%1)"/>
      <w:lvlJc w:val="left"/>
      <w:pPr>
        <w:tabs>
          <w:tab w:val="num" w:pos="2126"/>
        </w:tabs>
        <w:ind w:left="2126"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2904889"/>
    <w:multiLevelType w:val="hybridMultilevel"/>
    <w:tmpl w:val="EEB677B2"/>
    <w:lvl w:ilvl="0" w:tplc="61765234">
      <w:start w:val="1"/>
      <w:numFmt w:val="decimal"/>
      <w:pStyle w:val="Arabic3-10"/>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63" w15:restartNumberingAfterBreak="0">
    <w:nsid w:val="77280355"/>
    <w:multiLevelType w:val="hybridMultilevel"/>
    <w:tmpl w:val="F948FE22"/>
    <w:lvl w:ilvl="0" w:tplc="B836A386">
      <w:start w:val="1"/>
      <w:numFmt w:val="upperRoman"/>
      <w:pStyle w:val="Roman5-I1"/>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78275B5"/>
    <w:multiLevelType w:val="hybridMultilevel"/>
    <w:tmpl w:val="06122BD2"/>
    <w:lvl w:ilvl="0" w:tplc="3EDCDBAC">
      <w:start w:val="1"/>
      <w:numFmt w:val="lowerRoman"/>
      <w:pStyle w:val="Roman4-i1"/>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7F0955DC"/>
    <w:multiLevelType w:val="hybridMultilevel"/>
    <w:tmpl w:val="F0324C8C"/>
    <w:lvl w:ilvl="0" w:tplc="6DCA3768">
      <w:start w:val="1"/>
      <w:numFmt w:val="lowerLetter"/>
      <w:pStyle w:val="Alpha4-a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056029">
    <w:abstractNumId w:val="52"/>
  </w:num>
  <w:num w:numId="2" w16cid:durableId="1234126299">
    <w:abstractNumId w:val="1"/>
  </w:num>
  <w:num w:numId="3" w16cid:durableId="778061206">
    <w:abstractNumId w:val="45"/>
  </w:num>
  <w:num w:numId="4" w16cid:durableId="1393230278">
    <w:abstractNumId w:val="13"/>
  </w:num>
  <w:num w:numId="5" w16cid:durableId="287126357">
    <w:abstractNumId w:val="0"/>
  </w:num>
  <w:num w:numId="6" w16cid:durableId="466320239">
    <w:abstractNumId w:val="3"/>
  </w:num>
  <w:num w:numId="7" w16cid:durableId="233400293">
    <w:abstractNumId w:val="22"/>
  </w:num>
  <w:num w:numId="8" w16cid:durableId="77795397">
    <w:abstractNumId w:val="58"/>
  </w:num>
  <w:num w:numId="9" w16cid:durableId="53239635">
    <w:abstractNumId w:val="33"/>
  </w:num>
  <w:num w:numId="10" w16cid:durableId="176434454">
    <w:abstractNumId w:val="15"/>
  </w:num>
  <w:num w:numId="11" w16cid:durableId="2128576186">
    <w:abstractNumId w:val="43"/>
  </w:num>
  <w:num w:numId="12" w16cid:durableId="2144541352">
    <w:abstractNumId w:val="5"/>
  </w:num>
  <w:num w:numId="13" w16cid:durableId="1506632745">
    <w:abstractNumId w:val="61"/>
  </w:num>
  <w:num w:numId="14" w16cid:durableId="433592018">
    <w:abstractNumId w:val="55"/>
  </w:num>
  <w:num w:numId="15" w16cid:durableId="1881742724">
    <w:abstractNumId w:val="37"/>
  </w:num>
  <w:num w:numId="16" w16cid:durableId="1751541488">
    <w:abstractNumId w:val="36"/>
  </w:num>
  <w:num w:numId="17" w16cid:durableId="2058241178">
    <w:abstractNumId w:val="8"/>
  </w:num>
  <w:num w:numId="18" w16cid:durableId="431365819">
    <w:abstractNumId w:val="47"/>
  </w:num>
  <w:num w:numId="19" w16cid:durableId="485244218">
    <w:abstractNumId w:val="24"/>
  </w:num>
  <w:num w:numId="20" w16cid:durableId="627904446">
    <w:abstractNumId w:val="48"/>
  </w:num>
  <w:num w:numId="21" w16cid:durableId="728962133">
    <w:abstractNumId w:val="57"/>
  </w:num>
  <w:num w:numId="22" w16cid:durableId="15273182">
    <w:abstractNumId w:val="46"/>
  </w:num>
  <w:num w:numId="23" w16cid:durableId="285891319">
    <w:abstractNumId w:val="16"/>
  </w:num>
  <w:num w:numId="24" w16cid:durableId="1964265002">
    <w:abstractNumId w:val="6"/>
  </w:num>
  <w:num w:numId="25" w16cid:durableId="1631395533">
    <w:abstractNumId w:val="9"/>
  </w:num>
  <w:num w:numId="26" w16cid:durableId="1466199103">
    <w:abstractNumId w:val="38"/>
  </w:num>
  <w:num w:numId="27" w16cid:durableId="901603325">
    <w:abstractNumId w:val="23"/>
  </w:num>
  <w:num w:numId="28" w16cid:durableId="2041663175">
    <w:abstractNumId w:val="18"/>
  </w:num>
  <w:num w:numId="29" w16cid:durableId="1095634557">
    <w:abstractNumId w:val="62"/>
  </w:num>
  <w:num w:numId="30" w16cid:durableId="906652136">
    <w:abstractNumId w:val="50"/>
  </w:num>
  <w:num w:numId="31" w16cid:durableId="685207951">
    <w:abstractNumId w:val="28"/>
  </w:num>
  <w:num w:numId="32" w16cid:durableId="43414307">
    <w:abstractNumId w:val="25"/>
  </w:num>
  <w:num w:numId="33" w16cid:durableId="1619869476">
    <w:abstractNumId w:val="65"/>
  </w:num>
  <w:num w:numId="34" w16cid:durableId="2092893432">
    <w:abstractNumId w:val="56"/>
  </w:num>
  <w:num w:numId="35" w16cid:durableId="1630279675">
    <w:abstractNumId w:val="40"/>
  </w:num>
  <w:num w:numId="36" w16cid:durableId="1619025192">
    <w:abstractNumId w:val="10"/>
  </w:num>
  <w:num w:numId="37" w16cid:durableId="1423532711">
    <w:abstractNumId w:val="11"/>
  </w:num>
  <w:num w:numId="38" w16cid:durableId="1673755603">
    <w:abstractNumId w:val="21"/>
  </w:num>
  <w:num w:numId="39" w16cid:durableId="2075156657">
    <w:abstractNumId w:val="59"/>
  </w:num>
  <w:num w:numId="40" w16cid:durableId="269824882">
    <w:abstractNumId w:val="42"/>
  </w:num>
  <w:num w:numId="41" w16cid:durableId="914629880">
    <w:abstractNumId w:val="29"/>
  </w:num>
  <w:num w:numId="42" w16cid:durableId="401222862">
    <w:abstractNumId w:val="49"/>
  </w:num>
  <w:num w:numId="43" w16cid:durableId="1233009165">
    <w:abstractNumId w:val="35"/>
  </w:num>
  <w:num w:numId="44" w16cid:durableId="1446273227">
    <w:abstractNumId w:val="32"/>
  </w:num>
  <w:num w:numId="45" w16cid:durableId="1419447054">
    <w:abstractNumId w:val="2"/>
  </w:num>
  <w:num w:numId="46" w16cid:durableId="877741077">
    <w:abstractNumId w:val="60"/>
  </w:num>
  <w:num w:numId="47" w16cid:durableId="1005866524">
    <w:abstractNumId w:val="51"/>
  </w:num>
  <w:num w:numId="48" w16cid:durableId="685013204">
    <w:abstractNumId w:val="12"/>
  </w:num>
  <w:num w:numId="49" w16cid:durableId="1322153863">
    <w:abstractNumId w:val="27"/>
  </w:num>
  <w:num w:numId="50" w16cid:durableId="421881768">
    <w:abstractNumId w:val="31"/>
  </w:num>
  <w:num w:numId="51" w16cid:durableId="1535118162">
    <w:abstractNumId w:val="4"/>
  </w:num>
  <w:num w:numId="52" w16cid:durableId="1862041492">
    <w:abstractNumId w:val="34"/>
  </w:num>
  <w:num w:numId="53" w16cid:durableId="1696881473">
    <w:abstractNumId w:val="7"/>
  </w:num>
  <w:num w:numId="54" w16cid:durableId="1493252232">
    <w:abstractNumId w:val="30"/>
  </w:num>
  <w:num w:numId="55" w16cid:durableId="1832402713">
    <w:abstractNumId w:val="54"/>
  </w:num>
  <w:num w:numId="56" w16cid:durableId="835269863">
    <w:abstractNumId w:val="64"/>
  </w:num>
  <w:num w:numId="57" w16cid:durableId="431122955">
    <w:abstractNumId w:val="39"/>
  </w:num>
  <w:num w:numId="58" w16cid:durableId="22949403">
    <w:abstractNumId w:val="17"/>
  </w:num>
  <w:num w:numId="59" w16cid:durableId="1266159205">
    <w:abstractNumId w:val="26"/>
  </w:num>
  <w:num w:numId="60" w16cid:durableId="382826959">
    <w:abstractNumId w:val="63"/>
  </w:num>
  <w:num w:numId="61" w16cid:durableId="1176725401">
    <w:abstractNumId w:val="14"/>
  </w:num>
  <w:num w:numId="62" w16cid:durableId="374741661">
    <w:abstractNumId w:val="53"/>
  </w:num>
  <w:num w:numId="63" w16cid:durableId="1192720208">
    <w:abstractNumId w:val="19"/>
  </w:num>
  <w:num w:numId="64" w16cid:durableId="1803384087">
    <w:abstractNumId w:val="41"/>
  </w:num>
  <w:num w:numId="65" w16cid:durableId="1963419416">
    <w:abstractNumId w:val="44"/>
  </w:num>
  <w:num w:numId="66" w16cid:durableId="697126843">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NotTrackFormatting/>
  <w:defaultTabStop w:val="864"/>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OfferingCircular"/>
  </w:docVars>
  <w:rsids>
    <w:rsidRoot w:val="00FE2AFF"/>
    <w:rsid w:val="0000210A"/>
    <w:rsid w:val="000042D0"/>
    <w:rsid w:val="00016394"/>
    <w:rsid w:val="00017E22"/>
    <w:rsid w:val="00026B38"/>
    <w:rsid w:val="00026C12"/>
    <w:rsid w:val="000309CB"/>
    <w:rsid w:val="0003328A"/>
    <w:rsid w:val="00044B1C"/>
    <w:rsid w:val="000464DE"/>
    <w:rsid w:val="000542CF"/>
    <w:rsid w:val="00060A71"/>
    <w:rsid w:val="00065DAD"/>
    <w:rsid w:val="00072E43"/>
    <w:rsid w:val="000771B2"/>
    <w:rsid w:val="000800AA"/>
    <w:rsid w:val="0008309F"/>
    <w:rsid w:val="00083549"/>
    <w:rsid w:val="00086D59"/>
    <w:rsid w:val="00094F65"/>
    <w:rsid w:val="000A0644"/>
    <w:rsid w:val="000A0EAE"/>
    <w:rsid w:val="000A28E8"/>
    <w:rsid w:val="000A440D"/>
    <w:rsid w:val="000A7179"/>
    <w:rsid w:val="000B021B"/>
    <w:rsid w:val="000B3B9C"/>
    <w:rsid w:val="000B79EA"/>
    <w:rsid w:val="000C078C"/>
    <w:rsid w:val="000C0E5F"/>
    <w:rsid w:val="000C1CD7"/>
    <w:rsid w:val="000C327A"/>
    <w:rsid w:val="000C3507"/>
    <w:rsid w:val="000C3DF5"/>
    <w:rsid w:val="000C663B"/>
    <w:rsid w:val="000C792E"/>
    <w:rsid w:val="000D3C19"/>
    <w:rsid w:val="000E0C88"/>
    <w:rsid w:val="000E0D5F"/>
    <w:rsid w:val="000E405A"/>
    <w:rsid w:val="000E5662"/>
    <w:rsid w:val="000E57C2"/>
    <w:rsid w:val="000F1F52"/>
    <w:rsid w:val="000F2524"/>
    <w:rsid w:val="000F28BB"/>
    <w:rsid w:val="000F5ADD"/>
    <w:rsid w:val="000F7F70"/>
    <w:rsid w:val="00104ABB"/>
    <w:rsid w:val="00106D11"/>
    <w:rsid w:val="00107389"/>
    <w:rsid w:val="00113B47"/>
    <w:rsid w:val="00115952"/>
    <w:rsid w:val="001221F7"/>
    <w:rsid w:val="00122E16"/>
    <w:rsid w:val="00125C1B"/>
    <w:rsid w:val="0013110D"/>
    <w:rsid w:val="00135CBB"/>
    <w:rsid w:val="001447B4"/>
    <w:rsid w:val="00145028"/>
    <w:rsid w:val="0015399A"/>
    <w:rsid w:val="001576B8"/>
    <w:rsid w:val="001656F5"/>
    <w:rsid w:val="0017588A"/>
    <w:rsid w:val="00181BA3"/>
    <w:rsid w:val="001824D0"/>
    <w:rsid w:val="00182EEE"/>
    <w:rsid w:val="001962EF"/>
    <w:rsid w:val="001966E1"/>
    <w:rsid w:val="001A000C"/>
    <w:rsid w:val="001A644C"/>
    <w:rsid w:val="001B45ED"/>
    <w:rsid w:val="001B7A56"/>
    <w:rsid w:val="001C090D"/>
    <w:rsid w:val="001C1680"/>
    <w:rsid w:val="001C20F3"/>
    <w:rsid w:val="001D0555"/>
    <w:rsid w:val="001D3E75"/>
    <w:rsid w:val="001E2EBF"/>
    <w:rsid w:val="001E5803"/>
    <w:rsid w:val="001E6661"/>
    <w:rsid w:val="001F1083"/>
    <w:rsid w:val="001F3F06"/>
    <w:rsid w:val="001F56CF"/>
    <w:rsid w:val="001F76BF"/>
    <w:rsid w:val="001F78DD"/>
    <w:rsid w:val="00201008"/>
    <w:rsid w:val="00211296"/>
    <w:rsid w:val="002157B3"/>
    <w:rsid w:val="00215945"/>
    <w:rsid w:val="0021783F"/>
    <w:rsid w:val="0024300D"/>
    <w:rsid w:val="00244DE8"/>
    <w:rsid w:val="00245E8C"/>
    <w:rsid w:val="00251AF9"/>
    <w:rsid w:val="00262201"/>
    <w:rsid w:val="00262FE9"/>
    <w:rsid w:val="00263222"/>
    <w:rsid w:val="002633F3"/>
    <w:rsid w:val="00264F78"/>
    <w:rsid w:val="0026604B"/>
    <w:rsid w:val="0026767F"/>
    <w:rsid w:val="0027199E"/>
    <w:rsid w:val="0027387B"/>
    <w:rsid w:val="00274664"/>
    <w:rsid w:val="00275C6E"/>
    <w:rsid w:val="002846E1"/>
    <w:rsid w:val="00297B64"/>
    <w:rsid w:val="002A7C82"/>
    <w:rsid w:val="002B067E"/>
    <w:rsid w:val="002B30EE"/>
    <w:rsid w:val="002B4C8F"/>
    <w:rsid w:val="002B71B2"/>
    <w:rsid w:val="002B7CDF"/>
    <w:rsid w:val="002C3245"/>
    <w:rsid w:val="002C5915"/>
    <w:rsid w:val="002D00CC"/>
    <w:rsid w:val="002D3003"/>
    <w:rsid w:val="002D4325"/>
    <w:rsid w:val="002D7366"/>
    <w:rsid w:val="002E0CD0"/>
    <w:rsid w:val="002E2899"/>
    <w:rsid w:val="002F35BF"/>
    <w:rsid w:val="002F6BEB"/>
    <w:rsid w:val="002F735C"/>
    <w:rsid w:val="0030171E"/>
    <w:rsid w:val="00301D0B"/>
    <w:rsid w:val="00301FB8"/>
    <w:rsid w:val="00303EE4"/>
    <w:rsid w:val="00310FCA"/>
    <w:rsid w:val="003153CA"/>
    <w:rsid w:val="0031546D"/>
    <w:rsid w:val="00330C58"/>
    <w:rsid w:val="00343207"/>
    <w:rsid w:val="00345AEE"/>
    <w:rsid w:val="0034787C"/>
    <w:rsid w:val="0035234B"/>
    <w:rsid w:val="00354210"/>
    <w:rsid w:val="00354F50"/>
    <w:rsid w:val="003554CA"/>
    <w:rsid w:val="003610FF"/>
    <w:rsid w:val="0036189F"/>
    <w:rsid w:val="00371061"/>
    <w:rsid w:val="00373787"/>
    <w:rsid w:val="0037471E"/>
    <w:rsid w:val="003772EF"/>
    <w:rsid w:val="00380F94"/>
    <w:rsid w:val="003836C2"/>
    <w:rsid w:val="00386937"/>
    <w:rsid w:val="0039099F"/>
    <w:rsid w:val="00391222"/>
    <w:rsid w:val="00393247"/>
    <w:rsid w:val="003957E2"/>
    <w:rsid w:val="00396B61"/>
    <w:rsid w:val="003A419C"/>
    <w:rsid w:val="003A5031"/>
    <w:rsid w:val="003B424C"/>
    <w:rsid w:val="003C49CF"/>
    <w:rsid w:val="003C4A7C"/>
    <w:rsid w:val="003C5EDB"/>
    <w:rsid w:val="003D07B9"/>
    <w:rsid w:val="003D5510"/>
    <w:rsid w:val="003D6710"/>
    <w:rsid w:val="0040270E"/>
    <w:rsid w:val="00417872"/>
    <w:rsid w:val="00421656"/>
    <w:rsid w:val="0043555E"/>
    <w:rsid w:val="00436B4A"/>
    <w:rsid w:val="00443E83"/>
    <w:rsid w:val="00450FAC"/>
    <w:rsid w:val="0045188A"/>
    <w:rsid w:val="004618FE"/>
    <w:rsid w:val="00465E83"/>
    <w:rsid w:val="004749A2"/>
    <w:rsid w:val="00474DFA"/>
    <w:rsid w:val="00477D6B"/>
    <w:rsid w:val="00481E55"/>
    <w:rsid w:val="00487AB4"/>
    <w:rsid w:val="0049156E"/>
    <w:rsid w:val="004B0DF4"/>
    <w:rsid w:val="004B3284"/>
    <w:rsid w:val="004B4B2C"/>
    <w:rsid w:val="004C1548"/>
    <w:rsid w:val="004C5078"/>
    <w:rsid w:val="004C7025"/>
    <w:rsid w:val="004E042C"/>
    <w:rsid w:val="004E048C"/>
    <w:rsid w:val="004F138F"/>
    <w:rsid w:val="005128C9"/>
    <w:rsid w:val="00516650"/>
    <w:rsid w:val="00516F81"/>
    <w:rsid w:val="005174EF"/>
    <w:rsid w:val="00517852"/>
    <w:rsid w:val="00517F5A"/>
    <w:rsid w:val="00521E3F"/>
    <w:rsid w:val="0052507A"/>
    <w:rsid w:val="00525695"/>
    <w:rsid w:val="00527EBE"/>
    <w:rsid w:val="0053328E"/>
    <w:rsid w:val="00535F0B"/>
    <w:rsid w:val="005360EC"/>
    <w:rsid w:val="00536A09"/>
    <w:rsid w:val="00536E37"/>
    <w:rsid w:val="0054070B"/>
    <w:rsid w:val="005455AD"/>
    <w:rsid w:val="00547EE7"/>
    <w:rsid w:val="0055302B"/>
    <w:rsid w:val="005537DF"/>
    <w:rsid w:val="005540CD"/>
    <w:rsid w:val="00562A23"/>
    <w:rsid w:val="00564B8F"/>
    <w:rsid w:val="00570005"/>
    <w:rsid w:val="00575B9F"/>
    <w:rsid w:val="00576B24"/>
    <w:rsid w:val="00577968"/>
    <w:rsid w:val="005812CC"/>
    <w:rsid w:val="00582216"/>
    <w:rsid w:val="00594E61"/>
    <w:rsid w:val="005A2516"/>
    <w:rsid w:val="005A7449"/>
    <w:rsid w:val="005B0716"/>
    <w:rsid w:val="005B2F2D"/>
    <w:rsid w:val="005B7B1D"/>
    <w:rsid w:val="005C6868"/>
    <w:rsid w:val="005D6EF1"/>
    <w:rsid w:val="005E680D"/>
    <w:rsid w:val="005F44F5"/>
    <w:rsid w:val="005F69FF"/>
    <w:rsid w:val="005F71B4"/>
    <w:rsid w:val="00605EB4"/>
    <w:rsid w:val="00606233"/>
    <w:rsid w:val="00607D0A"/>
    <w:rsid w:val="00613423"/>
    <w:rsid w:val="00614E98"/>
    <w:rsid w:val="00622977"/>
    <w:rsid w:val="006265DC"/>
    <w:rsid w:val="0063019A"/>
    <w:rsid w:val="00630435"/>
    <w:rsid w:val="00632978"/>
    <w:rsid w:val="00632CBF"/>
    <w:rsid w:val="00632EC9"/>
    <w:rsid w:val="00652365"/>
    <w:rsid w:val="00653EA1"/>
    <w:rsid w:val="0067349D"/>
    <w:rsid w:val="00674380"/>
    <w:rsid w:val="00675613"/>
    <w:rsid w:val="0067698F"/>
    <w:rsid w:val="0067723B"/>
    <w:rsid w:val="00681FF4"/>
    <w:rsid w:val="00692C5F"/>
    <w:rsid w:val="00695268"/>
    <w:rsid w:val="00695F84"/>
    <w:rsid w:val="00696749"/>
    <w:rsid w:val="006A28FC"/>
    <w:rsid w:val="006B070D"/>
    <w:rsid w:val="006B4FC1"/>
    <w:rsid w:val="006B62CD"/>
    <w:rsid w:val="006B7010"/>
    <w:rsid w:val="006C014A"/>
    <w:rsid w:val="006D0830"/>
    <w:rsid w:val="006D374A"/>
    <w:rsid w:val="006D3E95"/>
    <w:rsid w:val="006D45D6"/>
    <w:rsid w:val="006D5E41"/>
    <w:rsid w:val="006D6317"/>
    <w:rsid w:val="006E4829"/>
    <w:rsid w:val="006F19A4"/>
    <w:rsid w:val="006F3E8F"/>
    <w:rsid w:val="006F5794"/>
    <w:rsid w:val="007071B7"/>
    <w:rsid w:val="00707F37"/>
    <w:rsid w:val="00722A96"/>
    <w:rsid w:val="007256B7"/>
    <w:rsid w:val="0072598E"/>
    <w:rsid w:val="00726CED"/>
    <w:rsid w:val="00746835"/>
    <w:rsid w:val="007504A3"/>
    <w:rsid w:val="00751147"/>
    <w:rsid w:val="00752947"/>
    <w:rsid w:val="00753FDC"/>
    <w:rsid w:val="007551C2"/>
    <w:rsid w:val="007613CE"/>
    <w:rsid w:val="007627FB"/>
    <w:rsid w:val="007664F5"/>
    <w:rsid w:val="00766E5F"/>
    <w:rsid w:val="007746E8"/>
    <w:rsid w:val="00785926"/>
    <w:rsid w:val="00785F93"/>
    <w:rsid w:val="00786E72"/>
    <w:rsid w:val="007870A5"/>
    <w:rsid w:val="007A269C"/>
    <w:rsid w:val="007A53A5"/>
    <w:rsid w:val="007A547A"/>
    <w:rsid w:val="007B0D7C"/>
    <w:rsid w:val="007B13E2"/>
    <w:rsid w:val="007C62BB"/>
    <w:rsid w:val="007D4349"/>
    <w:rsid w:val="007D5E7E"/>
    <w:rsid w:val="007D5EA9"/>
    <w:rsid w:val="007D60B9"/>
    <w:rsid w:val="007E2139"/>
    <w:rsid w:val="007F45B5"/>
    <w:rsid w:val="007F73F7"/>
    <w:rsid w:val="00805E78"/>
    <w:rsid w:val="00806F5B"/>
    <w:rsid w:val="0082217E"/>
    <w:rsid w:val="00824228"/>
    <w:rsid w:val="0082550D"/>
    <w:rsid w:val="00832DD7"/>
    <w:rsid w:val="00841FF0"/>
    <w:rsid w:val="008423B3"/>
    <w:rsid w:val="0085477D"/>
    <w:rsid w:val="00856D30"/>
    <w:rsid w:val="00860626"/>
    <w:rsid w:val="00871D33"/>
    <w:rsid w:val="00873B91"/>
    <w:rsid w:val="00874DAC"/>
    <w:rsid w:val="008854A2"/>
    <w:rsid w:val="008863ED"/>
    <w:rsid w:val="008871B4"/>
    <w:rsid w:val="00887E1D"/>
    <w:rsid w:val="008941FF"/>
    <w:rsid w:val="00895358"/>
    <w:rsid w:val="008961D3"/>
    <w:rsid w:val="00897962"/>
    <w:rsid w:val="008A13B5"/>
    <w:rsid w:val="008A2B8D"/>
    <w:rsid w:val="008A5DC0"/>
    <w:rsid w:val="008B267F"/>
    <w:rsid w:val="008C6985"/>
    <w:rsid w:val="008C77F3"/>
    <w:rsid w:val="008D2230"/>
    <w:rsid w:val="008D2B8E"/>
    <w:rsid w:val="008D5A6B"/>
    <w:rsid w:val="008D6606"/>
    <w:rsid w:val="008D68D3"/>
    <w:rsid w:val="008E6198"/>
    <w:rsid w:val="008E74CE"/>
    <w:rsid w:val="008F021B"/>
    <w:rsid w:val="008F13F7"/>
    <w:rsid w:val="008F2BAB"/>
    <w:rsid w:val="008F5C61"/>
    <w:rsid w:val="008F79D9"/>
    <w:rsid w:val="00901981"/>
    <w:rsid w:val="00901B47"/>
    <w:rsid w:val="009022E7"/>
    <w:rsid w:val="00902FDC"/>
    <w:rsid w:val="0090418D"/>
    <w:rsid w:val="009060C0"/>
    <w:rsid w:val="00906F6E"/>
    <w:rsid w:val="00910171"/>
    <w:rsid w:val="00911415"/>
    <w:rsid w:val="0091339A"/>
    <w:rsid w:val="00925885"/>
    <w:rsid w:val="00927019"/>
    <w:rsid w:val="00931EC5"/>
    <w:rsid w:val="00932007"/>
    <w:rsid w:val="009346CB"/>
    <w:rsid w:val="0094157C"/>
    <w:rsid w:val="00942FFD"/>
    <w:rsid w:val="009471DD"/>
    <w:rsid w:val="00955235"/>
    <w:rsid w:val="00955418"/>
    <w:rsid w:val="00967288"/>
    <w:rsid w:val="00970D4B"/>
    <w:rsid w:val="009740F2"/>
    <w:rsid w:val="00980769"/>
    <w:rsid w:val="00981186"/>
    <w:rsid w:val="00983B69"/>
    <w:rsid w:val="00984E20"/>
    <w:rsid w:val="0099023C"/>
    <w:rsid w:val="00997776"/>
    <w:rsid w:val="009A5E78"/>
    <w:rsid w:val="009B014C"/>
    <w:rsid w:val="009B24A1"/>
    <w:rsid w:val="009B3760"/>
    <w:rsid w:val="009B6266"/>
    <w:rsid w:val="009C0185"/>
    <w:rsid w:val="009C1EDE"/>
    <w:rsid w:val="009C3944"/>
    <w:rsid w:val="009C6DAB"/>
    <w:rsid w:val="009D381E"/>
    <w:rsid w:val="009D3B82"/>
    <w:rsid w:val="009D4F6C"/>
    <w:rsid w:val="009D7C7E"/>
    <w:rsid w:val="009E1A31"/>
    <w:rsid w:val="009E7715"/>
    <w:rsid w:val="009E77D4"/>
    <w:rsid w:val="009F0469"/>
    <w:rsid w:val="009F14F4"/>
    <w:rsid w:val="009F586B"/>
    <w:rsid w:val="00A02A06"/>
    <w:rsid w:val="00A02FD4"/>
    <w:rsid w:val="00A042B8"/>
    <w:rsid w:val="00A05DC7"/>
    <w:rsid w:val="00A07825"/>
    <w:rsid w:val="00A118F5"/>
    <w:rsid w:val="00A11ACC"/>
    <w:rsid w:val="00A1312C"/>
    <w:rsid w:val="00A33868"/>
    <w:rsid w:val="00A36B4A"/>
    <w:rsid w:val="00A418AA"/>
    <w:rsid w:val="00A4438C"/>
    <w:rsid w:val="00A464A9"/>
    <w:rsid w:val="00A47F8D"/>
    <w:rsid w:val="00A501FF"/>
    <w:rsid w:val="00A52B17"/>
    <w:rsid w:val="00A53294"/>
    <w:rsid w:val="00A53740"/>
    <w:rsid w:val="00A54663"/>
    <w:rsid w:val="00A60109"/>
    <w:rsid w:val="00A605D3"/>
    <w:rsid w:val="00A70864"/>
    <w:rsid w:val="00A70E40"/>
    <w:rsid w:val="00A730E2"/>
    <w:rsid w:val="00A74841"/>
    <w:rsid w:val="00A80E1A"/>
    <w:rsid w:val="00A8315E"/>
    <w:rsid w:val="00A861DA"/>
    <w:rsid w:val="00A905E4"/>
    <w:rsid w:val="00A95592"/>
    <w:rsid w:val="00A96892"/>
    <w:rsid w:val="00AA1484"/>
    <w:rsid w:val="00AB08F2"/>
    <w:rsid w:val="00AB0BB6"/>
    <w:rsid w:val="00AB523B"/>
    <w:rsid w:val="00AB6E6C"/>
    <w:rsid w:val="00AB7915"/>
    <w:rsid w:val="00AC3669"/>
    <w:rsid w:val="00AC59C6"/>
    <w:rsid w:val="00AD1763"/>
    <w:rsid w:val="00AD3F46"/>
    <w:rsid w:val="00AD4844"/>
    <w:rsid w:val="00AE03A0"/>
    <w:rsid w:val="00AE0AEA"/>
    <w:rsid w:val="00AE5D04"/>
    <w:rsid w:val="00AF0089"/>
    <w:rsid w:val="00AF07A4"/>
    <w:rsid w:val="00AF08F4"/>
    <w:rsid w:val="00AF405F"/>
    <w:rsid w:val="00B00DA2"/>
    <w:rsid w:val="00B04404"/>
    <w:rsid w:val="00B05694"/>
    <w:rsid w:val="00B124F1"/>
    <w:rsid w:val="00B17B3B"/>
    <w:rsid w:val="00B22C21"/>
    <w:rsid w:val="00B30E8D"/>
    <w:rsid w:val="00B4377B"/>
    <w:rsid w:val="00B537D7"/>
    <w:rsid w:val="00B63EA2"/>
    <w:rsid w:val="00B6653A"/>
    <w:rsid w:val="00B6725E"/>
    <w:rsid w:val="00B74B1A"/>
    <w:rsid w:val="00B808AD"/>
    <w:rsid w:val="00B825F8"/>
    <w:rsid w:val="00B8676C"/>
    <w:rsid w:val="00B90D64"/>
    <w:rsid w:val="00BA6688"/>
    <w:rsid w:val="00BB084B"/>
    <w:rsid w:val="00BC1150"/>
    <w:rsid w:val="00BC5227"/>
    <w:rsid w:val="00BC5660"/>
    <w:rsid w:val="00BD0161"/>
    <w:rsid w:val="00BD1A2C"/>
    <w:rsid w:val="00BD1F00"/>
    <w:rsid w:val="00BD1F0C"/>
    <w:rsid w:val="00BD2E0C"/>
    <w:rsid w:val="00BD3C94"/>
    <w:rsid w:val="00BE1699"/>
    <w:rsid w:val="00BE6023"/>
    <w:rsid w:val="00BE6076"/>
    <w:rsid w:val="00BF6DC8"/>
    <w:rsid w:val="00C107F3"/>
    <w:rsid w:val="00C126BB"/>
    <w:rsid w:val="00C17EC4"/>
    <w:rsid w:val="00C319AC"/>
    <w:rsid w:val="00C33FDE"/>
    <w:rsid w:val="00C4543B"/>
    <w:rsid w:val="00C45822"/>
    <w:rsid w:val="00C468E0"/>
    <w:rsid w:val="00C51C89"/>
    <w:rsid w:val="00C664EC"/>
    <w:rsid w:val="00C7150C"/>
    <w:rsid w:val="00C84780"/>
    <w:rsid w:val="00C94770"/>
    <w:rsid w:val="00C9592C"/>
    <w:rsid w:val="00C97207"/>
    <w:rsid w:val="00C97A9A"/>
    <w:rsid w:val="00CB403B"/>
    <w:rsid w:val="00CB420B"/>
    <w:rsid w:val="00CB4963"/>
    <w:rsid w:val="00CB580E"/>
    <w:rsid w:val="00CB7BAD"/>
    <w:rsid w:val="00CD0640"/>
    <w:rsid w:val="00CE1A85"/>
    <w:rsid w:val="00CE43C8"/>
    <w:rsid w:val="00CE764C"/>
    <w:rsid w:val="00CF30B0"/>
    <w:rsid w:val="00CF6155"/>
    <w:rsid w:val="00D00799"/>
    <w:rsid w:val="00D01AE5"/>
    <w:rsid w:val="00D06F29"/>
    <w:rsid w:val="00D14009"/>
    <w:rsid w:val="00D14620"/>
    <w:rsid w:val="00D14698"/>
    <w:rsid w:val="00D14A1F"/>
    <w:rsid w:val="00D155CE"/>
    <w:rsid w:val="00D16970"/>
    <w:rsid w:val="00D31D14"/>
    <w:rsid w:val="00D370E3"/>
    <w:rsid w:val="00D37EC2"/>
    <w:rsid w:val="00D401DD"/>
    <w:rsid w:val="00D42875"/>
    <w:rsid w:val="00D55DD2"/>
    <w:rsid w:val="00D57603"/>
    <w:rsid w:val="00D57EEC"/>
    <w:rsid w:val="00D60F6F"/>
    <w:rsid w:val="00D66714"/>
    <w:rsid w:val="00D76B34"/>
    <w:rsid w:val="00D83C89"/>
    <w:rsid w:val="00D90E47"/>
    <w:rsid w:val="00D93453"/>
    <w:rsid w:val="00DA05AA"/>
    <w:rsid w:val="00DA7552"/>
    <w:rsid w:val="00DB1F62"/>
    <w:rsid w:val="00DB42B0"/>
    <w:rsid w:val="00DB7079"/>
    <w:rsid w:val="00DB7A16"/>
    <w:rsid w:val="00DC184C"/>
    <w:rsid w:val="00DC2166"/>
    <w:rsid w:val="00DC4090"/>
    <w:rsid w:val="00DC40DA"/>
    <w:rsid w:val="00DC4B0B"/>
    <w:rsid w:val="00DC52B1"/>
    <w:rsid w:val="00DD384E"/>
    <w:rsid w:val="00DD4A18"/>
    <w:rsid w:val="00DD6520"/>
    <w:rsid w:val="00DF08C5"/>
    <w:rsid w:val="00DF19D3"/>
    <w:rsid w:val="00DF1BEF"/>
    <w:rsid w:val="00DF266E"/>
    <w:rsid w:val="00E000BC"/>
    <w:rsid w:val="00E023AB"/>
    <w:rsid w:val="00E04CB3"/>
    <w:rsid w:val="00E27648"/>
    <w:rsid w:val="00E35142"/>
    <w:rsid w:val="00E429FD"/>
    <w:rsid w:val="00E559DA"/>
    <w:rsid w:val="00E55B78"/>
    <w:rsid w:val="00E57364"/>
    <w:rsid w:val="00E60E0E"/>
    <w:rsid w:val="00E62EB7"/>
    <w:rsid w:val="00E636C3"/>
    <w:rsid w:val="00E63972"/>
    <w:rsid w:val="00E65E72"/>
    <w:rsid w:val="00E72159"/>
    <w:rsid w:val="00E73D69"/>
    <w:rsid w:val="00E744DC"/>
    <w:rsid w:val="00E85512"/>
    <w:rsid w:val="00E86B64"/>
    <w:rsid w:val="00E86D6A"/>
    <w:rsid w:val="00E87010"/>
    <w:rsid w:val="00E871AC"/>
    <w:rsid w:val="00E93B17"/>
    <w:rsid w:val="00E96E8F"/>
    <w:rsid w:val="00EA15B0"/>
    <w:rsid w:val="00EA25B0"/>
    <w:rsid w:val="00EA2810"/>
    <w:rsid w:val="00EA3EB4"/>
    <w:rsid w:val="00EA4288"/>
    <w:rsid w:val="00EA465C"/>
    <w:rsid w:val="00EA63EA"/>
    <w:rsid w:val="00EC592E"/>
    <w:rsid w:val="00ED515E"/>
    <w:rsid w:val="00EE06F3"/>
    <w:rsid w:val="00EE7A87"/>
    <w:rsid w:val="00F02347"/>
    <w:rsid w:val="00F26161"/>
    <w:rsid w:val="00F31657"/>
    <w:rsid w:val="00F50D35"/>
    <w:rsid w:val="00F54FE6"/>
    <w:rsid w:val="00F55A75"/>
    <w:rsid w:val="00F628F6"/>
    <w:rsid w:val="00F63979"/>
    <w:rsid w:val="00F63D5E"/>
    <w:rsid w:val="00F65F51"/>
    <w:rsid w:val="00F76F76"/>
    <w:rsid w:val="00F86633"/>
    <w:rsid w:val="00F92218"/>
    <w:rsid w:val="00F941E6"/>
    <w:rsid w:val="00F94566"/>
    <w:rsid w:val="00F9563D"/>
    <w:rsid w:val="00F96AFC"/>
    <w:rsid w:val="00F97571"/>
    <w:rsid w:val="00F97DD4"/>
    <w:rsid w:val="00FA26EF"/>
    <w:rsid w:val="00FA3758"/>
    <w:rsid w:val="00FA3858"/>
    <w:rsid w:val="00FA5472"/>
    <w:rsid w:val="00FB1A4A"/>
    <w:rsid w:val="00FC153C"/>
    <w:rsid w:val="00FD321B"/>
    <w:rsid w:val="00FD4E4B"/>
    <w:rsid w:val="00FE1478"/>
    <w:rsid w:val="00FE2AFF"/>
    <w:rsid w:val="00FE612E"/>
    <w:rsid w:val="00FF2BC9"/>
    <w:rsid w:val="00FF5071"/>
    <w:rsid w:val="00FF5486"/>
    <w:rsid w:val="00FF5E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DCED501"/>
  <w15:docId w15:val="{A389C665-E338-4DA5-B1DC-92A24DF2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E06"/>
    <w:pPr>
      <w:spacing w:after="140" w:line="290" w:lineRule="auto"/>
    </w:pPr>
    <w:rPr>
      <w:rFonts w:eastAsia="Times New Roman"/>
      <w:kern w:val="20"/>
      <w:lang w:eastAsia="en-US"/>
    </w:rPr>
  </w:style>
  <w:style w:type="paragraph" w:styleId="Heading1">
    <w:name w:val="heading 1"/>
    <w:basedOn w:val="Normal"/>
    <w:next w:val="Normal"/>
    <w:qFormat/>
    <w:pPr>
      <w:numPr>
        <w:numId w:val="2"/>
      </w:numPr>
      <w:spacing w:line="240" w:lineRule="auto"/>
      <w:outlineLvl w:val="0"/>
    </w:pPr>
  </w:style>
  <w:style w:type="paragraph" w:styleId="Heading2">
    <w:name w:val="heading 2"/>
    <w:basedOn w:val="Normal"/>
    <w:next w:val="Normal"/>
    <w:qFormat/>
    <w:pPr>
      <w:numPr>
        <w:ilvl w:val="1"/>
        <w:numId w:val="2"/>
      </w:numPr>
      <w:spacing w:line="240" w:lineRule="auto"/>
      <w:outlineLvl w:val="1"/>
    </w:pPr>
  </w:style>
  <w:style w:type="paragraph" w:styleId="Heading3">
    <w:name w:val="heading 3"/>
    <w:basedOn w:val="Normal"/>
    <w:next w:val="Normal"/>
    <w:qFormat/>
    <w:pPr>
      <w:numPr>
        <w:ilvl w:val="2"/>
        <w:numId w:val="2"/>
      </w:numPr>
      <w:spacing w:line="240" w:lineRule="auto"/>
      <w:outlineLvl w:val="2"/>
    </w:pPr>
  </w:style>
  <w:style w:type="paragraph" w:styleId="Heading4">
    <w:name w:val="heading 4"/>
    <w:basedOn w:val="Normal"/>
    <w:next w:val="Normal"/>
    <w:qFormat/>
    <w:pPr>
      <w:numPr>
        <w:ilvl w:val="3"/>
        <w:numId w:val="2"/>
      </w:numPr>
      <w:spacing w:line="240" w:lineRule="auto"/>
      <w:outlineLvl w:val="3"/>
    </w:pPr>
  </w:style>
  <w:style w:type="paragraph" w:styleId="Heading5">
    <w:name w:val="heading 5"/>
    <w:basedOn w:val="Normal"/>
    <w:next w:val="Normal"/>
    <w:qFormat/>
    <w:pPr>
      <w:numPr>
        <w:ilvl w:val="4"/>
        <w:numId w:val="2"/>
      </w:numPr>
      <w:spacing w:line="240" w:lineRule="auto"/>
      <w:outlineLvl w:val="4"/>
    </w:pPr>
  </w:style>
  <w:style w:type="paragraph" w:styleId="Heading6">
    <w:name w:val="heading 6"/>
    <w:basedOn w:val="Normal"/>
    <w:next w:val="Normal"/>
    <w:qFormat/>
    <w:pPr>
      <w:numPr>
        <w:ilvl w:val="5"/>
        <w:numId w:val="2"/>
      </w:numPr>
      <w:spacing w:line="240" w:lineRule="auto"/>
      <w:outlineLvl w:val="5"/>
    </w:pPr>
  </w:style>
  <w:style w:type="paragraph" w:styleId="Heading7">
    <w:name w:val="heading 7"/>
    <w:basedOn w:val="Normal"/>
    <w:next w:val="Normal"/>
    <w:qFormat/>
    <w:pPr>
      <w:numPr>
        <w:ilvl w:val="6"/>
        <w:numId w:val="2"/>
      </w:numPr>
      <w:spacing w:line="240" w:lineRule="auto"/>
      <w:outlineLvl w:val="6"/>
    </w:pPr>
  </w:style>
  <w:style w:type="paragraph" w:styleId="Heading8">
    <w:name w:val="heading 8"/>
    <w:basedOn w:val="Normal"/>
    <w:next w:val="Normal"/>
    <w:qFormat/>
    <w:pPr>
      <w:numPr>
        <w:ilvl w:val="7"/>
        <w:numId w:val="2"/>
      </w:numPr>
      <w:spacing w:line="240" w:lineRule="auto"/>
      <w:outlineLvl w:val="7"/>
    </w:pPr>
  </w:style>
  <w:style w:type="paragraph" w:styleId="Heading9">
    <w:name w:val="heading 9"/>
    <w:basedOn w:val="Normal"/>
    <w:next w:val="Normal"/>
    <w:qFormat/>
    <w:pPr>
      <w:numPr>
        <w:ilvl w:val="8"/>
        <w:numId w:val="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Zchn1"/>
    <w:pPr>
      <w:ind w:left="425"/>
      <w:jc w:val="both"/>
    </w:pPr>
  </w:style>
  <w:style w:type="paragraph" w:styleId="Footer">
    <w:name w:val="footer"/>
    <w:basedOn w:val="Normal"/>
    <w:pPr>
      <w:tabs>
        <w:tab w:val="center" w:pos="4536"/>
        <w:tab w:val="right" w:pos="9072"/>
      </w:tabs>
      <w:spacing w:after="0" w:line="240" w:lineRule="auto"/>
    </w:pPr>
    <w:rPr>
      <w:sz w:val="17"/>
    </w:rPr>
  </w:style>
  <w:style w:type="paragraph" w:customStyle="1" w:styleId="Head">
    <w:name w:val="Head"/>
    <w:basedOn w:val="Normal"/>
    <w:next w:val="Body"/>
    <w:rsid w:val="00B825F8"/>
    <w:pPr>
      <w:keepNext/>
      <w:spacing w:before="295" w:after="175"/>
      <w:ind w:left="425"/>
      <w:jc w:val="both"/>
      <w:outlineLvl w:val="0"/>
    </w:pPr>
    <w:rPr>
      <w:b/>
      <w:sz w:val="22"/>
    </w:rPr>
  </w:style>
  <w:style w:type="paragraph" w:styleId="Header">
    <w:name w:val="header"/>
    <w:basedOn w:val="Normal"/>
    <w:pPr>
      <w:tabs>
        <w:tab w:val="center" w:pos="4536"/>
        <w:tab w:val="right" w:pos="9072"/>
      </w:tabs>
      <w:spacing w:line="240" w:lineRule="auto"/>
    </w:pPr>
    <w:rPr>
      <w:sz w:val="19"/>
    </w:rPr>
  </w:style>
  <w:style w:type="character" w:styleId="PageNumber">
    <w:name w:val="page number"/>
    <w:basedOn w:val="DefaultParagraphFont"/>
  </w:style>
  <w:style w:type="paragraph" w:styleId="TOC1">
    <w:name w:val="toc 1"/>
    <w:basedOn w:val="Normal"/>
    <w:next w:val="Normal"/>
    <w:semiHidden/>
    <w:pPr>
      <w:spacing w:before="140"/>
      <w:ind w:left="850" w:hanging="425"/>
    </w:pPr>
  </w:style>
  <w:style w:type="paragraph" w:customStyle="1" w:styleId="Title22">
    <w:name w:val="Title22"/>
    <w:basedOn w:val="Normal"/>
    <w:rsid w:val="00570005"/>
    <w:pPr>
      <w:keepNext/>
      <w:keepLines/>
      <w:spacing w:after="120"/>
      <w:jc w:val="center"/>
      <w:outlineLvl w:val="0"/>
    </w:pPr>
    <w:rPr>
      <w:b/>
      <w:sz w:val="44"/>
    </w:rPr>
  </w:style>
  <w:style w:type="paragraph" w:customStyle="1" w:styleId="Roman3-i">
    <w:name w:val="Roman 3-(i)"/>
    <w:basedOn w:val="Normal"/>
    <w:rsid w:val="006D45D6"/>
    <w:pPr>
      <w:numPr>
        <w:numId w:val="53"/>
      </w:numPr>
      <w:jc w:val="both"/>
    </w:pPr>
  </w:style>
  <w:style w:type="paragraph" w:customStyle="1" w:styleId="Title18">
    <w:name w:val="Title18"/>
    <w:basedOn w:val="Normal"/>
    <w:rsid w:val="00570005"/>
    <w:pPr>
      <w:keepNext/>
      <w:keepLines/>
      <w:spacing w:after="0"/>
      <w:jc w:val="center"/>
      <w:outlineLvl w:val="0"/>
    </w:pPr>
    <w:rPr>
      <w:b/>
      <w:sz w:val="36"/>
    </w:rPr>
  </w:style>
  <w:style w:type="paragraph" w:customStyle="1" w:styleId="Titleitalic">
    <w:name w:val="Title italic"/>
    <w:basedOn w:val="Normal"/>
    <w:rsid w:val="00570005"/>
    <w:pPr>
      <w:keepNext/>
      <w:keepLines/>
      <w:spacing w:after="240"/>
      <w:jc w:val="center"/>
      <w:outlineLvl w:val="0"/>
    </w:pPr>
    <w:rPr>
      <w:i/>
    </w:rPr>
  </w:style>
  <w:style w:type="paragraph" w:customStyle="1" w:styleId="Title16">
    <w:name w:val="Title16"/>
    <w:basedOn w:val="Normal"/>
    <w:rsid w:val="00570005"/>
    <w:pPr>
      <w:keepNext/>
      <w:keepLines/>
      <w:spacing w:after="120"/>
      <w:jc w:val="center"/>
      <w:outlineLvl w:val="0"/>
    </w:pPr>
    <w:rPr>
      <w:b/>
      <w:sz w:val="32"/>
    </w:rPr>
  </w:style>
  <w:style w:type="paragraph" w:customStyle="1" w:styleId="FPTableLeft">
    <w:name w:val="FP Table Left"/>
    <w:basedOn w:val="Normal"/>
    <w:rsid w:val="00D66714"/>
    <w:pPr>
      <w:keepNext/>
      <w:keepLines/>
      <w:spacing w:after="120"/>
      <w:outlineLvl w:val="0"/>
    </w:pPr>
    <w:rPr>
      <w:b/>
    </w:rPr>
  </w:style>
  <w:style w:type="paragraph" w:customStyle="1" w:styleId="FPTableRight">
    <w:name w:val="FP Table Right"/>
    <w:basedOn w:val="Normal"/>
    <w:rsid w:val="00D66714"/>
    <w:pPr>
      <w:keepNext/>
      <w:keepLines/>
      <w:spacing w:after="120"/>
      <w:jc w:val="right"/>
      <w:outlineLvl w:val="0"/>
    </w:pPr>
    <w:rPr>
      <w:b/>
    </w:rPr>
  </w:style>
  <w:style w:type="paragraph" w:customStyle="1" w:styleId="Covertext">
    <w:name w:val="Covertext"/>
    <w:basedOn w:val="Body"/>
    <w:pPr>
      <w:ind w:left="0"/>
    </w:pPr>
    <w:rPr>
      <w:sz w:val="18"/>
    </w:rPr>
  </w:style>
  <w:style w:type="character" w:styleId="Hyperlink">
    <w:name w:val="Hyperlink"/>
    <w:basedOn w:val="DefaultParagraphFont"/>
    <w:rPr>
      <w:color w:val="AF005F"/>
      <w:u w:val="none"/>
    </w:rPr>
  </w:style>
  <w:style w:type="paragraph" w:customStyle="1" w:styleId="TOCHead">
    <w:name w:val="TOCHead"/>
    <w:basedOn w:val="Head"/>
    <w:next w:val="Body"/>
    <w:rsid w:val="00EA63EA"/>
    <w:pPr>
      <w:jc w:val="center"/>
    </w:pPr>
  </w:style>
  <w:style w:type="paragraph" w:customStyle="1" w:styleId="Alpha1-Aitalic">
    <w:name w:val="Alpha 1-(A) italic"/>
    <w:basedOn w:val="Normal"/>
    <w:rsid w:val="00354F50"/>
    <w:pPr>
      <w:keepNext/>
      <w:numPr>
        <w:numId w:val="38"/>
      </w:numPr>
      <w:jc w:val="both"/>
    </w:pPr>
    <w:rPr>
      <w:i/>
      <w:sz w:val="22"/>
    </w:rPr>
  </w:style>
  <w:style w:type="paragraph" w:customStyle="1" w:styleId="Alpha1G-Aitalic">
    <w:name w:val="Alpha 1G-(A) italic"/>
    <w:basedOn w:val="Normal"/>
    <w:rsid w:val="00487AB4"/>
    <w:pPr>
      <w:numPr>
        <w:numId w:val="39"/>
      </w:numPr>
      <w:tabs>
        <w:tab w:val="clear" w:pos="425"/>
        <w:tab w:val="num" w:pos="360"/>
      </w:tabs>
      <w:ind w:left="0" w:firstLine="0"/>
      <w:jc w:val="both"/>
    </w:pPr>
    <w:rPr>
      <w:i/>
      <w:lang w:val="de-DE"/>
    </w:rPr>
  </w:style>
  <w:style w:type="paragraph" w:customStyle="1" w:styleId="Alpha2-a0">
    <w:name w:val="Alpha 2-(a)"/>
    <w:basedOn w:val="Normal"/>
    <w:rsid w:val="0053328E"/>
    <w:pPr>
      <w:numPr>
        <w:numId w:val="40"/>
      </w:numPr>
      <w:jc w:val="both"/>
    </w:pPr>
  </w:style>
  <w:style w:type="paragraph" w:customStyle="1" w:styleId="Alpha2-A">
    <w:name w:val="Alpha 2-(A)"/>
    <w:basedOn w:val="Normal"/>
    <w:rsid w:val="005812CC"/>
    <w:pPr>
      <w:numPr>
        <w:numId w:val="41"/>
      </w:numPr>
      <w:jc w:val="both"/>
    </w:pPr>
  </w:style>
  <w:style w:type="paragraph" w:customStyle="1" w:styleId="Alpha2aitalicnum">
    <w:name w:val="Alpha 2(a) italicnum"/>
    <w:basedOn w:val="Alpha2-a0"/>
    <w:rsid w:val="00997776"/>
    <w:pPr>
      <w:numPr>
        <w:numId w:val="29"/>
      </w:numPr>
    </w:pPr>
  </w:style>
  <w:style w:type="paragraph" w:customStyle="1" w:styleId="Alpha2-Abold0">
    <w:name w:val="Alpha 2-(A) bold"/>
    <w:basedOn w:val="Normal"/>
    <w:next w:val="Body2"/>
    <w:rsid w:val="0053328E"/>
    <w:pPr>
      <w:keepNext/>
      <w:numPr>
        <w:numId w:val="26"/>
      </w:numPr>
      <w:spacing w:before="120"/>
    </w:pPr>
    <w:rPr>
      <w:b/>
      <w:sz w:val="21"/>
    </w:rPr>
  </w:style>
  <w:style w:type="paragraph" w:customStyle="1" w:styleId="Body2">
    <w:name w:val="Body 2"/>
    <w:basedOn w:val="Body"/>
    <w:rsid w:val="00396B61"/>
    <w:pPr>
      <w:ind w:left="992"/>
    </w:pPr>
  </w:style>
  <w:style w:type="paragraph" w:customStyle="1" w:styleId="Alpha2-abold">
    <w:name w:val="Alpha 2-(a) bold"/>
    <w:basedOn w:val="Normal"/>
    <w:next w:val="Body2"/>
    <w:rsid w:val="0053328E"/>
    <w:pPr>
      <w:keepNext/>
      <w:numPr>
        <w:numId w:val="27"/>
      </w:numPr>
      <w:spacing w:before="120"/>
    </w:pPr>
    <w:rPr>
      <w:b/>
      <w:sz w:val="21"/>
    </w:rPr>
  </w:style>
  <w:style w:type="paragraph" w:customStyle="1" w:styleId="Alpha2-Abolditalic0">
    <w:name w:val="Alpha 2-(A) bolditalic"/>
    <w:basedOn w:val="Normal"/>
    <w:next w:val="Body2"/>
    <w:rsid w:val="0039099F"/>
    <w:pPr>
      <w:keepNext/>
      <w:numPr>
        <w:numId w:val="42"/>
      </w:numPr>
    </w:pPr>
    <w:rPr>
      <w:b/>
      <w:i/>
      <w:sz w:val="21"/>
    </w:rPr>
  </w:style>
  <w:style w:type="paragraph" w:customStyle="1" w:styleId="Alpha2-abolditalic">
    <w:name w:val="Alpha 2-(a) bolditalic"/>
    <w:basedOn w:val="Normal"/>
    <w:next w:val="Body2"/>
    <w:rsid w:val="0053328E"/>
    <w:pPr>
      <w:keepNext/>
      <w:numPr>
        <w:numId w:val="28"/>
      </w:numPr>
    </w:pPr>
    <w:rPr>
      <w:b/>
      <w:i/>
      <w:sz w:val="21"/>
    </w:rPr>
  </w:style>
  <w:style w:type="paragraph" w:customStyle="1" w:styleId="Alpha2-aitalic">
    <w:name w:val="Alpha 2-(a) italic"/>
    <w:basedOn w:val="Normal"/>
    <w:next w:val="Body2"/>
    <w:rsid w:val="00DC52B1"/>
    <w:pPr>
      <w:keepNext/>
      <w:numPr>
        <w:numId w:val="44"/>
      </w:numPr>
      <w:jc w:val="both"/>
    </w:pPr>
    <w:rPr>
      <w:i/>
      <w:sz w:val="21"/>
    </w:rPr>
  </w:style>
  <w:style w:type="paragraph" w:customStyle="1" w:styleId="Alpha2-Aitalic0">
    <w:name w:val="Alpha 2-(A) italic"/>
    <w:basedOn w:val="Normal"/>
    <w:next w:val="Body2"/>
    <w:rsid w:val="00354F50"/>
    <w:pPr>
      <w:numPr>
        <w:numId w:val="43"/>
      </w:numPr>
      <w:jc w:val="both"/>
    </w:pPr>
    <w:rPr>
      <w:i/>
      <w:sz w:val="21"/>
    </w:rPr>
  </w:style>
  <w:style w:type="paragraph" w:customStyle="1" w:styleId="Alpha3-A0">
    <w:name w:val="Alpha 3-(A)"/>
    <w:basedOn w:val="Normal"/>
    <w:rsid w:val="00487AB4"/>
    <w:pPr>
      <w:numPr>
        <w:numId w:val="30"/>
      </w:numPr>
      <w:jc w:val="both"/>
    </w:pPr>
  </w:style>
  <w:style w:type="paragraph" w:customStyle="1" w:styleId="Alpha3-Abold">
    <w:name w:val="Alpha 3-(A) bold"/>
    <w:basedOn w:val="Alpha3-A0"/>
    <w:next w:val="Body3"/>
    <w:rsid w:val="00264F78"/>
    <w:pPr>
      <w:keepNext/>
      <w:numPr>
        <w:numId w:val="32"/>
      </w:numPr>
    </w:pPr>
    <w:rPr>
      <w:b/>
    </w:rPr>
  </w:style>
  <w:style w:type="paragraph" w:customStyle="1" w:styleId="Body3">
    <w:name w:val="Body 3"/>
    <w:basedOn w:val="Body"/>
    <w:pPr>
      <w:ind w:left="1559"/>
    </w:pPr>
  </w:style>
  <w:style w:type="paragraph" w:customStyle="1" w:styleId="Alpha4-a0">
    <w:name w:val="Alpha 4-(a)"/>
    <w:basedOn w:val="Normal"/>
    <w:rsid w:val="001F78DD"/>
    <w:pPr>
      <w:numPr>
        <w:numId w:val="33"/>
      </w:numPr>
      <w:jc w:val="both"/>
    </w:pPr>
  </w:style>
  <w:style w:type="paragraph" w:customStyle="1" w:styleId="Alpha4-A">
    <w:name w:val="Alpha 4-(A)"/>
    <w:basedOn w:val="Normal"/>
    <w:rsid w:val="001F78DD"/>
    <w:pPr>
      <w:numPr>
        <w:numId w:val="34"/>
      </w:numPr>
      <w:jc w:val="both"/>
    </w:pPr>
  </w:style>
  <w:style w:type="paragraph" w:customStyle="1" w:styleId="Alpha4-Abold">
    <w:name w:val="Alpha 4-(A) bold"/>
    <w:basedOn w:val="Alpha4-A"/>
    <w:next w:val="Body4"/>
    <w:rsid w:val="001F78DD"/>
    <w:pPr>
      <w:keepNext/>
      <w:numPr>
        <w:numId w:val="35"/>
      </w:numPr>
    </w:pPr>
    <w:rPr>
      <w:b/>
    </w:rPr>
  </w:style>
  <w:style w:type="paragraph" w:customStyle="1" w:styleId="Body4">
    <w:name w:val="Body 4"/>
    <w:basedOn w:val="Body"/>
    <w:pPr>
      <w:ind w:left="2126"/>
    </w:pPr>
  </w:style>
  <w:style w:type="paragraph" w:customStyle="1" w:styleId="Alpha5-a0">
    <w:name w:val="Alpha 5-(a)"/>
    <w:basedOn w:val="Normal"/>
    <w:rsid w:val="00380F94"/>
    <w:pPr>
      <w:numPr>
        <w:numId w:val="37"/>
      </w:numPr>
      <w:jc w:val="both"/>
    </w:pPr>
  </w:style>
  <w:style w:type="paragraph" w:customStyle="1" w:styleId="Alpha5-A">
    <w:name w:val="Alpha 5-(A)"/>
    <w:basedOn w:val="Normal"/>
    <w:rsid w:val="00380F94"/>
    <w:pPr>
      <w:numPr>
        <w:numId w:val="36"/>
      </w:numPr>
      <w:jc w:val="both"/>
    </w:pPr>
  </w:style>
  <w:style w:type="paragraph" w:customStyle="1" w:styleId="Alpha5-Abold">
    <w:name w:val="Alpha 5-(A) bold"/>
    <w:basedOn w:val="Alpha5-A"/>
    <w:next w:val="Body5"/>
    <w:rsid w:val="00380F94"/>
    <w:pPr>
      <w:keepNext/>
      <w:numPr>
        <w:numId w:val="47"/>
      </w:numPr>
    </w:pPr>
    <w:rPr>
      <w:b/>
    </w:rPr>
  </w:style>
  <w:style w:type="paragraph" w:customStyle="1" w:styleId="Body5">
    <w:name w:val="Body 5"/>
    <w:basedOn w:val="Body"/>
    <w:pPr>
      <w:ind w:left="2693"/>
    </w:pPr>
  </w:style>
  <w:style w:type="paragraph" w:customStyle="1" w:styleId="Arabic2-10">
    <w:name w:val="Arabic 2-(1)"/>
    <w:basedOn w:val="Normal"/>
    <w:rsid w:val="009060C0"/>
    <w:pPr>
      <w:numPr>
        <w:numId w:val="11"/>
      </w:numPr>
      <w:jc w:val="both"/>
    </w:pPr>
  </w:style>
  <w:style w:type="paragraph" w:customStyle="1" w:styleId="Arabic2-1">
    <w:name w:val="Arabic 2-1."/>
    <w:basedOn w:val="Normal"/>
    <w:rsid w:val="009060C0"/>
    <w:pPr>
      <w:numPr>
        <w:numId w:val="12"/>
      </w:numPr>
      <w:jc w:val="both"/>
    </w:pPr>
  </w:style>
  <w:style w:type="paragraph" w:customStyle="1" w:styleId="Arabic3-1">
    <w:name w:val="Arabic 3-(1)"/>
    <w:basedOn w:val="Normal"/>
    <w:rsid w:val="00D31D14"/>
    <w:pPr>
      <w:numPr>
        <w:numId w:val="7"/>
      </w:numPr>
      <w:jc w:val="both"/>
    </w:pPr>
  </w:style>
  <w:style w:type="paragraph" w:customStyle="1" w:styleId="Arabic3-10">
    <w:name w:val="Arabic 3-1."/>
    <w:basedOn w:val="Normal"/>
    <w:rsid w:val="009060C0"/>
    <w:pPr>
      <w:numPr>
        <w:numId w:val="13"/>
      </w:numPr>
      <w:jc w:val="both"/>
    </w:pPr>
  </w:style>
  <w:style w:type="paragraph" w:customStyle="1" w:styleId="Arabic4-10">
    <w:name w:val="Arabic 4-(1)"/>
    <w:basedOn w:val="Normal"/>
    <w:rsid w:val="009060C0"/>
    <w:pPr>
      <w:numPr>
        <w:numId w:val="14"/>
      </w:numPr>
      <w:jc w:val="both"/>
    </w:pPr>
  </w:style>
  <w:style w:type="paragraph" w:customStyle="1" w:styleId="Arabic4-1">
    <w:name w:val="Arabic 4-1."/>
    <w:basedOn w:val="Normal"/>
    <w:rsid w:val="009060C0"/>
    <w:pPr>
      <w:numPr>
        <w:numId w:val="15"/>
      </w:numPr>
      <w:jc w:val="both"/>
    </w:pPr>
  </w:style>
  <w:style w:type="paragraph" w:customStyle="1" w:styleId="Arabic5-10">
    <w:name w:val="Arabic 5-(1)"/>
    <w:basedOn w:val="Normal"/>
    <w:rsid w:val="009060C0"/>
    <w:pPr>
      <w:numPr>
        <w:numId w:val="16"/>
      </w:numPr>
      <w:jc w:val="both"/>
    </w:pPr>
  </w:style>
  <w:style w:type="paragraph" w:customStyle="1" w:styleId="Arabic5-1">
    <w:name w:val="Arabic 5-1."/>
    <w:basedOn w:val="Normal"/>
    <w:rsid w:val="009060C0"/>
    <w:pPr>
      <w:numPr>
        <w:numId w:val="17"/>
      </w:numPr>
      <w:jc w:val="both"/>
    </w:pPr>
  </w:style>
  <w:style w:type="paragraph" w:customStyle="1" w:styleId="Arabic6-10">
    <w:name w:val="Arabic 6-(1)"/>
    <w:basedOn w:val="Normal"/>
    <w:rsid w:val="009060C0"/>
    <w:pPr>
      <w:numPr>
        <w:numId w:val="18"/>
      </w:numPr>
      <w:jc w:val="both"/>
    </w:pPr>
  </w:style>
  <w:style w:type="paragraph" w:customStyle="1" w:styleId="Arabic6-1">
    <w:name w:val="Arabic 6-1."/>
    <w:basedOn w:val="Normal"/>
    <w:rsid w:val="009060C0"/>
    <w:pPr>
      <w:numPr>
        <w:numId w:val="19"/>
      </w:numPr>
      <w:jc w:val="both"/>
    </w:pPr>
  </w:style>
  <w:style w:type="paragraph" w:customStyle="1" w:styleId="Body1">
    <w:name w:val="Body 1"/>
    <w:basedOn w:val="Body"/>
    <w:rsid w:val="00396B61"/>
  </w:style>
  <w:style w:type="paragraph" w:customStyle="1" w:styleId="Body6">
    <w:name w:val="Body 6"/>
    <w:basedOn w:val="Body"/>
    <w:pPr>
      <w:ind w:left="3260"/>
    </w:pPr>
  </w:style>
  <w:style w:type="paragraph" w:customStyle="1" w:styleId="Body-G">
    <w:name w:val="Body-G"/>
    <w:basedOn w:val="Normal"/>
    <w:pPr>
      <w:tabs>
        <w:tab w:val="left" w:pos="851"/>
      </w:tabs>
      <w:spacing w:after="120"/>
      <w:ind w:firstLine="425"/>
      <w:jc w:val="both"/>
    </w:pPr>
    <w:rPr>
      <w:lang w:val="de-DE"/>
    </w:rPr>
  </w:style>
  <w:style w:type="paragraph" w:customStyle="1" w:styleId="BodyIndent">
    <w:name w:val="Body Indent"/>
    <w:basedOn w:val="Body-G"/>
    <w:pPr>
      <w:ind w:left="425" w:firstLine="567"/>
    </w:pPr>
    <w:rPr>
      <w:lang w:val="en-GB"/>
    </w:rPr>
  </w:style>
  <w:style w:type="paragraph" w:customStyle="1" w:styleId="bullet2">
    <w:name w:val="bullet 2"/>
    <w:basedOn w:val="Normal"/>
    <w:rsid w:val="001C090D"/>
    <w:pPr>
      <w:numPr>
        <w:numId w:val="20"/>
      </w:numPr>
      <w:jc w:val="both"/>
    </w:pPr>
  </w:style>
  <w:style w:type="paragraph" w:customStyle="1" w:styleId="bullet3">
    <w:name w:val="bullet 3"/>
    <w:basedOn w:val="Normal"/>
    <w:rsid w:val="001C090D"/>
    <w:pPr>
      <w:numPr>
        <w:numId w:val="21"/>
      </w:numPr>
      <w:jc w:val="both"/>
    </w:pPr>
  </w:style>
  <w:style w:type="paragraph" w:customStyle="1" w:styleId="bullet4">
    <w:name w:val="bullet 4"/>
    <w:basedOn w:val="Normal"/>
    <w:rsid w:val="001C090D"/>
    <w:pPr>
      <w:numPr>
        <w:numId w:val="22"/>
      </w:numPr>
      <w:jc w:val="both"/>
    </w:pPr>
  </w:style>
  <w:style w:type="paragraph" w:customStyle="1" w:styleId="bullet5">
    <w:name w:val="bullet 5"/>
    <w:basedOn w:val="Normal"/>
    <w:rsid w:val="001C090D"/>
    <w:pPr>
      <w:numPr>
        <w:numId w:val="23"/>
      </w:numPr>
      <w:jc w:val="both"/>
    </w:pPr>
  </w:style>
  <w:style w:type="paragraph" w:customStyle="1" w:styleId="bullet6">
    <w:name w:val="bullet 6"/>
    <w:basedOn w:val="Normal"/>
    <w:rsid w:val="001C090D"/>
    <w:pPr>
      <w:numPr>
        <w:numId w:val="24"/>
      </w:numPr>
      <w:jc w:val="both"/>
    </w:pPr>
  </w:style>
  <w:style w:type="paragraph" w:customStyle="1" w:styleId="CellBody">
    <w:name w:val="CellBody"/>
    <w:basedOn w:val="Normal"/>
    <w:pPr>
      <w:spacing w:before="40" w:after="40"/>
    </w:pPr>
  </w:style>
  <w:style w:type="paragraph" w:customStyle="1" w:styleId="CellHead">
    <w:name w:val="CellHead"/>
    <w:basedOn w:val="Normal"/>
    <w:pPr>
      <w:keepNext/>
      <w:spacing w:before="40" w:after="120"/>
    </w:pPr>
    <w:rPr>
      <w:b/>
    </w:rPr>
  </w:style>
  <w:style w:type="paragraph" w:customStyle="1" w:styleId="Cell-Headitalic">
    <w:name w:val="Cell-Headitalic"/>
    <w:basedOn w:val="CellHead"/>
    <w:pPr>
      <w:jc w:val="center"/>
    </w:pPr>
    <w:rPr>
      <w:b w:val="0"/>
      <w:i/>
    </w:rPr>
  </w:style>
  <w:style w:type="paragraph" w:customStyle="1" w:styleId="CellNumber">
    <w:name w:val="CellNumber"/>
    <w:basedOn w:val="CellBody"/>
    <w:rsid w:val="00D31D14"/>
    <w:pPr>
      <w:numPr>
        <w:numId w:val="8"/>
      </w:numPr>
    </w:pPr>
  </w:style>
  <w:style w:type="paragraph" w:customStyle="1" w:styleId="CellRowSpacer">
    <w:name w:val="CellRowSpacer"/>
    <w:basedOn w:val="Normal"/>
    <w:rsid w:val="00D31D14"/>
    <w:pPr>
      <w:spacing w:before="40" w:after="40"/>
    </w:pPr>
  </w:style>
  <w:style w:type="paragraph" w:customStyle="1" w:styleId="Parties">
    <w:name w:val="Parties"/>
    <w:basedOn w:val="FPTableLeft"/>
    <w:pPr>
      <w:spacing w:after="140"/>
      <w:jc w:val="center"/>
    </w:pPr>
    <w:rPr>
      <w:sz w:val="17"/>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character" w:styleId="FollowedHyperlink">
    <w:name w:val="FollowedHyperlink"/>
    <w:basedOn w:val="DefaultParagraphFont"/>
    <w:rPr>
      <w:color w:val="AF005F"/>
      <w:u w:val="non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sz w:val="16"/>
    </w:rPr>
  </w:style>
  <w:style w:type="paragraph" w:customStyle="1" w:styleId="Head-C">
    <w:name w:val="Head - C"/>
    <w:basedOn w:val="Normal"/>
    <w:next w:val="Body"/>
    <w:rsid w:val="00B825F8"/>
    <w:pPr>
      <w:keepNext/>
      <w:pageBreakBefore/>
      <w:spacing w:before="295" w:after="180"/>
      <w:ind w:left="425"/>
      <w:jc w:val="center"/>
      <w:outlineLvl w:val="0"/>
    </w:pPr>
    <w:rPr>
      <w:b/>
      <w:sz w:val="22"/>
    </w:rPr>
  </w:style>
  <w:style w:type="paragraph" w:customStyle="1" w:styleId="CellBodyIndent1">
    <w:name w:val="CellBody Indent 1"/>
    <w:basedOn w:val="CellBody"/>
    <w:rsid w:val="003C5EDB"/>
    <w:pPr>
      <w:ind w:left="170"/>
    </w:pPr>
  </w:style>
  <w:style w:type="paragraph" w:customStyle="1" w:styleId="CellBodyIndent2">
    <w:name w:val="CellBody Indent 2"/>
    <w:basedOn w:val="CellBody"/>
    <w:rsid w:val="003C5EDB"/>
    <w:pPr>
      <w:ind w:left="340"/>
    </w:pPr>
  </w:style>
  <w:style w:type="paragraph" w:customStyle="1" w:styleId="CellBodyIndent3">
    <w:name w:val="CellBody Indent 3"/>
    <w:basedOn w:val="CellBody"/>
    <w:rsid w:val="003C5EDB"/>
    <w:pPr>
      <w:ind w:left="510"/>
    </w:pPr>
  </w:style>
  <w:style w:type="paragraph" w:customStyle="1" w:styleId="Level1">
    <w:name w:val="Level 1"/>
    <w:basedOn w:val="Normal"/>
    <w:rsid w:val="00145028"/>
    <w:pPr>
      <w:numPr>
        <w:numId w:val="10"/>
      </w:numPr>
      <w:jc w:val="both"/>
      <w:outlineLvl w:val="0"/>
    </w:pPr>
    <w:rPr>
      <w:bCs/>
    </w:rPr>
  </w:style>
  <w:style w:type="paragraph" w:customStyle="1" w:styleId="Level2">
    <w:name w:val="Level 2"/>
    <w:basedOn w:val="Normal"/>
    <w:rsid w:val="00145028"/>
    <w:pPr>
      <w:numPr>
        <w:ilvl w:val="1"/>
        <w:numId w:val="10"/>
      </w:numPr>
      <w:jc w:val="both"/>
    </w:pPr>
    <w:rPr>
      <w:szCs w:val="28"/>
    </w:rPr>
  </w:style>
  <w:style w:type="paragraph" w:customStyle="1" w:styleId="Level3">
    <w:name w:val="Level 3"/>
    <w:basedOn w:val="Normal"/>
    <w:rsid w:val="00145028"/>
    <w:pPr>
      <w:numPr>
        <w:ilvl w:val="2"/>
        <w:numId w:val="10"/>
      </w:numPr>
      <w:jc w:val="both"/>
    </w:pPr>
    <w:rPr>
      <w:szCs w:val="28"/>
    </w:rPr>
  </w:style>
  <w:style w:type="paragraph" w:customStyle="1" w:styleId="Level4">
    <w:name w:val="Level 4"/>
    <w:basedOn w:val="Normal"/>
    <w:rsid w:val="00145028"/>
    <w:pPr>
      <w:numPr>
        <w:ilvl w:val="3"/>
        <w:numId w:val="10"/>
      </w:numPr>
      <w:jc w:val="both"/>
    </w:pPr>
  </w:style>
  <w:style w:type="paragraph" w:customStyle="1" w:styleId="Level5">
    <w:name w:val="Level 5"/>
    <w:basedOn w:val="Normal"/>
    <w:rsid w:val="00145028"/>
    <w:pPr>
      <w:numPr>
        <w:ilvl w:val="4"/>
        <w:numId w:val="10"/>
      </w:numPr>
      <w:jc w:val="both"/>
    </w:pPr>
  </w:style>
  <w:style w:type="paragraph" w:customStyle="1" w:styleId="Level6">
    <w:name w:val="Level 6"/>
    <w:basedOn w:val="Normal"/>
    <w:rsid w:val="00145028"/>
    <w:pPr>
      <w:numPr>
        <w:ilvl w:val="5"/>
        <w:numId w:val="10"/>
      </w:numPr>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eastAsia="Times New Roman" w:hAnsi="Courier New" w:cs="Courier New"/>
      <w:kern w:val="20"/>
      <w:lang w:eastAsia="en-US"/>
    </w:rPr>
  </w:style>
  <w:style w:type="paragraph" w:customStyle="1" w:styleId="Note">
    <w:name w:val="Note"/>
    <w:basedOn w:val="Normal"/>
    <w:rsid w:val="00B17B3B"/>
    <w:pPr>
      <w:numPr>
        <w:numId w:val="1"/>
      </w:numPr>
      <w:spacing w:before="40" w:after="40"/>
      <w:jc w:val="both"/>
    </w:pPr>
    <w:rPr>
      <w:sz w:val="18"/>
    </w:rPr>
  </w:style>
  <w:style w:type="paragraph" w:customStyle="1" w:styleId="NoteBody">
    <w:name w:val="NoteBody"/>
    <w:basedOn w:val="Body"/>
    <w:rsid w:val="00A861DA"/>
    <w:pPr>
      <w:spacing w:before="40" w:after="40"/>
      <w:ind w:left="0"/>
    </w:pPr>
    <w:rPr>
      <w:sz w:val="18"/>
    </w:rPr>
  </w:style>
  <w:style w:type="paragraph" w:customStyle="1" w:styleId="Roman3-I1">
    <w:name w:val="Roman 3-(I)"/>
    <w:basedOn w:val="Normal"/>
    <w:rsid w:val="00C45822"/>
    <w:pPr>
      <w:numPr>
        <w:numId w:val="52"/>
      </w:numPr>
      <w:jc w:val="both"/>
    </w:pPr>
  </w:style>
  <w:style w:type="paragraph" w:customStyle="1" w:styleId="Roman3-I0">
    <w:name w:val="Roman 3-I"/>
    <w:basedOn w:val="Normal"/>
    <w:rsid w:val="006D45D6"/>
    <w:pPr>
      <w:numPr>
        <w:numId w:val="54"/>
      </w:numPr>
      <w:jc w:val="both"/>
    </w:pPr>
  </w:style>
  <w:style w:type="paragraph" w:customStyle="1" w:styleId="Roman2-i">
    <w:name w:val="Roman 2-(i)"/>
    <w:basedOn w:val="Normal"/>
    <w:rsid w:val="002B30EE"/>
    <w:pPr>
      <w:numPr>
        <w:numId w:val="51"/>
      </w:numPr>
      <w:jc w:val="both"/>
    </w:pPr>
  </w:style>
  <w:style w:type="paragraph" w:customStyle="1" w:styleId="Roman2-I1">
    <w:name w:val="Roman 2-(I)"/>
    <w:basedOn w:val="Normal"/>
    <w:rsid w:val="00083549"/>
    <w:pPr>
      <w:numPr>
        <w:numId w:val="3"/>
      </w:numPr>
      <w:jc w:val="both"/>
    </w:pPr>
  </w:style>
  <w:style w:type="paragraph" w:customStyle="1" w:styleId="Roman2-I0">
    <w:name w:val="Roman 2-I"/>
    <w:basedOn w:val="Normal"/>
    <w:rsid w:val="00083549"/>
    <w:pPr>
      <w:numPr>
        <w:numId w:val="4"/>
      </w:numPr>
      <w:jc w:val="both"/>
    </w:pPr>
  </w:style>
  <w:style w:type="paragraph" w:customStyle="1" w:styleId="Roman4-i1">
    <w:name w:val="Roman 4-(i)"/>
    <w:basedOn w:val="Normal"/>
    <w:rsid w:val="006D45D6"/>
    <w:pPr>
      <w:numPr>
        <w:numId w:val="56"/>
      </w:numPr>
      <w:jc w:val="both"/>
    </w:pPr>
  </w:style>
  <w:style w:type="paragraph" w:customStyle="1" w:styleId="Roman4-I0">
    <w:name w:val="Roman 4-(I)"/>
    <w:basedOn w:val="Normal"/>
    <w:rsid w:val="009D3B82"/>
    <w:pPr>
      <w:numPr>
        <w:numId w:val="55"/>
      </w:numPr>
      <w:jc w:val="both"/>
    </w:pPr>
  </w:style>
  <w:style w:type="paragraph" w:customStyle="1" w:styleId="Roman4-I">
    <w:name w:val="Roman 4-I"/>
    <w:basedOn w:val="Normal"/>
    <w:rsid w:val="006D45D6"/>
    <w:pPr>
      <w:numPr>
        <w:numId w:val="57"/>
      </w:numPr>
      <w:jc w:val="both"/>
    </w:pPr>
  </w:style>
  <w:style w:type="paragraph" w:customStyle="1" w:styleId="Roman5-i0">
    <w:name w:val="Roman 5-(i)"/>
    <w:basedOn w:val="Normal"/>
    <w:rsid w:val="006D45D6"/>
    <w:pPr>
      <w:numPr>
        <w:numId w:val="59"/>
      </w:numPr>
      <w:jc w:val="both"/>
    </w:pPr>
  </w:style>
  <w:style w:type="paragraph" w:customStyle="1" w:styleId="Roman5-I">
    <w:name w:val="Roman 5-(I)"/>
    <w:basedOn w:val="Normal"/>
    <w:rsid w:val="009D3B82"/>
    <w:pPr>
      <w:numPr>
        <w:numId w:val="58"/>
      </w:numPr>
      <w:jc w:val="both"/>
    </w:pPr>
  </w:style>
  <w:style w:type="paragraph" w:customStyle="1" w:styleId="Roman5-I1">
    <w:name w:val="Roman 5-I"/>
    <w:basedOn w:val="Normal"/>
    <w:rsid w:val="006D45D6"/>
    <w:pPr>
      <w:numPr>
        <w:numId w:val="60"/>
      </w:numPr>
      <w:jc w:val="both"/>
    </w:pPr>
  </w:style>
  <w:style w:type="paragraph" w:customStyle="1" w:styleId="Roman6-i1">
    <w:name w:val="Roman 6-(i)"/>
    <w:basedOn w:val="Normal"/>
    <w:rsid w:val="006D45D6"/>
    <w:pPr>
      <w:numPr>
        <w:numId w:val="62"/>
      </w:numPr>
      <w:jc w:val="both"/>
    </w:pPr>
  </w:style>
  <w:style w:type="paragraph" w:customStyle="1" w:styleId="Roman6-I">
    <w:name w:val="Roman 6-(I)"/>
    <w:basedOn w:val="Normal"/>
    <w:rsid w:val="009D3B82"/>
    <w:pPr>
      <w:numPr>
        <w:numId w:val="61"/>
      </w:numPr>
      <w:jc w:val="both"/>
    </w:pPr>
  </w:style>
  <w:style w:type="paragraph" w:customStyle="1" w:styleId="Roman6-I0">
    <w:name w:val="Roman 6-I"/>
    <w:basedOn w:val="Normal"/>
    <w:rsid w:val="006D45D6"/>
    <w:pPr>
      <w:numPr>
        <w:numId w:val="63"/>
      </w:numPr>
      <w:jc w:val="both"/>
    </w:pPr>
  </w:style>
  <w:style w:type="paragraph" w:customStyle="1" w:styleId="SmCellBody">
    <w:name w:val="SmCellBody"/>
    <w:basedOn w:val="CellBody"/>
    <w:rsid w:val="00B808AD"/>
    <w:rPr>
      <w:sz w:val="18"/>
    </w:rPr>
  </w:style>
  <w:style w:type="paragraph" w:customStyle="1" w:styleId="SmCellHead">
    <w:name w:val="SmCellHead"/>
    <w:basedOn w:val="CellHead"/>
    <w:rsid w:val="00B808AD"/>
    <w:rPr>
      <w:sz w:val="18"/>
    </w:rPr>
  </w:style>
  <w:style w:type="paragraph" w:customStyle="1" w:styleId="SmCell-Headitalic">
    <w:name w:val="SmCell-Headitalic"/>
    <w:basedOn w:val="CellHead"/>
    <w:rsid w:val="00B808AD"/>
    <w:pPr>
      <w:jc w:val="center"/>
    </w:pPr>
    <w:rPr>
      <w:b w:val="0"/>
      <w:i/>
      <w:sz w:val="18"/>
    </w:rPr>
  </w:style>
  <w:style w:type="paragraph" w:customStyle="1" w:styleId="SmCellNumber">
    <w:name w:val="SmCellNumber"/>
    <w:basedOn w:val="SmCellBody"/>
    <w:rsid w:val="00B808AD"/>
    <w:pPr>
      <w:numPr>
        <w:numId w:val="5"/>
      </w:numPr>
    </w:pPr>
  </w:style>
  <w:style w:type="paragraph" w:customStyle="1" w:styleId="SubHead">
    <w:name w:val="SubHead"/>
    <w:basedOn w:val="Normal"/>
    <w:next w:val="Body"/>
    <w:rsid w:val="00F54FE6"/>
    <w:pPr>
      <w:keepNext/>
      <w:spacing w:before="175" w:after="35"/>
      <w:ind w:left="425"/>
      <w:jc w:val="both"/>
      <w:outlineLvl w:val="1"/>
    </w:pPr>
    <w:rPr>
      <w:b/>
      <w:sz w:val="21"/>
    </w:rPr>
  </w:style>
  <w:style w:type="paragraph" w:customStyle="1" w:styleId="SubHeadItalic">
    <w:name w:val="SubHeadItalic"/>
    <w:basedOn w:val="SubHead"/>
    <w:next w:val="Body"/>
    <w:rsid w:val="00B825F8"/>
    <w:rPr>
      <w:b w:val="0"/>
      <w:i/>
    </w:rPr>
  </w:style>
  <w:style w:type="paragraph" w:customStyle="1" w:styleId="SubHeadItalicBold">
    <w:name w:val="SubHeadItalicBold"/>
    <w:basedOn w:val="SubHead"/>
    <w:next w:val="Body"/>
    <w:rPr>
      <w:i/>
    </w:rPr>
  </w:style>
  <w:style w:type="paragraph" w:customStyle="1" w:styleId="TableAlpha">
    <w:name w:val="Table Alpha"/>
    <w:basedOn w:val="CellBody"/>
    <w:rsid w:val="00BC5227"/>
    <w:pPr>
      <w:numPr>
        <w:numId w:val="25"/>
      </w:numPr>
      <w:jc w:val="both"/>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Roman">
    <w:name w:val="Table Roman"/>
    <w:basedOn w:val="CellBody"/>
    <w:rsid w:val="00D31D14"/>
    <w:pPr>
      <w:numPr>
        <w:numId w:val="9"/>
      </w:numPr>
      <w:tabs>
        <w:tab w:val="left" w:pos="425"/>
      </w:tabs>
      <w:jc w:val="both"/>
    </w:pPr>
  </w:style>
  <w:style w:type="paragraph" w:customStyle="1" w:styleId="FPTableCentre">
    <w:name w:val="FP Table Centre"/>
    <w:basedOn w:val="Normal"/>
    <w:rsid w:val="00D66714"/>
    <w:pPr>
      <w:keepNext/>
      <w:keepLines/>
      <w:spacing w:after="120"/>
      <w:jc w:val="center"/>
      <w:outlineLvl w:val="0"/>
    </w:pPr>
    <w:rPr>
      <w:b/>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semiHidden/>
    <w:pPr>
      <w:spacing w:before="60" w:after="60"/>
      <w:ind w:left="992"/>
    </w:pPr>
  </w:style>
  <w:style w:type="paragraph" w:styleId="TOC3">
    <w:name w:val="toc 3"/>
    <w:basedOn w:val="Normal"/>
    <w:next w:val="Normal"/>
    <w:semiHidden/>
    <w:pPr>
      <w:spacing w:before="60" w:after="60"/>
      <w:ind w:left="1843"/>
    </w:pPr>
  </w:style>
  <w:style w:type="paragraph" w:styleId="TOC4">
    <w:name w:val="toc 4"/>
    <w:basedOn w:val="Normal"/>
    <w:next w:val="Normal"/>
    <w:semiHidden/>
    <w:pPr>
      <w:spacing w:before="40" w:after="40"/>
      <w:ind w:left="2268"/>
    </w:pPr>
    <w:rPr>
      <w:sz w:val="18"/>
    </w:rPr>
  </w:style>
  <w:style w:type="paragraph" w:styleId="TOC5">
    <w:name w:val="toc 5"/>
    <w:basedOn w:val="Normal"/>
    <w:next w:val="Normal"/>
    <w:semiHidden/>
    <w:pPr>
      <w:ind w:left="2693"/>
    </w:pPr>
  </w:style>
  <w:style w:type="paragraph" w:styleId="TOC6">
    <w:name w:val="toc 6"/>
    <w:basedOn w:val="Normal"/>
    <w:next w:val="Normal"/>
    <w:semiHidden/>
    <w:pPr>
      <w:ind w:left="3119"/>
    </w:pPr>
  </w:style>
  <w:style w:type="paragraph" w:styleId="TOC7">
    <w:name w:val="toc 7"/>
    <w:basedOn w:val="Normal"/>
    <w:next w:val="Normal"/>
    <w:semiHidden/>
    <w:pPr>
      <w:ind w:left="1200"/>
    </w:pPr>
    <w:rPr>
      <w:sz w:val="18"/>
    </w:rPr>
  </w:style>
  <w:style w:type="paragraph" w:styleId="TOC8">
    <w:name w:val="toc 8"/>
    <w:basedOn w:val="Normal"/>
    <w:next w:val="Normal"/>
    <w:semiHidden/>
    <w:pPr>
      <w:ind w:left="1400"/>
    </w:pPr>
    <w:rPr>
      <w:sz w:val="18"/>
    </w:rPr>
  </w:style>
  <w:style w:type="paragraph" w:styleId="TOC9">
    <w:name w:val="toc 9"/>
    <w:basedOn w:val="Normal"/>
    <w:next w:val="Normal"/>
    <w:semiHidden/>
    <w:pPr>
      <w:ind w:left="1600"/>
    </w:pPr>
    <w:rPr>
      <w:sz w:val="18"/>
    </w:rPr>
  </w:style>
  <w:style w:type="paragraph" w:customStyle="1" w:styleId="VSmCellBody">
    <w:name w:val="VSmCellBody"/>
    <w:basedOn w:val="CellBody"/>
    <w:rsid w:val="00A52B17"/>
    <w:rPr>
      <w:sz w:val="17"/>
    </w:rPr>
  </w:style>
  <w:style w:type="paragraph" w:customStyle="1" w:styleId="VSmCellHead">
    <w:name w:val="VSmCellHead"/>
    <w:basedOn w:val="CellHead"/>
    <w:rsid w:val="00B808AD"/>
    <w:rPr>
      <w:sz w:val="17"/>
    </w:rPr>
  </w:style>
  <w:style w:type="paragraph" w:customStyle="1" w:styleId="VSmCell-Headitalic">
    <w:name w:val="VSmCell-Headitalic"/>
    <w:basedOn w:val="CellHead"/>
    <w:rsid w:val="006B4FC1"/>
    <w:pPr>
      <w:jc w:val="center"/>
    </w:pPr>
    <w:rPr>
      <w:b w:val="0"/>
      <w:i/>
      <w:sz w:val="17"/>
    </w:rPr>
  </w:style>
  <w:style w:type="paragraph" w:customStyle="1" w:styleId="VSmCellNumber">
    <w:name w:val="VSmCellNumber"/>
    <w:basedOn w:val="Normal"/>
    <w:rsid w:val="00A52B17"/>
    <w:pPr>
      <w:numPr>
        <w:numId w:val="6"/>
      </w:numPr>
      <w:spacing w:before="40" w:after="40"/>
    </w:pPr>
    <w:rPr>
      <w:sz w:val="17"/>
    </w:rPr>
  </w:style>
  <w:style w:type="paragraph" w:customStyle="1" w:styleId="Alpha3-a">
    <w:name w:val="Alpha 3-(a)"/>
    <w:basedOn w:val="Body"/>
    <w:rsid w:val="001F78DD"/>
    <w:pPr>
      <w:numPr>
        <w:numId w:val="31"/>
      </w:numPr>
    </w:pPr>
  </w:style>
  <w:style w:type="paragraph" w:customStyle="1" w:styleId="Alpha3-Aitalic">
    <w:name w:val="Alpha 3-(A) italic"/>
    <w:basedOn w:val="Normal"/>
    <w:rsid w:val="001F78DD"/>
    <w:pPr>
      <w:numPr>
        <w:numId w:val="45"/>
      </w:numPr>
      <w:jc w:val="both"/>
    </w:pPr>
    <w:rPr>
      <w:i/>
    </w:rPr>
  </w:style>
  <w:style w:type="paragraph" w:customStyle="1" w:styleId="Alpha4-Aitalic">
    <w:name w:val="Alpha 4-(A) italic"/>
    <w:basedOn w:val="Normal"/>
    <w:rsid w:val="001F78DD"/>
    <w:pPr>
      <w:numPr>
        <w:numId w:val="46"/>
      </w:numPr>
      <w:jc w:val="both"/>
    </w:pPr>
    <w:rPr>
      <w:i/>
    </w:rPr>
  </w:style>
  <w:style w:type="paragraph" w:customStyle="1" w:styleId="Alpha5-Aitalic">
    <w:name w:val="Alpha 5-(A) italic"/>
    <w:basedOn w:val="Normal"/>
    <w:rsid w:val="00380F94"/>
    <w:pPr>
      <w:numPr>
        <w:numId w:val="48"/>
      </w:numPr>
      <w:jc w:val="both"/>
    </w:pPr>
    <w:rPr>
      <w:i/>
    </w:rPr>
  </w:style>
  <w:style w:type="paragraph" w:styleId="Title">
    <w:name w:val="Title"/>
    <w:basedOn w:val="Normal"/>
    <w:qFormat/>
    <w:rsid w:val="00B17B3B"/>
    <w:pPr>
      <w:spacing w:before="240" w:after="60"/>
      <w:jc w:val="center"/>
      <w:outlineLvl w:val="0"/>
    </w:pPr>
    <w:rPr>
      <w:b/>
      <w:bCs/>
      <w:kern w:val="28"/>
      <w:sz w:val="25"/>
      <w:szCs w:val="32"/>
    </w:rPr>
  </w:style>
  <w:style w:type="table" w:styleId="TableGrid">
    <w:name w:val="Table Grid"/>
    <w:basedOn w:val="TableNormal"/>
    <w:rsid w:val="00CE1A85"/>
    <w:pPr>
      <w:spacing w:after="140" w:line="29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evel-Iblock">
    <w:name w:val="3Level-(I)block"/>
    <w:basedOn w:val="Normal"/>
    <w:rsid w:val="00A53740"/>
    <w:pPr>
      <w:numPr>
        <w:ilvl w:val="2"/>
        <w:numId w:val="49"/>
      </w:numPr>
    </w:pPr>
  </w:style>
  <w:style w:type="paragraph" w:customStyle="1" w:styleId="TableBullet">
    <w:name w:val="Table Bullet"/>
    <w:basedOn w:val="CellBody"/>
    <w:rsid w:val="008D2B8E"/>
    <w:pPr>
      <w:numPr>
        <w:numId w:val="50"/>
      </w:numPr>
      <w:jc w:val="both"/>
    </w:pPr>
  </w:style>
  <w:style w:type="character" w:customStyle="1" w:styleId="BodyZchn1">
    <w:name w:val="Body Zchn1"/>
    <w:link w:val="Body"/>
    <w:locked/>
    <w:rsid w:val="009D381E"/>
    <w:rPr>
      <w:rFonts w:eastAsia="Times New Roman"/>
      <w:kern w:val="20"/>
      <w:lang w:eastAsia="en-US"/>
    </w:rPr>
  </w:style>
  <w:style w:type="paragraph" w:customStyle="1" w:styleId="AODocTxt">
    <w:name w:val="AODocTxt"/>
    <w:basedOn w:val="Normal"/>
    <w:link w:val="AODocTxtChar"/>
    <w:rsid w:val="00786E72"/>
    <w:pPr>
      <w:numPr>
        <w:numId w:val="64"/>
      </w:numPr>
      <w:spacing w:before="240" w:after="0" w:line="260" w:lineRule="atLeast"/>
      <w:jc w:val="both"/>
    </w:pPr>
    <w:rPr>
      <w:rFonts w:eastAsia="SimSun"/>
      <w:kern w:val="0"/>
      <w:sz w:val="22"/>
      <w:szCs w:val="22"/>
    </w:rPr>
  </w:style>
  <w:style w:type="paragraph" w:customStyle="1" w:styleId="AODocTxtL1">
    <w:name w:val="AODocTxtL1"/>
    <w:basedOn w:val="AODocTxt"/>
    <w:rsid w:val="00786E72"/>
    <w:pPr>
      <w:numPr>
        <w:ilvl w:val="1"/>
      </w:numPr>
      <w:tabs>
        <w:tab w:val="num" w:pos="360"/>
        <w:tab w:val="num" w:pos="425"/>
      </w:tabs>
      <w:ind w:left="425" w:hanging="425"/>
    </w:pPr>
  </w:style>
  <w:style w:type="paragraph" w:customStyle="1" w:styleId="AODocTxtL2">
    <w:name w:val="AODocTxtL2"/>
    <w:basedOn w:val="AODocTxt"/>
    <w:rsid w:val="00786E72"/>
    <w:pPr>
      <w:numPr>
        <w:ilvl w:val="2"/>
      </w:numPr>
      <w:tabs>
        <w:tab w:val="num" w:pos="360"/>
        <w:tab w:val="num" w:pos="425"/>
      </w:tabs>
      <w:ind w:left="425" w:hanging="425"/>
    </w:pPr>
  </w:style>
  <w:style w:type="paragraph" w:customStyle="1" w:styleId="AODocTxtL3">
    <w:name w:val="AODocTxtL3"/>
    <w:basedOn w:val="AODocTxt"/>
    <w:rsid w:val="00786E72"/>
    <w:pPr>
      <w:numPr>
        <w:ilvl w:val="3"/>
      </w:numPr>
      <w:tabs>
        <w:tab w:val="num" w:pos="360"/>
        <w:tab w:val="num" w:pos="425"/>
      </w:tabs>
      <w:ind w:left="425" w:hanging="425"/>
    </w:pPr>
  </w:style>
  <w:style w:type="paragraph" w:customStyle="1" w:styleId="AODocTxtL4">
    <w:name w:val="AODocTxtL4"/>
    <w:basedOn w:val="AODocTxt"/>
    <w:rsid w:val="00786E72"/>
    <w:pPr>
      <w:numPr>
        <w:ilvl w:val="4"/>
      </w:numPr>
      <w:tabs>
        <w:tab w:val="num" w:pos="360"/>
        <w:tab w:val="num" w:pos="425"/>
      </w:tabs>
      <w:ind w:left="425" w:hanging="425"/>
    </w:pPr>
  </w:style>
  <w:style w:type="paragraph" w:customStyle="1" w:styleId="AODocTxtL5">
    <w:name w:val="AODocTxtL5"/>
    <w:basedOn w:val="AODocTxt"/>
    <w:rsid w:val="00786E72"/>
    <w:pPr>
      <w:numPr>
        <w:ilvl w:val="5"/>
      </w:numPr>
      <w:tabs>
        <w:tab w:val="num" w:pos="360"/>
        <w:tab w:val="num" w:pos="425"/>
      </w:tabs>
      <w:ind w:left="425" w:hanging="425"/>
    </w:pPr>
  </w:style>
  <w:style w:type="paragraph" w:customStyle="1" w:styleId="AODocTxtL6">
    <w:name w:val="AODocTxtL6"/>
    <w:basedOn w:val="AODocTxt"/>
    <w:rsid w:val="00786E72"/>
    <w:pPr>
      <w:numPr>
        <w:ilvl w:val="6"/>
      </w:numPr>
      <w:tabs>
        <w:tab w:val="num" w:pos="360"/>
        <w:tab w:val="num" w:pos="425"/>
      </w:tabs>
      <w:ind w:left="425" w:hanging="425"/>
    </w:pPr>
  </w:style>
  <w:style w:type="paragraph" w:customStyle="1" w:styleId="AODocTxtL7">
    <w:name w:val="AODocTxtL7"/>
    <w:basedOn w:val="AODocTxt"/>
    <w:rsid w:val="00786E72"/>
    <w:pPr>
      <w:numPr>
        <w:ilvl w:val="7"/>
      </w:numPr>
      <w:tabs>
        <w:tab w:val="num" w:pos="360"/>
        <w:tab w:val="num" w:pos="425"/>
      </w:tabs>
      <w:ind w:left="425" w:hanging="425"/>
    </w:pPr>
  </w:style>
  <w:style w:type="paragraph" w:customStyle="1" w:styleId="AODocTxtL8">
    <w:name w:val="AODocTxtL8"/>
    <w:basedOn w:val="AODocTxt"/>
    <w:rsid w:val="00786E72"/>
    <w:pPr>
      <w:numPr>
        <w:ilvl w:val="8"/>
      </w:numPr>
      <w:tabs>
        <w:tab w:val="num" w:pos="360"/>
        <w:tab w:val="num" w:pos="425"/>
      </w:tabs>
      <w:ind w:left="425" w:hanging="425"/>
    </w:pPr>
  </w:style>
  <w:style w:type="character" w:customStyle="1" w:styleId="AODocTxtChar">
    <w:name w:val="AODocTxt Char"/>
    <w:link w:val="AODocTxt"/>
    <w:rsid w:val="00786E72"/>
    <w:rPr>
      <w:sz w:val="22"/>
      <w:szCs w:val="22"/>
      <w:lang w:eastAsia="en-US"/>
    </w:rPr>
  </w:style>
  <w:style w:type="paragraph" w:styleId="Revision">
    <w:name w:val="Revision"/>
    <w:hidden/>
    <w:uiPriority w:val="99"/>
    <w:semiHidden/>
    <w:rsid w:val="006D3E95"/>
    <w:rPr>
      <w:rFonts w:eastAsia="Times New Roman"/>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854160">
      <w:bodyDiv w:val="1"/>
      <w:marLeft w:val="0"/>
      <w:marRight w:val="0"/>
      <w:marTop w:val="0"/>
      <w:marBottom w:val="0"/>
      <w:divBdr>
        <w:top w:val="none" w:sz="0" w:space="0" w:color="auto"/>
        <w:left w:val="none" w:sz="0" w:space="0" w:color="auto"/>
        <w:bottom w:val="none" w:sz="0" w:space="0" w:color="auto"/>
        <w:right w:val="none" w:sz="0" w:space="0" w:color="auto"/>
      </w:divBdr>
    </w:div>
    <w:div w:id="21443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liabilitymanagementeurope@morganstanley.com" TargetMode="External"/><Relationship Id="rId14" Type="http://schemas.openxmlformats.org/officeDocument/2006/relationships/header" Target="header3.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properties xmlns="http://www.imanage.com/work/xmlschema">
  <documentid>LLE!3208975403.8</documentid>
  <senderid>JASPER.HOLT@LINKLATERS.COM</senderid>
  <senderemail>JASPER.HOLT@LINKLATERS.COM</senderemail>
  <lastmodified>2025-05-08T12:31:00.0000000+01:00</lastmodified>
  <database>LLE</database>
</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2025-11-04T17:28:07+00:00</DateReceived>
    <TaxCatchAll xmlns="801a3cf6-255d-4ff5-98fe-b4415afa84b5" xsi:nil="true"/>
  </documentManagement>
</p:properties>
</file>

<file path=customXml/itemProps1.xml><?xml version="1.0" encoding="utf-8"?>
<ds:datastoreItem xmlns:ds="http://schemas.openxmlformats.org/officeDocument/2006/customXml" ds:itemID="{D9AF8CBD-1C0B-44F2-BB88-58D8E4953CB2}">
  <ds:schemaRefs>
    <ds:schemaRef ds:uri="http://schemas.microsoft.com/office/2006/customDocumentInformationPanel"/>
  </ds:schemaRefs>
</ds:datastoreItem>
</file>

<file path=customXml/itemProps2.xml><?xml version="1.0" encoding="utf-8"?>
<ds:datastoreItem xmlns:ds="http://schemas.openxmlformats.org/officeDocument/2006/customXml" ds:itemID="{279B58BE-2E1E-4715-ADAA-25694F2F58AA}">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9964C688-5560-49D0-BA20-EE63D72CDCD4}"/>
</file>

<file path=customXml/itemProps4.xml><?xml version="1.0" encoding="utf-8"?>
<ds:datastoreItem xmlns:ds="http://schemas.openxmlformats.org/officeDocument/2006/customXml" ds:itemID="{B17BDC51-202A-4976-927C-FC51F664C8FE}"/>
</file>

<file path=customXml/itemProps5.xml><?xml version="1.0" encoding="utf-8"?>
<ds:datastoreItem xmlns:ds="http://schemas.openxmlformats.org/officeDocument/2006/customXml" ds:itemID="{76183982-F062-484F-9FAB-B22E54BD5B24}"/>
</file>

<file path=docMetadata/LabelInfo.xml><?xml version="1.0" encoding="utf-8"?>
<clbl:labelList xmlns:clbl="http://schemas.microsoft.com/office/2020/mipLabelMetadata">
  <clbl:label id="{afd1e261-7434-4599-aee7-ce5b4bee8f6b}" enabled="1" method="Privileged" siteId="{303eb4ae-b8cc-4179-a39c-cb4c266dd28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3643</Words>
  <Characters>18728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OfferingCircular</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OfferingCircular</dc:title>
  <dc:subject/>
  <dc:creator>Any Authorised User</dc:creator>
  <cp:keywords/>
  <dc:description/>
  <cp:lastModifiedBy>Niamh Kennedy</cp:lastModifiedBy>
  <cp:revision>8</cp:revision>
  <cp:lastPrinted>2025-05-08T11:31:00Z</cp:lastPrinted>
  <dcterms:created xsi:type="dcterms:W3CDTF">2025-05-08T11:30:00Z</dcterms:created>
  <dcterms:modified xsi:type="dcterms:W3CDTF">2025-11-03T20:50:00Z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R.60</vt:lpwstr>
  </property>
  <property fmtid="{D5CDD505-2E9C-101B-9397-08002B2CF9AE}" pid="3" name="Client Code">
    <vt:lpwstr>10663834</vt:lpwstr>
  </property>
  <property fmtid="{D5CDD505-2E9C-101B-9397-08002B2CF9AE}" pid="4" name="DEDocumentLocation">
    <vt:lpwstr>C:\Users\dzmcgrat\OneDrive - Linklaters\Documents\Documentum\Checkout\Project Atlantic_Tender Launch Announcement .docx</vt:lpwstr>
  </property>
  <property fmtid="{D5CDD505-2E9C-101B-9397-08002B2CF9AE}" pid="5" name="Document Number">
    <vt:lpwstr>3208975403</vt:lpwstr>
  </property>
  <property fmtid="{D5CDD505-2E9C-101B-9397-08002B2CF9AE}" pid="6" name="Matter Number">
    <vt:lpwstr>L-358673</vt:lpwstr>
  </property>
  <property fmtid="{D5CDD505-2E9C-101B-9397-08002B2CF9AE}" pid="7" name="Last Modified">
    <vt:lpwstr>08 May 2025</vt:lpwstr>
  </property>
  <property fmtid="{D5CDD505-2E9C-101B-9397-08002B2CF9AE}" pid="8" name="Version">
    <vt:lpwstr>8</vt:lpwstr>
  </property>
  <property fmtid="{D5CDD505-2E9C-101B-9397-08002B2CF9AE}" pid="9" name="ContentTypeId">
    <vt:lpwstr>0x010100BE156B1CF39149A8843C57AB06C49AFE0011B886BEF4CCD94F85F46E94360FD412</vt:lpwstr>
  </property>
  <property fmtid="{D5CDD505-2E9C-101B-9397-08002B2CF9AE}" pid="10" name="MediaServiceImageTags">
    <vt:lpwstr/>
  </property>
</Properties>
</file>