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BBE" w:rsidRDefault="00533BBE">
      <w:bookmarkStart w:id="0" w:name="_GoBack"/>
      <w:bookmarkEnd w:id="0"/>
    </w:p>
    <w:p w:rsidR="00533BBE" w:rsidRDefault="00533BBE"/>
    <w:p w:rsidR="00533BBE" w:rsidRDefault="00533BBE">
      <w:pPr>
        <w:pStyle w:val="SectionTitle"/>
        <w:pBdr>
          <w:top w:val="single" w:sz="4" w:space="1" w:color="auto"/>
          <w:left w:val="single" w:sz="4" w:space="4" w:color="auto"/>
          <w:bottom w:val="single" w:sz="4" w:space="1" w:color="auto"/>
          <w:right w:val="single" w:sz="4" w:space="4" w:color="auto"/>
        </w:pBdr>
      </w:pPr>
      <w:r>
        <w:t>Standard Form TR-1</w:t>
      </w:r>
      <w:r>
        <w:br/>
      </w:r>
      <w:r>
        <w:rPr>
          <w:sz w:val="22"/>
          <w:szCs w:val="22"/>
        </w:rPr>
        <w:t>Voting rights attached to shares– Article 12(1) of directive 2004/109/EC</w:t>
      </w:r>
      <w:r>
        <w:rPr>
          <w:sz w:val="22"/>
          <w:szCs w:val="22"/>
        </w:rPr>
        <w:br/>
        <w:t>Financial instruments – Article 11(3) of the Commission Directive 2007/14/EC</w:t>
      </w:r>
      <w:r>
        <w:rPr>
          <w:rStyle w:val="EndnoteReference"/>
          <w:rFonts w:ascii="Footlight MT Light" w:hAnsi="Footlight MT Light"/>
          <w:b w:val="0"/>
          <w:bCs/>
          <w:caps/>
        </w:rPr>
        <w:endnoteReference w:id="1"/>
      </w:r>
    </w:p>
    <w:p w:rsidR="00533BBE" w:rsidRPr="00533BBE" w:rsidRDefault="00533BBE">
      <w:pPr>
        <w:spacing w:line="360" w:lineRule="auto"/>
        <w:rPr>
          <w:b/>
        </w:rPr>
      </w:pPr>
      <w:r>
        <w:rPr>
          <w:szCs w:val="22"/>
        </w:rPr>
        <w:t>1.</w:t>
      </w:r>
      <w:r>
        <w:rPr>
          <w:szCs w:val="22"/>
        </w:rPr>
        <w:tab/>
      </w:r>
      <w:r>
        <w:t>Identity of the issuer or the underlying issuer of existing shares to which voting rights are attached</w:t>
      </w:r>
      <w:r>
        <w:rPr>
          <w:rStyle w:val="EndnoteReference"/>
        </w:rPr>
        <w:t xml:space="preserve"> </w:t>
      </w:r>
      <w:r>
        <w:rPr>
          <w:rStyle w:val="EndnoteReference"/>
        </w:rPr>
        <w:endnoteReference w:id="2"/>
      </w:r>
      <w:r>
        <w:t xml:space="preserve">:  </w:t>
      </w:r>
      <w:r w:rsidR="0040548A">
        <w:rPr>
          <w:b/>
        </w:rPr>
        <w:t>Ryanair Holdings</w:t>
      </w:r>
      <w:r>
        <w:rPr>
          <w:b/>
        </w:rPr>
        <w:t xml:space="preserve"> Plc</w:t>
      </w:r>
    </w:p>
    <w:p w:rsidR="00533BBE" w:rsidRDefault="00533BBE">
      <w:pPr>
        <w:spacing w:line="360" w:lineRule="auto"/>
      </w:pPr>
      <w:r>
        <w:t>2.</w:t>
      </w:r>
      <w:r>
        <w:tab/>
        <w:t>Reason for the notification (please tick the appropriate box or boxes):</w:t>
      </w:r>
    </w:p>
    <w:p w:rsidR="00533BBE" w:rsidRDefault="00533BBE">
      <w:pPr>
        <w:pStyle w:val="Text1"/>
        <w:spacing w:line="360" w:lineRule="auto"/>
      </w:pPr>
      <w:r>
        <w:t>[</w:t>
      </w:r>
      <w:r>
        <w:rPr>
          <w:rFonts w:ascii="Monotype Sorts" w:hAnsi="Monotype Sorts"/>
        </w:rPr>
        <w:t></w:t>
      </w:r>
      <w:r>
        <w:t xml:space="preserve">] </w:t>
      </w:r>
      <w:r>
        <w:tab/>
        <w:t xml:space="preserve">an acquisition or disposal of voting rights </w:t>
      </w:r>
    </w:p>
    <w:p w:rsidR="00533BBE" w:rsidRDefault="00533BBE">
      <w:pPr>
        <w:pStyle w:val="Text1"/>
        <w:spacing w:line="360" w:lineRule="auto"/>
      </w:pPr>
      <w:r>
        <w:t xml:space="preserve">[ ] </w:t>
      </w:r>
      <w:r>
        <w:tab/>
        <w:t>an acquisition or disposal of financial instruments which may result in the acquisition of shares already issued to which voting rights are attached</w:t>
      </w:r>
    </w:p>
    <w:p w:rsidR="00533BBE" w:rsidRDefault="00533BBE">
      <w:pPr>
        <w:pStyle w:val="Text1"/>
        <w:spacing w:line="360" w:lineRule="auto"/>
      </w:pPr>
      <w:r>
        <w:t>[ ]</w:t>
      </w:r>
      <w:r>
        <w:tab/>
        <w:t xml:space="preserve">an event changing the breakdown of voting rights </w:t>
      </w:r>
    </w:p>
    <w:p w:rsidR="00533BBE" w:rsidRDefault="00533BBE">
      <w:pPr>
        <w:spacing w:line="360" w:lineRule="auto"/>
      </w:pPr>
      <w:r>
        <w:t>3.</w:t>
      </w:r>
      <w:r>
        <w:tab/>
        <w:t>Full name of person(s) subject to the notification obligation</w:t>
      </w:r>
      <w:r>
        <w:rPr>
          <w:rStyle w:val="EndnoteReference"/>
          <w:rFonts w:ascii="Footlight MT Light" w:hAnsi="Footlight MT Light"/>
          <w:b/>
          <w:sz w:val="20"/>
        </w:rPr>
        <w:endnoteReference w:id="3"/>
      </w:r>
      <w:r>
        <w:t>:</w:t>
      </w:r>
    </w:p>
    <w:p w:rsidR="00533BBE" w:rsidRPr="00533BBE" w:rsidRDefault="00533BBE">
      <w:pPr>
        <w:spacing w:line="360" w:lineRule="auto"/>
        <w:rPr>
          <w:b/>
        </w:rPr>
      </w:pPr>
      <w:r>
        <w:tab/>
      </w:r>
      <w:r w:rsidRPr="00533BBE">
        <w:rPr>
          <w:b/>
        </w:rPr>
        <w:t>Baillie Gifford &amp; Co</w:t>
      </w:r>
    </w:p>
    <w:p w:rsidR="00533BBE" w:rsidRDefault="00533BBE">
      <w:pPr>
        <w:spacing w:line="360" w:lineRule="auto"/>
      </w:pPr>
      <w:r>
        <w:t>4.</w:t>
      </w:r>
      <w:r>
        <w:tab/>
        <w:t>Full name of shareholder(s) (if different from 3.)</w:t>
      </w:r>
      <w:r>
        <w:rPr>
          <w:rStyle w:val="EndnoteReference"/>
          <w:rFonts w:ascii="Footlight MT Light" w:hAnsi="Footlight MT Light"/>
          <w:b/>
          <w:sz w:val="20"/>
        </w:rPr>
        <w:endnoteReference w:id="4"/>
      </w:r>
      <w:r>
        <w:t>:</w:t>
      </w:r>
    </w:p>
    <w:p w:rsidR="00533BBE" w:rsidRPr="00533BBE" w:rsidRDefault="00533BBE" w:rsidP="00533BBE">
      <w:pPr>
        <w:spacing w:line="360" w:lineRule="auto"/>
        <w:ind w:left="720"/>
        <w:rPr>
          <w:b/>
        </w:rPr>
      </w:pPr>
      <w:r w:rsidRPr="00533BBE">
        <w:rPr>
          <w:b/>
        </w:rPr>
        <w:t>Baillie Gifford Overseas Limited and Baillie Gifford &amp; Co as discretionary managers for their clients</w:t>
      </w:r>
    </w:p>
    <w:p w:rsidR="00533BBE" w:rsidRDefault="00533BBE">
      <w:pPr>
        <w:spacing w:line="360" w:lineRule="auto"/>
      </w:pPr>
      <w:r>
        <w:t xml:space="preserve">5. </w:t>
      </w:r>
      <w:r>
        <w:tab/>
        <w:t>Date of the transaction and date on which the threshold is crossed or reached</w:t>
      </w:r>
      <w:r>
        <w:rPr>
          <w:rStyle w:val="EndnoteReference"/>
          <w:rFonts w:ascii="Footlight MT Light" w:hAnsi="Footlight MT Light"/>
          <w:sz w:val="20"/>
        </w:rPr>
        <w:endnoteReference w:id="5"/>
      </w:r>
      <w:r>
        <w:t>:</w:t>
      </w:r>
    </w:p>
    <w:p w:rsidR="00533BBE" w:rsidRPr="00533BBE" w:rsidRDefault="00533BBE">
      <w:pPr>
        <w:spacing w:line="360" w:lineRule="auto"/>
        <w:rPr>
          <w:b/>
        </w:rPr>
      </w:pPr>
      <w:r>
        <w:tab/>
      </w:r>
      <w:r w:rsidR="00073B6B" w:rsidRPr="00073B6B">
        <w:rPr>
          <w:b/>
        </w:rPr>
        <w:t>10</w:t>
      </w:r>
      <w:r w:rsidR="00073B6B">
        <w:rPr>
          <w:b/>
        </w:rPr>
        <w:t xml:space="preserve"> January</w:t>
      </w:r>
      <w:r w:rsidRPr="00533BBE">
        <w:rPr>
          <w:b/>
        </w:rPr>
        <w:t xml:space="preserve"> 201</w:t>
      </w:r>
      <w:r w:rsidR="00073B6B">
        <w:rPr>
          <w:b/>
        </w:rPr>
        <w:t>3</w:t>
      </w:r>
    </w:p>
    <w:p w:rsidR="00533BBE" w:rsidRDefault="00533BBE">
      <w:pPr>
        <w:spacing w:line="360" w:lineRule="auto"/>
      </w:pPr>
      <w:r>
        <w:t>6</w:t>
      </w:r>
      <w:r w:rsidR="004C31F9">
        <w:t>.</w:t>
      </w:r>
      <w:r w:rsidR="004C31F9">
        <w:tab/>
        <w:t>Date on which issuer notified:</w:t>
      </w:r>
    </w:p>
    <w:p w:rsidR="00533BBE" w:rsidRPr="00533BBE" w:rsidRDefault="00533BBE">
      <w:pPr>
        <w:spacing w:line="360" w:lineRule="auto"/>
        <w:rPr>
          <w:b/>
        </w:rPr>
      </w:pPr>
      <w:r>
        <w:tab/>
      </w:r>
      <w:r w:rsidR="00270C7A">
        <w:rPr>
          <w:b/>
        </w:rPr>
        <w:t>1</w:t>
      </w:r>
      <w:r w:rsidR="00073B6B">
        <w:rPr>
          <w:b/>
        </w:rPr>
        <w:t>1 January 2013</w:t>
      </w:r>
    </w:p>
    <w:p w:rsidR="00533BBE" w:rsidRDefault="00533BBE">
      <w:pPr>
        <w:spacing w:line="360" w:lineRule="auto"/>
      </w:pPr>
      <w:r>
        <w:t xml:space="preserve">7. </w:t>
      </w:r>
      <w:r>
        <w:tab/>
        <w:t xml:space="preserve">Threshold(s) that is/are crossed or reached: </w:t>
      </w:r>
    </w:p>
    <w:p w:rsidR="00533BBE" w:rsidRPr="00533BBE" w:rsidRDefault="00533BBE">
      <w:pPr>
        <w:spacing w:line="360" w:lineRule="auto"/>
        <w:rPr>
          <w:b/>
        </w:rPr>
      </w:pPr>
      <w:r>
        <w:tab/>
      </w:r>
      <w:r w:rsidR="00073B6B">
        <w:rPr>
          <w:b/>
        </w:rPr>
        <w:t>4</w:t>
      </w:r>
      <w:r w:rsidRPr="00533BBE">
        <w:rPr>
          <w:b/>
        </w:rPr>
        <w:t>%</w:t>
      </w:r>
    </w:p>
    <w:p w:rsidR="00533BBE" w:rsidRDefault="00533BBE">
      <w:pPr>
        <w:spacing w:line="360" w:lineRule="auto"/>
      </w:pPr>
      <w:r>
        <w:t xml:space="preserve">8. </w:t>
      </w:r>
      <w:r>
        <w:tab/>
        <w:t xml:space="preserve">Notified details: </w:t>
      </w:r>
    </w:p>
    <w:tbl>
      <w:tblPr>
        <w:tblW w:w="8931"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1800"/>
        <w:gridCol w:w="1177"/>
        <w:gridCol w:w="1134"/>
        <w:gridCol w:w="1134"/>
        <w:gridCol w:w="992"/>
        <w:gridCol w:w="993"/>
        <w:gridCol w:w="850"/>
        <w:gridCol w:w="851"/>
      </w:tblGrid>
      <w:tr w:rsidR="00533BBE">
        <w:trPr>
          <w:cantSplit/>
        </w:trPr>
        <w:tc>
          <w:tcPr>
            <w:tcW w:w="8931" w:type="dxa"/>
            <w:gridSpan w:val="8"/>
          </w:tcPr>
          <w:p w:rsidR="00533BBE" w:rsidRDefault="00533BBE">
            <w:pPr>
              <w:spacing w:line="360" w:lineRule="auto"/>
              <w:rPr>
                <w:b/>
                <w:sz w:val="20"/>
              </w:rPr>
            </w:pPr>
            <w:r>
              <w:rPr>
                <w:b/>
                <w:sz w:val="20"/>
              </w:rPr>
              <w:t>A) Voting rights attached to shares</w:t>
            </w:r>
          </w:p>
        </w:tc>
      </w:tr>
      <w:tr w:rsidR="00533BBE" w:rsidTr="00104174">
        <w:trPr>
          <w:cantSplit/>
        </w:trPr>
        <w:tc>
          <w:tcPr>
            <w:tcW w:w="1800" w:type="dxa"/>
            <w:vMerge w:val="restart"/>
          </w:tcPr>
          <w:p w:rsidR="00533BBE" w:rsidRDefault="00533BBE">
            <w:pPr>
              <w:spacing w:line="360" w:lineRule="auto"/>
              <w:rPr>
                <w:sz w:val="20"/>
              </w:rPr>
            </w:pPr>
            <w:r>
              <w:rPr>
                <w:sz w:val="20"/>
              </w:rPr>
              <w:t>Class/type of shares (if possible using the ISIN CODE)</w:t>
            </w:r>
          </w:p>
        </w:tc>
        <w:tc>
          <w:tcPr>
            <w:tcW w:w="2311" w:type="dxa"/>
            <w:gridSpan w:val="2"/>
          </w:tcPr>
          <w:p w:rsidR="00533BBE" w:rsidRDefault="00533BBE">
            <w:pPr>
              <w:spacing w:line="360" w:lineRule="auto"/>
              <w:rPr>
                <w:sz w:val="20"/>
              </w:rPr>
            </w:pPr>
            <w:r>
              <w:rPr>
                <w:sz w:val="20"/>
              </w:rPr>
              <w:t xml:space="preserve">Situation previous to the Triggering transaction </w:t>
            </w:r>
            <w:r>
              <w:rPr>
                <w:rStyle w:val="EndnoteReference"/>
                <w:sz w:val="20"/>
              </w:rPr>
              <w:endnoteReference w:id="6"/>
            </w:r>
          </w:p>
        </w:tc>
        <w:tc>
          <w:tcPr>
            <w:tcW w:w="4820" w:type="dxa"/>
            <w:gridSpan w:val="5"/>
          </w:tcPr>
          <w:p w:rsidR="00533BBE" w:rsidRDefault="00533BBE">
            <w:pPr>
              <w:spacing w:line="360" w:lineRule="auto"/>
              <w:rPr>
                <w:sz w:val="20"/>
              </w:rPr>
            </w:pPr>
            <w:r>
              <w:rPr>
                <w:sz w:val="20"/>
              </w:rPr>
              <w:t>Resulting situation after the triggering transaction</w:t>
            </w:r>
            <w:r>
              <w:rPr>
                <w:rStyle w:val="EndnoteReference"/>
                <w:sz w:val="20"/>
              </w:rPr>
              <w:endnoteReference w:id="7"/>
            </w:r>
          </w:p>
        </w:tc>
      </w:tr>
      <w:tr w:rsidR="00533BBE" w:rsidTr="00F46968">
        <w:trPr>
          <w:cantSplit/>
        </w:trPr>
        <w:tc>
          <w:tcPr>
            <w:tcW w:w="1800" w:type="dxa"/>
            <w:vMerge/>
          </w:tcPr>
          <w:p w:rsidR="00533BBE" w:rsidRDefault="00533BBE">
            <w:pPr>
              <w:numPr>
                <w:ilvl w:val="0"/>
                <w:numId w:val="1"/>
              </w:numPr>
              <w:spacing w:line="360" w:lineRule="auto"/>
              <w:rPr>
                <w:sz w:val="20"/>
              </w:rPr>
            </w:pPr>
          </w:p>
        </w:tc>
        <w:tc>
          <w:tcPr>
            <w:tcW w:w="1177" w:type="dxa"/>
            <w:vMerge w:val="restart"/>
          </w:tcPr>
          <w:p w:rsidR="00533BBE" w:rsidRDefault="00533BBE">
            <w:pPr>
              <w:spacing w:line="360" w:lineRule="auto"/>
              <w:rPr>
                <w:sz w:val="20"/>
              </w:rPr>
            </w:pPr>
            <w:r>
              <w:rPr>
                <w:sz w:val="20"/>
              </w:rPr>
              <w:t>Number of Shares</w:t>
            </w:r>
            <w:r>
              <w:rPr>
                <w:rStyle w:val="EndnoteReference"/>
                <w:sz w:val="20"/>
              </w:rPr>
              <w:endnoteReference w:id="8"/>
            </w:r>
          </w:p>
        </w:tc>
        <w:tc>
          <w:tcPr>
            <w:tcW w:w="1134" w:type="dxa"/>
            <w:vMerge w:val="restart"/>
          </w:tcPr>
          <w:p w:rsidR="00533BBE" w:rsidRDefault="00533BBE">
            <w:pPr>
              <w:spacing w:line="360" w:lineRule="auto"/>
              <w:rPr>
                <w:sz w:val="20"/>
              </w:rPr>
            </w:pPr>
            <w:r>
              <w:rPr>
                <w:sz w:val="20"/>
              </w:rPr>
              <w:t>Number of Voting rights</w:t>
            </w:r>
            <w:r>
              <w:rPr>
                <w:rStyle w:val="EndnoteReference"/>
                <w:sz w:val="20"/>
              </w:rPr>
              <w:endnoteReference w:id="9"/>
            </w:r>
          </w:p>
        </w:tc>
        <w:tc>
          <w:tcPr>
            <w:tcW w:w="1134" w:type="dxa"/>
          </w:tcPr>
          <w:p w:rsidR="00533BBE" w:rsidRDefault="00533BBE">
            <w:pPr>
              <w:spacing w:line="360" w:lineRule="auto"/>
              <w:rPr>
                <w:sz w:val="20"/>
              </w:rPr>
            </w:pPr>
            <w:r>
              <w:rPr>
                <w:sz w:val="20"/>
              </w:rPr>
              <w:t>Number of shares</w:t>
            </w:r>
            <w:r>
              <w:rPr>
                <w:rStyle w:val="EndnoteReference"/>
                <w:sz w:val="20"/>
              </w:rPr>
              <w:endnoteReference w:id="10"/>
            </w:r>
          </w:p>
        </w:tc>
        <w:tc>
          <w:tcPr>
            <w:tcW w:w="1985" w:type="dxa"/>
            <w:gridSpan w:val="2"/>
          </w:tcPr>
          <w:p w:rsidR="00533BBE" w:rsidRDefault="00533BBE">
            <w:pPr>
              <w:spacing w:line="360" w:lineRule="auto"/>
              <w:rPr>
                <w:sz w:val="20"/>
              </w:rPr>
            </w:pPr>
            <w:r>
              <w:rPr>
                <w:sz w:val="20"/>
              </w:rPr>
              <w:t>Number of voting rights</w:t>
            </w:r>
            <w:r>
              <w:rPr>
                <w:rStyle w:val="EndnoteReference"/>
                <w:sz w:val="20"/>
              </w:rPr>
              <w:endnoteReference w:id="11"/>
            </w:r>
          </w:p>
        </w:tc>
        <w:tc>
          <w:tcPr>
            <w:tcW w:w="1701" w:type="dxa"/>
            <w:gridSpan w:val="2"/>
          </w:tcPr>
          <w:p w:rsidR="00533BBE" w:rsidRDefault="00533BBE">
            <w:pPr>
              <w:spacing w:line="360" w:lineRule="auto"/>
              <w:rPr>
                <w:sz w:val="20"/>
              </w:rPr>
            </w:pPr>
            <w:r>
              <w:rPr>
                <w:sz w:val="20"/>
              </w:rPr>
              <w:t>% of voting rights</w:t>
            </w:r>
          </w:p>
        </w:tc>
      </w:tr>
      <w:tr w:rsidR="00533BBE" w:rsidTr="0040548A">
        <w:trPr>
          <w:cantSplit/>
        </w:trPr>
        <w:tc>
          <w:tcPr>
            <w:tcW w:w="1800" w:type="dxa"/>
            <w:vMerge/>
          </w:tcPr>
          <w:p w:rsidR="00533BBE" w:rsidRDefault="00533BBE">
            <w:pPr>
              <w:numPr>
                <w:ilvl w:val="0"/>
                <w:numId w:val="1"/>
              </w:numPr>
              <w:spacing w:line="360" w:lineRule="auto"/>
              <w:rPr>
                <w:sz w:val="20"/>
              </w:rPr>
            </w:pPr>
          </w:p>
        </w:tc>
        <w:tc>
          <w:tcPr>
            <w:tcW w:w="1177" w:type="dxa"/>
            <w:vMerge/>
          </w:tcPr>
          <w:p w:rsidR="00533BBE" w:rsidRDefault="00533BBE">
            <w:pPr>
              <w:numPr>
                <w:ilvl w:val="0"/>
                <w:numId w:val="1"/>
              </w:numPr>
              <w:spacing w:line="360" w:lineRule="auto"/>
              <w:rPr>
                <w:sz w:val="20"/>
              </w:rPr>
            </w:pPr>
          </w:p>
        </w:tc>
        <w:tc>
          <w:tcPr>
            <w:tcW w:w="1134" w:type="dxa"/>
            <w:vMerge/>
          </w:tcPr>
          <w:p w:rsidR="00533BBE" w:rsidRDefault="00533BBE">
            <w:pPr>
              <w:numPr>
                <w:ilvl w:val="0"/>
                <w:numId w:val="1"/>
              </w:numPr>
              <w:spacing w:line="360" w:lineRule="auto"/>
              <w:rPr>
                <w:sz w:val="20"/>
              </w:rPr>
            </w:pPr>
          </w:p>
        </w:tc>
        <w:tc>
          <w:tcPr>
            <w:tcW w:w="1134" w:type="dxa"/>
          </w:tcPr>
          <w:p w:rsidR="00533BBE" w:rsidRDefault="00533BBE">
            <w:pPr>
              <w:spacing w:line="360" w:lineRule="auto"/>
              <w:rPr>
                <w:sz w:val="20"/>
              </w:rPr>
            </w:pPr>
            <w:r>
              <w:rPr>
                <w:sz w:val="20"/>
              </w:rPr>
              <w:t>Direct</w:t>
            </w:r>
          </w:p>
        </w:tc>
        <w:tc>
          <w:tcPr>
            <w:tcW w:w="992" w:type="dxa"/>
          </w:tcPr>
          <w:p w:rsidR="00533BBE" w:rsidRDefault="00533BBE">
            <w:pPr>
              <w:spacing w:line="360" w:lineRule="auto"/>
              <w:rPr>
                <w:sz w:val="20"/>
              </w:rPr>
            </w:pPr>
            <w:r>
              <w:rPr>
                <w:sz w:val="20"/>
              </w:rPr>
              <w:t>Direct</w:t>
            </w:r>
            <w:r>
              <w:rPr>
                <w:rStyle w:val="EndnoteReference"/>
                <w:sz w:val="20"/>
              </w:rPr>
              <w:endnoteReference w:id="12"/>
            </w:r>
          </w:p>
        </w:tc>
        <w:tc>
          <w:tcPr>
            <w:tcW w:w="993" w:type="dxa"/>
          </w:tcPr>
          <w:p w:rsidR="00533BBE" w:rsidRDefault="00533BBE">
            <w:pPr>
              <w:spacing w:line="360" w:lineRule="auto"/>
              <w:rPr>
                <w:sz w:val="20"/>
              </w:rPr>
            </w:pPr>
            <w:r>
              <w:rPr>
                <w:sz w:val="20"/>
              </w:rPr>
              <w:t>Indirect</w:t>
            </w:r>
            <w:r>
              <w:rPr>
                <w:rStyle w:val="EndnoteReference"/>
                <w:sz w:val="20"/>
              </w:rPr>
              <w:endnoteReference w:id="13"/>
            </w:r>
          </w:p>
        </w:tc>
        <w:tc>
          <w:tcPr>
            <w:tcW w:w="850" w:type="dxa"/>
          </w:tcPr>
          <w:p w:rsidR="00533BBE" w:rsidRDefault="00533BBE">
            <w:pPr>
              <w:spacing w:line="360" w:lineRule="auto"/>
              <w:rPr>
                <w:sz w:val="20"/>
              </w:rPr>
            </w:pPr>
            <w:r>
              <w:rPr>
                <w:sz w:val="20"/>
              </w:rPr>
              <w:t>Direct</w:t>
            </w:r>
          </w:p>
        </w:tc>
        <w:tc>
          <w:tcPr>
            <w:tcW w:w="851" w:type="dxa"/>
          </w:tcPr>
          <w:p w:rsidR="00533BBE" w:rsidRDefault="00533BBE">
            <w:pPr>
              <w:spacing w:line="360" w:lineRule="auto"/>
              <w:rPr>
                <w:sz w:val="20"/>
              </w:rPr>
            </w:pPr>
            <w:r>
              <w:rPr>
                <w:sz w:val="20"/>
              </w:rPr>
              <w:t>Indirect</w:t>
            </w:r>
          </w:p>
        </w:tc>
      </w:tr>
      <w:tr w:rsidR="0040548A" w:rsidTr="0040548A">
        <w:trPr>
          <w:trHeight w:val="287"/>
        </w:trPr>
        <w:tc>
          <w:tcPr>
            <w:tcW w:w="1800" w:type="dxa"/>
          </w:tcPr>
          <w:p w:rsidR="0040548A" w:rsidRDefault="0040548A">
            <w:pPr>
              <w:spacing w:line="360" w:lineRule="auto"/>
              <w:rPr>
                <w:b/>
                <w:sz w:val="16"/>
                <w:szCs w:val="16"/>
              </w:rPr>
            </w:pPr>
            <w:r>
              <w:rPr>
                <w:b/>
                <w:sz w:val="16"/>
                <w:szCs w:val="16"/>
              </w:rPr>
              <w:t>Ordinary</w:t>
            </w:r>
          </w:p>
          <w:p w:rsidR="0040548A" w:rsidRPr="00F46968" w:rsidRDefault="0040548A">
            <w:pPr>
              <w:spacing w:line="360" w:lineRule="auto"/>
              <w:rPr>
                <w:b/>
                <w:sz w:val="16"/>
                <w:szCs w:val="16"/>
              </w:rPr>
            </w:pPr>
            <w:r>
              <w:rPr>
                <w:b/>
                <w:sz w:val="16"/>
                <w:szCs w:val="16"/>
              </w:rPr>
              <w:t>(IE00B1GKF381)</w:t>
            </w:r>
          </w:p>
        </w:tc>
        <w:tc>
          <w:tcPr>
            <w:tcW w:w="1177" w:type="dxa"/>
          </w:tcPr>
          <w:p w:rsidR="0040548A" w:rsidRPr="00F46968" w:rsidRDefault="00073B6B" w:rsidP="00533BBE">
            <w:pPr>
              <w:spacing w:line="360" w:lineRule="auto"/>
              <w:jc w:val="both"/>
              <w:rPr>
                <w:b/>
                <w:sz w:val="16"/>
                <w:szCs w:val="16"/>
              </w:rPr>
            </w:pPr>
            <w:r>
              <w:rPr>
                <w:b/>
                <w:sz w:val="16"/>
                <w:szCs w:val="16"/>
              </w:rPr>
              <w:t>22851706</w:t>
            </w:r>
          </w:p>
        </w:tc>
        <w:tc>
          <w:tcPr>
            <w:tcW w:w="1134" w:type="dxa"/>
          </w:tcPr>
          <w:p w:rsidR="0040548A" w:rsidRPr="00F46968" w:rsidRDefault="00073B6B" w:rsidP="00104174">
            <w:pPr>
              <w:spacing w:line="360" w:lineRule="auto"/>
              <w:rPr>
                <w:b/>
                <w:sz w:val="16"/>
                <w:szCs w:val="16"/>
              </w:rPr>
            </w:pPr>
            <w:r>
              <w:rPr>
                <w:b/>
                <w:sz w:val="16"/>
                <w:szCs w:val="16"/>
              </w:rPr>
              <w:t>22851706</w:t>
            </w:r>
          </w:p>
        </w:tc>
        <w:tc>
          <w:tcPr>
            <w:tcW w:w="1134" w:type="dxa"/>
          </w:tcPr>
          <w:p w:rsidR="0040548A" w:rsidRPr="00F46968" w:rsidRDefault="0040548A" w:rsidP="00104174">
            <w:pPr>
              <w:spacing w:line="360" w:lineRule="auto"/>
              <w:rPr>
                <w:b/>
                <w:sz w:val="16"/>
                <w:szCs w:val="16"/>
              </w:rPr>
            </w:pPr>
          </w:p>
        </w:tc>
        <w:tc>
          <w:tcPr>
            <w:tcW w:w="992" w:type="dxa"/>
          </w:tcPr>
          <w:p w:rsidR="0040548A" w:rsidRPr="00F46968" w:rsidRDefault="00073B6B" w:rsidP="00104174">
            <w:pPr>
              <w:spacing w:line="360" w:lineRule="auto"/>
              <w:rPr>
                <w:b/>
                <w:sz w:val="16"/>
                <w:szCs w:val="16"/>
              </w:rPr>
            </w:pPr>
            <w:r>
              <w:rPr>
                <w:b/>
                <w:sz w:val="16"/>
                <w:szCs w:val="16"/>
              </w:rPr>
              <w:t>31915383</w:t>
            </w:r>
          </w:p>
        </w:tc>
        <w:tc>
          <w:tcPr>
            <w:tcW w:w="993" w:type="dxa"/>
          </w:tcPr>
          <w:p w:rsidR="0040548A" w:rsidRDefault="0040548A" w:rsidP="00104174">
            <w:pPr>
              <w:spacing w:line="360" w:lineRule="auto"/>
              <w:rPr>
                <w:b/>
                <w:sz w:val="16"/>
                <w:szCs w:val="16"/>
              </w:rPr>
            </w:pPr>
            <w:r>
              <w:rPr>
                <w:b/>
                <w:sz w:val="16"/>
                <w:szCs w:val="16"/>
              </w:rPr>
              <w:t>-</w:t>
            </w:r>
          </w:p>
        </w:tc>
        <w:tc>
          <w:tcPr>
            <w:tcW w:w="850" w:type="dxa"/>
          </w:tcPr>
          <w:p w:rsidR="0040548A" w:rsidRDefault="00073B6B" w:rsidP="00FD1764">
            <w:pPr>
              <w:spacing w:line="360" w:lineRule="auto"/>
              <w:rPr>
                <w:b/>
                <w:sz w:val="16"/>
                <w:szCs w:val="16"/>
              </w:rPr>
            </w:pPr>
            <w:r>
              <w:rPr>
                <w:b/>
                <w:sz w:val="16"/>
                <w:szCs w:val="16"/>
              </w:rPr>
              <w:t>2.2</w:t>
            </w:r>
            <w:r w:rsidR="00FD1764">
              <w:rPr>
                <w:b/>
                <w:sz w:val="16"/>
                <w:szCs w:val="16"/>
              </w:rPr>
              <w:t>1</w:t>
            </w:r>
            <w:r w:rsidR="0040548A">
              <w:rPr>
                <w:b/>
                <w:sz w:val="16"/>
                <w:szCs w:val="16"/>
              </w:rPr>
              <w:t>%</w:t>
            </w:r>
          </w:p>
        </w:tc>
        <w:tc>
          <w:tcPr>
            <w:tcW w:w="851" w:type="dxa"/>
          </w:tcPr>
          <w:p w:rsidR="0040548A" w:rsidRDefault="0040548A" w:rsidP="00104174">
            <w:pPr>
              <w:spacing w:line="360" w:lineRule="auto"/>
              <w:rPr>
                <w:b/>
                <w:sz w:val="16"/>
                <w:szCs w:val="16"/>
              </w:rPr>
            </w:pPr>
            <w:r>
              <w:rPr>
                <w:b/>
                <w:sz w:val="16"/>
                <w:szCs w:val="16"/>
              </w:rPr>
              <w:t>-</w:t>
            </w:r>
          </w:p>
        </w:tc>
      </w:tr>
      <w:tr w:rsidR="00533BBE" w:rsidTr="0040548A">
        <w:trPr>
          <w:trHeight w:val="287"/>
        </w:trPr>
        <w:tc>
          <w:tcPr>
            <w:tcW w:w="1800" w:type="dxa"/>
          </w:tcPr>
          <w:p w:rsidR="00533BBE" w:rsidRDefault="0040548A">
            <w:pPr>
              <w:spacing w:line="360" w:lineRule="auto"/>
              <w:rPr>
                <w:b/>
                <w:sz w:val="16"/>
                <w:szCs w:val="16"/>
              </w:rPr>
            </w:pPr>
            <w:r>
              <w:rPr>
                <w:b/>
                <w:sz w:val="16"/>
                <w:szCs w:val="16"/>
              </w:rPr>
              <w:t>ADR</w:t>
            </w:r>
          </w:p>
          <w:p w:rsidR="0040548A" w:rsidRPr="00F46968" w:rsidRDefault="0040548A">
            <w:pPr>
              <w:spacing w:line="360" w:lineRule="auto"/>
              <w:rPr>
                <w:b/>
                <w:sz w:val="16"/>
                <w:szCs w:val="16"/>
              </w:rPr>
            </w:pPr>
            <w:r>
              <w:rPr>
                <w:b/>
                <w:sz w:val="16"/>
                <w:szCs w:val="16"/>
              </w:rPr>
              <w:t>(US7835131043)</w:t>
            </w:r>
          </w:p>
        </w:tc>
        <w:tc>
          <w:tcPr>
            <w:tcW w:w="1177" w:type="dxa"/>
          </w:tcPr>
          <w:p w:rsidR="00533BBE" w:rsidRPr="00F46968" w:rsidRDefault="00073B6B" w:rsidP="00533BBE">
            <w:pPr>
              <w:spacing w:line="360" w:lineRule="auto"/>
              <w:jc w:val="both"/>
              <w:rPr>
                <w:b/>
                <w:sz w:val="16"/>
                <w:szCs w:val="16"/>
              </w:rPr>
            </w:pPr>
            <w:r>
              <w:rPr>
                <w:b/>
                <w:sz w:val="16"/>
                <w:szCs w:val="16"/>
              </w:rPr>
              <w:t>4174552</w:t>
            </w:r>
          </w:p>
        </w:tc>
        <w:tc>
          <w:tcPr>
            <w:tcW w:w="1134" w:type="dxa"/>
          </w:tcPr>
          <w:p w:rsidR="00533BBE" w:rsidRPr="00F46968" w:rsidRDefault="00073B6B" w:rsidP="00104174">
            <w:pPr>
              <w:spacing w:line="360" w:lineRule="auto"/>
              <w:rPr>
                <w:b/>
                <w:sz w:val="16"/>
                <w:szCs w:val="16"/>
              </w:rPr>
            </w:pPr>
            <w:r>
              <w:rPr>
                <w:b/>
                <w:sz w:val="16"/>
                <w:szCs w:val="16"/>
              </w:rPr>
              <w:t>20872760</w:t>
            </w:r>
          </w:p>
        </w:tc>
        <w:tc>
          <w:tcPr>
            <w:tcW w:w="1134" w:type="dxa"/>
          </w:tcPr>
          <w:p w:rsidR="00533BBE" w:rsidRPr="00F46968" w:rsidRDefault="00533BBE" w:rsidP="002825F7">
            <w:pPr>
              <w:spacing w:line="360" w:lineRule="auto"/>
              <w:rPr>
                <w:b/>
                <w:sz w:val="16"/>
                <w:szCs w:val="16"/>
              </w:rPr>
            </w:pPr>
          </w:p>
        </w:tc>
        <w:tc>
          <w:tcPr>
            <w:tcW w:w="992" w:type="dxa"/>
          </w:tcPr>
          <w:p w:rsidR="00533BBE" w:rsidRPr="00F46968" w:rsidRDefault="0040548A" w:rsidP="00104174">
            <w:pPr>
              <w:spacing w:line="360" w:lineRule="auto"/>
              <w:rPr>
                <w:b/>
                <w:sz w:val="16"/>
                <w:szCs w:val="16"/>
              </w:rPr>
            </w:pPr>
            <w:r>
              <w:rPr>
                <w:b/>
                <w:sz w:val="16"/>
                <w:szCs w:val="16"/>
              </w:rPr>
              <w:t>2</w:t>
            </w:r>
            <w:r w:rsidR="00073B6B">
              <w:rPr>
                <w:b/>
                <w:sz w:val="16"/>
                <w:szCs w:val="16"/>
              </w:rPr>
              <w:t>7091585</w:t>
            </w:r>
          </w:p>
        </w:tc>
        <w:tc>
          <w:tcPr>
            <w:tcW w:w="993" w:type="dxa"/>
          </w:tcPr>
          <w:p w:rsidR="00533BBE" w:rsidRPr="00F46968" w:rsidRDefault="00DE61AB" w:rsidP="00104174">
            <w:pPr>
              <w:spacing w:line="360" w:lineRule="auto"/>
              <w:rPr>
                <w:b/>
                <w:sz w:val="16"/>
                <w:szCs w:val="16"/>
              </w:rPr>
            </w:pPr>
            <w:r>
              <w:rPr>
                <w:b/>
                <w:sz w:val="16"/>
                <w:szCs w:val="16"/>
              </w:rPr>
              <w:t>-</w:t>
            </w:r>
          </w:p>
        </w:tc>
        <w:tc>
          <w:tcPr>
            <w:tcW w:w="850" w:type="dxa"/>
          </w:tcPr>
          <w:p w:rsidR="00533BBE" w:rsidRPr="00F46968" w:rsidRDefault="00574CBB" w:rsidP="00FD1764">
            <w:pPr>
              <w:spacing w:line="360" w:lineRule="auto"/>
              <w:rPr>
                <w:b/>
                <w:sz w:val="16"/>
                <w:szCs w:val="16"/>
              </w:rPr>
            </w:pPr>
            <w:r>
              <w:rPr>
                <w:b/>
                <w:sz w:val="16"/>
                <w:szCs w:val="16"/>
              </w:rPr>
              <w:t>1.8</w:t>
            </w:r>
            <w:r w:rsidR="00FD1764">
              <w:rPr>
                <w:b/>
                <w:sz w:val="16"/>
                <w:szCs w:val="16"/>
              </w:rPr>
              <w:t>7</w:t>
            </w:r>
            <w:r w:rsidR="0040548A">
              <w:rPr>
                <w:b/>
                <w:sz w:val="16"/>
                <w:szCs w:val="16"/>
              </w:rPr>
              <w:t>%</w:t>
            </w:r>
          </w:p>
        </w:tc>
        <w:tc>
          <w:tcPr>
            <w:tcW w:w="851" w:type="dxa"/>
          </w:tcPr>
          <w:p w:rsidR="00533BBE" w:rsidRPr="00F46968" w:rsidRDefault="00DE61AB" w:rsidP="00104174">
            <w:pPr>
              <w:spacing w:line="360" w:lineRule="auto"/>
              <w:rPr>
                <w:b/>
                <w:sz w:val="16"/>
                <w:szCs w:val="16"/>
              </w:rPr>
            </w:pPr>
            <w:r>
              <w:rPr>
                <w:b/>
                <w:sz w:val="16"/>
                <w:szCs w:val="16"/>
              </w:rPr>
              <w:t>-</w:t>
            </w:r>
          </w:p>
        </w:tc>
      </w:tr>
      <w:tr w:rsidR="00F46968" w:rsidTr="00F46968">
        <w:trPr>
          <w:trHeight w:val="464"/>
        </w:trPr>
        <w:tc>
          <w:tcPr>
            <w:tcW w:w="1800" w:type="dxa"/>
            <w:tcBorders>
              <w:top w:val="single" w:sz="12" w:space="0" w:color="auto"/>
              <w:left w:val="single" w:sz="12" w:space="0" w:color="auto"/>
              <w:bottom w:val="single" w:sz="12" w:space="0" w:color="auto"/>
              <w:right w:val="single" w:sz="12" w:space="0" w:color="auto"/>
            </w:tcBorders>
          </w:tcPr>
          <w:p w:rsidR="00F46968" w:rsidRPr="00F46968" w:rsidRDefault="00F46968">
            <w:pPr>
              <w:spacing w:line="360" w:lineRule="auto"/>
              <w:rPr>
                <w:sz w:val="18"/>
                <w:szCs w:val="18"/>
              </w:rPr>
            </w:pPr>
            <w:r w:rsidRPr="00F46968">
              <w:rPr>
                <w:b/>
                <w:sz w:val="18"/>
                <w:szCs w:val="18"/>
              </w:rPr>
              <w:lastRenderedPageBreak/>
              <w:t>SUBTOTAL A</w:t>
            </w:r>
            <w:r w:rsidRPr="00F46968">
              <w:rPr>
                <w:sz w:val="18"/>
                <w:szCs w:val="18"/>
              </w:rPr>
              <w:t xml:space="preserve"> (based on aggregate voting rights)</w:t>
            </w:r>
          </w:p>
        </w:tc>
        <w:tc>
          <w:tcPr>
            <w:tcW w:w="1177" w:type="dxa"/>
            <w:tcBorders>
              <w:top w:val="single" w:sz="12" w:space="0" w:color="auto"/>
              <w:left w:val="single" w:sz="12" w:space="0" w:color="auto"/>
              <w:bottom w:val="single" w:sz="12" w:space="0" w:color="auto"/>
              <w:right w:val="single" w:sz="12" w:space="0" w:color="auto"/>
            </w:tcBorders>
          </w:tcPr>
          <w:p w:rsidR="00F46968" w:rsidRPr="00F46968" w:rsidRDefault="009F1EFB" w:rsidP="00F46968">
            <w:pPr>
              <w:spacing w:line="360" w:lineRule="auto"/>
              <w:jc w:val="both"/>
              <w:rPr>
                <w:b/>
                <w:sz w:val="16"/>
                <w:szCs w:val="16"/>
              </w:rPr>
            </w:pPr>
            <w:r>
              <w:rPr>
                <w:b/>
                <w:sz w:val="16"/>
                <w:szCs w:val="16"/>
              </w:rPr>
              <w:t>27026258</w:t>
            </w:r>
          </w:p>
        </w:tc>
        <w:tc>
          <w:tcPr>
            <w:tcW w:w="1134" w:type="dxa"/>
            <w:tcBorders>
              <w:top w:val="single" w:sz="12" w:space="0" w:color="auto"/>
              <w:left w:val="single" w:sz="12" w:space="0" w:color="auto"/>
              <w:bottom w:val="single" w:sz="12" w:space="0" w:color="auto"/>
              <w:right w:val="single" w:sz="12" w:space="0" w:color="auto"/>
            </w:tcBorders>
          </w:tcPr>
          <w:p w:rsidR="00F46968" w:rsidRPr="00F46968" w:rsidRDefault="009F1EFB" w:rsidP="00F46968">
            <w:pPr>
              <w:spacing w:line="360" w:lineRule="auto"/>
              <w:rPr>
                <w:b/>
                <w:sz w:val="16"/>
                <w:szCs w:val="16"/>
              </w:rPr>
            </w:pPr>
            <w:r>
              <w:rPr>
                <w:b/>
                <w:sz w:val="16"/>
                <w:szCs w:val="16"/>
              </w:rPr>
              <w:t>43724466</w:t>
            </w:r>
          </w:p>
        </w:tc>
        <w:tc>
          <w:tcPr>
            <w:tcW w:w="1134" w:type="dxa"/>
            <w:tcBorders>
              <w:top w:val="single" w:sz="12" w:space="0" w:color="auto"/>
              <w:left w:val="single" w:sz="12" w:space="0" w:color="auto"/>
              <w:bottom w:val="single" w:sz="12" w:space="0" w:color="auto"/>
              <w:right w:val="single" w:sz="12" w:space="0" w:color="auto"/>
            </w:tcBorders>
          </w:tcPr>
          <w:p w:rsidR="00F46968" w:rsidRPr="00F46968" w:rsidRDefault="00F46968" w:rsidP="00F46968">
            <w:pPr>
              <w:spacing w:line="360" w:lineRule="auto"/>
              <w:rPr>
                <w:b/>
                <w:sz w:val="16"/>
                <w:szCs w:val="16"/>
              </w:rPr>
            </w:pPr>
          </w:p>
        </w:tc>
        <w:tc>
          <w:tcPr>
            <w:tcW w:w="1985" w:type="dxa"/>
            <w:gridSpan w:val="2"/>
            <w:tcBorders>
              <w:top w:val="single" w:sz="12" w:space="0" w:color="auto"/>
              <w:left w:val="single" w:sz="12" w:space="0" w:color="auto"/>
              <w:bottom w:val="single" w:sz="12" w:space="0" w:color="auto"/>
              <w:right w:val="single" w:sz="12" w:space="0" w:color="auto"/>
            </w:tcBorders>
          </w:tcPr>
          <w:p w:rsidR="00F46968" w:rsidRPr="0040548A" w:rsidRDefault="009F1EFB" w:rsidP="0040548A">
            <w:pPr>
              <w:spacing w:line="360" w:lineRule="auto"/>
              <w:rPr>
                <w:b/>
                <w:sz w:val="16"/>
                <w:szCs w:val="16"/>
              </w:rPr>
            </w:pPr>
            <w:r>
              <w:rPr>
                <w:b/>
                <w:sz w:val="16"/>
                <w:szCs w:val="16"/>
              </w:rPr>
              <w:t>59006968</w:t>
            </w:r>
          </w:p>
        </w:tc>
        <w:tc>
          <w:tcPr>
            <w:tcW w:w="1701" w:type="dxa"/>
            <w:gridSpan w:val="2"/>
            <w:tcBorders>
              <w:top w:val="single" w:sz="12" w:space="0" w:color="auto"/>
              <w:left w:val="single" w:sz="12" w:space="0" w:color="auto"/>
              <w:bottom w:val="single" w:sz="12" w:space="0" w:color="auto"/>
              <w:right w:val="single" w:sz="12" w:space="0" w:color="auto"/>
            </w:tcBorders>
          </w:tcPr>
          <w:p w:rsidR="00F46968" w:rsidRPr="0040548A" w:rsidRDefault="00574CBB" w:rsidP="00FD1764">
            <w:pPr>
              <w:spacing w:line="360" w:lineRule="auto"/>
              <w:rPr>
                <w:b/>
                <w:sz w:val="16"/>
                <w:szCs w:val="16"/>
              </w:rPr>
            </w:pPr>
            <w:r>
              <w:rPr>
                <w:b/>
                <w:sz w:val="16"/>
                <w:szCs w:val="16"/>
              </w:rPr>
              <w:t>4</w:t>
            </w:r>
            <w:r w:rsidR="0040548A" w:rsidRPr="0040548A">
              <w:rPr>
                <w:b/>
                <w:sz w:val="16"/>
                <w:szCs w:val="16"/>
              </w:rPr>
              <w:t>.0</w:t>
            </w:r>
            <w:r w:rsidR="00FD1764">
              <w:rPr>
                <w:b/>
                <w:sz w:val="16"/>
                <w:szCs w:val="16"/>
              </w:rPr>
              <w:t>8</w:t>
            </w:r>
            <w:r w:rsidR="0040548A" w:rsidRPr="0040548A">
              <w:rPr>
                <w:b/>
                <w:sz w:val="16"/>
                <w:szCs w:val="16"/>
              </w:rPr>
              <w:t>%</w:t>
            </w:r>
          </w:p>
        </w:tc>
      </w:tr>
    </w:tbl>
    <w:p w:rsidR="00533BBE" w:rsidRDefault="00533BBE">
      <w:pPr>
        <w:spacing w:line="360"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1680"/>
        <w:gridCol w:w="1920"/>
        <w:gridCol w:w="1920"/>
        <w:gridCol w:w="1752"/>
      </w:tblGrid>
      <w:tr w:rsidR="00533BBE">
        <w:tc>
          <w:tcPr>
            <w:tcW w:w="9072" w:type="dxa"/>
            <w:gridSpan w:val="5"/>
          </w:tcPr>
          <w:p w:rsidR="00533BBE" w:rsidRDefault="00533BBE">
            <w:pPr>
              <w:spacing w:line="360" w:lineRule="auto"/>
              <w:rPr>
                <w:b/>
                <w:sz w:val="20"/>
              </w:rPr>
            </w:pPr>
            <w:r>
              <w:rPr>
                <w:b/>
                <w:sz w:val="20"/>
              </w:rPr>
              <w:t>B) Financial Instruments</w:t>
            </w:r>
          </w:p>
        </w:tc>
      </w:tr>
      <w:tr w:rsidR="00533BBE">
        <w:tc>
          <w:tcPr>
            <w:tcW w:w="9072" w:type="dxa"/>
            <w:gridSpan w:val="5"/>
          </w:tcPr>
          <w:p w:rsidR="00533BBE" w:rsidRDefault="00533BBE">
            <w:pPr>
              <w:spacing w:line="360" w:lineRule="auto"/>
              <w:rPr>
                <w:sz w:val="20"/>
              </w:rPr>
            </w:pPr>
            <w:r>
              <w:rPr>
                <w:sz w:val="20"/>
              </w:rPr>
              <w:t>Resulting situation after the triggering transaction</w:t>
            </w:r>
            <w:r>
              <w:rPr>
                <w:rStyle w:val="EndnoteReference"/>
                <w:sz w:val="20"/>
              </w:rPr>
              <w:endnoteReference w:id="14"/>
            </w:r>
          </w:p>
        </w:tc>
      </w:tr>
      <w:tr w:rsidR="00533BBE">
        <w:tc>
          <w:tcPr>
            <w:tcW w:w="1800" w:type="dxa"/>
          </w:tcPr>
          <w:p w:rsidR="00533BBE" w:rsidRDefault="00533BBE">
            <w:pPr>
              <w:spacing w:line="360" w:lineRule="auto"/>
              <w:rPr>
                <w:sz w:val="20"/>
              </w:rPr>
            </w:pPr>
            <w:r>
              <w:rPr>
                <w:sz w:val="20"/>
              </w:rPr>
              <w:t xml:space="preserve">Type of financial instrument </w:t>
            </w:r>
          </w:p>
        </w:tc>
        <w:tc>
          <w:tcPr>
            <w:tcW w:w="1680" w:type="dxa"/>
          </w:tcPr>
          <w:p w:rsidR="00533BBE" w:rsidRDefault="00533BBE">
            <w:pPr>
              <w:spacing w:line="360" w:lineRule="auto"/>
              <w:rPr>
                <w:sz w:val="20"/>
              </w:rPr>
            </w:pPr>
            <w:r>
              <w:rPr>
                <w:sz w:val="20"/>
              </w:rPr>
              <w:t>Expiration Date</w:t>
            </w:r>
            <w:r>
              <w:rPr>
                <w:rStyle w:val="EndnoteReference"/>
                <w:sz w:val="20"/>
              </w:rPr>
              <w:endnoteReference w:id="15"/>
            </w:r>
          </w:p>
        </w:tc>
        <w:tc>
          <w:tcPr>
            <w:tcW w:w="1920" w:type="dxa"/>
          </w:tcPr>
          <w:p w:rsidR="00533BBE" w:rsidRDefault="00533BBE">
            <w:pPr>
              <w:spacing w:line="360" w:lineRule="auto"/>
              <w:rPr>
                <w:sz w:val="20"/>
              </w:rPr>
            </w:pPr>
            <w:r>
              <w:rPr>
                <w:sz w:val="20"/>
              </w:rPr>
              <w:t>Exercise/Conversion  Period/ Date</w:t>
            </w:r>
            <w:r>
              <w:rPr>
                <w:rStyle w:val="EndnoteReference"/>
                <w:sz w:val="20"/>
              </w:rPr>
              <w:endnoteReference w:id="16"/>
            </w:r>
          </w:p>
        </w:tc>
        <w:tc>
          <w:tcPr>
            <w:tcW w:w="1920" w:type="dxa"/>
          </w:tcPr>
          <w:p w:rsidR="00533BBE" w:rsidRDefault="00533BBE">
            <w:pPr>
              <w:spacing w:line="360" w:lineRule="auto"/>
              <w:rPr>
                <w:sz w:val="20"/>
              </w:rPr>
            </w:pPr>
            <w:r>
              <w:rPr>
                <w:sz w:val="20"/>
              </w:rPr>
              <w:t xml:space="preserve">Number of voting rights that may be acquired if the instrument is exercised/converted </w:t>
            </w:r>
          </w:p>
        </w:tc>
        <w:tc>
          <w:tcPr>
            <w:tcW w:w="1752" w:type="dxa"/>
          </w:tcPr>
          <w:p w:rsidR="00533BBE" w:rsidRDefault="00533BBE">
            <w:pPr>
              <w:spacing w:line="360" w:lineRule="auto"/>
              <w:rPr>
                <w:sz w:val="20"/>
              </w:rPr>
            </w:pPr>
            <w:r>
              <w:rPr>
                <w:sz w:val="20"/>
              </w:rPr>
              <w:t>% of voting rights</w:t>
            </w:r>
          </w:p>
        </w:tc>
      </w:tr>
      <w:tr w:rsidR="00533BBE">
        <w:tc>
          <w:tcPr>
            <w:tcW w:w="1800" w:type="dxa"/>
          </w:tcPr>
          <w:p w:rsidR="00533BBE" w:rsidRPr="0040548A" w:rsidRDefault="0040548A">
            <w:pPr>
              <w:spacing w:line="360" w:lineRule="auto"/>
              <w:rPr>
                <w:b/>
                <w:sz w:val="20"/>
              </w:rPr>
            </w:pPr>
            <w:r w:rsidRPr="0040548A">
              <w:rPr>
                <w:b/>
                <w:sz w:val="20"/>
              </w:rPr>
              <w:t>N/A</w:t>
            </w:r>
          </w:p>
        </w:tc>
        <w:tc>
          <w:tcPr>
            <w:tcW w:w="1680" w:type="dxa"/>
          </w:tcPr>
          <w:p w:rsidR="00533BBE" w:rsidRDefault="00533BBE">
            <w:pPr>
              <w:spacing w:line="360" w:lineRule="auto"/>
              <w:rPr>
                <w:sz w:val="20"/>
              </w:rPr>
            </w:pPr>
          </w:p>
        </w:tc>
        <w:tc>
          <w:tcPr>
            <w:tcW w:w="1920" w:type="dxa"/>
          </w:tcPr>
          <w:p w:rsidR="00533BBE" w:rsidRDefault="00533BBE">
            <w:pPr>
              <w:spacing w:line="360" w:lineRule="auto"/>
              <w:rPr>
                <w:sz w:val="20"/>
              </w:rPr>
            </w:pPr>
          </w:p>
        </w:tc>
        <w:tc>
          <w:tcPr>
            <w:tcW w:w="1920" w:type="dxa"/>
          </w:tcPr>
          <w:p w:rsidR="00533BBE" w:rsidRDefault="00533BBE">
            <w:pPr>
              <w:spacing w:line="360" w:lineRule="auto"/>
              <w:rPr>
                <w:sz w:val="20"/>
              </w:rPr>
            </w:pPr>
          </w:p>
        </w:tc>
        <w:tc>
          <w:tcPr>
            <w:tcW w:w="1752" w:type="dxa"/>
          </w:tcPr>
          <w:p w:rsidR="00533BBE" w:rsidRDefault="00533BBE">
            <w:pPr>
              <w:spacing w:line="360" w:lineRule="auto"/>
              <w:rPr>
                <w:sz w:val="20"/>
              </w:rPr>
            </w:pPr>
          </w:p>
        </w:tc>
      </w:tr>
      <w:tr w:rsidR="00533BBE">
        <w:tc>
          <w:tcPr>
            <w:tcW w:w="1800" w:type="dxa"/>
          </w:tcPr>
          <w:p w:rsidR="00533BBE" w:rsidRDefault="00533BBE">
            <w:pPr>
              <w:spacing w:line="360" w:lineRule="auto"/>
              <w:rPr>
                <w:sz w:val="20"/>
              </w:rPr>
            </w:pPr>
          </w:p>
        </w:tc>
        <w:tc>
          <w:tcPr>
            <w:tcW w:w="1680" w:type="dxa"/>
          </w:tcPr>
          <w:p w:rsidR="00533BBE" w:rsidRDefault="00533BBE">
            <w:pPr>
              <w:spacing w:line="360" w:lineRule="auto"/>
              <w:rPr>
                <w:sz w:val="20"/>
              </w:rPr>
            </w:pPr>
          </w:p>
        </w:tc>
        <w:tc>
          <w:tcPr>
            <w:tcW w:w="1920" w:type="dxa"/>
            <w:tcBorders>
              <w:bottom w:val="single" w:sz="12" w:space="0" w:color="auto"/>
            </w:tcBorders>
          </w:tcPr>
          <w:p w:rsidR="00533BBE" w:rsidRDefault="00533BBE">
            <w:pPr>
              <w:spacing w:line="360" w:lineRule="auto"/>
              <w:rPr>
                <w:sz w:val="20"/>
              </w:rPr>
            </w:pPr>
          </w:p>
        </w:tc>
        <w:tc>
          <w:tcPr>
            <w:tcW w:w="1920" w:type="dxa"/>
            <w:tcBorders>
              <w:bottom w:val="single" w:sz="12" w:space="0" w:color="auto"/>
            </w:tcBorders>
          </w:tcPr>
          <w:p w:rsidR="00533BBE" w:rsidRDefault="00533BBE">
            <w:pPr>
              <w:spacing w:line="360" w:lineRule="auto"/>
              <w:rPr>
                <w:sz w:val="20"/>
              </w:rPr>
            </w:pPr>
          </w:p>
        </w:tc>
        <w:tc>
          <w:tcPr>
            <w:tcW w:w="1752" w:type="dxa"/>
            <w:tcBorders>
              <w:bottom w:val="single" w:sz="12" w:space="0" w:color="auto"/>
            </w:tcBorders>
          </w:tcPr>
          <w:p w:rsidR="00533BBE" w:rsidRDefault="00533BBE">
            <w:pPr>
              <w:spacing w:line="360" w:lineRule="auto"/>
              <w:rPr>
                <w:sz w:val="20"/>
              </w:rPr>
            </w:pPr>
          </w:p>
        </w:tc>
      </w:tr>
      <w:tr w:rsidR="00533BBE">
        <w:trPr>
          <w:trHeight w:val="425"/>
        </w:trPr>
        <w:tc>
          <w:tcPr>
            <w:tcW w:w="3480" w:type="dxa"/>
            <w:gridSpan w:val="2"/>
            <w:tcBorders>
              <w:left w:val="nil"/>
              <w:bottom w:val="nil"/>
              <w:right w:val="single" w:sz="12" w:space="0" w:color="auto"/>
            </w:tcBorders>
          </w:tcPr>
          <w:p w:rsidR="00533BBE" w:rsidRDefault="00533BBE">
            <w:pPr>
              <w:spacing w:line="360" w:lineRule="auto"/>
              <w:rPr>
                <w:sz w:val="20"/>
              </w:rPr>
            </w:pPr>
          </w:p>
        </w:tc>
        <w:tc>
          <w:tcPr>
            <w:tcW w:w="1920" w:type="dxa"/>
            <w:tcBorders>
              <w:top w:val="single" w:sz="12" w:space="0" w:color="auto"/>
              <w:left w:val="single" w:sz="12" w:space="0" w:color="auto"/>
              <w:bottom w:val="single" w:sz="12" w:space="0" w:color="auto"/>
              <w:right w:val="single" w:sz="12" w:space="0" w:color="auto"/>
            </w:tcBorders>
          </w:tcPr>
          <w:p w:rsidR="00533BBE" w:rsidRDefault="00533BBE">
            <w:pPr>
              <w:spacing w:line="360" w:lineRule="auto"/>
              <w:rPr>
                <w:sz w:val="20"/>
              </w:rPr>
            </w:pPr>
            <w:r>
              <w:rPr>
                <w:b/>
                <w:sz w:val="20"/>
              </w:rPr>
              <w:t>SUBTOTAL B</w:t>
            </w:r>
            <w:r>
              <w:rPr>
                <w:sz w:val="20"/>
              </w:rPr>
              <w:t xml:space="preserve"> (in relation to all expiration dates)</w:t>
            </w:r>
          </w:p>
        </w:tc>
        <w:tc>
          <w:tcPr>
            <w:tcW w:w="1920" w:type="dxa"/>
            <w:tcBorders>
              <w:top w:val="single" w:sz="12" w:space="0" w:color="auto"/>
              <w:left w:val="single" w:sz="12" w:space="0" w:color="auto"/>
              <w:bottom w:val="single" w:sz="12" w:space="0" w:color="auto"/>
              <w:right w:val="single" w:sz="12" w:space="0" w:color="auto"/>
            </w:tcBorders>
          </w:tcPr>
          <w:p w:rsidR="00533BBE" w:rsidRDefault="00533BBE">
            <w:pPr>
              <w:spacing w:line="360" w:lineRule="auto"/>
              <w:rPr>
                <w:sz w:val="20"/>
              </w:rPr>
            </w:pPr>
          </w:p>
        </w:tc>
        <w:tc>
          <w:tcPr>
            <w:tcW w:w="1752" w:type="dxa"/>
            <w:tcBorders>
              <w:top w:val="single" w:sz="12" w:space="0" w:color="auto"/>
              <w:left w:val="single" w:sz="12" w:space="0" w:color="auto"/>
              <w:bottom w:val="single" w:sz="12" w:space="0" w:color="auto"/>
              <w:right w:val="single" w:sz="12" w:space="0" w:color="auto"/>
            </w:tcBorders>
          </w:tcPr>
          <w:p w:rsidR="00533BBE" w:rsidRDefault="00533BBE">
            <w:pPr>
              <w:spacing w:line="360" w:lineRule="auto"/>
              <w:rPr>
                <w:sz w:val="20"/>
              </w:rPr>
            </w:pPr>
          </w:p>
        </w:tc>
      </w:tr>
    </w:tbl>
    <w:p w:rsidR="00533BBE" w:rsidRDefault="00533BBE">
      <w:pPr>
        <w:spacing w:line="360"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7"/>
        <w:gridCol w:w="2166"/>
        <w:gridCol w:w="2138"/>
      </w:tblGrid>
      <w:tr w:rsidR="00533BBE">
        <w:tc>
          <w:tcPr>
            <w:tcW w:w="4536" w:type="dxa"/>
          </w:tcPr>
          <w:p w:rsidR="00533BBE" w:rsidRDefault="00533BBE">
            <w:pPr>
              <w:spacing w:line="360" w:lineRule="auto"/>
              <w:rPr>
                <w:b/>
                <w:sz w:val="20"/>
              </w:rPr>
            </w:pPr>
            <w:r>
              <w:rPr>
                <w:b/>
                <w:sz w:val="20"/>
              </w:rPr>
              <w:t>Total (A+B)</w:t>
            </w:r>
          </w:p>
        </w:tc>
        <w:tc>
          <w:tcPr>
            <w:tcW w:w="2322" w:type="dxa"/>
          </w:tcPr>
          <w:p w:rsidR="00533BBE" w:rsidRDefault="00533BBE">
            <w:pPr>
              <w:spacing w:line="360" w:lineRule="auto"/>
              <w:rPr>
                <w:b/>
                <w:sz w:val="20"/>
              </w:rPr>
            </w:pPr>
            <w:r>
              <w:rPr>
                <w:b/>
                <w:sz w:val="20"/>
              </w:rPr>
              <w:t>number of voting rights</w:t>
            </w:r>
          </w:p>
        </w:tc>
        <w:tc>
          <w:tcPr>
            <w:tcW w:w="2323" w:type="dxa"/>
          </w:tcPr>
          <w:p w:rsidR="00533BBE" w:rsidRDefault="00533BBE">
            <w:pPr>
              <w:spacing w:line="360" w:lineRule="auto"/>
              <w:rPr>
                <w:b/>
                <w:sz w:val="20"/>
              </w:rPr>
            </w:pPr>
            <w:r>
              <w:rPr>
                <w:b/>
                <w:sz w:val="20"/>
              </w:rPr>
              <w:t>% of voting rights</w:t>
            </w:r>
          </w:p>
        </w:tc>
      </w:tr>
      <w:tr w:rsidR="00533BBE">
        <w:tc>
          <w:tcPr>
            <w:tcW w:w="4536" w:type="dxa"/>
          </w:tcPr>
          <w:p w:rsidR="00533BBE" w:rsidRPr="0040548A" w:rsidRDefault="00270C7A">
            <w:pPr>
              <w:spacing w:line="360" w:lineRule="auto"/>
              <w:rPr>
                <w:b/>
                <w:sz w:val="20"/>
              </w:rPr>
            </w:pPr>
            <w:r w:rsidRPr="0040548A">
              <w:rPr>
                <w:b/>
                <w:sz w:val="20"/>
              </w:rPr>
              <w:t>43724466</w:t>
            </w:r>
          </w:p>
        </w:tc>
        <w:tc>
          <w:tcPr>
            <w:tcW w:w="2322" w:type="dxa"/>
          </w:tcPr>
          <w:p w:rsidR="00533BBE" w:rsidRPr="0040548A" w:rsidRDefault="009F1EFB">
            <w:pPr>
              <w:spacing w:line="360" w:lineRule="auto"/>
              <w:rPr>
                <w:b/>
                <w:sz w:val="20"/>
              </w:rPr>
            </w:pPr>
            <w:r>
              <w:rPr>
                <w:b/>
                <w:sz w:val="20"/>
              </w:rPr>
              <w:t>59006968</w:t>
            </w:r>
          </w:p>
        </w:tc>
        <w:tc>
          <w:tcPr>
            <w:tcW w:w="2323" w:type="dxa"/>
          </w:tcPr>
          <w:p w:rsidR="00533BBE" w:rsidRPr="0040548A" w:rsidRDefault="009F1EFB" w:rsidP="00FD1764">
            <w:pPr>
              <w:spacing w:line="360" w:lineRule="auto"/>
              <w:rPr>
                <w:b/>
                <w:sz w:val="20"/>
              </w:rPr>
            </w:pPr>
            <w:r>
              <w:rPr>
                <w:b/>
                <w:sz w:val="20"/>
              </w:rPr>
              <w:t>4</w:t>
            </w:r>
            <w:r w:rsidR="0040548A" w:rsidRPr="0040548A">
              <w:rPr>
                <w:b/>
                <w:sz w:val="20"/>
              </w:rPr>
              <w:t>.0</w:t>
            </w:r>
            <w:r w:rsidR="00FD1764">
              <w:rPr>
                <w:b/>
                <w:sz w:val="20"/>
              </w:rPr>
              <w:t>8</w:t>
            </w:r>
            <w:r w:rsidR="0040548A" w:rsidRPr="0040548A">
              <w:rPr>
                <w:b/>
                <w:sz w:val="20"/>
              </w:rPr>
              <w:t>%</w:t>
            </w:r>
          </w:p>
        </w:tc>
      </w:tr>
    </w:tbl>
    <w:p w:rsidR="00533BBE" w:rsidRDefault="00533BBE">
      <w:pPr>
        <w:spacing w:line="360" w:lineRule="auto"/>
      </w:pPr>
    </w:p>
    <w:p w:rsidR="00533BBE" w:rsidRDefault="00533BBE">
      <w:pPr>
        <w:spacing w:line="360" w:lineRule="auto"/>
      </w:pPr>
      <w:r>
        <w:t>9.</w:t>
      </w:r>
      <w:r>
        <w:tab/>
        <w:t>Chain of controlled undertakings through which the voting rights and/or the financial instruments</w:t>
      </w:r>
      <w:r>
        <w:rPr>
          <w:b/>
        </w:rPr>
        <w:t xml:space="preserve"> </w:t>
      </w:r>
      <w:r>
        <w:t>are effectively held, if applicable</w:t>
      </w:r>
      <w:r>
        <w:rPr>
          <w:rStyle w:val="EndnoteReference"/>
          <w:rFonts w:ascii="Footlight MT Light" w:hAnsi="Footlight MT Light"/>
          <w:b/>
          <w:sz w:val="20"/>
        </w:rPr>
        <w:endnoteReference w:id="17"/>
      </w:r>
      <w:r>
        <w:t xml:space="preserve">: </w:t>
      </w:r>
    </w:p>
    <w:p w:rsidR="00F46968" w:rsidRDefault="00F46968">
      <w:pPr>
        <w:spacing w:line="360" w:lineRule="auto"/>
        <w:rPr>
          <w:b/>
        </w:rPr>
      </w:pPr>
      <w:r>
        <w:rPr>
          <w:b/>
        </w:rPr>
        <w:t>Baillie Gifford &amp; Co. (Parent company)</w:t>
      </w:r>
    </w:p>
    <w:p w:rsidR="00F46968" w:rsidRPr="00F46968" w:rsidRDefault="00F46968">
      <w:pPr>
        <w:spacing w:line="360" w:lineRule="auto"/>
        <w:rPr>
          <w:b/>
        </w:rPr>
      </w:pPr>
      <w:r>
        <w:rPr>
          <w:b/>
        </w:rPr>
        <w:t xml:space="preserve">Baillie Gifford Overseas Limited (wholly owned subsidiary of </w:t>
      </w:r>
      <w:r w:rsidR="005817CF">
        <w:rPr>
          <w:b/>
        </w:rPr>
        <w:t xml:space="preserve">Baillie Gifford &amp; Co) </w:t>
      </w:r>
      <w:r w:rsidR="009F1EFB">
        <w:rPr>
          <w:b/>
        </w:rPr>
        <w:t>holds 1.9</w:t>
      </w:r>
      <w:r w:rsidR="006D6DD0">
        <w:rPr>
          <w:b/>
        </w:rPr>
        <w:t>4</w:t>
      </w:r>
      <w:r w:rsidR="00C232C8">
        <w:rPr>
          <w:b/>
        </w:rPr>
        <w:t xml:space="preserve">% </w:t>
      </w:r>
      <w:r>
        <w:rPr>
          <w:b/>
        </w:rPr>
        <w:t>as discretionary manager for its client</w:t>
      </w:r>
      <w:r w:rsidR="00EA23E5">
        <w:rPr>
          <w:b/>
        </w:rPr>
        <w:t>s</w:t>
      </w:r>
      <w:r>
        <w:rPr>
          <w:b/>
        </w:rPr>
        <w:t xml:space="preserve"> </w:t>
      </w:r>
    </w:p>
    <w:p w:rsidR="00F46968" w:rsidRDefault="00F46968">
      <w:pPr>
        <w:spacing w:line="360" w:lineRule="auto"/>
      </w:pPr>
    </w:p>
    <w:p w:rsidR="00533BBE" w:rsidRPr="00F46968" w:rsidRDefault="00533BBE">
      <w:pPr>
        <w:spacing w:line="360" w:lineRule="auto"/>
        <w:rPr>
          <w:b/>
        </w:rPr>
      </w:pPr>
      <w:r>
        <w:t>10.</w:t>
      </w:r>
      <w:r>
        <w:tab/>
        <w:t>In case of proxy voting:</w:t>
      </w:r>
      <w:r>
        <w:rPr>
          <w:b/>
        </w:rPr>
        <w:t xml:space="preserve"> </w:t>
      </w:r>
      <w:r w:rsidR="00F46968">
        <w:rPr>
          <w:b/>
        </w:rPr>
        <w:t>n/a</w:t>
      </w:r>
    </w:p>
    <w:p w:rsidR="00533BBE" w:rsidRDefault="00533BBE">
      <w:pPr>
        <w:spacing w:line="360" w:lineRule="auto"/>
      </w:pPr>
      <w:r>
        <w:t>11.</w:t>
      </w:r>
      <w:r>
        <w:tab/>
        <w:t>Additional information</w:t>
      </w:r>
      <w:r w:rsidRPr="00F46968">
        <w:rPr>
          <w:b/>
        </w:rPr>
        <w:t>:</w:t>
      </w:r>
      <w:r w:rsidR="00F46968" w:rsidRPr="00F46968">
        <w:rPr>
          <w:b/>
        </w:rPr>
        <w:t xml:space="preserve"> </w:t>
      </w:r>
      <w:r w:rsidR="009F1EFB">
        <w:rPr>
          <w:b/>
        </w:rPr>
        <w:t>n/a</w:t>
      </w:r>
      <w:r w:rsidR="00270C7A">
        <w:rPr>
          <w:b/>
        </w:rPr>
        <w:t xml:space="preserve"> </w:t>
      </w:r>
    </w:p>
    <w:p w:rsidR="00533BBE" w:rsidRDefault="00F46968">
      <w:pPr>
        <w:spacing w:line="360" w:lineRule="auto"/>
        <w:rPr>
          <w:b/>
        </w:rPr>
      </w:pPr>
      <w:r>
        <w:t xml:space="preserve">Done at </w:t>
      </w:r>
      <w:r>
        <w:rPr>
          <w:b/>
        </w:rPr>
        <w:t>Edinburgh</w:t>
      </w:r>
      <w:r>
        <w:t xml:space="preserve"> on </w:t>
      </w:r>
      <w:r w:rsidR="009F1EFB">
        <w:rPr>
          <w:b/>
        </w:rPr>
        <w:t>11 January</w:t>
      </w:r>
      <w:r>
        <w:rPr>
          <w:b/>
        </w:rPr>
        <w:t xml:space="preserve"> 201</w:t>
      </w:r>
      <w:r w:rsidR="009F1EFB">
        <w:rPr>
          <w:b/>
        </w:rPr>
        <w:t>3</w:t>
      </w:r>
      <w:r>
        <w:rPr>
          <w:b/>
        </w:rPr>
        <w:t xml:space="preserve">. </w:t>
      </w:r>
    </w:p>
    <w:p w:rsidR="00F46968" w:rsidRDefault="00F46968">
      <w:pPr>
        <w:spacing w:line="360" w:lineRule="auto"/>
        <w:rPr>
          <w:b/>
        </w:rPr>
      </w:pPr>
    </w:p>
    <w:p w:rsidR="00F46968" w:rsidRDefault="009F1EFB">
      <w:pPr>
        <w:spacing w:line="360" w:lineRule="auto"/>
        <w:rPr>
          <w:b/>
        </w:rPr>
      </w:pPr>
      <w:r>
        <w:rPr>
          <w:b/>
        </w:rPr>
        <w:t>Contact Name: Susie McBay</w:t>
      </w:r>
      <w:r w:rsidR="00F46968" w:rsidRPr="00F46968">
        <w:rPr>
          <w:b/>
        </w:rPr>
        <w:t>, Legal and Regulatory Reporting Manager</w:t>
      </w:r>
    </w:p>
    <w:p w:rsidR="00F46968" w:rsidRDefault="00F46968">
      <w:pPr>
        <w:spacing w:line="360" w:lineRule="auto"/>
        <w:rPr>
          <w:b/>
        </w:rPr>
      </w:pPr>
      <w:r>
        <w:rPr>
          <w:b/>
        </w:rPr>
        <w:tab/>
      </w:r>
      <w:r>
        <w:rPr>
          <w:b/>
        </w:rPr>
        <w:tab/>
        <w:t xml:space="preserve">   Legal Department</w:t>
      </w:r>
    </w:p>
    <w:p w:rsidR="00F46968" w:rsidRDefault="00F46968">
      <w:pPr>
        <w:spacing w:line="360" w:lineRule="auto"/>
        <w:rPr>
          <w:b/>
        </w:rPr>
      </w:pPr>
      <w:r>
        <w:rPr>
          <w:b/>
        </w:rPr>
        <w:tab/>
      </w:r>
      <w:r>
        <w:rPr>
          <w:b/>
        </w:rPr>
        <w:tab/>
        <w:t xml:space="preserve">   Baillie Gifford &amp; Co</w:t>
      </w:r>
    </w:p>
    <w:p w:rsidR="00F46968" w:rsidRPr="00F46968" w:rsidRDefault="00F46968">
      <w:pPr>
        <w:spacing w:line="360" w:lineRule="auto"/>
        <w:rPr>
          <w:b/>
        </w:rPr>
      </w:pPr>
      <w:r>
        <w:rPr>
          <w:b/>
        </w:rPr>
        <w:t>C</w:t>
      </w:r>
      <w:r w:rsidR="009F1EFB">
        <w:rPr>
          <w:b/>
        </w:rPr>
        <w:t xml:space="preserve">ontact Tel: </w:t>
      </w:r>
      <w:r w:rsidR="009F1EFB">
        <w:rPr>
          <w:b/>
        </w:rPr>
        <w:tab/>
        <w:t xml:space="preserve">   +44 131 275 3032</w:t>
      </w:r>
      <w:r>
        <w:rPr>
          <w:b/>
        </w:rPr>
        <w:tab/>
      </w:r>
    </w:p>
    <w:p w:rsidR="00F46968" w:rsidRPr="00F46968" w:rsidRDefault="00F46968">
      <w:pPr>
        <w:spacing w:line="360" w:lineRule="auto"/>
      </w:pPr>
    </w:p>
    <w:p w:rsidR="00533BBE" w:rsidRDefault="00533BBE">
      <w:pPr>
        <w:spacing w:line="360" w:lineRule="auto"/>
      </w:pPr>
    </w:p>
    <w:p w:rsidR="00533BBE" w:rsidRDefault="00533BBE">
      <w:pPr>
        <w:spacing w:line="360" w:lineRule="auto"/>
      </w:pPr>
    </w:p>
    <w:p w:rsidR="00533BBE" w:rsidRDefault="00533BBE">
      <w:pPr>
        <w:spacing w:line="360" w:lineRule="auto"/>
        <w:rPr>
          <w:b/>
          <w:bCs/>
          <w:u w:val="single"/>
        </w:rPr>
      </w:pPr>
      <w:r>
        <w:rPr>
          <w:b/>
          <w:bCs/>
          <w:u w:val="single"/>
        </w:rPr>
        <w:t>Notes to Form TR-1</w:t>
      </w:r>
    </w:p>
    <w:p w:rsidR="00533BBE" w:rsidRDefault="00533BBE"/>
    <w:sectPr w:rsidR="00533BBE" w:rsidSect="00C6253B">
      <w:footerReference w:type="even" r:id="rId12"/>
      <w:footerReference w:type="default" r:id="rId13"/>
      <w:headerReference w:type="first" r:id="rId14"/>
      <w:pgSz w:w="11907" w:h="16840" w:code="9"/>
      <w:pgMar w:top="1052" w:right="1797" w:bottom="1440" w:left="1797" w:header="720" w:footer="720" w:gutter="0"/>
      <w:pgNumType w:start="0"/>
      <w:cols w:space="720"/>
      <w:titlePg/>
      <w:docGrid w:linePitch="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CBB" w:rsidRDefault="00574CBB" w:rsidP="00533BBE">
      <w:r>
        <w:separator/>
      </w:r>
    </w:p>
  </w:endnote>
  <w:endnote w:type="continuationSeparator" w:id="0">
    <w:p w:rsidR="00574CBB" w:rsidRDefault="00574CBB" w:rsidP="00533BBE">
      <w:r>
        <w:continuationSeparator/>
      </w:r>
    </w:p>
  </w:endnote>
  <w:endnote w:id="1">
    <w:p w:rsidR="00574CBB" w:rsidRDefault="00574CBB">
      <w:pPr>
        <w:pStyle w:val="EndnoteText"/>
        <w:spacing w:before="0" w:after="0"/>
      </w:pPr>
      <w:r>
        <w:rPr>
          <w:rStyle w:val="EndnoteReference"/>
        </w:rPr>
        <w:endnoteRef/>
      </w:r>
      <w:r>
        <w:t xml:space="preserve"> </w:t>
      </w:r>
      <w:r>
        <w:tab/>
        <w:t>This form is to be sent to the issuer or underlying issuer and to be filed with the competent authority.</w:t>
      </w:r>
    </w:p>
    <w:p w:rsidR="00574CBB" w:rsidRDefault="00574CBB">
      <w:pPr>
        <w:pStyle w:val="EndnoteText"/>
        <w:spacing w:before="0" w:after="0"/>
      </w:pPr>
    </w:p>
  </w:endnote>
  <w:endnote w:id="2">
    <w:p w:rsidR="00574CBB" w:rsidRDefault="00574CBB">
      <w:pPr>
        <w:pStyle w:val="EndnoteText"/>
        <w:spacing w:before="0" w:after="0"/>
      </w:pPr>
      <w:r>
        <w:rPr>
          <w:rStyle w:val="EndnoteReference"/>
        </w:rPr>
        <w:endnoteRef/>
      </w:r>
      <w:r>
        <w:t xml:space="preserve"> </w:t>
      </w:r>
      <w:r>
        <w:tab/>
        <w:t xml:space="preserve">Either the full name of the legal entity or another method for identifying the issuer or underlying issuer, provided it is reliable and accurate. </w:t>
      </w:r>
    </w:p>
    <w:p w:rsidR="00574CBB" w:rsidRDefault="00574CBB">
      <w:pPr>
        <w:pStyle w:val="EndnoteText"/>
        <w:spacing w:before="0" w:after="0"/>
      </w:pPr>
    </w:p>
  </w:endnote>
  <w:endnote w:id="3">
    <w:p w:rsidR="00574CBB" w:rsidRDefault="00574CBB">
      <w:pPr>
        <w:pStyle w:val="EndnoteText"/>
        <w:spacing w:before="0" w:after="0"/>
      </w:pPr>
      <w:r>
        <w:rPr>
          <w:rStyle w:val="EndnoteReference"/>
        </w:rPr>
        <w:endnoteRef/>
      </w:r>
      <w:r>
        <w:t xml:space="preserve"> </w:t>
      </w:r>
      <w:r>
        <w:tab/>
        <w:t xml:space="preserve">This should be the full name of (a) the shareholder; (b) the natural person or legal entity acquiring, disposing of or exercising voting rights in the cases provided for in Article 10 (b) to (h) of Directive 2004/109/EC; (c) all the parties to the agreement referred to in Article 10 (a) of that Directive, or (d) the holder of financial instruments entitled to acquire shares already issued to which voting rights are attached, as appropriate. </w:t>
      </w:r>
    </w:p>
    <w:p w:rsidR="00574CBB" w:rsidRDefault="00574CBB">
      <w:pPr>
        <w:pStyle w:val="EndnoteText"/>
        <w:spacing w:before="0" w:after="0"/>
      </w:pPr>
    </w:p>
    <w:p w:rsidR="00574CBB" w:rsidRDefault="00574CBB">
      <w:pPr>
        <w:pStyle w:val="EndnoteText"/>
        <w:spacing w:before="0" w:after="0"/>
      </w:pPr>
      <w:r>
        <w:t xml:space="preserve">In relation to the transactions referred to in points (b) to (h) of Article 10 of that Directive, the following list is provided as indication of the persons who should be mentioned: </w:t>
      </w:r>
    </w:p>
    <w:p w:rsidR="00574CBB" w:rsidRDefault="00574CBB">
      <w:pPr>
        <w:pStyle w:val="EndnoteText"/>
        <w:spacing w:before="0" w:after="0"/>
      </w:pPr>
    </w:p>
    <w:p w:rsidR="00574CBB" w:rsidRDefault="00574CBB">
      <w:pPr>
        <w:pStyle w:val="EndnoteText"/>
        <w:spacing w:before="0" w:after="0"/>
      </w:pPr>
      <w:r>
        <w:t>-</w:t>
      </w:r>
      <w:r>
        <w:tab/>
        <w:t>in the circumstances foreseen in letter (b) of Article 10 of that Directive, the natural person or legal entity that acquires the voting rights and is entitled to exercise them under the agreement and the natural person or legal entity who is transferring temporarily for consideration the voting rights;</w:t>
      </w:r>
    </w:p>
    <w:p w:rsidR="00574CBB" w:rsidRDefault="00574CBB">
      <w:pPr>
        <w:pStyle w:val="EndnoteText"/>
        <w:spacing w:before="0" w:after="0"/>
      </w:pPr>
    </w:p>
    <w:p w:rsidR="00574CBB" w:rsidRDefault="00574CBB">
      <w:pPr>
        <w:pStyle w:val="EndnoteText"/>
        <w:spacing w:before="0" w:after="0"/>
      </w:pPr>
      <w:r>
        <w:t>-</w:t>
      </w:r>
      <w:r>
        <w:tab/>
        <w:t>in the circumstances foreseen in letter (c) of Article 10 of that Directive, the natural person or legal entity holding the collateral, provided the person or entity controls the voting rights and declares its intention of exercising them, and natural person or legal entity lodging the collateral under these conditions;</w:t>
      </w:r>
    </w:p>
    <w:p w:rsidR="00574CBB" w:rsidRDefault="00574CBB">
      <w:pPr>
        <w:pStyle w:val="EndnoteText"/>
        <w:spacing w:before="0" w:after="0"/>
      </w:pPr>
    </w:p>
    <w:p w:rsidR="00574CBB" w:rsidRDefault="00574CBB">
      <w:pPr>
        <w:pStyle w:val="EndnoteText"/>
        <w:spacing w:before="0" w:after="0"/>
      </w:pPr>
      <w:r>
        <w:t>-</w:t>
      </w:r>
      <w:r>
        <w:tab/>
        <w:t>in the circumstances foreseen in letter (d) of Article 10 of that Directive,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574CBB" w:rsidRDefault="00574CBB">
      <w:pPr>
        <w:pStyle w:val="EndnoteText"/>
        <w:spacing w:before="0" w:after="0"/>
      </w:pPr>
    </w:p>
    <w:p w:rsidR="00574CBB" w:rsidRDefault="00574CBB">
      <w:pPr>
        <w:pStyle w:val="EndnoteText"/>
        <w:spacing w:before="0" w:after="0"/>
      </w:pPr>
      <w:r>
        <w:t>-</w:t>
      </w:r>
      <w:r>
        <w:tab/>
        <w:t xml:space="preserve">in the circumstances foreseen in letter (e) of Article 10 of that Directive, the controlling natural person or legal entity and, provided it has a notification duty at an individual level under Article 9, under letters (a) to (d) of Article 10 of that Directive or under a combination of any of those situations, the controlled undertaking; </w:t>
      </w:r>
    </w:p>
    <w:p w:rsidR="00574CBB" w:rsidRDefault="00574CBB">
      <w:pPr>
        <w:pStyle w:val="EndnoteText"/>
        <w:spacing w:before="0" w:after="0"/>
      </w:pPr>
    </w:p>
    <w:p w:rsidR="00574CBB" w:rsidRDefault="00574CBB">
      <w:pPr>
        <w:pStyle w:val="EndnoteText"/>
        <w:spacing w:before="0" w:after="0"/>
      </w:pPr>
      <w:r>
        <w:t>-</w:t>
      </w:r>
      <w:r>
        <w:tab/>
        <w:t>in the circumstances foreseen in letter (f) of Article 10 of that Directive, the deposit taker of the shares, if he can exercise the voting rights attached to the shares deposited with him at his discretion, and the depositor of the shares allowing the deposit taker to exercise the voting rights at his discretion;</w:t>
      </w:r>
    </w:p>
    <w:p w:rsidR="00574CBB" w:rsidRDefault="00574CBB">
      <w:pPr>
        <w:pStyle w:val="EndnoteText"/>
        <w:spacing w:before="0" w:after="0"/>
      </w:pPr>
    </w:p>
    <w:p w:rsidR="00574CBB" w:rsidRDefault="00574CBB">
      <w:pPr>
        <w:pStyle w:val="EndnoteText"/>
        <w:spacing w:before="0" w:after="0"/>
      </w:pPr>
      <w:r>
        <w:t>-</w:t>
      </w:r>
      <w:r>
        <w:tab/>
        <w:t>in the circumstances foreseen in letter (g) of Article 10 of that Directive, the natural person or legal entity that controls the voting rights;</w:t>
      </w:r>
    </w:p>
    <w:p w:rsidR="00574CBB" w:rsidRDefault="00574CBB">
      <w:pPr>
        <w:pStyle w:val="EndnoteText"/>
        <w:spacing w:before="0" w:after="0"/>
      </w:pPr>
    </w:p>
    <w:p w:rsidR="00574CBB" w:rsidRDefault="00574CBB">
      <w:pPr>
        <w:pStyle w:val="EndnoteText"/>
        <w:spacing w:before="0" w:after="0"/>
      </w:pPr>
      <w:r>
        <w:t>-</w:t>
      </w:r>
      <w:r>
        <w:tab/>
        <w:t>in the circumstances foreseen in letter (h) of Article 10 of that Directive, the proxy holder, if he can exercise the voting rights at his discretion, and the shareholder who has given his proxy to the proxy holder allowing the latter to exercise the voting rights at his discretion.</w:t>
      </w:r>
    </w:p>
  </w:endnote>
  <w:endnote w:id="4">
    <w:p w:rsidR="00574CBB" w:rsidRDefault="00574CBB">
      <w:pPr>
        <w:pStyle w:val="EndnoteText"/>
        <w:spacing w:before="0" w:after="0"/>
      </w:pPr>
      <w:r>
        <w:rPr>
          <w:rStyle w:val="EndnoteReference"/>
        </w:rPr>
        <w:endnoteRef/>
      </w:r>
      <w:r>
        <w:t xml:space="preserve"> </w:t>
      </w:r>
      <w:r>
        <w:tab/>
        <w:t xml:space="preserve">Applicable in the cases provided for in Article 10 (b) to (h) of Directive 2004/109/EC. This should be the full name of the shareholder who is the counterparty to the natural person or legal entity referred to in Article 10 of that Directive unless the holdings of the shareholder would be lower than 5% of the total number of voting rights. </w:t>
      </w:r>
    </w:p>
    <w:p w:rsidR="00574CBB" w:rsidRDefault="00574CBB">
      <w:pPr>
        <w:pStyle w:val="EndnoteText"/>
        <w:spacing w:before="0" w:after="0"/>
      </w:pPr>
    </w:p>
  </w:endnote>
  <w:endnote w:id="5">
    <w:p w:rsidR="00574CBB" w:rsidRDefault="00574CBB">
      <w:pPr>
        <w:pStyle w:val="EndnoteText"/>
        <w:spacing w:before="0" w:after="0"/>
      </w:pPr>
      <w:r>
        <w:rPr>
          <w:rStyle w:val="EndnoteReference"/>
        </w:rPr>
        <w:endnoteRef/>
      </w:r>
      <w:r>
        <w:t xml:space="preserve"> </w:t>
      </w:r>
      <w:r>
        <w:tab/>
        <w:t xml:space="preserve">The date of the transaction should normally be, in the case of an on exchange transaction, the date on which the matching of orders occurs; in the case of an off exchange transaction, date of the entering into an agreement.  </w:t>
      </w:r>
    </w:p>
    <w:p w:rsidR="00574CBB" w:rsidRDefault="00574CBB">
      <w:pPr>
        <w:pStyle w:val="EndnoteText"/>
        <w:spacing w:before="0" w:after="0"/>
      </w:pPr>
    </w:p>
    <w:p w:rsidR="00574CBB" w:rsidRDefault="00574CBB">
      <w:pPr>
        <w:pStyle w:val="EndnoteText"/>
        <w:spacing w:before="0" w:after="0"/>
        <w:rPr>
          <w:strike/>
        </w:rPr>
      </w:pPr>
      <w:r>
        <w:t>The date on which threshold is crossed should normally be the date on which the acquisition, disposal or possibility to exercise voting rights takes effect. For passive crossings, the date when the corporate event took effect.</w:t>
      </w:r>
      <w:r>
        <w:rPr>
          <w:strike/>
        </w:rPr>
        <w:t xml:space="preserve"> </w:t>
      </w:r>
    </w:p>
    <w:p w:rsidR="00574CBB" w:rsidRDefault="00574CBB">
      <w:pPr>
        <w:pStyle w:val="EndnoteText"/>
        <w:spacing w:before="0" w:after="0"/>
      </w:pPr>
    </w:p>
  </w:endnote>
  <w:endnote w:id="6">
    <w:p w:rsidR="00574CBB" w:rsidRDefault="00574CBB">
      <w:pPr>
        <w:pStyle w:val="EndnoteText"/>
        <w:spacing w:before="0" w:after="0"/>
      </w:pPr>
      <w:r>
        <w:rPr>
          <w:rStyle w:val="EndnoteReference"/>
        </w:rPr>
        <w:endnoteRef/>
      </w:r>
      <w:r>
        <w:t xml:space="preserve"> </w:t>
      </w:r>
      <w:r>
        <w:tab/>
        <w:t>Please refer to the situation disclosed in the previous notification. In case the situation previous to the triggering transaction was below 3%, please state "below 3%".</w:t>
      </w:r>
    </w:p>
    <w:p w:rsidR="00574CBB" w:rsidRDefault="00574CBB">
      <w:pPr>
        <w:pStyle w:val="EndnoteText"/>
        <w:spacing w:before="0" w:after="0"/>
      </w:pPr>
    </w:p>
  </w:endnote>
  <w:endnote w:id="7">
    <w:p w:rsidR="00574CBB" w:rsidRDefault="00574CBB">
      <w:pPr>
        <w:pStyle w:val="EndnoteText"/>
        <w:spacing w:before="0" w:after="0"/>
      </w:pPr>
      <w:r>
        <w:rPr>
          <w:rStyle w:val="EndnoteReference"/>
        </w:rPr>
        <w:endnoteRef/>
      </w:r>
      <w:r>
        <w:t xml:space="preserve"> </w:t>
      </w:r>
      <w:r>
        <w:tab/>
        <w:t xml:space="preserve">If the holding has fallen below the minimum threshold, the notifying party should not be obliged to disclose the extent of the holding, only that the new holding is below 3%. </w:t>
      </w:r>
    </w:p>
    <w:p w:rsidR="00574CBB" w:rsidRDefault="00574CBB">
      <w:pPr>
        <w:pStyle w:val="EndnoteText"/>
        <w:spacing w:before="0" w:after="0"/>
      </w:pPr>
    </w:p>
    <w:p w:rsidR="00574CBB" w:rsidRDefault="00574CBB">
      <w:pPr>
        <w:pStyle w:val="EndnoteText"/>
        <w:spacing w:before="0" w:after="0"/>
      </w:pPr>
      <w:r>
        <w:t xml:space="preserve">For the case provided for in Article 10(a) of Directive 2004/109/EC, there should be no disclosure of individual holdings per party to the agreement unless a party individually crosses or reaches an Article 9 threshold. This applies upon entering into, introducing changes to or terminating an agreement. </w:t>
      </w:r>
    </w:p>
    <w:p w:rsidR="00574CBB" w:rsidRDefault="00574CBB">
      <w:pPr>
        <w:pStyle w:val="EndnoteText"/>
        <w:spacing w:before="0" w:after="0"/>
      </w:pPr>
    </w:p>
  </w:endnote>
  <w:endnote w:id="8">
    <w:p w:rsidR="00574CBB" w:rsidRDefault="00574CBB">
      <w:pPr>
        <w:pStyle w:val="EndnoteText"/>
        <w:spacing w:before="0" w:after="0"/>
      </w:pPr>
      <w:r>
        <w:rPr>
          <w:rStyle w:val="EndnoteReference"/>
        </w:rPr>
        <w:endnoteRef/>
      </w:r>
      <w:r>
        <w:t xml:space="preserve"> </w:t>
      </w:r>
      <w:r>
        <w:tab/>
        <w:t>To be used in Member States where applicable.</w:t>
      </w:r>
    </w:p>
    <w:p w:rsidR="00574CBB" w:rsidRDefault="00574CBB">
      <w:pPr>
        <w:pStyle w:val="EndnoteText"/>
        <w:spacing w:before="0" w:after="0"/>
      </w:pPr>
    </w:p>
  </w:endnote>
  <w:endnote w:id="9">
    <w:p w:rsidR="00574CBB" w:rsidRDefault="00574CBB">
      <w:pPr>
        <w:pStyle w:val="EndnoteText"/>
        <w:spacing w:before="0" w:after="0"/>
      </w:pPr>
      <w:r>
        <w:rPr>
          <w:rStyle w:val="EndnoteReference"/>
        </w:rPr>
        <w:endnoteRef/>
      </w:r>
      <w:r>
        <w:t xml:space="preserve"> </w:t>
      </w:r>
      <w:r>
        <w:tab/>
        <w:t>Direct and indirect.</w:t>
      </w:r>
    </w:p>
    <w:p w:rsidR="00574CBB" w:rsidRDefault="00574CBB">
      <w:pPr>
        <w:pStyle w:val="EndnoteText"/>
        <w:spacing w:before="0" w:after="0"/>
      </w:pPr>
    </w:p>
  </w:endnote>
  <w:endnote w:id="10">
    <w:p w:rsidR="00574CBB" w:rsidRDefault="00574CBB">
      <w:pPr>
        <w:pStyle w:val="EndnoteText"/>
        <w:spacing w:before="0" w:after="0"/>
      </w:pPr>
      <w:r>
        <w:rPr>
          <w:rStyle w:val="EndnoteReference"/>
        </w:rPr>
        <w:endnoteRef/>
      </w:r>
      <w:r>
        <w:t xml:space="preserve"> </w:t>
      </w:r>
      <w:r>
        <w:tab/>
        <w:t>To be used in Member States where applicable.</w:t>
      </w:r>
    </w:p>
    <w:p w:rsidR="00574CBB" w:rsidRDefault="00574CBB">
      <w:pPr>
        <w:pStyle w:val="EndnoteText"/>
        <w:spacing w:before="0" w:after="0"/>
      </w:pPr>
    </w:p>
  </w:endnote>
  <w:endnote w:id="11">
    <w:p w:rsidR="00574CBB" w:rsidRDefault="00574CBB">
      <w:pPr>
        <w:pStyle w:val="EndnoteText"/>
        <w:spacing w:before="0" w:after="0"/>
      </w:pPr>
      <w:r>
        <w:rPr>
          <w:rStyle w:val="EndnoteReference"/>
        </w:rPr>
        <w:endnoteRef/>
      </w:r>
      <w:r>
        <w:t xml:space="preserve"> </w:t>
      </w:r>
      <w:r>
        <w:tab/>
        <w:t>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574CBB" w:rsidRDefault="00574CBB">
      <w:pPr>
        <w:pStyle w:val="EndnoteText"/>
        <w:spacing w:before="0" w:after="0"/>
      </w:pPr>
    </w:p>
  </w:endnote>
  <w:endnote w:id="12">
    <w:p w:rsidR="00574CBB" w:rsidRDefault="00574CBB">
      <w:pPr>
        <w:pStyle w:val="EndnoteText"/>
        <w:spacing w:before="0" w:after="0"/>
      </w:pPr>
      <w:r>
        <w:rPr>
          <w:rStyle w:val="EndnoteReference"/>
        </w:rPr>
        <w:endnoteRef/>
      </w:r>
      <w:r>
        <w:t xml:space="preserve"> </w:t>
      </w:r>
      <w:r>
        <w:tab/>
        <w:t>Voting rights attached to shares held by the notifying party (Article 9 of Directive 2004/109/EC).</w:t>
      </w:r>
    </w:p>
    <w:p w:rsidR="00574CBB" w:rsidRDefault="00574CBB">
      <w:pPr>
        <w:pStyle w:val="EndnoteText"/>
        <w:spacing w:before="0" w:after="0"/>
      </w:pPr>
    </w:p>
  </w:endnote>
  <w:endnote w:id="13">
    <w:p w:rsidR="00574CBB" w:rsidRDefault="00574CBB">
      <w:pPr>
        <w:pStyle w:val="EndnoteText"/>
        <w:spacing w:before="0" w:after="0"/>
      </w:pPr>
      <w:r>
        <w:rPr>
          <w:rStyle w:val="EndnoteReference"/>
        </w:rPr>
        <w:endnoteRef/>
      </w:r>
      <w:r>
        <w:t xml:space="preserve"> </w:t>
      </w:r>
      <w:r>
        <w:tab/>
        <w:t>Voting rights held by the notifying party independently of any holding of shares (Article 10 of Directive 2004/109/EC).</w:t>
      </w:r>
    </w:p>
    <w:p w:rsidR="00574CBB" w:rsidRDefault="00574CBB">
      <w:pPr>
        <w:pStyle w:val="EndnoteText"/>
        <w:spacing w:before="0" w:after="0"/>
      </w:pPr>
    </w:p>
  </w:endnote>
  <w:endnote w:id="14">
    <w:p w:rsidR="00574CBB" w:rsidRDefault="00574CBB">
      <w:pPr>
        <w:pStyle w:val="EndnoteText"/>
        <w:spacing w:before="0" w:after="0"/>
      </w:pPr>
      <w:r>
        <w:rPr>
          <w:rStyle w:val="EndnoteReference"/>
        </w:rPr>
        <w:endnoteRef/>
      </w:r>
      <w:r>
        <w:t xml:space="preserve"> </w:t>
      </w:r>
      <w:r>
        <w:tab/>
        <w:t>If the holding has fallen below the minimum threshold, the notifying party should not be obliged to disclose the extent of the holding, only that the new holding is below 3%.</w:t>
      </w:r>
    </w:p>
    <w:p w:rsidR="00574CBB" w:rsidRDefault="00574CBB">
      <w:pPr>
        <w:pStyle w:val="EndnoteText"/>
        <w:spacing w:before="0" w:after="0"/>
      </w:pPr>
    </w:p>
  </w:endnote>
  <w:endnote w:id="15">
    <w:p w:rsidR="00574CBB" w:rsidRDefault="00574CBB">
      <w:pPr>
        <w:pStyle w:val="EndnoteText"/>
        <w:spacing w:before="0" w:after="0"/>
      </w:pPr>
      <w:r>
        <w:rPr>
          <w:rStyle w:val="EndnoteReference"/>
        </w:rPr>
        <w:endnoteRef/>
      </w:r>
      <w:r>
        <w:t xml:space="preserve"> </w:t>
      </w:r>
      <w:r>
        <w:tab/>
        <w:t>Date of maturity/expiration of the financial instrument i.e. the date when right to acquire shares ends.</w:t>
      </w:r>
    </w:p>
    <w:p w:rsidR="00574CBB" w:rsidRDefault="00574CBB">
      <w:pPr>
        <w:pStyle w:val="EndnoteText"/>
        <w:spacing w:before="0" w:after="0"/>
      </w:pPr>
    </w:p>
  </w:endnote>
  <w:endnote w:id="16">
    <w:p w:rsidR="00574CBB" w:rsidRDefault="00574CBB">
      <w:pPr>
        <w:pStyle w:val="EndnoteText"/>
        <w:spacing w:before="0" w:after="0"/>
      </w:pPr>
      <w:r>
        <w:rPr>
          <w:rStyle w:val="EndnoteReference"/>
        </w:rPr>
        <w:endnoteRef/>
      </w:r>
      <w:r>
        <w:t xml:space="preserve"> </w:t>
      </w:r>
      <w:r>
        <w:tab/>
        <w:t>If the financial instrument has such a period – please specify this period – for example once every 3 months starting from [date].</w:t>
      </w:r>
    </w:p>
    <w:p w:rsidR="00574CBB" w:rsidRDefault="00574CBB">
      <w:pPr>
        <w:pStyle w:val="EndnoteText"/>
        <w:spacing w:before="0" w:after="0"/>
      </w:pPr>
    </w:p>
  </w:endnote>
  <w:endnote w:id="17">
    <w:p w:rsidR="00574CBB" w:rsidRDefault="00574CBB">
      <w:pPr>
        <w:pStyle w:val="EndnoteText"/>
        <w:spacing w:before="0" w:after="0"/>
      </w:pPr>
      <w:r>
        <w:rPr>
          <w:rStyle w:val="EndnoteReference"/>
        </w:rPr>
        <w:endnoteRef/>
      </w:r>
      <w:r>
        <w:t xml:space="preserve"> </w:t>
      </w:r>
      <w:r>
        <w:tab/>
        <w:t xml:space="preserve">The notification should include the name(s) of the controlled undertakings through which the voting rights are held. The notification should also include the amount of voting rights and the percentage held by each controlled undertaking, </w:t>
      </w:r>
      <w:r>
        <w:rPr>
          <w:strike/>
        </w:rPr>
        <w:t>i</w:t>
      </w:r>
      <w:r>
        <w:t>nsofar as individually the controlled undertaking holds 3% or more, and insofar as the notification by the parent undertaking is intended to cover the notification obligations of the controlled undertaking.</w:t>
      </w:r>
    </w:p>
    <w:p w:rsidR="00574CBB" w:rsidRDefault="00574CBB">
      <w:pPr>
        <w:pStyle w:val="EndnoteText"/>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onotype Sorts">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CBB" w:rsidRDefault="00457656">
    <w:pPr>
      <w:pStyle w:val="Footer"/>
      <w:framePr w:wrap="around" w:vAnchor="text" w:hAnchor="margin" w:xAlign="center" w:y="1"/>
      <w:rPr>
        <w:rStyle w:val="PageNumber"/>
      </w:rPr>
    </w:pPr>
    <w:r>
      <w:rPr>
        <w:rStyle w:val="PageNumber"/>
      </w:rPr>
      <w:fldChar w:fldCharType="begin"/>
    </w:r>
    <w:r w:rsidR="00574CBB">
      <w:rPr>
        <w:rStyle w:val="PageNumber"/>
      </w:rPr>
      <w:instrText xml:space="preserve">PAGE  </w:instrText>
    </w:r>
    <w:r>
      <w:rPr>
        <w:rStyle w:val="PageNumber"/>
      </w:rPr>
      <w:fldChar w:fldCharType="end"/>
    </w:r>
  </w:p>
  <w:p w:rsidR="00574CBB" w:rsidRDefault="00574C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CBB" w:rsidRDefault="00574CBB">
    <w:pPr>
      <w:pStyle w:val="Footer"/>
      <w:framePr w:wrap="around" w:vAnchor="text" w:hAnchor="margin" w:xAlign="center" w:y="1"/>
      <w:rPr>
        <w:rStyle w:val="PageNumber"/>
      </w:rPr>
    </w:pPr>
  </w:p>
  <w:p w:rsidR="00574CBB" w:rsidRDefault="00574C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CBB" w:rsidRDefault="00574CBB" w:rsidP="00533BBE">
      <w:r>
        <w:separator/>
      </w:r>
    </w:p>
  </w:footnote>
  <w:footnote w:type="continuationSeparator" w:id="0">
    <w:p w:rsidR="00574CBB" w:rsidRDefault="00574CBB" w:rsidP="00533B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CBB" w:rsidRDefault="00574CBB">
    <w:pPr>
      <w:pStyle w:val="Header"/>
      <w:jc w:val="right"/>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A1283D"/>
    <w:multiLevelType w:val="hybridMultilevel"/>
    <w:tmpl w:val="9B4C293A"/>
    <w:lvl w:ilvl="0" w:tplc="FFFFFFFF">
      <w:start w:val="1"/>
      <w:numFmt w:val="decimal"/>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ascii="Footlight MT Light" w:eastAsia="Times New Roman" w:hAnsi="Footlight MT Light" w:cs="Arial"/>
      </w:rPr>
    </w:lvl>
    <w:lvl w:ilvl="2" w:tplc="FFFFFFFF">
      <w:start w:val="1"/>
      <w:numFmt w:val="lowerLetter"/>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BBE"/>
    <w:rsid w:val="00050A61"/>
    <w:rsid w:val="00073B6B"/>
    <w:rsid w:val="000B0FED"/>
    <w:rsid w:val="00103163"/>
    <w:rsid w:val="00104174"/>
    <w:rsid w:val="00270C7A"/>
    <w:rsid w:val="002825F7"/>
    <w:rsid w:val="003A2123"/>
    <w:rsid w:val="0040548A"/>
    <w:rsid w:val="00412A01"/>
    <w:rsid w:val="00457656"/>
    <w:rsid w:val="004C31F9"/>
    <w:rsid w:val="004E2FD9"/>
    <w:rsid w:val="00533BBE"/>
    <w:rsid w:val="00557753"/>
    <w:rsid w:val="00574CBB"/>
    <w:rsid w:val="005817CF"/>
    <w:rsid w:val="00597ED8"/>
    <w:rsid w:val="005B5AF0"/>
    <w:rsid w:val="005E1A21"/>
    <w:rsid w:val="00614F19"/>
    <w:rsid w:val="006608ED"/>
    <w:rsid w:val="006C5D2D"/>
    <w:rsid w:val="006D6DD0"/>
    <w:rsid w:val="007A5032"/>
    <w:rsid w:val="00867263"/>
    <w:rsid w:val="00886131"/>
    <w:rsid w:val="00894F3E"/>
    <w:rsid w:val="00965604"/>
    <w:rsid w:val="009F1EFB"/>
    <w:rsid w:val="00A73B24"/>
    <w:rsid w:val="00AB3266"/>
    <w:rsid w:val="00AD4097"/>
    <w:rsid w:val="00B509AB"/>
    <w:rsid w:val="00BC487E"/>
    <w:rsid w:val="00C232C8"/>
    <w:rsid w:val="00C6253B"/>
    <w:rsid w:val="00CC1606"/>
    <w:rsid w:val="00D0746A"/>
    <w:rsid w:val="00DE61AB"/>
    <w:rsid w:val="00E06EFF"/>
    <w:rsid w:val="00EA23E5"/>
    <w:rsid w:val="00F46968"/>
    <w:rsid w:val="00FA1FAB"/>
    <w:rsid w:val="00FB4E72"/>
    <w:rsid w:val="00FD1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53B"/>
    <w:rPr>
      <w:sz w:val="24"/>
      <w:szCs w:val="24"/>
      <w:lang w:eastAsia="en-US"/>
    </w:rPr>
  </w:style>
  <w:style w:type="paragraph" w:styleId="Heading1">
    <w:name w:val="heading 1"/>
    <w:basedOn w:val="Normal"/>
    <w:next w:val="Normal"/>
    <w:qFormat/>
    <w:rsid w:val="00C6253B"/>
    <w:pPr>
      <w:keepNext/>
      <w:spacing w:before="240" w:after="60"/>
      <w:outlineLvl w:val="0"/>
    </w:pPr>
    <w:rPr>
      <w:rFonts w:ascii="Arial" w:hAnsi="Arial" w:cs="Arial"/>
      <w:b/>
      <w:bCs/>
      <w:kern w:val="32"/>
      <w:sz w:val="32"/>
      <w:szCs w:val="32"/>
    </w:rPr>
  </w:style>
  <w:style w:type="paragraph" w:styleId="Heading7">
    <w:name w:val="heading 7"/>
    <w:basedOn w:val="Normal"/>
    <w:next w:val="Normal"/>
    <w:qFormat/>
    <w:rsid w:val="00C6253B"/>
    <w:pPr>
      <w:keepNext/>
      <w:spacing w:line="360" w:lineRule="auto"/>
      <w:jc w:val="center"/>
      <w:outlineLvl w:val="6"/>
    </w:pPr>
    <w:rPr>
      <w:b/>
      <w:bCs/>
      <w:szCs w:val="20"/>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rsid w:val="00C6253B"/>
    <w:pPr>
      <w:tabs>
        <w:tab w:val="center" w:pos="4153"/>
        <w:tab w:val="right" w:pos="8306"/>
      </w:tabs>
      <w:spacing w:line="360" w:lineRule="auto"/>
      <w:jc w:val="both"/>
    </w:pPr>
    <w:rPr>
      <w:szCs w:val="20"/>
      <w:lang w:val="en-IE"/>
    </w:rPr>
  </w:style>
  <w:style w:type="character" w:styleId="PageNumber">
    <w:name w:val="page number"/>
    <w:basedOn w:val="DefaultParagraphFont"/>
    <w:semiHidden/>
    <w:rsid w:val="00C6253B"/>
  </w:style>
  <w:style w:type="paragraph" w:styleId="Header">
    <w:name w:val="header"/>
    <w:basedOn w:val="Normal"/>
    <w:semiHidden/>
    <w:rsid w:val="00C6253B"/>
    <w:pPr>
      <w:tabs>
        <w:tab w:val="center" w:pos="4153"/>
        <w:tab w:val="right" w:pos="8306"/>
      </w:tabs>
      <w:spacing w:line="360" w:lineRule="auto"/>
      <w:jc w:val="both"/>
    </w:pPr>
    <w:rPr>
      <w:szCs w:val="20"/>
      <w:lang w:val="en-IE"/>
    </w:rPr>
  </w:style>
  <w:style w:type="paragraph" w:customStyle="1" w:styleId="Text1">
    <w:name w:val="Text 1"/>
    <w:basedOn w:val="Normal"/>
    <w:rsid w:val="00C6253B"/>
    <w:pPr>
      <w:spacing w:before="120" w:after="120"/>
      <w:ind w:left="850"/>
      <w:jc w:val="both"/>
    </w:pPr>
    <w:rPr>
      <w:szCs w:val="20"/>
    </w:rPr>
  </w:style>
  <w:style w:type="paragraph" w:customStyle="1" w:styleId="SectionTitle">
    <w:name w:val="SectionTitle"/>
    <w:basedOn w:val="Normal"/>
    <w:next w:val="Heading1"/>
    <w:rsid w:val="00C6253B"/>
    <w:pPr>
      <w:keepNext/>
      <w:spacing w:before="120" w:after="360"/>
      <w:jc w:val="center"/>
    </w:pPr>
    <w:rPr>
      <w:b/>
      <w:smallCaps/>
      <w:sz w:val="28"/>
      <w:szCs w:val="20"/>
    </w:rPr>
  </w:style>
  <w:style w:type="paragraph" w:styleId="EndnoteText">
    <w:name w:val="endnote text"/>
    <w:basedOn w:val="Normal"/>
    <w:semiHidden/>
    <w:rsid w:val="00C6253B"/>
    <w:pPr>
      <w:spacing w:before="120" w:after="120"/>
      <w:jc w:val="both"/>
    </w:pPr>
    <w:rPr>
      <w:sz w:val="20"/>
      <w:szCs w:val="20"/>
      <w:lang w:eastAsia="zh-CN"/>
    </w:rPr>
  </w:style>
  <w:style w:type="character" w:styleId="EndnoteReference">
    <w:name w:val="endnote reference"/>
    <w:basedOn w:val="DefaultParagraphFont"/>
    <w:semiHidden/>
    <w:rsid w:val="00C6253B"/>
    <w:rPr>
      <w:rFonts w:cs="Times New Roman"/>
      <w:vertAlign w:val="superscript"/>
    </w:rPr>
  </w:style>
  <w:style w:type="character" w:styleId="FollowedHyperlink">
    <w:name w:val="FollowedHyperlink"/>
    <w:basedOn w:val="DefaultParagraphFont"/>
    <w:semiHidden/>
    <w:rsid w:val="00C6253B"/>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53B"/>
    <w:rPr>
      <w:sz w:val="24"/>
      <w:szCs w:val="24"/>
      <w:lang w:eastAsia="en-US"/>
    </w:rPr>
  </w:style>
  <w:style w:type="paragraph" w:styleId="Heading1">
    <w:name w:val="heading 1"/>
    <w:basedOn w:val="Normal"/>
    <w:next w:val="Normal"/>
    <w:qFormat/>
    <w:rsid w:val="00C6253B"/>
    <w:pPr>
      <w:keepNext/>
      <w:spacing w:before="240" w:after="60"/>
      <w:outlineLvl w:val="0"/>
    </w:pPr>
    <w:rPr>
      <w:rFonts w:ascii="Arial" w:hAnsi="Arial" w:cs="Arial"/>
      <w:b/>
      <w:bCs/>
      <w:kern w:val="32"/>
      <w:sz w:val="32"/>
      <w:szCs w:val="32"/>
    </w:rPr>
  </w:style>
  <w:style w:type="paragraph" w:styleId="Heading7">
    <w:name w:val="heading 7"/>
    <w:basedOn w:val="Normal"/>
    <w:next w:val="Normal"/>
    <w:qFormat/>
    <w:rsid w:val="00C6253B"/>
    <w:pPr>
      <w:keepNext/>
      <w:spacing w:line="360" w:lineRule="auto"/>
      <w:jc w:val="center"/>
      <w:outlineLvl w:val="6"/>
    </w:pPr>
    <w:rPr>
      <w:b/>
      <w:bCs/>
      <w:szCs w:val="20"/>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rsid w:val="00C6253B"/>
    <w:pPr>
      <w:tabs>
        <w:tab w:val="center" w:pos="4153"/>
        <w:tab w:val="right" w:pos="8306"/>
      </w:tabs>
      <w:spacing w:line="360" w:lineRule="auto"/>
      <w:jc w:val="both"/>
    </w:pPr>
    <w:rPr>
      <w:szCs w:val="20"/>
      <w:lang w:val="en-IE"/>
    </w:rPr>
  </w:style>
  <w:style w:type="character" w:styleId="PageNumber">
    <w:name w:val="page number"/>
    <w:basedOn w:val="DefaultParagraphFont"/>
    <w:semiHidden/>
    <w:rsid w:val="00C6253B"/>
  </w:style>
  <w:style w:type="paragraph" w:styleId="Header">
    <w:name w:val="header"/>
    <w:basedOn w:val="Normal"/>
    <w:semiHidden/>
    <w:rsid w:val="00C6253B"/>
    <w:pPr>
      <w:tabs>
        <w:tab w:val="center" w:pos="4153"/>
        <w:tab w:val="right" w:pos="8306"/>
      </w:tabs>
      <w:spacing w:line="360" w:lineRule="auto"/>
      <w:jc w:val="both"/>
    </w:pPr>
    <w:rPr>
      <w:szCs w:val="20"/>
      <w:lang w:val="en-IE"/>
    </w:rPr>
  </w:style>
  <w:style w:type="paragraph" w:customStyle="1" w:styleId="Text1">
    <w:name w:val="Text 1"/>
    <w:basedOn w:val="Normal"/>
    <w:rsid w:val="00C6253B"/>
    <w:pPr>
      <w:spacing w:before="120" w:after="120"/>
      <w:ind w:left="850"/>
      <w:jc w:val="both"/>
    </w:pPr>
    <w:rPr>
      <w:szCs w:val="20"/>
    </w:rPr>
  </w:style>
  <w:style w:type="paragraph" w:customStyle="1" w:styleId="SectionTitle">
    <w:name w:val="SectionTitle"/>
    <w:basedOn w:val="Normal"/>
    <w:next w:val="Heading1"/>
    <w:rsid w:val="00C6253B"/>
    <w:pPr>
      <w:keepNext/>
      <w:spacing w:before="120" w:after="360"/>
      <w:jc w:val="center"/>
    </w:pPr>
    <w:rPr>
      <w:b/>
      <w:smallCaps/>
      <w:sz w:val="28"/>
      <w:szCs w:val="20"/>
    </w:rPr>
  </w:style>
  <w:style w:type="paragraph" w:styleId="EndnoteText">
    <w:name w:val="endnote text"/>
    <w:basedOn w:val="Normal"/>
    <w:semiHidden/>
    <w:rsid w:val="00C6253B"/>
    <w:pPr>
      <w:spacing w:before="120" w:after="120"/>
      <w:jc w:val="both"/>
    </w:pPr>
    <w:rPr>
      <w:sz w:val="20"/>
      <w:szCs w:val="20"/>
      <w:lang w:eastAsia="zh-CN"/>
    </w:rPr>
  </w:style>
  <w:style w:type="character" w:styleId="EndnoteReference">
    <w:name w:val="endnote reference"/>
    <w:basedOn w:val="DefaultParagraphFont"/>
    <w:semiHidden/>
    <w:rsid w:val="00C6253B"/>
    <w:rPr>
      <w:rFonts w:cs="Times New Roman"/>
      <w:vertAlign w:val="superscript"/>
    </w:rPr>
  </w:style>
  <w:style w:type="character" w:styleId="FollowedHyperlink">
    <w:name w:val="FollowedHyperlink"/>
    <w:basedOn w:val="DefaultParagraphFont"/>
    <w:semiHidden/>
    <w:rsid w:val="00C6253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2" ma:contentTypeDescription="Regulatory Requirements &amp; Guidance Document" ma:contentTypeScope="" ma:versionID="935da3d2e97a5c6956a487e1ea62a5a1">
  <xsd:schema xmlns:xsd="http://www.w3.org/2001/XMLSchema" xmlns:p="http://schemas.microsoft.com/office/2006/metadata/properties" xmlns:ns3="8dfbd3f3-5549-44f5-8914-898900b6ef97" targetNamespace="http://schemas.microsoft.com/office/2006/metadata/properties" ma:root="true" ma:fieldsID="a750041f4ec8267d35e75e1315f24a85" ns3:_="">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all>
            </xsd:complexType>
          </xsd:element>
        </xsd:sequence>
      </xsd:complex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inOccurs="0" maxOccurs="1" ma:index="1" ma:displayName="Title"/>
        <xsd:element ref="dc:subject" minOccurs="0" maxOccurs="1"/>
        <xsd:element ref="dc:description" minOccurs="0" maxOccurs="1" ma:index="2" ma:displayName="Doc Description"/>
        <xsd:element name="keywords" minOccurs="0" maxOccurs="1" type="xsd:string" ma:index="3"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DC.Language xmlns="8dfbd3f3-5549-44f5-8914-898900b6ef97">English</DC.Language>
    <DocumentOrder xmlns="8dfbd3f3-5549-44f5-8914-898900b6ef97" xsi:nil="true"/>
    <Entity_x0020_Type xmlns="8dfbd3f3-5549-44f5-8914-898900b6ef97">All</Entity_x0020_Type>
    <Document_x0020_SubType xmlns="8dfbd3f3-5549-44f5-8914-898900b6ef97" xsi:nil="true"/>
    <Document_x0020_Type xmlns="8dfbd3f3-5549-44f5-8914-898900b6ef97">(Other)</Document_x0020_Type>
    <DC.Creator xmlns="8dfbd3f3-5549-44f5-8914-898900b6ef97">Financial Regulator</DC.Creator>
    <DC.Subject xmlns="8dfbd3f3-5549-44f5-8914-898900b6ef97" xsi:nil="true"/>
    <DC.Coverage xmlns="8dfbd3f3-5549-44f5-8914-898900b6ef97" xsi:nil="true"/>
    <DC.Format xmlns="8dfbd3f3-5549-44f5-8914-898900b6ef97">text/html</DC.Format>
    <DC.Source xmlns="8dfbd3f3-5549-44f5-8914-898900b6ef97">Financial Regulator</DC.Source>
    <SubEntity_x0020_Type xmlns="8dfbd3f3-5549-44f5-8914-898900b6ef97">N/A</SubEntity_x0020_Type>
    <DC.Date.Modified xmlns="8dfbd3f3-5549-44f5-8914-898900b6ef97" xsi:nil="true"/>
    <DC.Publisher xmlns="8dfbd3f3-5549-44f5-8914-898900b6ef97">Financial Regulator</DC.Publisher>
    <Effective_x0020_Start_x0020_Date xmlns="8dfbd3f3-5549-44f5-8914-898900b6ef97">2007-07-12T00:00:00+00:00</Effective_x0020_Start_x0020_Date>
    <DC.Identifier xmlns="8dfbd3f3-5549-44f5-8914-898900b6ef97" xsi:nil="true"/>
    <DC.Rights xmlns="8dfbd3f3-5549-44f5-8914-898900b6ef97">Copyright Central Bank and Financial Services Authority Of Ireland, Dame St. Dublin 2.</DC.Rights>
    <DC.Date.Created xmlns="8dfbd3f3-5549-44f5-8914-898900b6ef97">2009-01-30T00:00:00+00:00</DC.Date.Created>
    <DC.Type xmlns="8dfbd3f3-5549-44f5-8914-898900b6ef97">Other</DC.Type>
  </documentManagement>
</p:properties>
</file>

<file path=customXml/itemProps1.xml><?xml version="1.0" encoding="utf-8"?>
<ds:datastoreItem xmlns:ds="http://schemas.openxmlformats.org/officeDocument/2006/customXml" ds:itemID="{FDF820E8-550B-48A2-9FB8-CF85D7AE137D}">
  <ds:schemaRefs>
    <ds:schemaRef ds:uri="http://schemas.microsoft.com/sharepoint/v3/contenttype/forms"/>
  </ds:schemaRefs>
</ds:datastoreItem>
</file>

<file path=customXml/itemProps2.xml><?xml version="1.0" encoding="utf-8"?>
<ds:datastoreItem xmlns:ds="http://schemas.openxmlformats.org/officeDocument/2006/customXml" ds:itemID="{D19F6AB5-2A84-4A8C-AD3C-BA3A451E37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5FE9E13-A1DF-433F-BE6A-7B1700150E83}">
  <ds:schemaRefs>
    <ds:schemaRef ds:uri="http://schemas.microsoft.com/office/2006/metadata/longProperties"/>
  </ds:schemaRefs>
</ds:datastoreItem>
</file>

<file path=customXml/itemProps4.xml><?xml version="1.0" encoding="utf-8"?>
<ds:datastoreItem xmlns:ds="http://schemas.openxmlformats.org/officeDocument/2006/customXml" ds:itemID="{15A14B23-4418-4B04-ADFE-BAB9D97137DD}">
  <ds:schemaRefs>
    <ds:schemaRef ds:uri="http://purl.org/dc/dcmitype/"/>
    <ds:schemaRef ds:uri="http://purl.org/dc/terms/"/>
    <ds:schemaRef ds:uri="http://purl.org/dc/elements/1.1/"/>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8dfbd3f3-5549-44f5-8914-898900b6ef9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400</Words>
  <Characters>2280</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STANDARD FORM TR-1</vt:lpstr>
    </vt:vector>
  </TitlesOfParts>
  <Company>Banc Ceannais na hÉireann</Company>
  <LinksUpToDate>false</LinksUpToDate>
  <CharactersWithSpaces>2675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gosulliv</dc:creator>
  <cp:keywords>Standard Form TR1</cp:keywords>
  <dc:description>Standard Form TR1</dc:description>
  <cp:lastModifiedBy>E020863</cp:lastModifiedBy>
  <cp:revision>2</cp:revision>
  <cp:lastPrinted>2012-04-27T10:19:00Z</cp:lastPrinted>
  <dcterms:created xsi:type="dcterms:W3CDTF">2013-01-11T14:57:00Z</dcterms:created>
  <dcterms:modified xsi:type="dcterms:W3CDTF">2013-01-11T14:57:00Z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Regulatory Requirements and Guidance</vt:lpwstr>
  </property>
  <property fmtid="{D5CDD505-2E9C-101B-9397-08002B2CF9AE}" pid="3" name="xd_Signature">
    <vt:lpwstr/>
  </property>
  <property fmtid="{D5CDD505-2E9C-101B-9397-08002B2CF9AE}" pid="4" name="display_urn:schemas-microsoft-com:office:office#Editor">
    <vt:lpwstr>System Account</vt:lpwstr>
  </property>
  <property fmtid="{D5CDD505-2E9C-101B-9397-08002B2CF9AE}" pid="5" name="TemplateUrl">
    <vt:lpwstr/>
  </property>
  <property fmtid="{D5CDD505-2E9C-101B-9397-08002B2CF9AE}" pid="6" name="xd_ProgID">
    <vt:lpwstr/>
  </property>
  <property fmtid="{D5CDD505-2E9C-101B-9397-08002B2CF9AE}" pid="7" name="PublishingStartDate">
    <vt:lpwstr/>
  </property>
  <property fmtid="{D5CDD505-2E9C-101B-9397-08002B2CF9AE}" pid="8" name="PublishingExpirationDate">
    <vt:lpwstr/>
  </property>
  <property fmtid="{D5CDD505-2E9C-101B-9397-08002B2CF9AE}" pid="9" name="display_urn:schemas-microsoft-com:office:office#Author">
    <vt:lpwstr>System Account</vt:lpwstr>
  </property>
  <property fmtid="{D5CDD505-2E9C-101B-9397-08002B2CF9AE}" pid="10" name="_SourceUrl">
    <vt:lpwstr/>
  </property>
</Properties>
</file>