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434" w:rsidRDefault="00C61434" w:rsidP="00C61434">
      <w:pPr>
        <w:pStyle w:val="NoSpacing"/>
        <w:jc w:val="center"/>
        <w:rPr>
          <w:rFonts w:ascii="Times New Roman" w:hAnsi="Times New Roman"/>
          <w:b/>
          <w:sz w:val="31"/>
          <w:szCs w:val="31"/>
        </w:rPr>
      </w:pPr>
      <w:r w:rsidRPr="00751CDF">
        <w:rPr>
          <w:rFonts w:ascii="Times New Roman" w:hAnsi="Times New Roman"/>
          <w:b/>
          <w:sz w:val="31"/>
          <w:szCs w:val="31"/>
        </w:rPr>
        <w:t>RY</w:t>
      </w:r>
      <w:bookmarkStart w:id="0" w:name="_GoBack"/>
      <w:bookmarkEnd w:id="0"/>
      <w:r w:rsidRPr="00751CDF">
        <w:rPr>
          <w:rFonts w:ascii="Times New Roman" w:hAnsi="Times New Roman"/>
          <w:b/>
          <w:sz w:val="31"/>
          <w:szCs w:val="31"/>
        </w:rPr>
        <w:t xml:space="preserve">ANAIR Q1 PROFITS RISE </w:t>
      </w:r>
      <w:r w:rsidRPr="00736E31">
        <w:rPr>
          <w:rFonts w:ascii="Times New Roman" w:hAnsi="Times New Roman"/>
          <w:b/>
          <w:sz w:val="40"/>
          <w:szCs w:val="40"/>
        </w:rPr>
        <w:t>55%</w:t>
      </w:r>
      <w:r w:rsidRPr="00751CDF">
        <w:rPr>
          <w:rFonts w:ascii="Times New Roman" w:hAnsi="Times New Roman"/>
          <w:b/>
          <w:sz w:val="31"/>
          <w:szCs w:val="31"/>
        </w:rPr>
        <w:t xml:space="preserve"> TO </w:t>
      </w:r>
      <w:r w:rsidRPr="002B747D">
        <w:rPr>
          <w:rFonts w:ascii="Times New Roman" w:hAnsi="Times New Roman"/>
          <w:b/>
          <w:sz w:val="31"/>
          <w:szCs w:val="31"/>
        </w:rPr>
        <w:t>€</w:t>
      </w:r>
      <w:r w:rsidRPr="002B747D">
        <w:rPr>
          <w:rFonts w:ascii="Times New Roman" w:hAnsi="Times New Roman"/>
          <w:b/>
          <w:sz w:val="8"/>
          <w:szCs w:val="8"/>
        </w:rPr>
        <w:t xml:space="preserve"> </w:t>
      </w:r>
      <w:r w:rsidRPr="00736E31">
        <w:rPr>
          <w:rFonts w:ascii="Times New Roman" w:hAnsi="Times New Roman"/>
          <w:b/>
          <w:sz w:val="40"/>
          <w:szCs w:val="40"/>
        </w:rPr>
        <w:t>397</w:t>
      </w:r>
      <w:r>
        <w:rPr>
          <w:rFonts w:ascii="Times New Roman" w:hAnsi="Times New Roman"/>
          <w:b/>
          <w:sz w:val="31"/>
          <w:szCs w:val="31"/>
        </w:rPr>
        <w:t>M</w:t>
      </w:r>
      <w:r w:rsidRPr="00751CDF">
        <w:rPr>
          <w:rFonts w:ascii="Times New Roman" w:hAnsi="Times New Roman"/>
          <w:b/>
          <w:sz w:val="31"/>
          <w:szCs w:val="31"/>
        </w:rPr>
        <w:t xml:space="preserve"> </w:t>
      </w:r>
      <w:r>
        <w:rPr>
          <w:rFonts w:ascii="Times New Roman" w:hAnsi="Times New Roman"/>
          <w:b/>
          <w:sz w:val="31"/>
          <w:szCs w:val="31"/>
        </w:rPr>
        <w:t>DUE TO</w:t>
      </w:r>
    </w:p>
    <w:p w:rsidR="00C61434" w:rsidRPr="00751CDF" w:rsidRDefault="00C61434" w:rsidP="00C61434">
      <w:pPr>
        <w:pStyle w:val="NoSpacing"/>
        <w:jc w:val="center"/>
        <w:rPr>
          <w:rFonts w:ascii="Times New Roman" w:hAnsi="Times New Roman"/>
          <w:b/>
          <w:sz w:val="31"/>
          <w:szCs w:val="31"/>
        </w:rPr>
      </w:pPr>
      <w:r>
        <w:rPr>
          <w:rFonts w:ascii="Times New Roman" w:hAnsi="Times New Roman"/>
          <w:b/>
          <w:sz w:val="31"/>
          <w:szCs w:val="31"/>
        </w:rPr>
        <w:t xml:space="preserve">STRONG EASTER BUT </w:t>
      </w:r>
      <w:r w:rsidRPr="00751CDF">
        <w:rPr>
          <w:rFonts w:ascii="Times New Roman" w:hAnsi="Times New Roman"/>
          <w:b/>
          <w:sz w:val="31"/>
          <w:szCs w:val="31"/>
        </w:rPr>
        <w:t>NO CHANGE TO FY GUIDANCE</w:t>
      </w:r>
    </w:p>
    <w:p w:rsidR="00C61434" w:rsidRDefault="00C61434" w:rsidP="00C61434">
      <w:pPr>
        <w:shd w:val="clear" w:color="auto" w:fill="FFFFFF" w:themeFill="background1"/>
        <w:tabs>
          <w:tab w:val="left" w:pos="9639"/>
        </w:tabs>
        <w:jc w:val="both"/>
      </w:pPr>
    </w:p>
    <w:p w:rsidR="00C61434" w:rsidRPr="000333F2" w:rsidRDefault="00C61434" w:rsidP="00C61434">
      <w:pPr>
        <w:shd w:val="clear" w:color="auto" w:fill="FFFFFF" w:themeFill="background1"/>
        <w:tabs>
          <w:tab w:val="left" w:pos="9639"/>
        </w:tabs>
        <w:jc w:val="both"/>
        <w:rPr>
          <w:b/>
          <w:sz w:val="30"/>
          <w:szCs w:val="30"/>
        </w:rPr>
      </w:pPr>
      <w:r w:rsidRPr="005564D4">
        <w:t>Ryanair, Europe’s No</w:t>
      </w:r>
      <w:r>
        <w:t>. 1 airline, today (</w:t>
      </w:r>
      <w:r w:rsidRPr="005564D4">
        <w:t>July</w:t>
      </w:r>
      <w:r>
        <w:t xml:space="preserve"> 24</w:t>
      </w:r>
      <w:r w:rsidRPr="005564D4">
        <w:t>) reported a</w:t>
      </w:r>
      <w:r>
        <w:t xml:space="preserve"> 55% rise in</w:t>
      </w:r>
      <w:r w:rsidRPr="005564D4">
        <w:t xml:space="preserve"> Q1 profit</w:t>
      </w:r>
      <w:r>
        <w:t xml:space="preserve"> to €397m. This result is distorted by the timing of Easter in Q1 with no holiday period in the prior year comparative.  Traffic grew 12% to 35m as Ryanair’s lower fares and “Always Getting Better” (AGB) programme delivered a record 96% load factor. </w:t>
      </w:r>
    </w:p>
    <w:p w:rsidR="00C61434" w:rsidRPr="005564D4" w:rsidRDefault="00C61434" w:rsidP="00C61434">
      <w:pPr>
        <w:pStyle w:val="NoSpacing"/>
        <w:rPr>
          <w:rFonts w:ascii="Times New Roman" w:hAnsi="Times New Roman"/>
          <w:sz w:val="24"/>
          <w:szCs w:val="24"/>
        </w:rPr>
      </w:pPr>
    </w:p>
    <w:tbl>
      <w:tblPr>
        <w:tblStyle w:val="TableGrid"/>
        <w:tblW w:w="0" w:type="auto"/>
        <w:tblInd w:w="364" w:type="dxa"/>
        <w:tblLook w:val="04A0" w:firstRow="1" w:lastRow="0" w:firstColumn="1" w:lastColumn="0" w:noHBand="0" w:noVBand="1"/>
      </w:tblPr>
      <w:tblGrid>
        <w:gridCol w:w="2937"/>
        <w:gridCol w:w="2352"/>
        <w:gridCol w:w="2090"/>
        <w:gridCol w:w="1437"/>
      </w:tblGrid>
      <w:tr w:rsidR="00C61434" w:rsidRPr="005564D4" w:rsidTr="002E2DA9">
        <w:tc>
          <w:tcPr>
            <w:tcW w:w="2978" w:type="dxa"/>
          </w:tcPr>
          <w:p w:rsidR="00C61434" w:rsidRPr="005564D4" w:rsidRDefault="00C61434" w:rsidP="002E2DA9">
            <w:pPr>
              <w:pStyle w:val="NoSpacing"/>
              <w:rPr>
                <w:b/>
                <w:sz w:val="24"/>
                <w:szCs w:val="24"/>
              </w:rPr>
            </w:pPr>
            <w:r w:rsidRPr="005564D4">
              <w:rPr>
                <w:b/>
                <w:sz w:val="24"/>
                <w:szCs w:val="24"/>
              </w:rPr>
              <w:t>Q1 (IFRS)</w:t>
            </w:r>
          </w:p>
        </w:tc>
        <w:tc>
          <w:tcPr>
            <w:tcW w:w="2387" w:type="dxa"/>
          </w:tcPr>
          <w:p w:rsidR="00C61434" w:rsidRPr="005564D4" w:rsidRDefault="00C61434" w:rsidP="002E2DA9">
            <w:pPr>
              <w:pStyle w:val="NoSpacing"/>
              <w:jc w:val="center"/>
              <w:rPr>
                <w:b/>
                <w:sz w:val="24"/>
                <w:szCs w:val="24"/>
              </w:rPr>
            </w:pPr>
            <w:r w:rsidRPr="005564D4">
              <w:rPr>
                <w:b/>
                <w:sz w:val="24"/>
                <w:szCs w:val="24"/>
              </w:rPr>
              <w:t>June</w:t>
            </w:r>
            <w:r>
              <w:rPr>
                <w:b/>
                <w:sz w:val="24"/>
                <w:szCs w:val="24"/>
              </w:rPr>
              <w:t xml:space="preserve"> 30</w:t>
            </w:r>
            <w:r w:rsidRPr="005564D4">
              <w:rPr>
                <w:b/>
                <w:sz w:val="24"/>
                <w:szCs w:val="24"/>
              </w:rPr>
              <w:t>, 2016</w:t>
            </w:r>
          </w:p>
        </w:tc>
        <w:tc>
          <w:tcPr>
            <w:tcW w:w="2119" w:type="dxa"/>
          </w:tcPr>
          <w:p w:rsidR="00C61434" w:rsidRPr="005564D4" w:rsidRDefault="00C61434" w:rsidP="002E2DA9">
            <w:pPr>
              <w:pStyle w:val="NoSpacing"/>
              <w:jc w:val="center"/>
              <w:rPr>
                <w:b/>
                <w:sz w:val="24"/>
                <w:szCs w:val="24"/>
              </w:rPr>
            </w:pPr>
            <w:r>
              <w:rPr>
                <w:b/>
                <w:sz w:val="24"/>
                <w:szCs w:val="24"/>
              </w:rPr>
              <w:t>June 30, 2017</w:t>
            </w:r>
          </w:p>
        </w:tc>
        <w:tc>
          <w:tcPr>
            <w:tcW w:w="1447" w:type="dxa"/>
          </w:tcPr>
          <w:p w:rsidR="00C61434" w:rsidRPr="005564D4" w:rsidRDefault="00C61434" w:rsidP="002E2DA9">
            <w:pPr>
              <w:pStyle w:val="NoSpacing"/>
              <w:jc w:val="center"/>
              <w:rPr>
                <w:b/>
                <w:sz w:val="24"/>
                <w:szCs w:val="24"/>
              </w:rPr>
            </w:pPr>
            <w:r w:rsidRPr="005564D4">
              <w:rPr>
                <w:b/>
                <w:sz w:val="24"/>
                <w:szCs w:val="24"/>
              </w:rPr>
              <w:t>% Change</w:t>
            </w:r>
          </w:p>
        </w:tc>
      </w:tr>
      <w:tr w:rsidR="00C61434" w:rsidRPr="005564D4" w:rsidTr="002E2DA9">
        <w:tc>
          <w:tcPr>
            <w:tcW w:w="2978" w:type="dxa"/>
          </w:tcPr>
          <w:p w:rsidR="00C61434" w:rsidRPr="005564D4" w:rsidRDefault="00C61434" w:rsidP="002E2DA9">
            <w:pPr>
              <w:pStyle w:val="NoSpacing"/>
              <w:rPr>
                <w:sz w:val="24"/>
                <w:szCs w:val="24"/>
              </w:rPr>
            </w:pPr>
            <w:r w:rsidRPr="005564D4">
              <w:rPr>
                <w:sz w:val="24"/>
                <w:szCs w:val="24"/>
              </w:rPr>
              <w:t>Customers (m)</w:t>
            </w:r>
          </w:p>
        </w:tc>
        <w:tc>
          <w:tcPr>
            <w:tcW w:w="2387" w:type="dxa"/>
          </w:tcPr>
          <w:p w:rsidR="00C61434" w:rsidRPr="005564D4" w:rsidRDefault="00C61434" w:rsidP="002E2DA9">
            <w:pPr>
              <w:pStyle w:val="NoSpacing"/>
              <w:jc w:val="center"/>
              <w:rPr>
                <w:sz w:val="24"/>
                <w:szCs w:val="24"/>
              </w:rPr>
            </w:pPr>
            <w:r>
              <w:rPr>
                <w:sz w:val="24"/>
                <w:szCs w:val="24"/>
              </w:rPr>
              <w:t>31.2</w:t>
            </w:r>
          </w:p>
        </w:tc>
        <w:tc>
          <w:tcPr>
            <w:tcW w:w="2119" w:type="dxa"/>
          </w:tcPr>
          <w:p w:rsidR="00C61434" w:rsidRPr="005564D4" w:rsidRDefault="00C61434" w:rsidP="002E2DA9">
            <w:pPr>
              <w:pStyle w:val="NoSpacing"/>
              <w:jc w:val="center"/>
              <w:rPr>
                <w:sz w:val="24"/>
                <w:szCs w:val="24"/>
              </w:rPr>
            </w:pPr>
            <w:r>
              <w:rPr>
                <w:sz w:val="24"/>
                <w:szCs w:val="24"/>
              </w:rPr>
              <w:t>35.0</w:t>
            </w:r>
          </w:p>
        </w:tc>
        <w:tc>
          <w:tcPr>
            <w:tcW w:w="1447" w:type="dxa"/>
          </w:tcPr>
          <w:p w:rsidR="00C61434" w:rsidRPr="005564D4" w:rsidRDefault="00C61434" w:rsidP="002E2DA9">
            <w:pPr>
              <w:pStyle w:val="NoSpacing"/>
              <w:jc w:val="center"/>
              <w:rPr>
                <w:sz w:val="24"/>
                <w:szCs w:val="24"/>
              </w:rPr>
            </w:pPr>
            <w:r>
              <w:rPr>
                <w:sz w:val="24"/>
                <w:szCs w:val="24"/>
              </w:rPr>
              <w:t>+12%</w:t>
            </w:r>
          </w:p>
        </w:tc>
      </w:tr>
      <w:tr w:rsidR="00C61434" w:rsidRPr="005564D4" w:rsidTr="002E2DA9">
        <w:tc>
          <w:tcPr>
            <w:tcW w:w="2978" w:type="dxa"/>
          </w:tcPr>
          <w:p w:rsidR="00C61434" w:rsidRPr="005564D4" w:rsidRDefault="00C61434" w:rsidP="002E2DA9">
            <w:pPr>
              <w:pStyle w:val="NoSpacing"/>
              <w:rPr>
                <w:sz w:val="24"/>
                <w:szCs w:val="24"/>
              </w:rPr>
            </w:pPr>
            <w:r w:rsidRPr="005564D4">
              <w:rPr>
                <w:sz w:val="24"/>
                <w:szCs w:val="24"/>
              </w:rPr>
              <w:t>Revenue (m)</w:t>
            </w:r>
          </w:p>
        </w:tc>
        <w:tc>
          <w:tcPr>
            <w:tcW w:w="2387" w:type="dxa"/>
          </w:tcPr>
          <w:p w:rsidR="00C61434" w:rsidRPr="005564D4" w:rsidRDefault="00C61434" w:rsidP="002E2DA9">
            <w:pPr>
              <w:pStyle w:val="NoSpacing"/>
              <w:jc w:val="center"/>
              <w:rPr>
                <w:sz w:val="24"/>
                <w:szCs w:val="24"/>
              </w:rPr>
            </w:pPr>
            <w:r>
              <w:rPr>
                <w:sz w:val="24"/>
                <w:szCs w:val="24"/>
              </w:rPr>
              <w:t>€1,687</w:t>
            </w:r>
          </w:p>
        </w:tc>
        <w:tc>
          <w:tcPr>
            <w:tcW w:w="2119" w:type="dxa"/>
          </w:tcPr>
          <w:p w:rsidR="00C61434" w:rsidRPr="005564D4" w:rsidRDefault="00C61434" w:rsidP="002E2DA9">
            <w:pPr>
              <w:pStyle w:val="NoSpacing"/>
              <w:jc w:val="center"/>
              <w:rPr>
                <w:sz w:val="24"/>
                <w:szCs w:val="24"/>
              </w:rPr>
            </w:pPr>
            <w:r>
              <w:rPr>
                <w:sz w:val="24"/>
                <w:szCs w:val="24"/>
              </w:rPr>
              <w:t>€1,910</w:t>
            </w:r>
          </w:p>
        </w:tc>
        <w:tc>
          <w:tcPr>
            <w:tcW w:w="1447" w:type="dxa"/>
          </w:tcPr>
          <w:p w:rsidR="00C61434" w:rsidRPr="005564D4" w:rsidRDefault="00C61434" w:rsidP="002E2DA9">
            <w:pPr>
              <w:pStyle w:val="NoSpacing"/>
              <w:jc w:val="center"/>
              <w:rPr>
                <w:sz w:val="24"/>
                <w:szCs w:val="24"/>
              </w:rPr>
            </w:pPr>
            <w:r>
              <w:rPr>
                <w:sz w:val="24"/>
                <w:szCs w:val="24"/>
              </w:rPr>
              <w:t>+13%</w:t>
            </w:r>
          </w:p>
        </w:tc>
      </w:tr>
      <w:tr w:rsidR="00C61434" w:rsidRPr="005564D4" w:rsidTr="002E2DA9">
        <w:tc>
          <w:tcPr>
            <w:tcW w:w="2978" w:type="dxa"/>
          </w:tcPr>
          <w:p w:rsidR="00C61434" w:rsidRPr="005564D4" w:rsidRDefault="00C61434" w:rsidP="002E2DA9">
            <w:pPr>
              <w:pStyle w:val="NoSpacing"/>
              <w:rPr>
                <w:sz w:val="24"/>
                <w:szCs w:val="24"/>
              </w:rPr>
            </w:pPr>
            <w:r w:rsidRPr="005564D4">
              <w:rPr>
                <w:sz w:val="24"/>
                <w:szCs w:val="24"/>
              </w:rPr>
              <w:t>Profit after Tax (m)</w:t>
            </w:r>
          </w:p>
        </w:tc>
        <w:tc>
          <w:tcPr>
            <w:tcW w:w="2387" w:type="dxa"/>
          </w:tcPr>
          <w:p w:rsidR="00C61434" w:rsidRPr="005564D4" w:rsidRDefault="00C61434" w:rsidP="002E2DA9">
            <w:pPr>
              <w:pStyle w:val="NoSpacing"/>
              <w:jc w:val="center"/>
              <w:rPr>
                <w:sz w:val="24"/>
                <w:szCs w:val="24"/>
              </w:rPr>
            </w:pPr>
            <w:r>
              <w:rPr>
                <w:sz w:val="24"/>
                <w:szCs w:val="24"/>
              </w:rPr>
              <w:t>€256</w:t>
            </w:r>
          </w:p>
        </w:tc>
        <w:tc>
          <w:tcPr>
            <w:tcW w:w="2119" w:type="dxa"/>
          </w:tcPr>
          <w:p w:rsidR="00C61434" w:rsidRPr="005564D4" w:rsidRDefault="00C61434" w:rsidP="002E2DA9">
            <w:pPr>
              <w:pStyle w:val="NoSpacing"/>
              <w:jc w:val="center"/>
              <w:rPr>
                <w:sz w:val="24"/>
                <w:szCs w:val="24"/>
              </w:rPr>
            </w:pPr>
            <w:r>
              <w:rPr>
                <w:sz w:val="24"/>
                <w:szCs w:val="24"/>
              </w:rPr>
              <w:t>€397</w:t>
            </w:r>
          </w:p>
        </w:tc>
        <w:tc>
          <w:tcPr>
            <w:tcW w:w="1447" w:type="dxa"/>
          </w:tcPr>
          <w:p w:rsidR="00C61434" w:rsidRPr="005564D4" w:rsidRDefault="00C61434" w:rsidP="002E2DA9">
            <w:pPr>
              <w:pStyle w:val="NoSpacing"/>
              <w:jc w:val="center"/>
              <w:rPr>
                <w:sz w:val="24"/>
                <w:szCs w:val="24"/>
              </w:rPr>
            </w:pPr>
            <w:r>
              <w:rPr>
                <w:sz w:val="24"/>
                <w:szCs w:val="24"/>
              </w:rPr>
              <w:t>+55%</w:t>
            </w:r>
          </w:p>
        </w:tc>
      </w:tr>
      <w:tr w:rsidR="00C61434" w:rsidRPr="005564D4" w:rsidTr="002E2DA9">
        <w:tc>
          <w:tcPr>
            <w:tcW w:w="2978" w:type="dxa"/>
          </w:tcPr>
          <w:p w:rsidR="00C61434" w:rsidRPr="005564D4" w:rsidRDefault="00C61434" w:rsidP="002E2DA9">
            <w:pPr>
              <w:pStyle w:val="NoSpacing"/>
              <w:rPr>
                <w:sz w:val="24"/>
                <w:szCs w:val="24"/>
              </w:rPr>
            </w:pPr>
            <w:r w:rsidRPr="005564D4">
              <w:rPr>
                <w:sz w:val="24"/>
                <w:szCs w:val="24"/>
              </w:rPr>
              <w:t>Net Margin</w:t>
            </w:r>
          </w:p>
        </w:tc>
        <w:tc>
          <w:tcPr>
            <w:tcW w:w="2387" w:type="dxa"/>
          </w:tcPr>
          <w:p w:rsidR="00C61434" w:rsidRPr="005564D4" w:rsidRDefault="00C61434" w:rsidP="002E2DA9">
            <w:pPr>
              <w:pStyle w:val="NoSpacing"/>
              <w:jc w:val="center"/>
              <w:rPr>
                <w:sz w:val="24"/>
                <w:szCs w:val="24"/>
              </w:rPr>
            </w:pPr>
            <w:r>
              <w:rPr>
                <w:sz w:val="24"/>
                <w:szCs w:val="24"/>
              </w:rPr>
              <w:t>15%</w:t>
            </w:r>
          </w:p>
        </w:tc>
        <w:tc>
          <w:tcPr>
            <w:tcW w:w="2119" w:type="dxa"/>
          </w:tcPr>
          <w:p w:rsidR="00C61434" w:rsidRPr="005564D4" w:rsidRDefault="00C61434" w:rsidP="002E2DA9">
            <w:pPr>
              <w:pStyle w:val="NoSpacing"/>
              <w:jc w:val="center"/>
              <w:rPr>
                <w:sz w:val="24"/>
                <w:szCs w:val="24"/>
              </w:rPr>
            </w:pPr>
            <w:r>
              <w:rPr>
                <w:sz w:val="24"/>
                <w:szCs w:val="24"/>
              </w:rPr>
              <w:t>21%</w:t>
            </w:r>
          </w:p>
        </w:tc>
        <w:tc>
          <w:tcPr>
            <w:tcW w:w="1447" w:type="dxa"/>
          </w:tcPr>
          <w:p w:rsidR="00C61434" w:rsidRPr="005564D4" w:rsidRDefault="00C61434" w:rsidP="002E2DA9">
            <w:pPr>
              <w:pStyle w:val="NoSpacing"/>
              <w:jc w:val="center"/>
              <w:rPr>
                <w:sz w:val="24"/>
                <w:szCs w:val="24"/>
              </w:rPr>
            </w:pPr>
            <w:r>
              <w:rPr>
                <w:sz w:val="24"/>
                <w:szCs w:val="24"/>
              </w:rPr>
              <w:t>+6%</w:t>
            </w:r>
          </w:p>
        </w:tc>
      </w:tr>
      <w:tr w:rsidR="00C61434" w:rsidRPr="005564D4" w:rsidTr="002E2DA9">
        <w:tc>
          <w:tcPr>
            <w:tcW w:w="2978" w:type="dxa"/>
          </w:tcPr>
          <w:p w:rsidR="00C61434" w:rsidRPr="005564D4" w:rsidRDefault="00C61434" w:rsidP="002E2DA9">
            <w:pPr>
              <w:pStyle w:val="NoSpacing"/>
              <w:rPr>
                <w:sz w:val="24"/>
                <w:szCs w:val="24"/>
              </w:rPr>
            </w:pPr>
            <w:r>
              <w:rPr>
                <w:sz w:val="24"/>
                <w:szCs w:val="24"/>
              </w:rPr>
              <w:t>Basic EPS (euro cent)</w:t>
            </w:r>
          </w:p>
        </w:tc>
        <w:tc>
          <w:tcPr>
            <w:tcW w:w="2387" w:type="dxa"/>
          </w:tcPr>
          <w:p w:rsidR="00C61434" w:rsidRPr="005564D4" w:rsidRDefault="00C61434" w:rsidP="002E2DA9">
            <w:pPr>
              <w:pStyle w:val="NoSpacing"/>
              <w:jc w:val="center"/>
              <w:rPr>
                <w:sz w:val="24"/>
                <w:szCs w:val="24"/>
              </w:rPr>
            </w:pPr>
            <w:r>
              <w:rPr>
                <w:sz w:val="24"/>
                <w:szCs w:val="24"/>
              </w:rPr>
              <w:t>20.01</w:t>
            </w:r>
          </w:p>
        </w:tc>
        <w:tc>
          <w:tcPr>
            <w:tcW w:w="2119" w:type="dxa"/>
          </w:tcPr>
          <w:p w:rsidR="00C61434" w:rsidRPr="005564D4" w:rsidRDefault="00C61434" w:rsidP="002E2DA9">
            <w:pPr>
              <w:pStyle w:val="NoSpacing"/>
              <w:jc w:val="center"/>
              <w:rPr>
                <w:sz w:val="24"/>
                <w:szCs w:val="24"/>
              </w:rPr>
            </w:pPr>
            <w:r>
              <w:rPr>
                <w:sz w:val="24"/>
                <w:szCs w:val="24"/>
              </w:rPr>
              <w:t>32.66</w:t>
            </w:r>
          </w:p>
        </w:tc>
        <w:tc>
          <w:tcPr>
            <w:tcW w:w="1447" w:type="dxa"/>
          </w:tcPr>
          <w:p w:rsidR="00C61434" w:rsidRPr="005564D4" w:rsidRDefault="00C61434" w:rsidP="002E2DA9">
            <w:pPr>
              <w:pStyle w:val="NoSpacing"/>
              <w:jc w:val="center"/>
              <w:rPr>
                <w:sz w:val="24"/>
                <w:szCs w:val="24"/>
              </w:rPr>
            </w:pPr>
            <w:r>
              <w:rPr>
                <w:sz w:val="24"/>
                <w:szCs w:val="24"/>
              </w:rPr>
              <w:t>+63%</w:t>
            </w:r>
          </w:p>
        </w:tc>
      </w:tr>
    </w:tbl>
    <w:p w:rsidR="00C61434" w:rsidRDefault="00C61434" w:rsidP="00C61434">
      <w:pPr>
        <w:pStyle w:val="NoSpacing"/>
        <w:rPr>
          <w:rFonts w:ascii="Times New Roman" w:hAnsi="Times New Roman"/>
          <w:sz w:val="24"/>
          <w:szCs w:val="24"/>
        </w:rPr>
      </w:pPr>
      <w:r>
        <w:rPr>
          <w:rFonts w:ascii="Times New Roman" w:hAnsi="Times New Roman"/>
          <w:sz w:val="24"/>
          <w:szCs w:val="24"/>
        </w:rPr>
        <w:t xml:space="preserve"> </w:t>
      </w:r>
    </w:p>
    <w:p w:rsidR="00C61434" w:rsidRPr="00E72FA4" w:rsidRDefault="00C61434" w:rsidP="00C61434">
      <w:pPr>
        <w:pStyle w:val="NoSpacing"/>
        <w:rPr>
          <w:rFonts w:ascii="Times New Roman" w:hAnsi="Times New Roman"/>
          <w:sz w:val="24"/>
          <w:szCs w:val="24"/>
        </w:rPr>
      </w:pPr>
      <w:r w:rsidRPr="00E72FA4">
        <w:rPr>
          <w:rFonts w:ascii="Times New Roman" w:hAnsi="Times New Roman"/>
          <w:b/>
          <w:sz w:val="24"/>
          <w:szCs w:val="24"/>
        </w:rPr>
        <w:t xml:space="preserve">Ryanair’s </w:t>
      </w:r>
      <w:r>
        <w:rPr>
          <w:rFonts w:ascii="Times New Roman" w:hAnsi="Times New Roman"/>
          <w:b/>
          <w:sz w:val="24"/>
          <w:szCs w:val="24"/>
        </w:rPr>
        <w:t>CEO Michael O’Leary</w:t>
      </w:r>
      <w:r w:rsidRPr="00E72FA4">
        <w:rPr>
          <w:rFonts w:ascii="Times New Roman" w:hAnsi="Times New Roman"/>
          <w:b/>
          <w:sz w:val="24"/>
          <w:szCs w:val="24"/>
        </w:rPr>
        <w:t xml:space="preserve"> said:</w:t>
      </w:r>
    </w:p>
    <w:p w:rsidR="00C61434" w:rsidRDefault="00C61434" w:rsidP="00C61434">
      <w:pPr>
        <w:pStyle w:val="NoSpacing"/>
        <w:jc w:val="both"/>
        <w:rPr>
          <w:rFonts w:ascii="Times New Roman" w:hAnsi="Times New Roman"/>
          <w:sz w:val="24"/>
          <w:szCs w:val="24"/>
        </w:rPr>
      </w:pPr>
      <w:r w:rsidRPr="005564D4">
        <w:rPr>
          <w:rFonts w:ascii="Times New Roman" w:hAnsi="Times New Roman"/>
          <w:sz w:val="24"/>
          <w:szCs w:val="24"/>
        </w:rPr>
        <w:t>“</w:t>
      </w:r>
      <w:r>
        <w:rPr>
          <w:rFonts w:ascii="Times New Roman" w:hAnsi="Times New Roman"/>
          <w:sz w:val="24"/>
          <w:szCs w:val="24"/>
        </w:rPr>
        <w:t xml:space="preserve">We are pleased to report this 55% increase in PAT to €397m but caution that the outcome is distorted by the absence of Easter in the prior year Q1. While Q1 ave. fares rose by 1% to just over €40, this was due to a strong April (boosted by Easter) offset by adverse sterling, lower bag revenue as more customers switch to our </w:t>
      </w:r>
      <w:proofErr w:type="gramStart"/>
      <w:r>
        <w:rPr>
          <w:rFonts w:ascii="Times New Roman" w:hAnsi="Times New Roman"/>
          <w:sz w:val="24"/>
          <w:szCs w:val="24"/>
        </w:rPr>
        <w:t>2 free</w:t>
      </w:r>
      <w:proofErr w:type="gramEnd"/>
      <w:r>
        <w:rPr>
          <w:rFonts w:ascii="Times New Roman" w:hAnsi="Times New Roman"/>
          <w:sz w:val="24"/>
          <w:szCs w:val="24"/>
        </w:rPr>
        <w:t xml:space="preserve"> carry-on bag policy, and yield stimulation following a series of security events in Manchester and London. Q1 highlights include:</w:t>
      </w:r>
    </w:p>
    <w:p w:rsidR="00C61434" w:rsidRPr="005564D4" w:rsidRDefault="00C61434" w:rsidP="00C61434">
      <w:pPr>
        <w:pStyle w:val="NoSpacing"/>
        <w:jc w:val="both"/>
        <w:rPr>
          <w:rFonts w:ascii="Times New Roman" w:hAnsi="Times New Roman"/>
          <w:sz w:val="24"/>
          <w:szCs w:val="24"/>
        </w:rPr>
      </w:pPr>
    </w:p>
    <w:p w:rsidR="00C61434" w:rsidRPr="00D3767C" w:rsidRDefault="00C61434" w:rsidP="00C61434">
      <w:pPr>
        <w:pStyle w:val="NoSpacing"/>
        <w:numPr>
          <w:ilvl w:val="0"/>
          <w:numId w:val="49"/>
        </w:numPr>
        <w:jc w:val="both"/>
        <w:rPr>
          <w:rFonts w:ascii="Times New Roman" w:hAnsi="Times New Roman"/>
          <w:sz w:val="24"/>
          <w:szCs w:val="24"/>
        </w:rPr>
      </w:pPr>
      <w:r>
        <w:rPr>
          <w:rFonts w:ascii="Times New Roman" w:hAnsi="Times New Roman"/>
          <w:sz w:val="24"/>
          <w:szCs w:val="24"/>
        </w:rPr>
        <w:t>Traffic up 12% to 35m (LF +2% to 96</w:t>
      </w:r>
      <w:r w:rsidRPr="005564D4">
        <w:rPr>
          <w:rFonts w:ascii="Times New Roman" w:hAnsi="Times New Roman"/>
          <w:sz w:val="24"/>
          <w:szCs w:val="24"/>
        </w:rPr>
        <w:t>%)</w:t>
      </w:r>
      <w:r>
        <w:rPr>
          <w:rFonts w:ascii="Times New Roman" w:hAnsi="Times New Roman"/>
          <w:sz w:val="24"/>
          <w:szCs w:val="24"/>
        </w:rPr>
        <w:t xml:space="preserve"> </w:t>
      </w:r>
    </w:p>
    <w:p w:rsidR="00C61434" w:rsidRDefault="00C61434" w:rsidP="00C61434">
      <w:pPr>
        <w:pStyle w:val="NoSpacing"/>
        <w:numPr>
          <w:ilvl w:val="0"/>
          <w:numId w:val="49"/>
        </w:numPr>
        <w:jc w:val="both"/>
        <w:rPr>
          <w:rFonts w:ascii="Times New Roman" w:hAnsi="Times New Roman"/>
          <w:sz w:val="24"/>
          <w:szCs w:val="24"/>
        </w:rPr>
      </w:pPr>
      <w:r>
        <w:rPr>
          <w:rFonts w:ascii="Times New Roman" w:hAnsi="Times New Roman"/>
          <w:sz w:val="24"/>
          <w:szCs w:val="24"/>
        </w:rPr>
        <w:t>Ave. fare up 1% to €40.30</w:t>
      </w:r>
    </w:p>
    <w:p w:rsidR="00C61434" w:rsidRPr="005564D4" w:rsidRDefault="00C61434" w:rsidP="00C61434">
      <w:pPr>
        <w:pStyle w:val="NoSpacing"/>
        <w:numPr>
          <w:ilvl w:val="0"/>
          <w:numId w:val="49"/>
        </w:numPr>
        <w:jc w:val="both"/>
        <w:rPr>
          <w:rFonts w:ascii="Times New Roman" w:hAnsi="Times New Roman"/>
          <w:sz w:val="24"/>
          <w:szCs w:val="24"/>
        </w:rPr>
      </w:pPr>
      <w:r w:rsidRPr="005564D4">
        <w:rPr>
          <w:rFonts w:ascii="Times New Roman" w:hAnsi="Times New Roman"/>
          <w:sz w:val="24"/>
          <w:szCs w:val="24"/>
        </w:rPr>
        <w:t>Unit cost</w:t>
      </w:r>
      <w:r>
        <w:rPr>
          <w:rFonts w:ascii="Times New Roman" w:hAnsi="Times New Roman"/>
          <w:sz w:val="24"/>
          <w:szCs w:val="24"/>
        </w:rPr>
        <w:t>s down 6</w:t>
      </w:r>
      <w:r w:rsidRPr="005564D4">
        <w:rPr>
          <w:rFonts w:ascii="Times New Roman" w:hAnsi="Times New Roman"/>
          <w:sz w:val="24"/>
          <w:szCs w:val="24"/>
        </w:rPr>
        <w:t xml:space="preserve">% </w:t>
      </w:r>
      <w:r>
        <w:rPr>
          <w:rFonts w:ascii="Times New Roman" w:hAnsi="Times New Roman"/>
          <w:sz w:val="24"/>
          <w:szCs w:val="24"/>
        </w:rPr>
        <w:t>(ex-fuel -3</w:t>
      </w:r>
      <w:r w:rsidRPr="005564D4">
        <w:rPr>
          <w:rFonts w:ascii="Times New Roman" w:hAnsi="Times New Roman"/>
          <w:sz w:val="24"/>
          <w:szCs w:val="24"/>
        </w:rPr>
        <w:t xml:space="preserve">%) </w:t>
      </w:r>
    </w:p>
    <w:p w:rsidR="00C61434" w:rsidRPr="005564D4" w:rsidRDefault="00C61434" w:rsidP="00C61434">
      <w:pPr>
        <w:pStyle w:val="NoSpacing"/>
        <w:numPr>
          <w:ilvl w:val="0"/>
          <w:numId w:val="49"/>
        </w:numPr>
        <w:jc w:val="both"/>
        <w:rPr>
          <w:rFonts w:ascii="Times New Roman" w:hAnsi="Times New Roman"/>
          <w:sz w:val="24"/>
          <w:szCs w:val="24"/>
        </w:rPr>
      </w:pPr>
      <w:r>
        <w:rPr>
          <w:rFonts w:ascii="Times New Roman" w:hAnsi="Times New Roman"/>
          <w:sz w:val="24"/>
          <w:szCs w:val="24"/>
        </w:rPr>
        <w:t>10 additional B737-MAX-200 “</w:t>
      </w:r>
      <w:r w:rsidRPr="00D27876">
        <w:rPr>
          <w:rFonts w:ascii="Times New Roman" w:hAnsi="Times New Roman"/>
          <w:i/>
          <w:sz w:val="24"/>
          <w:szCs w:val="24"/>
        </w:rPr>
        <w:t>Game Changers</w:t>
      </w:r>
      <w:r>
        <w:rPr>
          <w:rFonts w:ascii="Times New Roman" w:hAnsi="Times New Roman"/>
          <w:sz w:val="24"/>
          <w:szCs w:val="24"/>
        </w:rPr>
        <w:t>” ordered (now 110 firm &amp; 100 options)</w:t>
      </w:r>
      <w:r w:rsidRPr="005564D4">
        <w:rPr>
          <w:rFonts w:ascii="Times New Roman" w:hAnsi="Times New Roman"/>
          <w:sz w:val="24"/>
          <w:szCs w:val="24"/>
        </w:rPr>
        <w:t xml:space="preserve"> </w:t>
      </w:r>
    </w:p>
    <w:p w:rsidR="00C61434" w:rsidRDefault="00C61434" w:rsidP="00C61434">
      <w:pPr>
        <w:pStyle w:val="NoSpacing"/>
        <w:numPr>
          <w:ilvl w:val="0"/>
          <w:numId w:val="49"/>
        </w:numPr>
        <w:jc w:val="both"/>
        <w:rPr>
          <w:rFonts w:ascii="Times New Roman" w:hAnsi="Times New Roman"/>
          <w:sz w:val="24"/>
          <w:szCs w:val="24"/>
        </w:rPr>
      </w:pPr>
      <w:r>
        <w:rPr>
          <w:rFonts w:ascii="Times New Roman" w:hAnsi="Times New Roman"/>
          <w:sz w:val="24"/>
          <w:szCs w:val="24"/>
        </w:rPr>
        <w:t xml:space="preserve">Over €200m returned to shareholders via share buybacks </w:t>
      </w:r>
    </w:p>
    <w:p w:rsidR="00C61434" w:rsidRPr="0081794A" w:rsidRDefault="00C61434" w:rsidP="00C61434">
      <w:pPr>
        <w:pStyle w:val="NoSpacing"/>
        <w:numPr>
          <w:ilvl w:val="0"/>
          <w:numId w:val="49"/>
        </w:numPr>
        <w:jc w:val="both"/>
        <w:rPr>
          <w:rFonts w:ascii="Times New Roman" w:hAnsi="Times New Roman"/>
          <w:sz w:val="24"/>
          <w:szCs w:val="24"/>
        </w:rPr>
      </w:pPr>
      <w:r>
        <w:rPr>
          <w:rFonts w:ascii="Times New Roman" w:hAnsi="Times New Roman"/>
          <w:sz w:val="24"/>
          <w:szCs w:val="24"/>
        </w:rPr>
        <w:t>397 B737’s in fleet at end of Q1</w:t>
      </w:r>
    </w:p>
    <w:p w:rsidR="00C61434" w:rsidRDefault="00C61434" w:rsidP="00C61434">
      <w:pPr>
        <w:pStyle w:val="NoSpacing"/>
        <w:jc w:val="both"/>
        <w:rPr>
          <w:rFonts w:ascii="Times New Roman" w:hAnsi="Times New Roman"/>
          <w:b/>
          <w:sz w:val="24"/>
          <w:szCs w:val="24"/>
          <w:u w:val="single"/>
        </w:rPr>
      </w:pPr>
    </w:p>
    <w:p w:rsidR="00C61434" w:rsidRPr="003D4306" w:rsidRDefault="00C61434" w:rsidP="00C61434">
      <w:pPr>
        <w:pStyle w:val="NoSpacing"/>
        <w:jc w:val="both"/>
        <w:rPr>
          <w:rFonts w:ascii="Times New Roman" w:hAnsi="Times New Roman"/>
          <w:b/>
          <w:sz w:val="24"/>
          <w:szCs w:val="24"/>
          <w:u w:val="single"/>
        </w:rPr>
      </w:pPr>
      <w:r w:rsidRPr="003D4306">
        <w:rPr>
          <w:rFonts w:ascii="Times New Roman" w:hAnsi="Times New Roman"/>
          <w:b/>
          <w:sz w:val="24"/>
          <w:szCs w:val="24"/>
          <w:u w:val="single"/>
        </w:rPr>
        <w:t>New Routes, Bases &amp; Fleet:</w:t>
      </w:r>
    </w:p>
    <w:p w:rsidR="00C61434" w:rsidRDefault="00C61434" w:rsidP="00C61434">
      <w:pPr>
        <w:pStyle w:val="NoSpacing"/>
        <w:jc w:val="both"/>
        <w:rPr>
          <w:rFonts w:ascii="Times New Roman" w:hAnsi="Times New Roman"/>
          <w:sz w:val="24"/>
          <w:szCs w:val="24"/>
        </w:rPr>
      </w:pPr>
      <w:r>
        <w:rPr>
          <w:rFonts w:ascii="Times New Roman" w:hAnsi="Times New Roman"/>
          <w:sz w:val="24"/>
          <w:szCs w:val="24"/>
        </w:rPr>
        <w:t xml:space="preserve">We took delivery of 14 new B737’s in Q1, ahead of the peak summer period. Our new bases in Frankfurt Main (opened in March) and Naples (April) are performing well with strong advance bookings at low fares. The Frankfurt Main base will increase from 2 to 7 aircraft in Sept. We will launch 2 new bases in Memmingen (Munich) &amp; Poznan in the autumn and open 170 new routes for winter ’17.  We continue to see significant growth opportunities for Ryanair across Europe as </w:t>
      </w:r>
      <w:proofErr w:type="gramStart"/>
      <w:r>
        <w:rPr>
          <w:rFonts w:ascii="Times New Roman" w:hAnsi="Times New Roman"/>
          <w:sz w:val="24"/>
          <w:szCs w:val="24"/>
        </w:rPr>
        <w:t>competitors</w:t>
      </w:r>
      <w:proofErr w:type="gramEnd"/>
      <w:r>
        <w:rPr>
          <w:rFonts w:ascii="Times New Roman" w:hAnsi="Times New Roman"/>
          <w:sz w:val="24"/>
          <w:szCs w:val="24"/>
        </w:rPr>
        <w:t xml:space="preserve"> close bases or move capacity and legacy airlines restructure.   </w:t>
      </w:r>
    </w:p>
    <w:p w:rsidR="00C61434" w:rsidRDefault="00C61434" w:rsidP="00C61434">
      <w:pPr>
        <w:pStyle w:val="NoSpacing"/>
        <w:jc w:val="both"/>
        <w:rPr>
          <w:rFonts w:ascii="Times New Roman" w:hAnsi="Times New Roman"/>
          <w:sz w:val="24"/>
          <w:szCs w:val="24"/>
        </w:rPr>
      </w:pPr>
    </w:p>
    <w:p w:rsidR="00C61434" w:rsidRDefault="00C61434" w:rsidP="00C61434">
      <w:pPr>
        <w:pStyle w:val="NoSpacing"/>
        <w:jc w:val="both"/>
        <w:rPr>
          <w:rFonts w:ascii="Times New Roman" w:hAnsi="Times New Roman"/>
          <w:sz w:val="24"/>
          <w:szCs w:val="24"/>
        </w:rPr>
      </w:pPr>
      <w:r>
        <w:rPr>
          <w:rFonts w:ascii="Times New Roman" w:hAnsi="Times New Roman"/>
          <w:sz w:val="24"/>
          <w:szCs w:val="24"/>
        </w:rPr>
        <w:t xml:space="preserve">In </w:t>
      </w:r>
      <w:proofErr w:type="gramStart"/>
      <w:r>
        <w:rPr>
          <w:rFonts w:ascii="Times New Roman" w:hAnsi="Times New Roman"/>
          <w:sz w:val="24"/>
          <w:szCs w:val="24"/>
        </w:rPr>
        <w:t>June</w:t>
      </w:r>
      <w:proofErr w:type="gramEnd"/>
      <w:r>
        <w:rPr>
          <w:rFonts w:ascii="Times New Roman" w:hAnsi="Times New Roman"/>
          <w:sz w:val="24"/>
          <w:szCs w:val="24"/>
        </w:rPr>
        <w:t xml:space="preserve"> we ordered 10 more B737-MAX-200 “</w:t>
      </w:r>
      <w:r w:rsidRPr="00D27876">
        <w:rPr>
          <w:rFonts w:ascii="Times New Roman" w:hAnsi="Times New Roman"/>
          <w:i/>
          <w:sz w:val="24"/>
          <w:szCs w:val="24"/>
        </w:rPr>
        <w:t>Game Changer</w:t>
      </w:r>
      <w:r>
        <w:rPr>
          <w:rFonts w:ascii="Times New Roman" w:hAnsi="Times New Roman"/>
          <w:sz w:val="24"/>
          <w:szCs w:val="24"/>
        </w:rPr>
        <w:t xml:space="preserve">” aircraft. Five of these will be delivered in spring 2019 and 5 more in spring 2020. In addition, we recently agreed extensions of 10 operating leases which will provide us with 3 more aircraft for S.18 and 10 for S.19. This addresses a temporary capacity shortage in S.19 (before our Boeing MAX deliveries accelerate in Sept. ‘19) and allows us to maintain consistent growth through FY20. </w:t>
      </w:r>
    </w:p>
    <w:p w:rsidR="00C61434" w:rsidRDefault="00C61434" w:rsidP="00C61434">
      <w:pPr>
        <w:pStyle w:val="NoSpacing"/>
        <w:jc w:val="both"/>
        <w:rPr>
          <w:rFonts w:ascii="Times New Roman" w:hAnsi="Times New Roman"/>
          <w:b/>
          <w:sz w:val="24"/>
          <w:szCs w:val="24"/>
          <w:u w:val="single"/>
        </w:rPr>
      </w:pPr>
    </w:p>
    <w:p w:rsidR="00C61434" w:rsidRPr="003D4306" w:rsidRDefault="00C61434" w:rsidP="00C61434">
      <w:pPr>
        <w:pStyle w:val="NoSpacing"/>
        <w:jc w:val="both"/>
        <w:rPr>
          <w:rFonts w:ascii="Times New Roman" w:hAnsi="Times New Roman"/>
          <w:b/>
          <w:sz w:val="24"/>
          <w:szCs w:val="24"/>
          <w:u w:val="single"/>
        </w:rPr>
      </w:pPr>
      <w:r w:rsidRPr="003D4306">
        <w:rPr>
          <w:rFonts w:ascii="Times New Roman" w:hAnsi="Times New Roman"/>
          <w:b/>
          <w:sz w:val="24"/>
          <w:szCs w:val="24"/>
          <w:u w:val="single"/>
        </w:rPr>
        <w:t xml:space="preserve">AGB </w:t>
      </w:r>
      <w:r>
        <w:rPr>
          <w:rFonts w:ascii="Times New Roman" w:hAnsi="Times New Roman"/>
          <w:b/>
          <w:sz w:val="24"/>
          <w:szCs w:val="24"/>
          <w:u w:val="single"/>
        </w:rPr>
        <w:t>&amp; Labs</w:t>
      </w:r>
      <w:r w:rsidRPr="003D4306">
        <w:rPr>
          <w:rFonts w:ascii="Times New Roman" w:hAnsi="Times New Roman"/>
          <w:b/>
          <w:sz w:val="24"/>
          <w:szCs w:val="24"/>
          <w:u w:val="single"/>
        </w:rPr>
        <w:t>:</w:t>
      </w:r>
    </w:p>
    <w:p w:rsidR="00C61434" w:rsidRDefault="00C61434" w:rsidP="00C61434">
      <w:pPr>
        <w:pStyle w:val="NoSpacing"/>
        <w:jc w:val="both"/>
        <w:rPr>
          <w:rFonts w:ascii="Times New Roman" w:hAnsi="Times New Roman"/>
          <w:sz w:val="24"/>
          <w:szCs w:val="24"/>
        </w:rPr>
      </w:pPr>
      <w:r>
        <w:rPr>
          <w:rFonts w:ascii="Times New Roman" w:hAnsi="Times New Roman"/>
          <w:sz w:val="24"/>
          <w:szCs w:val="24"/>
        </w:rPr>
        <w:t xml:space="preserve">Year 4 of AGB is under way. In May we launched flight connections at Rome Fiumicino, and in July extended it to Milan Bergamo. We have started selling Air Europa long-haul flights from Madrid on our website and have become the exclusive airline partner of the EU Erasmus Student Network.  This partnership will enable Erasmus students to benefit from exclusive flight discounts to suit their budget and will be available from Aug.  From June, our customers who </w:t>
      </w:r>
      <w:r>
        <w:rPr>
          <w:rFonts w:ascii="Times New Roman" w:hAnsi="Times New Roman"/>
          <w:sz w:val="24"/>
          <w:szCs w:val="24"/>
        </w:rPr>
        <w:lastRenderedPageBreak/>
        <w:t>purchase reserved seats now enjoy a 60-day check-in window.  On Ryanair Rooms, we added a 5</w:t>
      </w:r>
      <w:r w:rsidRPr="002E3B58">
        <w:rPr>
          <w:rFonts w:ascii="Times New Roman" w:hAnsi="Times New Roman"/>
          <w:sz w:val="24"/>
          <w:szCs w:val="24"/>
          <w:vertAlign w:val="superscript"/>
        </w:rPr>
        <w:t>th</w:t>
      </w:r>
      <w:r>
        <w:rPr>
          <w:rFonts w:ascii="Times New Roman" w:hAnsi="Times New Roman"/>
          <w:sz w:val="24"/>
          <w:szCs w:val="24"/>
        </w:rPr>
        <w:t xml:space="preserve"> partner, increasing both choice and value for our customers. Ryanair Holidays continues to roll out across our network and went live in Italy and Spain in Q1.</w:t>
      </w:r>
    </w:p>
    <w:p w:rsidR="00C61434" w:rsidRDefault="00C61434" w:rsidP="00C61434">
      <w:pPr>
        <w:pStyle w:val="NoSpacing"/>
        <w:jc w:val="both"/>
        <w:rPr>
          <w:rFonts w:ascii="Times New Roman" w:hAnsi="Times New Roman"/>
          <w:sz w:val="24"/>
          <w:szCs w:val="24"/>
        </w:rPr>
      </w:pPr>
    </w:p>
    <w:p w:rsidR="00C61434" w:rsidRDefault="00C61434" w:rsidP="00C61434">
      <w:pPr>
        <w:pStyle w:val="NoSpacing"/>
        <w:jc w:val="both"/>
        <w:rPr>
          <w:rFonts w:ascii="Times New Roman" w:hAnsi="Times New Roman"/>
          <w:sz w:val="24"/>
          <w:szCs w:val="24"/>
        </w:rPr>
      </w:pPr>
      <w:r>
        <w:rPr>
          <w:rFonts w:ascii="Times New Roman" w:hAnsi="Times New Roman"/>
          <w:sz w:val="24"/>
          <w:szCs w:val="24"/>
        </w:rPr>
        <w:t>We continue to invest heavily in Travel Labs, and recently opened our 3</w:t>
      </w:r>
      <w:r w:rsidRPr="002E3B58">
        <w:rPr>
          <w:rFonts w:ascii="Times New Roman" w:hAnsi="Times New Roman"/>
          <w:sz w:val="24"/>
          <w:szCs w:val="24"/>
          <w:vertAlign w:val="superscript"/>
        </w:rPr>
        <w:t>rd</w:t>
      </w:r>
      <w:r>
        <w:rPr>
          <w:rFonts w:ascii="Times New Roman" w:hAnsi="Times New Roman"/>
          <w:sz w:val="24"/>
          <w:szCs w:val="24"/>
        </w:rPr>
        <w:t xml:space="preserve"> Lab facility in Madrid which will see us hire up to 250 highly skilled digital professionals in Spain over the next 2 years.  This follows on from the doubling in size of the team in Travel Labs Poland to almost 200 IT professionals earlier this year.</w:t>
      </w:r>
    </w:p>
    <w:p w:rsidR="00C61434" w:rsidRDefault="00C61434" w:rsidP="00C61434">
      <w:pPr>
        <w:pStyle w:val="NoSpacing"/>
        <w:jc w:val="both"/>
        <w:rPr>
          <w:rFonts w:ascii="Times New Roman" w:hAnsi="Times New Roman"/>
          <w:sz w:val="24"/>
          <w:szCs w:val="24"/>
        </w:rPr>
      </w:pPr>
      <w:r>
        <w:rPr>
          <w:rFonts w:ascii="Times New Roman" w:hAnsi="Times New Roman"/>
          <w:sz w:val="24"/>
          <w:szCs w:val="24"/>
        </w:rPr>
        <w:t xml:space="preserve">Our industry leading on-time performance improved in Q1 to 89%.  We work hard to ensure that our customers enjoy punctual flights and we continue to campaign with our partners in A4E (Airlines for Europe) to encourage the EC to </w:t>
      </w:r>
      <w:proofErr w:type="gramStart"/>
      <w:r>
        <w:rPr>
          <w:rFonts w:ascii="Times New Roman" w:hAnsi="Times New Roman"/>
          <w:sz w:val="24"/>
          <w:szCs w:val="24"/>
        </w:rPr>
        <w:t>take action</w:t>
      </w:r>
      <w:proofErr w:type="gramEnd"/>
      <w:r>
        <w:rPr>
          <w:rFonts w:ascii="Times New Roman" w:hAnsi="Times New Roman"/>
          <w:sz w:val="24"/>
          <w:szCs w:val="24"/>
        </w:rPr>
        <w:t xml:space="preserve"> to ameliorate the impact of ATC strikes on overflights in Europe.</w:t>
      </w:r>
    </w:p>
    <w:p w:rsidR="00C61434" w:rsidRDefault="00C61434" w:rsidP="00C61434">
      <w:pPr>
        <w:pStyle w:val="NoSpacing"/>
        <w:jc w:val="both"/>
        <w:rPr>
          <w:rFonts w:ascii="Times New Roman" w:hAnsi="Times New Roman"/>
          <w:sz w:val="24"/>
          <w:szCs w:val="24"/>
        </w:rPr>
      </w:pPr>
    </w:p>
    <w:tbl>
      <w:tblPr>
        <w:tblStyle w:val="TableGrid"/>
        <w:tblW w:w="0" w:type="auto"/>
        <w:tblInd w:w="1129" w:type="dxa"/>
        <w:tblLook w:val="04A0" w:firstRow="1" w:lastRow="0" w:firstColumn="1" w:lastColumn="0" w:noHBand="0" w:noVBand="1"/>
      </w:tblPr>
      <w:tblGrid>
        <w:gridCol w:w="1403"/>
        <w:gridCol w:w="810"/>
        <w:gridCol w:w="803"/>
        <w:gridCol w:w="830"/>
        <w:gridCol w:w="776"/>
      </w:tblGrid>
      <w:tr w:rsidR="00C61434" w:rsidTr="002E2DA9">
        <w:tc>
          <w:tcPr>
            <w:tcW w:w="394" w:type="dxa"/>
          </w:tcPr>
          <w:p w:rsidR="00C61434" w:rsidRPr="002E3B58" w:rsidRDefault="00C61434" w:rsidP="002E2DA9">
            <w:pPr>
              <w:pStyle w:val="NoSpacing"/>
              <w:jc w:val="both"/>
              <w:rPr>
                <w:b/>
                <w:sz w:val="24"/>
                <w:szCs w:val="24"/>
              </w:rPr>
            </w:pPr>
            <w:r w:rsidRPr="002E3B58">
              <w:rPr>
                <w:b/>
                <w:sz w:val="24"/>
                <w:szCs w:val="24"/>
              </w:rPr>
              <w:t>Punctuality</w:t>
            </w:r>
          </w:p>
        </w:tc>
        <w:tc>
          <w:tcPr>
            <w:tcW w:w="810" w:type="dxa"/>
          </w:tcPr>
          <w:p w:rsidR="00C61434" w:rsidRPr="002E3B58" w:rsidRDefault="00C61434" w:rsidP="002E2DA9">
            <w:pPr>
              <w:pStyle w:val="NoSpacing"/>
              <w:jc w:val="both"/>
              <w:rPr>
                <w:b/>
                <w:sz w:val="24"/>
                <w:szCs w:val="24"/>
              </w:rPr>
            </w:pPr>
            <w:r w:rsidRPr="002E3B58">
              <w:rPr>
                <w:b/>
                <w:sz w:val="24"/>
                <w:szCs w:val="24"/>
              </w:rPr>
              <w:t>Apr.</w:t>
            </w:r>
          </w:p>
        </w:tc>
        <w:tc>
          <w:tcPr>
            <w:tcW w:w="803" w:type="dxa"/>
          </w:tcPr>
          <w:p w:rsidR="00C61434" w:rsidRPr="002E3B58" w:rsidRDefault="00C61434" w:rsidP="002E2DA9">
            <w:pPr>
              <w:pStyle w:val="NoSpacing"/>
              <w:jc w:val="both"/>
              <w:rPr>
                <w:b/>
                <w:sz w:val="24"/>
                <w:szCs w:val="24"/>
              </w:rPr>
            </w:pPr>
            <w:r w:rsidRPr="002E3B58">
              <w:rPr>
                <w:b/>
                <w:sz w:val="24"/>
                <w:szCs w:val="24"/>
              </w:rPr>
              <w:t>May</w:t>
            </w:r>
          </w:p>
        </w:tc>
        <w:tc>
          <w:tcPr>
            <w:tcW w:w="830" w:type="dxa"/>
          </w:tcPr>
          <w:p w:rsidR="00C61434" w:rsidRPr="002E3B58" w:rsidRDefault="00C61434" w:rsidP="002E2DA9">
            <w:pPr>
              <w:pStyle w:val="NoSpacing"/>
              <w:jc w:val="both"/>
              <w:rPr>
                <w:b/>
                <w:sz w:val="24"/>
                <w:szCs w:val="24"/>
              </w:rPr>
            </w:pPr>
            <w:r w:rsidRPr="002E3B58">
              <w:rPr>
                <w:b/>
                <w:sz w:val="24"/>
                <w:szCs w:val="24"/>
              </w:rPr>
              <w:t>Jun</w:t>
            </w:r>
            <w:r>
              <w:rPr>
                <w:b/>
                <w:sz w:val="24"/>
                <w:szCs w:val="24"/>
              </w:rPr>
              <w:t>.</w:t>
            </w:r>
          </w:p>
        </w:tc>
        <w:tc>
          <w:tcPr>
            <w:tcW w:w="776" w:type="dxa"/>
          </w:tcPr>
          <w:p w:rsidR="00C61434" w:rsidRPr="002E3B58" w:rsidRDefault="00C61434" w:rsidP="002E2DA9">
            <w:pPr>
              <w:pStyle w:val="NoSpacing"/>
              <w:jc w:val="both"/>
              <w:rPr>
                <w:b/>
                <w:sz w:val="24"/>
                <w:szCs w:val="24"/>
              </w:rPr>
            </w:pPr>
            <w:r w:rsidRPr="002E3B58">
              <w:rPr>
                <w:b/>
                <w:sz w:val="24"/>
                <w:szCs w:val="24"/>
              </w:rPr>
              <w:t>Q1</w:t>
            </w:r>
          </w:p>
        </w:tc>
      </w:tr>
      <w:tr w:rsidR="00C61434" w:rsidTr="002E2DA9">
        <w:tc>
          <w:tcPr>
            <w:tcW w:w="394" w:type="dxa"/>
          </w:tcPr>
          <w:p w:rsidR="00C61434" w:rsidRDefault="00C61434" w:rsidP="002E2DA9">
            <w:pPr>
              <w:pStyle w:val="NoSpacing"/>
              <w:jc w:val="both"/>
              <w:rPr>
                <w:sz w:val="24"/>
                <w:szCs w:val="24"/>
              </w:rPr>
            </w:pPr>
            <w:r>
              <w:rPr>
                <w:sz w:val="24"/>
                <w:szCs w:val="24"/>
              </w:rPr>
              <w:t>FY17</w:t>
            </w:r>
          </w:p>
        </w:tc>
        <w:tc>
          <w:tcPr>
            <w:tcW w:w="810" w:type="dxa"/>
          </w:tcPr>
          <w:p w:rsidR="00C61434" w:rsidRDefault="00C61434" w:rsidP="002E2DA9">
            <w:pPr>
              <w:pStyle w:val="NoSpacing"/>
              <w:jc w:val="both"/>
              <w:rPr>
                <w:sz w:val="24"/>
                <w:szCs w:val="24"/>
              </w:rPr>
            </w:pPr>
            <w:r>
              <w:rPr>
                <w:sz w:val="24"/>
                <w:szCs w:val="24"/>
              </w:rPr>
              <w:t>91%</w:t>
            </w:r>
          </w:p>
        </w:tc>
        <w:tc>
          <w:tcPr>
            <w:tcW w:w="803" w:type="dxa"/>
          </w:tcPr>
          <w:p w:rsidR="00C61434" w:rsidRDefault="00C61434" w:rsidP="002E2DA9">
            <w:pPr>
              <w:pStyle w:val="NoSpacing"/>
              <w:jc w:val="both"/>
              <w:rPr>
                <w:sz w:val="24"/>
                <w:szCs w:val="24"/>
              </w:rPr>
            </w:pPr>
            <w:r>
              <w:rPr>
                <w:sz w:val="24"/>
                <w:szCs w:val="24"/>
              </w:rPr>
              <w:t>89%</w:t>
            </w:r>
          </w:p>
        </w:tc>
        <w:tc>
          <w:tcPr>
            <w:tcW w:w="830" w:type="dxa"/>
          </w:tcPr>
          <w:p w:rsidR="00C61434" w:rsidRDefault="00C61434" w:rsidP="002E2DA9">
            <w:pPr>
              <w:pStyle w:val="NoSpacing"/>
              <w:jc w:val="both"/>
              <w:rPr>
                <w:sz w:val="24"/>
                <w:szCs w:val="24"/>
              </w:rPr>
            </w:pPr>
            <w:r>
              <w:rPr>
                <w:sz w:val="24"/>
                <w:szCs w:val="24"/>
              </w:rPr>
              <w:t>81%</w:t>
            </w:r>
          </w:p>
        </w:tc>
        <w:tc>
          <w:tcPr>
            <w:tcW w:w="776" w:type="dxa"/>
          </w:tcPr>
          <w:p w:rsidR="00C61434" w:rsidRDefault="00C61434" w:rsidP="002E2DA9">
            <w:pPr>
              <w:pStyle w:val="NoSpacing"/>
              <w:jc w:val="both"/>
              <w:rPr>
                <w:sz w:val="24"/>
                <w:szCs w:val="24"/>
              </w:rPr>
            </w:pPr>
            <w:r>
              <w:rPr>
                <w:sz w:val="24"/>
                <w:szCs w:val="24"/>
              </w:rPr>
              <w:t>87%</w:t>
            </w:r>
          </w:p>
        </w:tc>
      </w:tr>
      <w:tr w:rsidR="00C61434" w:rsidTr="002E2DA9">
        <w:tc>
          <w:tcPr>
            <w:tcW w:w="394" w:type="dxa"/>
          </w:tcPr>
          <w:p w:rsidR="00C61434" w:rsidRDefault="00C61434" w:rsidP="002E2DA9">
            <w:pPr>
              <w:pStyle w:val="NoSpacing"/>
              <w:jc w:val="both"/>
              <w:rPr>
                <w:sz w:val="24"/>
                <w:szCs w:val="24"/>
              </w:rPr>
            </w:pPr>
            <w:r>
              <w:rPr>
                <w:sz w:val="24"/>
                <w:szCs w:val="24"/>
              </w:rPr>
              <w:t>FY18</w:t>
            </w:r>
          </w:p>
        </w:tc>
        <w:tc>
          <w:tcPr>
            <w:tcW w:w="810" w:type="dxa"/>
          </w:tcPr>
          <w:p w:rsidR="00C61434" w:rsidRDefault="00C61434" w:rsidP="002E2DA9">
            <w:pPr>
              <w:pStyle w:val="NoSpacing"/>
              <w:jc w:val="both"/>
              <w:rPr>
                <w:sz w:val="24"/>
                <w:szCs w:val="24"/>
              </w:rPr>
            </w:pPr>
            <w:r>
              <w:rPr>
                <w:sz w:val="24"/>
                <w:szCs w:val="24"/>
              </w:rPr>
              <w:t>91%</w:t>
            </w:r>
          </w:p>
        </w:tc>
        <w:tc>
          <w:tcPr>
            <w:tcW w:w="803" w:type="dxa"/>
          </w:tcPr>
          <w:p w:rsidR="00C61434" w:rsidRDefault="00C61434" w:rsidP="002E2DA9">
            <w:pPr>
              <w:pStyle w:val="NoSpacing"/>
              <w:jc w:val="both"/>
              <w:rPr>
                <w:sz w:val="24"/>
                <w:szCs w:val="24"/>
              </w:rPr>
            </w:pPr>
            <w:r>
              <w:rPr>
                <w:sz w:val="24"/>
                <w:szCs w:val="24"/>
              </w:rPr>
              <w:t>90%</w:t>
            </w:r>
          </w:p>
        </w:tc>
        <w:tc>
          <w:tcPr>
            <w:tcW w:w="830" w:type="dxa"/>
          </w:tcPr>
          <w:p w:rsidR="00C61434" w:rsidRDefault="00C61434" w:rsidP="002E2DA9">
            <w:pPr>
              <w:pStyle w:val="NoSpacing"/>
              <w:jc w:val="both"/>
              <w:rPr>
                <w:sz w:val="24"/>
                <w:szCs w:val="24"/>
              </w:rPr>
            </w:pPr>
            <w:r>
              <w:rPr>
                <w:sz w:val="24"/>
                <w:szCs w:val="24"/>
              </w:rPr>
              <w:t>88%</w:t>
            </w:r>
          </w:p>
        </w:tc>
        <w:tc>
          <w:tcPr>
            <w:tcW w:w="776" w:type="dxa"/>
          </w:tcPr>
          <w:p w:rsidR="00C61434" w:rsidRDefault="00C61434" w:rsidP="002E2DA9">
            <w:pPr>
              <w:pStyle w:val="NoSpacing"/>
              <w:jc w:val="both"/>
              <w:rPr>
                <w:sz w:val="24"/>
                <w:szCs w:val="24"/>
              </w:rPr>
            </w:pPr>
            <w:r>
              <w:rPr>
                <w:sz w:val="24"/>
                <w:szCs w:val="24"/>
              </w:rPr>
              <w:t>89%</w:t>
            </w:r>
          </w:p>
        </w:tc>
      </w:tr>
    </w:tbl>
    <w:p w:rsidR="00C61434" w:rsidRDefault="00C61434" w:rsidP="00C61434">
      <w:pPr>
        <w:pStyle w:val="NoSpacing"/>
        <w:jc w:val="both"/>
        <w:rPr>
          <w:rFonts w:ascii="Times New Roman" w:hAnsi="Times New Roman"/>
          <w:sz w:val="24"/>
          <w:szCs w:val="24"/>
        </w:rPr>
      </w:pPr>
    </w:p>
    <w:p w:rsidR="00C61434" w:rsidRDefault="00C61434" w:rsidP="00C61434">
      <w:pPr>
        <w:pStyle w:val="NoSpacing"/>
        <w:jc w:val="both"/>
        <w:rPr>
          <w:rFonts w:ascii="Times New Roman" w:hAnsi="Times New Roman"/>
          <w:b/>
          <w:sz w:val="24"/>
          <w:szCs w:val="24"/>
          <w:u w:val="single"/>
        </w:rPr>
      </w:pPr>
      <w:r>
        <w:rPr>
          <w:rFonts w:ascii="Times New Roman" w:hAnsi="Times New Roman"/>
          <w:b/>
          <w:sz w:val="24"/>
          <w:szCs w:val="24"/>
          <w:u w:val="single"/>
        </w:rPr>
        <w:t>Costs:</w:t>
      </w:r>
    </w:p>
    <w:p w:rsidR="00C61434" w:rsidRDefault="00C61434" w:rsidP="00C61434">
      <w:pPr>
        <w:pStyle w:val="NoSpacing"/>
        <w:jc w:val="both"/>
        <w:rPr>
          <w:rFonts w:ascii="Times New Roman" w:hAnsi="Times New Roman"/>
          <w:sz w:val="24"/>
          <w:szCs w:val="24"/>
        </w:rPr>
      </w:pPr>
      <w:r>
        <w:rPr>
          <w:rFonts w:ascii="Times New Roman" w:hAnsi="Times New Roman"/>
          <w:sz w:val="24"/>
          <w:szCs w:val="24"/>
        </w:rPr>
        <w:t xml:space="preserve">The cost gap between Ryanair and competitor airlines continues to widen.  We delivered a </w:t>
      </w:r>
      <w:proofErr w:type="gramStart"/>
      <w:r>
        <w:rPr>
          <w:rFonts w:ascii="Times New Roman" w:hAnsi="Times New Roman"/>
          <w:sz w:val="24"/>
          <w:szCs w:val="24"/>
        </w:rPr>
        <w:t>6% unit</w:t>
      </w:r>
      <w:proofErr w:type="gramEnd"/>
      <w:r>
        <w:rPr>
          <w:rFonts w:ascii="Times New Roman" w:hAnsi="Times New Roman"/>
          <w:sz w:val="24"/>
          <w:szCs w:val="24"/>
        </w:rPr>
        <w:t xml:space="preserve"> cost reduction in Q1 as our fuel bill fell despite a 12% increase in traffic.  Ex-fuel unit costs, helped by weaker sterling (which will, we believe, be reversed in H2 due to more difficult y-o-y comparisons), fell by 3% as we delivered unit cost reductions across nearly all cost lines.  We remain on-track to deliver our previously guided ex-fuel unit cost reduction of 1% in FY18.</w:t>
      </w:r>
    </w:p>
    <w:p w:rsidR="00C61434" w:rsidRDefault="00C61434" w:rsidP="00C61434">
      <w:pPr>
        <w:pStyle w:val="NoSpacing"/>
        <w:jc w:val="both"/>
        <w:rPr>
          <w:rFonts w:ascii="Times New Roman" w:hAnsi="Times New Roman"/>
          <w:sz w:val="24"/>
          <w:szCs w:val="24"/>
        </w:rPr>
      </w:pPr>
    </w:p>
    <w:p w:rsidR="00C61434" w:rsidRDefault="00C61434" w:rsidP="00C61434">
      <w:pPr>
        <w:pStyle w:val="NoSpacing"/>
        <w:jc w:val="both"/>
        <w:rPr>
          <w:rFonts w:ascii="Times New Roman" w:hAnsi="Times New Roman"/>
          <w:sz w:val="24"/>
          <w:szCs w:val="24"/>
        </w:rPr>
      </w:pPr>
      <w:r>
        <w:rPr>
          <w:rFonts w:ascii="Times New Roman" w:hAnsi="Times New Roman"/>
          <w:sz w:val="24"/>
          <w:szCs w:val="24"/>
        </w:rPr>
        <w:t xml:space="preserve">Our FY18 fuel is 90% hedged at approx. $49pbl and will deliver significant savings this year.  We took advantage of recent price dips to increase our H1 FY19 hedging to approx. 45% at $48pbl.  We expect these fuel savings will be passed back to Ryanair customers through lower fares.  </w:t>
      </w:r>
    </w:p>
    <w:p w:rsidR="00C61434" w:rsidRPr="008D46E6" w:rsidRDefault="00C61434" w:rsidP="00C61434">
      <w:pPr>
        <w:pStyle w:val="NoSpacing"/>
        <w:jc w:val="both"/>
        <w:rPr>
          <w:rFonts w:ascii="Times New Roman" w:hAnsi="Times New Roman"/>
          <w:sz w:val="24"/>
          <w:szCs w:val="24"/>
        </w:rPr>
      </w:pPr>
    </w:p>
    <w:p w:rsidR="00C61434" w:rsidRPr="00627FBD" w:rsidRDefault="00C61434" w:rsidP="00C61434">
      <w:pPr>
        <w:pStyle w:val="NoSpacing"/>
        <w:jc w:val="both"/>
        <w:rPr>
          <w:rFonts w:ascii="Times New Roman" w:hAnsi="Times New Roman"/>
          <w:b/>
          <w:sz w:val="24"/>
          <w:szCs w:val="24"/>
          <w:u w:val="single"/>
        </w:rPr>
      </w:pPr>
      <w:r w:rsidRPr="008A4FE9">
        <w:rPr>
          <w:rFonts w:ascii="Times New Roman" w:hAnsi="Times New Roman"/>
          <w:b/>
          <w:sz w:val="24"/>
          <w:szCs w:val="24"/>
          <w:u w:val="single"/>
        </w:rPr>
        <w:t xml:space="preserve">Brexit: </w:t>
      </w:r>
    </w:p>
    <w:p w:rsidR="00C61434" w:rsidRDefault="00C61434" w:rsidP="00C61434">
      <w:pPr>
        <w:pStyle w:val="NoSpacing"/>
        <w:jc w:val="both"/>
        <w:rPr>
          <w:rFonts w:ascii="Times New Roman" w:hAnsi="Times New Roman"/>
          <w:sz w:val="24"/>
          <w:szCs w:val="24"/>
        </w:rPr>
      </w:pPr>
      <w:r>
        <w:rPr>
          <w:rFonts w:ascii="Times New Roman" w:hAnsi="Times New Roman"/>
          <w:sz w:val="24"/>
          <w:szCs w:val="24"/>
        </w:rPr>
        <w:t xml:space="preserve">We remain concerned at the uncertainty which surrounds the terms of the UK’s departure from the EU in March ’19. While we continue to campaign for the UK to remain in the EU Open Skies agreement, we caution that should the UK leave, there may not be sufficient time, or goodwill on both sides, to negotiate a timely replacement bilateral which could result in a disruption of flights between the UK and Europe for </w:t>
      </w:r>
      <w:proofErr w:type="gramStart"/>
      <w:r>
        <w:rPr>
          <w:rFonts w:ascii="Times New Roman" w:hAnsi="Times New Roman"/>
          <w:sz w:val="24"/>
          <w:szCs w:val="24"/>
        </w:rPr>
        <w:t>a period of time</w:t>
      </w:r>
      <w:proofErr w:type="gramEnd"/>
      <w:r>
        <w:rPr>
          <w:rFonts w:ascii="Times New Roman" w:hAnsi="Times New Roman"/>
          <w:sz w:val="24"/>
          <w:szCs w:val="24"/>
        </w:rPr>
        <w:t xml:space="preserve"> from April ’19 onwards.  We, like all airlines, seek clarity on this issue before we publish our summer 2019 schedule in the second quarter of 2018.  If we do not have certainty about the legal basis for the operation of flights between the UK and the EU by autumn 2018, we may be forced to cancel flights and move some, or all, of our UK based aircraft to Continental Europe from April ’19 onwards.  We have contingency plans in place and will, as always, adapt to changed circumstances in the best interests of our customers and shareholders.</w:t>
      </w:r>
    </w:p>
    <w:p w:rsidR="00C61434" w:rsidRDefault="00C61434" w:rsidP="00C61434">
      <w:pPr>
        <w:pStyle w:val="NoSpacing"/>
        <w:jc w:val="both"/>
        <w:rPr>
          <w:rFonts w:ascii="Times New Roman" w:hAnsi="Times New Roman"/>
          <w:b/>
          <w:sz w:val="24"/>
          <w:szCs w:val="24"/>
          <w:u w:val="single"/>
        </w:rPr>
      </w:pPr>
    </w:p>
    <w:p w:rsidR="00C61434" w:rsidRPr="008D46E6" w:rsidRDefault="00C61434" w:rsidP="00C61434">
      <w:pPr>
        <w:pStyle w:val="NoSpacing"/>
        <w:jc w:val="both"/>
        <w:rPr>
          <w:rFonts w:ascii="Times New Roman" w:hAnsi="Times New Roman"/>
          <w:b/>
          <w:sz w:val="24"/>
          <w:szCs w:val="24"/>
          <w:u w:val="single"/>
        </w:rPr>
      </w:pPr>
      <w:r w:rsidRPr="008D46E6">
        <w:rPr>
          <w:rFonts w:ascii="Times New Roman" w:hAnsi="Times New Roman"/>
          <w:b/>
          <w:sz w:val="24"/>
          <w:szCs w:val="24"/>
          <w:u w:val="single"/>
        </w:rPr>
        <w:t>Balance Sheet &amp; Shareholder Returns:</w:t>
      </w:r>
    </w:p>
    <w:p w:rsidR="00C61434" w:rsidRDefault="00C61434" w:rsidP="00C61434">
      <w:pPr>
        <w:pStyle w:val="NoSpacing"/>
        <w:jc w:val="both"/>
        <w:rPr>
          <w:rFonts w:ascii="Times New Roman" w:hAnsi="Times New Roman"/>
          <w:sz w:val="24"/>
          <w:szCs w:val="24"/>
        </w:rPr>
      </w:pPr>
      <w:r>
        <w:rPr>
          <w:rFonts w:ascii="Times New Roman" w:hAnsi="Times New Roman"/>
          <w:sz w:val="24"/>
          <w:szCs w:val="24"/>
        </w:rPr>
        <w:t xml:space="preserve">Ryanair’s balance sheet remains one of the strongest in our industry.  In May the Board approved a €600m ordinary share buyback programme.  In Q1 we spent €165m under this buyback at an ave. price of €18.20. We also purchased €39m worth of ADR’s under the €150m “Evergreen” ADR buyback programme launched last Feb.  Despite this cumulative spend of over €200m on buybacks and capex of almost €400m in Q1, we reduced net debt by €150m from €244m at Mar. 31 to €94m at Jun. 30.  </w:t>
      </w:r>
    </w:p>
    <w:p w:rsidR="00C61434" w:rsidRDefault="00C61434" w:rsidP="00C61434">
      <w:pPr>
        <w:pStyle w:val="NoSpacing"/>
        <w:jc w:val="both"/>
        <w:rPr>
          <w:rFonts w:ascii="Times New Roman" w:hAnsi="Times New Roman"/>
          <w:sz w:val="24"/>
          <w:szCs w:val="24"/>
        </w:rPr>
      </w:pPr>
    </w:p>
    <w:p w:rsidR="00C61434" w:rsidRPr="008A4FE9" w:rsidRDefault="00C61434" w:rsidP="00C61434">
      <w:pPr>
        <w:pStyle w:val="NoSpacing"/>
        <w:jc w:val="both"/>
        <w:rPr>
          <w:rFonts w:ascii="Times New Roman" w:hAnsi="Times New Roman"/>
          <w:b/>
          <w:sz w:val="24"/>
          <w:szCs w:val="24"/>
          <w:u w:val="single"/>
        </w:rPr>
      </w:pPr>
      <w:r w:rsidRPr="008A4FE9">
        <w:rPr>
          <w:rFonts w:ascii="Times New Roman" w:hAnsi="Times New Roman"/>
          <w:b/>
          <w:sz w:val="24"/>
          <w:szCs w:val="24"/>
          <w:u w:val="single"/>
        </w:rPr>
        <w:lastRenderedPageBreak/>
        <w:t>Outlook:</w:t>
      </w:r>
    </w:p>
    <w:p w:rsidR="00C61434" w:rsidRDefault="00C61434" w:rsidP="00C61434">
      <w:pPr>
        <w:pStyle w:val="NoSpacing"/>
        <w:jc w:val="both"/>
        <w:rPr>
          <w:rFonts w:ascii="Times New Roman" w:hAnsi="Times New Roman"/>
          <w:sz w:val="24"/>
          <w:szCs w:val="24"/>
        </w:rPr>
      </w:pPr>
      <w:r>
        <w:rPr>
          <w:rFonts w:ascii="Times New Roman" w:hAnsi="Times New Roman"/>
          <w:sz w:val="24"/>
          <w:szCs w:val="24"/>
        </w:rPr>
        <w:t xml:space="preserve">As previously guided, Q1 results were substantially boosted by the presence of Easter in April but not in the prior year comparable.  While the H1 outcome remains dependent on close-in Q2 summer bookings, we continue to guide H1 ave. fares down approx. 5% as we </w:t>
      </w:r>
      <w:proofErr w:type="gramStart"/>
      <w:r>
        <w:rPr>
          <w:rFonts w:ascii="Times New Roman" w:hAnsi="Times New Roman"/>
          <w:sz w:val="24"/>
          <w:szCs w:val="24"/>
        </w:rPr>
        <w:t>grow  H</w:t>
      </w:r>
      <w:proofErr w:type="gramEnd"/>
      <w:r>
        <w:rPr>
          <w:rFonts w:ascii="Times New Roman" w:hAnsi="Times New Roman"/>
          <w:sz w:val="24"/>
          <w:szCs w:val="24"/>
        </w:rPr>
        <w:t xml:space="preserve">1 traffic by almost 11% and checked bag revenue continues to steeply decline.  Thanks to the higher Q1 load factors and the completion of our winter ’17 schedule, we are raising our FY18 traffic target to 131m (up 1m on previous guidance).  After a difficult winter last year, we expect the pricing environment to remain very competitive into H2 where we will grow traffic by approx. 7%.  Yield visibility into H2 is zero and we see no reason </w:t>
      </w:r>
      <w:proofErr w:type="gramStart"/>
      <w:r>
        <w:rPr>
          <w:rFonts w:ascii="Times New Roman" w:hAnsi="Times New Roman"/>
          <w:sz w:val="24"/>
          <w:szCs w:val="24"/>
        </w:rPr>
        <w:t>at this time</w:t>
      </w:r>
      <w:proofErr w:type="gramEnd"/>
      <w:r>
        <w:rPr>
          <w:rFonts w:ascii="Times New Roman" w:hAnsi="Times New Roman"/>
          <w:sz w:val="24"/>
          <w:szCs w:val="24"/>
        </w:rPr>
        <w:t xml:space="preserve"> to alter our H2 ave. fare guidance of an 8% decline. </w:t>
      </w:r>
    </w:p>
    <w:p w:rsidR="00C61434" w:rsidRDefault="00C61434" w:rsidP="00C61434">
      <w:pPr>
        <w:pStyle w:val="NoSpacing"/>
        <w:jc w:val="both"/>
        <w:rPr>
          <w:rFonts w:ascii="Times New Roman" w:hAnsi="Times New Roman"/>
          <w:sz w:val="24"/>
          <w:szCs w:val="24"/>
        </w:rPr>
      </w:pPr>
    </w:p>
    <w:p w:rsidR="00C61434" w:rsidRDefault="00C61434" w:rsidP="00C61434">
      <w:pPr>
        <w:pStyle w:val="NoSpacing"/>
        <w:jc w:val="both"/>
        <w:rPr>
          <w:rFonts w:ascii="Times New Roman" w:hAnsi="Times New Roman"/>
          <w:sz w:val="24"/>
          <w:szCs w:val="24"/>
        </w:rPr>
      </w:pPr>
      <w:r>
        <w:rPr>
          <w:rFonts w:ascii="Times New Roman" w:hAnsi="Times New Roman"/>
          <w:sz w:val="24"/>
          <w:szCs w:val="24"/>
        </w:rPr>
        <w:t xml:space="preserve">Ex-fuel unit costs are on track to deliver a 1% reduction this year, and our fuel hedging should deliver savings of approx. €70m, when adjusted for volume growth, which is being passed on to customers in lower fares.  Ancillary revenue continues to grow in line with traffic as we discount pricing to drive penetration in products such as Ryanair Rooms, Ryanair Holidays and the PLUS bundles (which are reported in scheduled revenue).    </w:t>
      </w:r>
    </w:p>
    <w:p w:rsidR="00C61434" w:rsidRDefault="00C61434" w:rsidP="00C61434">
      <w:pPr>
        <w:pStyle w:val="NoSpacing"/>
        <w:jc w:val="both"/>
        <w:rPr>
          <w:rFonts w:ascii="Times New Roman" w:hAnsi="Times New Roman"/>
          <w:sz w:val="24"/>
          <w:szCs w:val="24"/>
        </w:rPr>
      </w:pPr>
    </w:p>
    <w:p w:rsidR="00C61434" w:rsidRDefault="00C61434" w:rsidP="00C61434">
      <w:pPr>
        <w:pStyle w:val="NoSpacing"/>
        <w:jc w:val="both"/>
        <w:rPr>
          <w:rFonts w:ascii="Times New Roman" w:hAnsi="Times New Roman"/>
          <w:sz w:val="24"/>
          <w:szCs w:val="24"/>
        </w:rPr>
      </w:pPr>
      <w:r>
        <w:rPr>
          <w:rFonts w:ascii="Times New Roman" w:hAnsi="Times New Roman"/>
          <w:sz w:val="24"/>
          <w:szCs w:val="24"/>
        </w:rPr>
        <w:t>Based on the above, we continue to guide FY18 PAT in a range of €1.40bn to €1.45bn. This guidance remains heavily dependent on close-in summer bookings, H2 ave. fares, and the absence of any further security events, ATC strikes or negative Brexit developments.”</w:t>
      </w:r>
    </w:p>
    <w:p w:rsidR="00C61434" w:rsidRPr="005564D4" w:rsidRDefault="00C61434" w:rsidP="00C61434">
      <w:pPr>
        <w:pStyle w:val="NoSpacing"/>
        <w:jc w:val="both"/>
        <w:rPr>
          <w:rFonts w:ascii="Times New Roman" w:hAnsi="Times New Roman"/>
          <w:sz w:val="24"/>
          <w:szCs w:val="24"/>
        </w:rPr>
      </w:pPr>
    </w:p>
    <w:p w:rsidR="00C61434" w:rsidRPr="005564D4" w:rsidRDefault="00C61434" w:rsidP="00C61434">
      <w:pPr>
        <w:jc w:val="both"/>
      </w:pPr>
      <w:r>
        <w:t>ENDS.</w:t>
      </w:r>
    </w:p>
    <w:p w:rsidR="00C61434" w:rsidRPr="0019111E" w:rsidRDefault="00C61434" w:rsidP="00C61434">
      <w:pPr>
        <w:pStyle w:val="NoSpacing"/>
        <w:ind w:left="-142" w:right="-166"/>
        <w:jc w:val="both"/>
        <w:rPr>
          <w:rFonts w:ascii="Times New Roman" w:hAnsi="Times New Roman"/>
          <w:b/>
          <w:sz w:val="24"/>
          <w:szCs w:val="24"/>
        </w:rPr>
      </w:pPr>
      <w:r w:rsidRPr="005564D4">
        <w:t xml:space="preserve"> </w:t>
      </w:r>
    </w:p>
    <w:tbl>
      <w:tblPr>
        <w:tblStyle w:val="TableGrid"/>
        <w:tblW w:w="0" w:type="auto"/>
        <w:tblInd w:w="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2876"/>
        <w:gridCol w:w="2875"/>
      </w:tblGrid>
      <w:tr w:rsidR="00C61434" w:rsidRPr="00551EEE" w:rsidTr="002E2DA9">
        <w:tc>
          <w:tcPr>
            <w:tcW w:w="3099" w:type="dxa"/>
            <w:hideMark/>
          </w:tcPr>
          <w:p w:rsidR="00C61434" w:rsidRPr="000550E4" w:rsidRDefault="00C61434" w:rsidP="002E2DA9">
            <w:pPr>
              <w:ind w:left="-142" w:right="-166"/>
              <w:rPr>
                <w:sz w:val="22"/>
              </w:rPr>
            </w:pPr>
            <w:r w:rsidRPr="000550E4">
              <w:rPr>
                <w:sz w:val="22"/>
              </w:rPr>
              <w:t xml:space="preserve"> For further information</w:t>
            </w:r>
          </w:p>
        </w:tc>
        <w:tc>
          <w:tcPr>
            <w:tcW w:w="2956" w:type="dxa"/>
            <w:hideMark/>
          </w:tcPr>
          <w:p w:rsidR="00C61434" w:rsidRPr="000550E4" w:rsidRDefault="00C61434" w:rsidP="002E2DA9">
            <w:pPr>
              <w:ind w:left="-142" w:right="-166"/>
              <w:rPr>
                <w:sz w:val="22"/>
              </w:rPr>
            </w:pPr>
            <w:r w:rsidRPr="000550E4">
              <w:rPr>
                <w:sz w:val="22"/>
              </w:rPr>
              <w:t xml:space="preserve"> Neil Sorahan  </w:t>
            </w:r>
          </w:p>
        </w:tc>
        <w:tc>
          <w:tcPr>
            <w:tcW w:w="2956" w:type="dxa"/>
            <w:hideMark/>
          </w:tcPr>
          <w:p w:rsidR="00C61434" w:rsidRPr="000550E4" w:rsidRDefault="00C61434" w:rsidP="002E2DA9">
            <w:pPr>
              <w:ind w:left="-142" w:right="-166"/>
              <w:rPr>
                <w:sz w:val="22"/>
              </w:rPr>
            </w:pPr>
            <w:r w:rsidRPr="000550E4">
              <w:rPr>
                <w:sz w:val="22"/>
              </w:rPr>
              <w:t xml:space="preserve"> Piaras Kelly</w:t>
            </w:r>
          </w:p>
        </w:tc>
      </w:tr>
      <w:tr w:rsidR="00C61434" w:rsidRPr="00551EEE" w:rsidTr="002E2DA9">
        <w:tc>
          <w:tcPr>
            <w:tcW w:w="3099" w:type="dxa"/>
            <w:hideMark/>
          </w:tcPr>
          <w:p w:rsidR="00C61434" w:rsidRPr="000550E4" w:rsidRDefault="00C61434" w:rsidP="002E2DA9">
            <w:pPr>
              <w:ind w:left="-142" w:right="-166"/>
              <w:rPr>
                <w:sz w:val="22"/>
              </w:rPr>
            </w:pPr>
            <w:r w:rsidRPr="000550E4">
              <w:rPr>
                <w:sz w:val="22"/>
              </w:rPr>
              <w:t xml:space="preserve"> please contact:</w:t>
            </w:r>
          </w:p>
        </w:tc>
        <w:tc>
          <w:tcPr>
            <w:tcW w:w="2956" w:type="dxa"/>
            <w:hideMark/>
          </w:tcPr>
          <w:p w:rsidR="00C61434" w:rsidRPr="000550E4" w:rsidRDefault="00C61434" w:rsidP="002E2DA9">
            <w:pPr>
              <w:ind w:left="-142" w:right="-166"/>
              <w:rPr>
                <w:sz w:val="22"/>
              </w:rPr>
            </w:pPr>
            <w:r w:rsidRPr="000550E4">
              <w:rPr>
                <w:sz w:val="22"/>
              </w:rPr>
              <w:t xml:space="preserve"> Ryanair Holdings plc</w:t>
            </w:r>
          </w:p>
        </w:tc>
        <w:tc>
          <w:tcPr>
            <w:tcW w:w="2956" w:type="dxa"/>
            <w:hideMark/>
          </w:tcPr>
          <w:p w:rsidR="00C61434" w:rsidRPr="000550E4" w:rsidRDefault="00C61434" w:rsidP="002E2DA9">
            <w:pPr>
              <w:ind w:left="-142" w:right="-166"/>
              <w:rPr>
                <w:sz w:val="22"/>
              </w:rPr>
            </w:pPr>
            <w:r w:rsidRPr="000550E4">
              <w:rPr>
                <w:sz w:val="22"/>
              </w:rPr>
              <w:t xml:space="preserve"> Edelman</w:t>
            </w:r>
          </w:p>
        </w:tc>
      </w:tr>
      <w:tr w:rsidR="00C61434" w:rsidRPr="00551EEE" w:rsidTr="002E2DA9">
        <w:tc>
          <w:tcPr>
            <w:tcW w:w="3099" w:type="dxa"/>
            <w:hideMark/>
          </w:tcPr>
          <w:p w:rsidR="00C61434" w:rsidRPr="000550E4" w:rsidRDefault="00C61434" w:rsidP="002E2DA9">
            <w:pPr>
              <w:ind w:left="-142" w:right="-166"/>
              <w:rPr>
                <w:sz w:val="22"/>
              </w:rPr>
            </w:pPr>
            <w:r w:rsidRPr="000550E4">
              <w:rPr>
                <w:sz w:val="22"/>
              </w:rPr>
              <w:t xml:space="preserve"> </w:t>
            </w:r>
            <w:hyperlink r:id="rId8" w:history="1">
              <w:r w:rsidRPr="000550E4">
                <w:rPr>
                  <w:rStyle w:val="Hyperlink"/>
                  <w:sz w:val="22"/>
                  <w:lang w:val="de-DE"/>
                </w:rPr>
                <w:t>www.ryanair.com</w:t>
              </w:r>
            </w:hyperlink>
          </w:p>
        </w:tc>
        <w:tc>
          <w:tcPr>
            <w:tcW w:w="2956" w:type="dxa"/>
            <w:hideMark/>
          </w:tcPr>
          <w:p w:rsidR="00C61434" w:rsidRPr="000550E4" w:rsidRDefault="00C61434" w:rsidP="002E2DA9">
            <w:pPr>
              <w:ind w:left="-142" w:right="-166"/>
              <w:rPr>
                <w:sz w:val="22"/>
              </w:rPr>
            </w:pPr>
            <w:r w:rsidRPr="000550E4">
              <w:rPr>
                <w:b/>
                <w:bCs/>
                <w:sz w:val="22"/>
                <w:lang w:val="de-DE"/>
              </w:rPr>
              <w:t xml:space="preserve"> Tel: 353-1-9451212  </w:t>
            </w:r>
          </w:p>
        </w:tc>
        <w:tc>
          <w:tcPr>
            <w:tcW w:w="2956" w:type="dxa"/>
            <w:hideMark/>
          </w:tcPr>
          <w:p w:rsidR="00C61434" w:rsidRPr="000550E4" w:rsidRDefault="00C61434" w:rsidP="002E2DA9">
            <w:pPr>
              <w:ind w:left="-142" w:right="-166"/>
              <w:rPr>
                <w:b/>
                <w:bCs/>
                <w:sz w:val="22"/>
                <w:lang w:val="de-DE"/>
              </w:rPr>
            </w:pPr>
            <w:r w:rsidRPr="000550E4">
              <w:rPr>
                <w:b/>
                <w:bCs/>
                <w:sz w:val="22"/>
                <w:lang w:val="de-DE"/>
              </w:rPr>
              <w:t xml:space="preserve"> Tel: 353-1-6789333</w:t>
            </w:r>
          </w:p>
        </w:tc>
      </w:tr>
    </w:tbl>
    <w:p w:rsidR="00C61434" w:rsidRPr="00551EEE" w:rsidRDefault="00C61434" w:rsidP="00C61434">
      <w:pPr>
        <w:jc w:val="both"/>
        <w:rPr>
          <w:i/>
          <w:iCs/>
          <w:sz w:val="20"/>
          <w:szCs w:val="20"/>
        </w:rPr>
      </w:pPr>
      <w:r>
        <w:br/>
      </w:r>
      <w:r w:rsidRPr="00551EEE">
        <w:rPr>
          <w:i/>
          <w:iCs/>
          <w:sz w:val="20"/>
          <w:szCs w:val="20"/>
        </w:rPr>
        <w:t>Ryanair is Europe’s</w:t>
      </w:r>
      <w:r>
        <w:rPr>
          <w:i/>
          <w:iCs/>
          <w:sz w:val="20"/>
          <w:szCs w:val="20"/>
        </w:rPr>
        <w:t xml:space="preserve"> favourite airline, carrying 131</w:t>
      </w:r>
      <w:r w:rsidRPr="00551EEE">
        <w:rPr>
          <w:i/>
          <w:iCs/>
          <w:sz w:val="20"/>
          <w:szCs w:val="20"/>
        </w:rPr>
        <w:t>m</w:t>
      </w:r>
      <w:r>
        <w:rPr>
          <w:i/>
          <w:iCs/>
          <w:sz w:val="20"/>
          <w:szCs w:val="20"/>
        </w:rPr>
        <w:t xml:space="preserve"> customers</w:t>
      </w:r>
      <w:r w:rsidRPr="00551EEE">
        <w:rPr>
          <w:i/>
          <w:iCs/>
          <w:sz w:val="20"/>
          <w:szCs w:val="20"/>
        </w:rPr>
        <w:t xml:space="preserve"> p.a. on more </w:t>
      </w:r>
      <w:r>
        <w:rPr>
          <w:i/>
          <w:iCs/>
          <w:sz w:val="20"/>
          <w:szCs w:val="20"/>
        </w:rPr>
        <w:t>than 2,200 daily flights from 86</w:t>
      </w:r>
      <w:r w:rsidRPr="00551EEE">
        <w:rPr>
          <w:i/>
          <w:iCs/>
          <w:sz w:val="20"/>
          <w:szCs w:val="20"/>
        </w:rPr>
        <w:t xml:space="preserve"> bases, connec</w:t>
      </w:r>
      <w:r>
        <w:rPr>
          <w:i/>
          <w:iCs/>
          <w:sz w:val="20"/>
          <w:szCs w:val="20"/>
        </w:rPr>
        <w:t>ting over 210 destinations in 33</w:t>
      </w:r>
      <w:r w:rsidRPr="00551EEE">
        <w:rPr>
          <w:i/>
          <w:iCs/>
          <w:sz w:val="20"/>
          <w:szCs w:val="20"/>
        </w:rPr>
        <w:t xml:space="preserve"> </w:t>
      </w:r>
      <w:r>
        <w:rPr>
          <w:i/>
          <w:iCs/>
          <w:sz w:val="20"/>
          <w:szCs w:val="20"/>
        </w:rPr>
        <w:t>countries on a fleet of over 400, new,</w:t>
      </w:r>
      <w:r w:rsidRPr="00551EEE">
        <w:rPr>
          <w:i/>
          <w:iCs/>
          <w:sz w:val="20"/>
          <w:szCs w:val="20"/>
        </w:rPr>
        <w:t xml:space="preserve"> Boeing 7</w:t>
      </w:r>
      <w:r>
        <w:rPr>
          <w:i/>
          <w:iCs/>
          <w:sz w:val="20"/>
          <w:szCs w:val="20"/>
        </w:rPr>
        <w:t>37 aircraft, with a further 270</w:t>
      </w:r>
      <w:r w:rsidRPr="00551EEE">
        <w:rPr>
          <w:i/>
          <w:iCs/>
          <w:sz w:val="20"/>
          <w:szCs w:val="20"/>
        </w:rPr>
        <w:t xml:space="preserve"> B737’s on order, which will enable Ryanair to lower fares and grow traffic to 200m p.a. by FY24.</w:t>
      </w:r>
      <w:r>
        <w:rPr>
          <w:i/>
          <w:iCs/>
          <w:sz w:val="20"/>
          <w:szCs w:val="20"/>
        </w:rPr>
        <w:t xml:space="preserve"> </w:t>
      </w:r>
      <w:bookmarkStart w:id="1" w:name="_Hlk487704256"/>
      <w:r>
        <w:rPr>
          <w:i/>
          <w:iCs/>
          <w:sz w:val="20"/>
          <w:szCs w:val="20"/>
        </w:rPr>
        <w:t xml:space="preserve">These modern aircraft are among the quietest </w:t>
      </w:r>
      <w:bookmarkEnd w:id="1"/>
      <w:r>
        <w:rPr>
          <w:i/>
          <w:iCs/>
          <w:sz w:val="20"/>
          <w:szCs w:val="20"/>
        </w:rPr>
        <w:t>and most fuel efficient in operation, making Ryanair one of the greenest, cleanest airline operations in Europe.</w:t>
      </w:r>
      <w:r w:rsidRPr="00551EEE">
        <w:rPr>
          <w:i/>
          <w:iCs/>
          <w:sz w:val="20"/>
          <w:szCs w:val="20"/>
        </w:rPr>
        <w:t xml:space="preserve"> Ry</w:t>
      </w:r>
      <w:r>
        <w:rPr>
          <w:i/>
          <w:iCs/>
          <w:sz w:val="20"/>
          <w:szCs w:val="20"/>
        </w:rPr>
        <w:t>anair’s team of over 13</w:t>
      </w:r>
      <w:r w:rsidRPr="00551EEE">
        <w:rPr>
          <w:i/>
          <w:iCs/>
          <w:sz w:val="20"/>
          <w:szCs w:val="20"/>
        </w:rPr>
        <w:t>,000 highly skilled a</w:t>
      </w:r>
      <w:r>
        <w:rPr>
          <w:i/>
          <w:iCs/>
          <w:sz w:val="20"/>
          <w:szCs w:val="20"/>
        </w:rPr>
        <w:t>viation professionals deliver</w:t>
      </w:r>
      <w:r w:rsidRPr="00551EEE">
        <w:rPr>
          <w:i/>
          <w:iCs/>
          <w:sz w:val="20"/>
          <w:szCs w:val="20"/>
        </w:rPr>
        <w:t xml:space="preserve"> Europe’s No.1 on-time performance, and an industry lea</w:t>
      </w:r>
      <w:r>
        <w:rPr>
          <w:i/>
          <w:iCs/>
          <w:sz w:val="20"/>
          <w:szCs w:val="20"/>
        </w:rPr>
        <w:t xml:space="preserve">ding </w:t>
      </w:r>
      <w:proofErr w:type="gramStart"/>
      <w:r>
        <w:rPr>
          <w:i/>
          <w:iCs/>
          <w:sz w:val="20"/>
          <w:szCs w:val="20"/>
        </w:rPr>
        <w:t>32</w:t>
      </w:r>
      <w:r w:rsidRPr="00551EEE">
        <w:rPr>
          <w:i/>
          <w:iCs/>
          <w:sz w:val="20"/>
          <w:szCs w:val="20"/>
        </w:rPr>
        <w:t xml:space="preserve"> year</w:t>
      </w:r>
      <w:proofErr w:type="gramEnd"/>
      <w:r w:rsidRPr="00551EEE">
        <w:rPr>
          <w:i/>
          <w:iCs/>
          <w:sz w:val="20"/>
          <w:szCs w:val="20"/>
        </w:rPr>
        <w:t xml:space="preserve"> safety record.</w:t>
      </w:r>
    </w:p>
    <w:p w:rsidR="00C61434" w:rsidRDefault="00C61434" w:rsidP="00C61434">
      <w:pPr>
        <w:ind w:left="-142" w:right="-166"/>
        <w:jc w:val="both"/>
        <w:rPr>
          <w:b/>
          <w:bCs/>
          <w:sz w:val="16"/>
          <w:szCs w:val="16"/>
        </w:rPr>
      </w:pPr>
    </w:p>
    <w:p w:rsidR="00C61434" w:rsidRDefault="00C61434" w:rsidP="00C61434">
      <w:pPr>
        <w:ind w:left="-142" w:right="-166"/>
        <w:jc w:val="both"/>
        <w:rPr>
          <w:b/>
          <w:bCs/>
          <w:sz w:val="16"/>
          <w:szCs w:val="16"/>
        </w:rPr>
      </w:pPr>
      <w:r w:rsidRPr="00551EEE">
        <w:rPr>
          <w:b/>
          <w:bCs/>
          <w:sz w:val="16"/>
          <w:szCs w:val="16"/>
        </w:rPr>
        <w:t xml:space="preserve">Certain of the information included in this release is forward looking and is subject to important risks and uncertainties that could cause actual results to differ materially.  It is not reasonably possible to itemise </w:t>
      </w:r>
      <w:proofErr w:type="gramStart"/>
      <w:r w:rsidRPr="00551EEE">
        <w:rPr>
          <w:b/>
          <w:bCs/>
          <w:sz w:val="16"/>
          <w:szCs w:val="16"/>
        </w:rPr>
        <w:t>all of</w:t>
      </w:r>
      <w:proofErr w:type="gramEnd"/>
      <w:r w:rsidRPr="00551EEE">
        <w:rPr>
          <w:b/>
          <w:bCs/>
          <w:sz w:val="16"/>
          <w:szCs w:val="16"/>
        </w:rPr>
        <w:t xml:space="preserve"> the many factors and specific events that could affect the outlook and results of an airline operating in the European economy.  Among the factors that are subject to change and could significantly impact Ryanair’s expected results are the airline pricing environment, fuel costs, competition from new and existing carriers, market prices for the replacement aircraft, costs associated with environmental, safety and security measures, actions of the Irish, U.K., European Union (“EU”) and other governments and their respective regulatory agencies, uncertainties surrounding Brexit, weather related disruptions, fluctuations in currency exchange rates and interest rates, airport access and charges, labour relations, the economic environment of the airline industry, the general economic environment in Ireland, the UK and Continental Europe, the general willingness of passengers to travel and other economics</w:t>
      </w:r>
      <w:r>
        <w:rPr>
          <w:b/>
          <w:bCs/>
          <w:sz w:val="16"/>
          <w:szCs w:val="16"/>
        </w:rPr>
        <w:t>, social and political factors and unforeseen security events.</w:t>
      </w:r>
    </w:p>
    <w:p w:rsidR="009E5732" w:rsidRDefault="009E5732" w:rsidP="009E5732">
      <w:pPr>
        <w:ind w:left="-142" w:right="-166"/>
        <w:jc w:val="both"/>
        <w:rPr>
          <w:b/>
          <w:bCs/>
          <w:sz w:val="16"/>
          <w:szCs w:val="16"/>
        </w:rPr>
      </w:pPr>
    </w:p>
    <w:p w:rsidR="009E5732" w:rsidRPr="00037778" w:rsidRDefault="009E5732" w:rsidP="009E5732">
      <w:pPr>
        <w:rPr>
          <w:b/>
          <w:bCs/>
          <w:sz w:val="16"/>
          <w:szCs w:val="16"/>
        </w:rPr>
      </w:pPr>
    </w:p>
    <w:p w:rsidR="00CB5813" w:rsidRPr="00677316" w:rsidRDefault="00CB5813" w:rsidP="00CB5813">
      <w:pPr>
        <w:tabs>
          <w:tab w:val="left" w:pos="7433"/>
        </w:tabs>
        <w:autoSpaceDE w:val="0"/>
        <w:autoSpaceDN w:val="0"/>
        <w:adjustRightInd w:val="0"/>
        <w:ind w:left="38"/>
        <w:rPr>
          <w:rFonts w:asciiTheme="minorHAnsi" w:hAnsiTheme="minorHAnsi" w:cstheme="minorHAnsi"/>
          <w:b/>
          <w:bCs/>
          <w:i/>
          <w:iCs/>
          <w:color w:val="000000"/>
        </w:rPr>
      </w:pPr>
      <w:r w:rsidRPr="00677316">
        <w:rPr>
          <w:rFonts w:asciiTheme="minorHAnsi" w:hAnsiTheme="minorHAnsi" w:cstheme="minorHAnsi"/>
          <w:b/>
          <w:bCs/>
          <w:color w:val="000000"/>
        </w:rPr>
        <w:t>Ryanair Holdings plc and Subsidiaries</w:t>
      </w:r>
    </w:p>
    <w:p w:rsidR="00CB5813" w:rsidRDefault="00CB5813" w:rsidP="00CB5813">
      <w:r w:rsidRPr="00677316">
        <w:rPr>
          <w:rFonts w:asciiTheme="minorHAnsi" w:hAnsiTheme="minorHAnsi" w:cstheme="minorHAnsi"/>
          <w:b/>
          <w:bCs/>
          <w:i/>
          <w:iCs/>
          <w:color w:val="000000"/>
        </w:rPr>
        <w:t xml:space="preserve">Condensed Consolidated </w:t>
      </w:r>
      <w:r w:rsidR="00121244">
        <w:rPr>
          <w:rFonts w:asciiTheme="minorHAnsi" w:hAnsiTheme="minorHAnsi" w:cstheme="minorHAnsi"/>
          <w:b/>
          <w:bCs/>
          <w:i/>
          <w:iCs/>
          <w:color w:val="000000"/>
        </w:rPr>
        <w:t>Interim</w:t>
      </w:r>
      <w:r w:rsidR="00B17AD0">
        <w:rPr>
          <w:rFonts w:asciiTheme="minorHAnsi" w:hAnsiTheme="minorHAnsi" w:cstheme="minorHAnsi"/>
          <w:b/>
          <w:bCs/>
          <w:i/>
          <w:iCs/>
          <w:color w:val="000000"/>
        </w:rPr>
        <w:t xml:space="preserve"> </w:t>
      </w:r>
      <w:r w:rsidRPr="00677316">
        <w:rPr>
          <w:rFonts w:asciiTheme="minorHAnsi" w:hAnsiTheme="minorHAnsi" w:cstheme="minorHAnsi"/>
          <w:b/>
          <w:bCs/>
          <w:i/>
          <w:iCs/>
          <w:color w:val="000000"/>
        </w:rPr>
        <w:t>Balance Sheet as at</w:t>
      </w:r>
      <w:r>
        <w:rPr>
          <w:rFonts w:asciiTheme="minorHAnsi" w:hAnsiTheme="minorHAnsi" w:cstheme="minorHAnsi"/>
          <w:b/>
          <w:bCs/>
          <w:i/>
          <w:iCs/>
          <w:color w:val="000000"/>
        </w:rPr>
        <w:t xml:space="preserve"> </w:t>
      </w:r>
      <w:r w:rsidR="00121244">
        <w:rPr>
          <w:rFonts w:asciiTheme="minorHAnsi" w:hAnsiTheme="minorHAnsi" w:cstheme="minorHAnsi"/>
          <w:b/>
          <w:bCs/>
          <w:i/>
          <w:iCs/>
          <w:color w:val="000000"/>
        </w:rPr>
        <w:t>June</w:t>
      </w:r>
      <w:r w:rsidR="000622BA">
        <w:rPr>
          <w:rFonts w:asciiTheme="minorHAnsi" w:hAnsiTheme="minorHAnsi" w:cstheme="minorHAnsi"/>
          <w:b/>
          <w:bCs/>
          <w:i/>
          <w:iCs/>
          <w:color w:val="000000"/>
        </w:rPr>
        <w:t xml:space="preserve"> 3</w:t>
      </w:r>
      <w:r w:rsidR="00121244">
        <w:rPr>
          <w:rFonts w:asciiTheme="minorHAnsi" w:hAnsiTheme="minorHAnsi" w:cstheme="minorHAnsi"/>
          <w:b/>
          <w:bCs/>
          <w:i/>
          <w:iCs/>
          <w:color w:val="000000"/>
        </w:rPr>
        <w:t>0</w:t>
      </w:r>
      <w:r w:rsidRPr="00677316">
        <w:rPr>
          <w:rFonts w:asciiTheme="minorHAnsi" w:hAnsiTheme="minorHAnsi" w:cstheme="minorHAnsi"/>
          <w:b/>
          <w:bCs/>
          <w:i/>
          <w:iCs/>
          <w:color w:val="000000"/>
        </w:rPr>
        <w:t>,</w:t>
      </w:r>
      <w:r w:rsidR="00CD687B">
        <w:rPr>
          <w:rFonts w:asciiTheme="minorHAnsi" w:hAnsiTheme="minorHAnsi" w:cstheme="minorHAnsi"/>
          <w:b/>
          <w:bCs/>
          <w:i/>
          <w:iCs/>
          <w:color w:val="000000"/>
        </w:rPr>
        <w:t xml:space="preserve"> 201</w:t>
      </w:r>
      <w:r w:rsidR="00E42511">
        <w:rPr>
          <w:rFonts w:asciiTheme="minorHAnsi" w:hAnsiTheme="minorHAnsi" w:cstheme="minorHAnsi"/>
          <w:b/>
          <w:bCs/>
          <w:i/>
          <w:iCs/>
          <w:color w:val="000000"/>
        </w:rPr>
        <w:t>7</w:t>
      </w:r>
      <w:r w:rsidRPr="00677316">
        <w:rPr>
          <w:rFonts w:asciiTheme="minorHAnsi" w:hAnsiTheme="minorHAnsi" w:cstheme="minorHAnsi"/>
          <w:b/>
          <w:bCs/>
          <w:i/>
          <w:iCs/>
          <w:color w:val="000000"/>
        </w:rPr>
        <w:t xml:space="preserve"> (unaudited)</w:t>
      </w:r>
    </w:p>
    <w:tbl>
      <w:tblPr>
        <w:tblW w:w="10546" w:type="dxa"/>
        <w:tblLayout w:type="fixed"/>
        <w:tblLook w:val="0000" w:firstRow="0" w:lastRow="0" w:firstColumn="0" w:lastColumn="0" w:noHBand="0" w:noVBand="0"/>
      </w:tblPr>
      <w:tblGrid>
        <w:gridCol w:w="5269"/>
        <w:gridCol w:w="2101"/>
        <w:gridCol w:w="694"/>
        <w:gridCol w:w="1202"/>
        <w:gridCol w:w="1280"/>
      </w:tblGrid>
      <w:tr w:rsidR="001B44AF" w:rsidRPr="00677316" w:rsidTr="00CB5813">
        <w:trPr>
          <w:trHeight w:val="259"/>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b/>
                <w:bCs/>
                <w:i/>
                <w:iCs/>
                <w:color w:val="000000"/>
                <w:sz w:val="22"/>
                <w:szCs w:val="22"/>
              </w:rPr>
            </w:pP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677316" w:rsidRDefault="00DE7410" w:rsidP="00F6283E">
            <w:pPr>
              <w:autoSpaceDE w:val="0"/>
              <w:autoSpaceDN w:val="0"/>
              <w:adjustRightInd w:val="0"/>
              <w:jc w:val="right"/>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At </w:t>
            </w:r>
            <w:r w:rsidR="00121244">
              <w:rPr>
                <w:rFonts w:asciiTheme="minorHAnsi" w:hAnsiTheme="minorHAnsi" w:cstheme="minorHAnsi"/>
                <w:b/>
                <w:bCs/>
                <w:color w:val="000000"/>
                <w:sz w:val="22"/>
                <w:szCs w:val="22"/>
              </w:rPr>
              <w:t>Jun</w:t>
            </w:r>
            <w:r w:rsidR="000622BA">
              <w:rPr>
                <w:rFonts w:asciiTheme="minorHAnsi" w:hAnsiTheme="minorHAnsi" w:cstheme="minorHAnsi"/>
                <w:b/>
                <w:bCs/>
                <w:color w:val="000000"/>
                <w:sz w:val="22"/>
                <w:szCs w:val="22"/>
              </w:rPr>
              <w:t xml:space="preserve"> 3</w:t>
            </w:r>
            <w:r w:rsidR="00121244">
              <w:rPr>
                <w:rFonts w:asciiTheme="minorHAnsi" w:hAnsiTheme="minorHAnsi" w:cstheme="minorHAnsi"/>
                <w:b/>
                <w:bCs/>
                <w:color w:val="000000"/>
                <w:sz w:val="22"/>
                <w:szCs w:val="22"/>
              </w:rPr>
              <w:t>0</w:t>
            </w:r>
            <w:r w:rsidRPr="00677316">
              <w:rPr>
                <w:rFonts w:asciiTheme="minorHAnsi" w:hAnsiTheme="minorHAnsi" w:cstheme="minorHAnsi"/>
                <w:b/>
                <w:bCs/>
                <w:color w:val="000000"/>
                <w:sz w:val="22"/>
                <w:szCs w:val="22"/>
              </w:rPr>
              <w:t>,</w:t>
            </w:r>
          </w:p>
        </w:tc>
        <w:tc>
          <w:tcPr>
            <w:tcW w:w="607" w:type="pct"/>
          </w:tcPr>
          <w:p w:rsidR="00DE7410" w:rsidRPr="00677316" w:rsidRDefault="00DE7410" w:rsidP="00CD687B">
            <w:pPr>
              <w:autoSpaceDE w:val="0"/>
              <w:autoSpaceDN w:val="0"/>
              <w:adjustRightInd w:val="0"/>
              <w:jc w:val="right"/>
              <w:rPr>
                <w:rFonts w:asciiTheme="minorHAnsi" w:hAnsiTheme="minorHAnsi" w:cstheme="minorHAnsi"/>
                <w:bCs/>
                <w:color w:val="000000"/>
                <w:sz w:val="22"/>
                <w:szCs w:val="22"/>
              </w:rPr>
            </w:pPr>
            <w:r w:rsidRPr="00677316">
              <w:rPr>
                <w:rFonts w:asciiTheme="minorHAnsi" w:hAnsiTheme="minorHAnsi" w:cstheme="minorHAnsi"/>
                <w:bCs/>
                <w:color w:val="000000"/>
                <w:sz w:val="22"/>
                <w:szCs w:val="22"/>
              </w:rPr>
              <w:t xml:space="preserve">At </w:t>
            </w:r>
            <w:r w:rsidR="00FF7990" w:rsidRPr="00677316">
              <w:rPr>
                <w:rFonts w:asciiTheme="minorHAnsi" w:hAnsiTheme="minorHAnsi" w:cstheme="minorHAnsi"/>
                <w:bCs/>
                <w:color w:val="000000"/>
                <w:sz w:val="22"/>
                <w:szCs w:val="22"/>
              </w:rPr>
              <w:t xml:space="preserve">Mar </w:t>
            </w:r>
            <w:r w:rsidR="00CD687B">
              <w:rPr>
                <w:rFonts w:asciiTheme="minorHAnsi" w:hAnsiTheme="minorHAnsi" w:cstheme="minorHAnsi"/>
                <w:bCs/>
                <w:color w:val="000000"/>
                <w:sz w:val="22"/>
                <w:szCs w:val="22"/>
              </w:rPr>
              <w:t>31</w:t>
            </w:r>
            <w:r w:rsidRPr="00677316">
              <w:rPr>
                <w:rFonts w:asciiTheme="minorHAnsi" w:hAnsiTheme="minorHAnsi" w:cstheme="minorHAnsi"/>
                <w:bCs/>
                <w:color w:val="000000"/>
                <w:sz w:val="22"/>
                <w:szCs w:val="22"/>
              </w:rPr>
              <w:t>,</w:t>
            </w:r>
          </w:p>
        </w:tc>
      </w:tr>
      <w:tr w:rsidR="001B44AF" w:rsidRPr="00677316" w:rsidTr="00CB5813">
        <w:trPr>
          <w:trHeight w:val="259"/>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b/>
                <w:bCs/>
                <w:i/>
                <w:iCs/>
                <w:color w:val="000000"/>
                <w:sz w:val="22"/>
                <w:szCs w:val="22"/>
              </w:rPr>
            </w:pP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677316" w:rsidRDefault="00CD687B" w:rsidP="00B17AD0">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201</w:t>
            </w:r>
            <w:r w:rsidR="00E42511">
              <w:rPr>
                <w:rFonts w:asciiTheme="minorHAnsi" w:hAnsiTheme="minorHAnsi" w:cstheme="minorHAnsi"/>
                <w:b/>
                <w:bCs/>
                <w:color w:val="000000"/>
                <w:sz w:val="22"/>
                <w:szCs w:val="22"/>
              </w:rPr>
              <w:t>7</w:t>
            </w:r>
          </w:p>
        </w:tc>
        <w:tc>
          <w:tcPr>
            <w:tcW w:w="607" w:type="pct"/>
            <w:shd w:val="solid" w:color="FFFFFF" w:fill="auto"/>
          </w:tcPr>
          <w:p w:rsidR="00DE7410" w:rsidRPr="00677316" w:rsidRDefault="000622BA" w:rsidP="00FF7990">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201</w:t>
            </w:r>
            <w:r w:rsidR="00121244">
              <w:rPr>
                <w:rFonts w:asciiTheme="minorHAnsi" w:hAnsiTheme="minorHAnsi" w:cstheme="minorHAnsi"/>
                <w:color w:val="000000"/>
                <w:sz w:val="22"/>
                <w:szCs w:val="22"/>
              </w:rPr>
              <w:t>7</w:t>
            </w:r>
          </w:p>
        </w:tc>
      </w:tr>
      <w:tr w:rsidR="001B44AF" w:rsidRPr="00677316" w:rsidTr="00CB5813">
        <w:trPr>
          <w:trHeight w:val="211"/>
        </w:trPr>
        <w:tc>
          <w:tcPr>
            <w:tcW w:w="3494" w:type="pct"/>
            <w:gridSpan w:val="2"/>
          </w:tcPr>
          <w:p w:rsidR="00DE7410" w:rsidRPr="00677316" w:rsidRDefault="00DE7410" w:rsidP="004C1B72">
            <w:pPr>
              <w:autoSpaceDE w:val="0"/>
              <w:autoSpaceDN w:val="0"/>
              <w:adjustRightInd w:val="0"/>
              <w:ind w:left="38"/>
              <w:rPr>
                <w:rFonts w:asciiTheme="minorHAnsi" w:hAnsiTheme="minorHAnsi" w:cstheme="minorHAnsi"/>
                <w:b/>
                <w:color w:val="000000"/>
                <w:sz w:val="22"/>
                <w:szCs w:val="22"/>
              </w:rPr>
            </w:pP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Note</w:t>
            </w:r>
          </w:p>
        </w:tc>
        <w:tc>
          <w:tcPr>
            <w:tcW w:w="570" w:type="pct"/>
            <w:shd w:val="clear" w:color="auto" w:fill="FFFF00"/>
          </w:tcPr>
          <w:p w:rsidR="00DE7410" w:rsidRPr="00677316" w:rsidRDefault="00DE7410" w:rsidP="00FE7CA2">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w:t>
            </w:r>
            <w:r w:rsidR="00FE7CA2">
              <w:rPr>
                <w:rFonts w:asciiTheme="minorHAnsi" w:hAnsiTheme="minorHAnsi" w:cstheme="minorHAnsi"/>
                <w:b/>
                <w:bCs/>
                <w:color w:val="000000"/>
                <w:sz w:val="22"/>
                <w:szCs w:val="22"/>
                <w:u w:val="single"/>
              </w:rPr>
              <w:t>M</w:t>
            </w:r>
          </w:p>
        </w:tc>
        <w:tc>
          <w:tcPr>
            <w:tcW w:w="607" w:type="pct"/>
            <w:shd w:val="solid" w:color="FFFFFF" w:fill="auto"/>
          </w:tcPr>
          <w:p w:rsidR="00DE7410" w:rsidRPr="00677316" w:rsidRDefault="00DE7410" w:rsidP="00FE7CA2">
            <w:pPr>
              <w:autoSpaceDE w:val="0"/>
              <w:autoSpaceDN w:val="0"/>
              <w:adjustRightInd w:val="0"/>
              <w:jc w:val="right"/>
              <w:rPr>
                <w:rFonts w:asciiTheme="minorHAnsi" w:hAnsiTheme="minorHAnsi" w:cstheme="minorHAnsi"/>
                <w:color w:val="000000"/>
                <w:sz w:val="22"/>
                <w:szCs w:val="22"/>
                <w:u w:val="single"/>
              </w:rPr>
            </w:pPr>
            <w:r w:rsidRPr="00677316">
              <w:rPr>
                <w:rFonts w:asciiTheme="minorHAnsi" w:hAnsiTheme="minorHAnsi" w:cstheme="minorHAnsi"/>
                <w:color w:val="000000"/>
                <w:sz w:val="22"/>
                <w:szCs w:val="22"/>
                <w:u w:val="single"/>
              </w:rPr>
              <w:t>€</w:t>
            </w:r>
            <w:r w:rsidR="00FE7CA2">
              <w:rPr>
                <w:rFonts w:asciiTheme="minorHAnsi" w:hAnsiTheme="minorHAnsi" w:cstheme="minorHAnsi"/>
                <w:color w:val="000000"/>
                <w:sz w:val="22"/>
                <w:szCs w:val="22"/>
                <w:u w:val="single"/>
              </w:rPr>
              <w:t>M</w:t>
            </w:r>
          </w:p>
        </w:tc>
      </w:tr>
      <w:tr w:rsidR="001B44AF" w:rsidRPr="00677316" w:rsidTr="00CB5813">
        <w:trPr>
          <w:trHeight w:val="80"/>
        </w:trPr>
        <w:tc>
          <w:tcPr>
            <w:tcW w:w="3494" w:type="pct"/>
            <w:gridSpan w:val="2"/>
          </w:tcPr>
          <w:p w:rsidR="00DE7410" w:rsidRPr="00677316" w:rsidRDefault="00DE7410" w:rsidP="004C1B72">
            <w:pPr>
              <w:autoSpaceDE w:val="0"/>
              <w:autoSpaceDN w:val="0"/>
              <w:adjustRightInd w:val="0"/>
              <w:ind w:left="38"/>
              <w:rPr>
                <w:rFonts w:asciiTheme="minorHAnsi" w:hAnsiTheme="minorHAnsi" w:cstheme="minorHAnsi"/>
                <w:b/>
                <w:color w:val="000000"/>
                <w:sz w:val="22"/>
                <w:szCs w:val="22"/>
              </w:rPr>
            </w:pPr>
            <w:r w:rsidRPr="00677316">
              <w:rPr>
                <w:rFonts w:asciiTheme="minorHAnsi" w:hAnsiTheme="minorHAnsi" w:cstheme="minorHAnsi"/>
                <w:b/>
                <w:color w:val="000000"/>
                <w:sz w:val="22"/>
                <w:szCs w:val="22"/>
              </w:rPr>
              <w:t>Non-current assets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u w:val="single"/>
              </w:rPr>
            </w:pPr>
          </w:p>
        </w:tc>
        <w:tc>
          <w:tcPr>
            <w:tcW w:w="570" w:type="pct"/>
            <w:shd w:val="clear" w:color="auto" w:fill="FFFF00"/>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u w:val="single"/>
              </w:rPr>
            </w:pPr>
          </w:p>
        </w:tc>
        <w:tc>
          <w:tcPr>
            <w:tcW w:w="607" w:type="pct"/>
            <w:shd w:val="solid" w:color="FFFFFF" w:fill="auto"/>
          </w:tcPr>
          <w:p w:rsidR="00DE7410" w:rsidRPr="00677316" w:rsidRDefault="00DE7410" w:rsidP="00442786">
            <w:pPr>
              <w:autoSpaceDE w:val="0"/>
              <w:autoSpaceDN w:val="0"/>
              <w:adjustRightInd w:val="0"/>
              <w:jc w:val="right"/>
              <w:rPr>
                <w:rFonts w:asciiTheme="minorHAnsi" w:hAnsiTheme="minorHAnsi" w:cstheme="minorHAnsi"/>
                <w:color w:val="000000"/>
                <w:sz w:val="22"/>
                <w:szCs w:val="22"/>
                <w:u w:val="single"/>
              </w:rPr>
            </w:pPr>
          </w:p>
        </w:tc>
      </w:tr>
      <w:tr w:rsidR="001B44AF" w:rsidRPr="00677316" w:rsidTr="00CB5813">
        <w:trPr>
          <w:trHeight w:val="211"/>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Property, plant and equipment</w:t>
            </w:r>
          </w:p>
        </w:tc>
        <w:tc>
          <w:tcPr>
            <w:tcW w:w="329" w:type="pct"/>
          </w:tcPr>
          <w:p w:rsidR="00DE7410" w:rsidRPr="00677316" w:rsidRDefault="000622BA" w:rsidP="00442786">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10</w:t>
            </w:r>
          </w:p>
        </w:tc>
        <w:tc>
          <w:tcPr>
            <w:tcW w:w="570" w:type="pct"/>
            <w:shd w:val="clear" w:color="auto" w:fill="FFFF00"/>
          </w:tcPr>
          <w:p w:rsidR="00DE7410"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7,467.5</w:t>
            </w:r>
          </w:p>
        </w:tc>
        <w:tc>
          <w:tcPr>
            <w:tcW w:w="607" w:type="pct"/>
            <w:shd w:val="solid" w:color="FFFFFF" w:fill="auto"/>
          </w:tcPr>
          <w:p w:rsidR="00DE7410" w:rsidRPr="00677316" w:rsidRDefault="00121244"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7</w:t>
            </w:r>
            <w:r w:rsidR="000622BA">
              <w:rPr>
                <w:rFonts w:asciiTheme="minorHAnsi" w:hAnsiTheme="minorHAnsi" w:cstheme="minorHAnsi"/>
                <w:color w:val="000000"/>
                <w:sz w:val="22"/>
                <w:szCs w:val="22"/>
              </w:rPr>
              <w:t>,</w:t>
            </w:r>
            <w:r>
              <w:rPr>
                <w:rFonts w:asciiTheme="minorHAnsi" w:hAnsiTheme="minorHAnsi" w:cstheme="minorHAnsi"/>
                <w:color w:val="000000"/>
                <w:sz w:val="22"/>
                <w:szCs w:val="22"/>
              </w:rPr>
              <w:t>213</w:t>
            </w:r>
            <w:r w:rsidR="000622BA">
              <w:rPr>
                <w:rFonts w:asciiTheme="minorHAnsi" w:hAnsiTheme="minorHAnsi" w:cstheme="minorHAnsi"/>
                <w:color w:val="000000"/>
                <w:sz w:val="22"/>
                <w:szCs w:val="22"/>
              </w:rPr>
              <w:t>.</w:t>
            </w:r>
            <w:r>
              <w:rPr>
                <w:rFonts w:asciiTheme="minorHAnsi" w:hAnsiTheme="minorHAnsi" w:cstheme="minorHAnsi"/>
                <w:color w:val="000000"/>
                <w:sz w:val="22"/>
                <w:szCs w:val="22"/>
              </w:rPr>
              <w:t>8</w:t>
            </w:r>
          </w:p>
        </w:tc>
      </w:tr>
      <w:tr w:rsidR="001B44AF" w:rsidRPr="00677316" w:rsidTr="00CB5813">
        <w:trPr>
          <w:trHeight w:val="211"/>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 xml:space="preserve">Intangible assets </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677316" w:rsidRDefault="00E8594C" w:rsidP="00CD687B">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46.8</w:t>
            </w:r>
          </w:p>
        </w:tc>
        <w:tc>
          <w:tcPr>
            <w:tcW w:w="607" w:type="pct"/>
            <w:shd w:val="solid" w:color="FFFFFF" w:fill="auto"/>
          </w:tcPr>
          <w:p w:rsidR="00DE7410" w:rsidRPr="00677316" w:rsidRDefault="00CD687B"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46</w:t>
            </w:r>
            <w:r w:rsidR="005F045F" w:rsidRPr="00677316">
              <w:rPr>
                <w:rFonts w:asciiTheme="minorHAnsi" w:hAnsiTheme="minorHAnsi" w:cstheme="minorHAnsi"/>
                <w:color w:val="000000"/>
                <w:sz w:val="22"/>
                <w:szCs w:val="22"/>
              </w:rPr>
              <w:t>.</w:t>
            </w:r>
            <w:r>
              <w:rPr>
                <w:rFonts w:asciiTheme="minorHAnsi" w:hAnsiTheme="minorHAnsi" w:cstheme="minorHAnsi"/>
                <w:color w:val="000000"/>
                <w:sz w:val="22"/>
                <w:szCs w:val="22"/>
              </w:rPr>
              <w:t>8</w:t>
            </w:r>
          </w:p>
        </w:tc>
      </w:tr>
      <w:tr w:rsidR="000622BA" w:rsidRPr="00677316" w:rsidTr="00CB5813">
        <w:trPr>
          <w:trHeight w:val="223"/>
        </w:trPr>
        <w:tc>
          <w:tcPr>
            <w:tcW w:w="3494" w:type="pct"/>
            <w:gridSpan w:val="2"/>
            <w:shd w:val="solid" w:color="FFFFFF" w:fill="auto"/>
          </w:tcPr>
          <w:p w:rsidR="000622BA" w:rsidRPr="00677316" w:rsidRDefault="000622BA" w:rsidP="004C1B72">
            <w:pPr>
              <w:autoSpaceDE w:val="0"/>
              <w:autoSpaceDN w:val="0"/>
              <w:adjustRightInd w:val="0"/>
              <w:ind w:left="38"/>
              <w:rPr>
                <w:rFonts w:asciiTheme="minorHAnsi" w:hAnsiTheme="minorHAnsi" w:cstheme="minorHAnsi"/>
                <w:bCs/>
                <w:color w:val="000000"/>
                <w:sz w:val="22"/>
                <w:szCs w:val="22"/>
              </w:rPr>
            </w:pPr>
            <w:r w:rsidRPr="00677316">
              <w:rPr>
                <w:rFonts w:asciiTheme="minorHAnsi" w:hAnsiTheme="minorHAnsi" w:cstheme="minorHAnsi"/>
                <w:bCs/>
                <w:color w:val="000000"/>
                <w:sz w:val="22"/>
                <w:szCs w:val="22"/>
              </w:rPr>
              <w:t>Derivative financial instruments</w:t>
            </w:r>
          </w:p>
        </w:tc>
        <w:tc>
          <w:tcPr>
            <w:tcW w:w="329" w:type="pct"/>
          </w:tcPr>
          <w:p w:rsidR="000622BA" w:rsidRPr="00677316" w:rsidRDefault="000622BA"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bottom w:val="single" w:sz="4" w:space="0" w:color="auto"/>
            </w:tcBorders>
            <w:shd w:val="clear" w:color="auto" w:fill="FFFF00"/>
          </w:tcPr>
          <w:p w:rsidR="000622BA"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12.1</w:t>
            </w:r>
          </w:p>
        </w:tc>
        <w:tc>
          <w:tcPr>
            <w:tcW w:w="607" w:type="pct"/>
            <w:tcBorders>
              <w:bottom w:val="single" w:sz="4" w:space="0" w:color="auto"/>
            </w:tcBorders>
            <w:shd w:val="solid" w:color="FFFFFF" w:fill="auto"/>
          </w:tcPr>
          <w:p w:rsidR="000622BA" w:rsidRPr="00677316" w:rsidRDefault="00121244" w:rsidP="000622BA">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23</w:t>
            </w:r>
            <w:r w:rsidR="000622BA" w:rsidRPr="00677316">
              <w:rPr>
                <w:rFonts w:asciiTheme="minorHAnsi" w:hAnsiTheme="minorHAnsi" w:cstheme="minorHAnsi"/>
                <w:color w:val="000000"/>
                <w:sz w:val="22"/>
                <w:szCs w:val="22"/>
              </w:rPr>
              <w:t>.</w:t>
            </w:r>
            <w:r>
              <w:rPr>
                <w:rFonts w:asciiTheme="minorHAnsi" w:hAnsiTheme="minorHAnsi" w:cstheme="minorHAnsi"/>
                <w:color w:val="000000"/>
                <w:sz w:val="22"/>
                <w:szCs w:val="22"/>
              </w:rPr>
              <w:t>0</w:t>
            </w:r>
          </w:p>
        </w:tc>
      </w:tr>
      <w:tr w:rsidR="000622BA" w:rsidRPr="00677316" w:rsidTr="00CB5813">
        <w:trPr>
          <w:trHeight w:val="223"/>
        </w:trPr>
        <w:tc>
          <w:tcPr>
            <w:tcW w:w="3494" w:type="pct"/>
            <w:gridSpan w:val="2"/>
            <w:shd w:val="solid" w:color="FFFFFF" w:fill="auto"/>
          </w:tcPr>
          <w:p w:rsidR="000622BA" w:rsidRPr="00677316" w:rsidRDefault="000622BA" w:rsidP="004C1B72">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Total non-current assets</w:t>
            </w:r>
          </w:p>
        </w:tc>
        <w:tc>
          <w:tcPr>
            <w:tcW w:w="329" w:type="pct"/>
          </w:tcPr>
          <w:p w:rsidR="000622BA" w:rsidRPr="00677316" w:rsidRDefault="000622BA"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top w:val="single" w:sz="4" w:space="0" w:color="auto"/>
              <w:bottom w:val="single" w:sz="4" w:space="0" w:color="auto"/>
            </w:tcBorders>
            <w:shd w:val="clear" w:color="auto" w:fill="FFFF00"/>
          </w:tcPr>
          <w:p w:rsidR="000622BA"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7,526.4</w:t>
            </w:r>
          </w:p>
        </w:tc>
        <w:tc>
          <w:tcPr>
            <w:tcW w:w="607" w:type="pct"/>
            <w:tcBorders>
              <w:top w:val="single" w:sz="4" w:space="0" w:color="auto"/>
              <w:bottom w:val="single" w:sz="4" w:space="0" w:color="auto"/>
            </w:tcBorders>
            <w:shd w:val="solid" w:color="FFFFFF" w:fill="auto"/>
          </w:tcPr>
          <w:p w:rsidR="000622BA" w:rsidRPr="00677316" w:rsidRDefault="00121244" w:rsidP="000622BA">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7</w:t>
            </w:r>
            <w:r w:rsidR="000622BA" w:rsidRPr="00677316">
              <w:rPr>
                <w:rFonts w:asciiTheme="minorHAnsi" w:hAnsiTheme="minorHAnsi" w:cstheme="minorHAnsi"/>
                <w:color w:val="000000"/>
                <w:sz w:val="22"/>
                <w:szCs w:val="22"/>
              </w:rPr>
              <w:t>,</w:t>
            </w:r>
            <w:r>
              <w:rPr>
                <w:rFonts w:asciiTheme="minorHAnsi" w:hAnsiTheme="minorHAnsi" w:cstheme="minorHAnsi"/>
                <w:color w:val="000000"/>
                <w:sz w:val="22"/>
                <w:szCs w:val="22"/>
              </w:rPr>
              <w:t>283</w:t>
            </w:r>
            <w:r w:rsidR="000622BA" w:rsidRPr="00677316">
              <w:rPr>
                <w:rFonts w:asciiTheme="minorHAnsi" w:hAnsiTheme="minorHAnsi" w:cstheme="minorHAnsi"/>
                <w:color w:val="000000"/>
                <w:sz w:val="22"/>
                <w:szCs w:val="22"/>
              </w:rPr>
              <w:t>.</w:t>
            </w:r>
            <w:r>
              <w:rPr>
                <w:rFonts w:asciiTheme="minorHAnsi" w:hAnsiTheme="minorHAnsi" w:cstheme="minorHAnsi"/>
                <w:color w:val="000000"/>
                <w:sz w:val="22"/>
                <w:szCs w:val="22"/>
              </w:rPr>
              <w:t>6</w:t>
            </w:r>
          </w:p>
        </w:tc>
      </w:tr>
      <w:tr w:rsidR="00C6668E" w:rsidRPr="00677316" w:rsidTr="00CB5813">
        <w:trPr>
          <w:trHeight w:val="211"/>
        </w:trPr>
        <w:tc>
          <w:tcPr>
            <w:tcW w:w="2498" w:type="pct"/>
            <w:shd w:val="solid" w:color="FFFFFF" w:fill="auto"/>
          </w:tcPr>
          <w:p w:rsidR="00DE7410" w:rsidRPr="00677316" w:rsidRDefault="00DE7410" w:rsidP="004C1B72">
            <w:pPr>
              <w:autoSpaceDE w:val="0"/>
              <w:autoSpaceDN w:val="0"/>
              <w:adjustRightInd w:val="0"/>
              <w:ind w:left="38"/>
              <w:jc w:val="right"/>
              <w:rPr>
                <w:rFonts w:asciiTheme="minorHAnsi" w:hAnsiTheme="minorHAnsi" w:cstheme="minorHAnsi"/>
                <w:b/>
                <w:bCs/>
                <w:color w:val="000000"/>
                <w:sz w:val="22"/>
                <w:szCs w:val="22"/>
              </w:rPr>
            </w:pPr>
          </w:p>
        </w:tc>
        <w:tc>
          <w:tcPr>
            <w:tcW w:w="996" w:type="pct"/>
            <w:shd w:val="solid" w:color="FFFFFF" w:fill="auto"/>
          </w:tcPr>
          <w:p w:rsidR="00DE7410" w:rsidRPr="00677316" w:rsidRDefault="00DE7410" w:rsidP="004C1B72">
            <w:pPr>
              <w:autoSpaceDE w:val="0"/>
              <w:autoSpaceDN w:val="0"/>
              <w:adjustRightInd w:val="0"/>
              <w:ind w:left="38"/>
              <w:jc w:val="right"/>
              <w:rPr>
                <w:rFonts w:asciiTheme="minorHAnsi" w:hAnsiTheme="minorHAnsi" w:cstheme="minorHAnsi"/>
                <w:color w:val="000000"/>
                <w:sz w:val="22"/>
                <w:szCs w:val="22"/>
              </w:rPr>
            </w:pP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top w:val="single" w:sz="4" w:space="0" w:color="auto"/>
            </w:tcBorders>
            <w:shd w:val="clear" w:color="auto" w:fill="FFFF00"/>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607" w:type="pct"/>
            <w:tcBorders>
              <w:top w:val="single" w:sz="4" w:space="0" w:color="auto"/>
            </w:tcBorders>
            <w:shd w:val="solid" w:color="FFFFFF" w:fill="auto"/>
          </w:tcPr>
          <w:p w:rsidR="00DE7410" w:rsidRPr="00677316" w:rsidRDefault="00DE7410" w:rsidP="00442786">
            <w:pPr>
              <w:autoSpaceDE w:val="0"/>
              <w:autoSpaceDN w:val="0"/>
              <w:adjustRightInd w:val="0"/>
              <w:jc w:val="right"/>
              <w:rPr>
                <w:rFonts w:asciiTheme="minorHAnsi" w:hAnsiTheme="minorHAnsi" w:cstheme="minorHAnsi"/>
                <w:color w:val="000000"/>
                <w:sz w:val="22"/>
                <w:szCs w:val="22"/>
              </w:rPr>
            </w:pPr>
          </w:p>
        </w:tc>
      </w:tr>
      <w:tr w:rsidR="001B44AF" w:rsidRPr="00677316" w:rsidTr="00CB5813">
        <w:trPr>
          <w:trHeight w:val="211"/>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Current assets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607" w:type="pct"/>
            <w:shd w:val="solid" w:color="FFFFFF" w:fill="auto"/>
          </w:tcPr>
          <w:p w:rsidR="00DE7410" w:rsidRPr="00677316" w:rsidRDefault="00DE7410" w:rsidP="00442786">
            <w:pPr>
              <w:autoSpaceDE w:val="0"/>
              <w:autoSpaceDN w:val="0"/>
              <w:adjustRightInd w:val="0"/>
              <w:jc w:val="right"/>
              <w:rPr>
                <w:rFonts w:asciiTheme="minorHAnsi" w:hAnsiTheme="minorHAnsi" w:cstheme="minorHAnsi"/>
                <w:color w:val="000000"/>
                <w:sz w:val="22"/>
                <w:szCs w:val="22"/>
              </w:rPr>
            </w:pPr>
          </w:p>
        </w:tc>
      </w:tr>
      <w:tr w:rsidR="001B44AF" w:rsidRPr="00677316" w:rsidTr="00CB5813">
        <w:trPr>
          <w:trHeight w:val="223"/>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Inventories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677316" w:rsidRDefault="00E8594C" w:rsidP="00B17AD0">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3.3</w:t>
            </w:r>
          </w:p>
        </w:tc>
        <w:tc>
          <w:tcPr>
            <w:tcW w:w="607" w:type="pct"/>
            <w:shd w:val="solid" w:color="FFFFFF" w:fill="auto"/>
          </w:tcPr>
          <w:p w:rsidR="00DE7410" w:rsidRPr="00677316" w:rsidRDefault="000622BA"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w:t>
            </w:r>
            <w:r w:rsidR="00121244">
              <w:rPr>
                <w:rFonts w:asciiTheme="minorHAnsi" w:hAnsiTheme="minorHAnsi" w:cstheme="minorHAnsi"/>
                <w:color w:val="000000"/>
                <w:sz w:val="22"/>
                <w:szCs w:val="22"/>
              </w:rPr>
              <w:t>1</w:t>
            </w:r>
          </w:p>
        </w:tc>
      </w:tr>
      <w:tr w:rsidR="001B44AF" w:rsidRPr="00677316" w:rsidTr="000622BA">
        <w:trPr>
          <w:trHeight w:val="277"/>
        </w:trPr>
        <w:tc>
          <w:tcPr>
            <w:tcW w:w="3494" w:type="pct"/>
            <w:gridSpan w:val="2"/>
            <w:shd w:val="solid" w:color="FFFFFF" w:fill="auto"/>
          </w:tcPr>
          <w:p w:rsidR="005F045F" w:rsidRPr="00677316" w:rsidRDefault="00613B47" w:rsidP="00613B47">
            <w:pPr>
              <w:autoSpaceDE w:val="0"/>
              <w:autoSpaceDN w:val="0"/>
              <w:adjustRightInd w:val="0"/>
              <w:ind w:left="38"/>
              <w:rPr>
                <w:rFonts w:asciiTheme="minorHAnsi" w:hAnsiTheme="minorHAnsi" w:cstheme="minorHAnsi"/>
                <w:color w:val="000000"/>
                <w:sz w:val="22"/>
                <w:szCs w:val="22"/>
              </w:rPr>
            </w:pPr>
            <w:r>
              <w:rPr>
                <w:rFonts w:asciiTheme="minorHAnsi" w:hAnsiTheme="minorHAnsi" w:cstheme="minorHAnsi"/>
                <w:color w:val="000000"/>
                <w:sz w:val="22"/>
                <w:szCs w:val="22"/>
              </w:rPr>
              <w:t>Other assets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742D53"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197.2</w:t>
            </w:r>
          </w:p>
        </w:tc>
        <w:tc>
          <w:tcPr>
            <w:tcW w:w="607" w:type="pct"/>
            <w:shd w:val="solid" w:color="FFFFFF" w:fill="auto"/>
          </w:tcPr>
          <w:p w:rsidR="005F045F" w:rsidRPr="00677316" w:rsidRDefault="00121244" w:rsidP="00613B47">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222</w:t>
            </w:r>
            <w:r w:rsidR="00613B47">
              <w:rPr>
                <w:rFonts w:asciiTheme="minorHAnsi" w:hAnsiTheme="minorHAnsi" w:cstheme="minorHAnsi"/>
                <w:color w:val="000000"/>
                <w:sz w:val="22"/>
                <w:szCs w:val="22"/>
              </w:rPr>
              <w:t>.</w:t>
            </w:r>
            <w:r>
              <w:rPr>
                <w:rFonts w:asciiTheme="minorHAnsi" w:hAnsiTheme="minorHAnsi" w:cstheme="minorHAnsi"/>
                <w:color w:val="000000"/>
                <w:sz w:val="22"/>
                <w:szCs w:val="22"/>
              </w:rPr>
              <w:t>1</w:t>
            </w:r>
          </w:p>
        </w:tc>
      </w:tr>
      <w:tr w:rsidR="001B44AF" w:rsidRPr="00677316" w:rsidTr="00CB5813">
        <w:trPr>
          <w:trHeight w:val="197"/>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Trade receivables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61.2</w:t>
            </w:r>
          </w:p>
        </w:tc>
        <w:tc>
          <w:tcPr>
            <w:tcW w:w="607" w:type="pct"/>
            <w:shd w:val="solid" w:color="FFFFFF" w:fill="auto"/>
          </w:tcPr>
          <w:p w:rsidR="00DE7410" w:rsidRPr="00677316" w:rsidRDefault="00121244"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54</w:t>
            </w:r>
            <w:r w:rsidR="00613B47">
              <w:rPr>
                <w:rFonts w:asciiTheme="minorHAnsi" w:hAnsiTheme="minorHAnsi" w:cstheme="minorHAnsi"/>
                <w:color w:val="000000"/>
                <w:sz w:val="22"/>
                <w:szCs w:val="22"/>
              </w:rPr>
              <w:t>.</w:t>
            </w:r>
            <w:r>
              <w:rPr>
                <w:rFonts w:asciiTheme="minorHAnsi" w:hAnsiTheme="minorHAnsi" w:cstheme="minorHAnsi"/>
                <w:color w:val="000000"/>
                <w:sz w:val="22"/>
                <w:szCs w:val="22"/>
              </w:rPr>
              <w:t>3</w:t>
            </w:r>
          </w:p>
        </w:tc>
      </w:tr>
      <w:tr w:rsidR="001B44AF" w:rsidRPr="00677316" w:rsidTr="00CB5813">
        <w:trPr>
          <w:trHeight w:val="223"/>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Derivative financial instruments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bottom w:val="single" w:sz="4" w:space="0" w:color="auto"/>
            </w:tcBorders>
            <w:shd w:val="clear" w:color="auto" w:fill="FFFF00"/>
          </w:tcPr>
          <w:p w:rsidR="00DE7410"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41.7</w:t>
            </w:r>
          </w:p>
        </w:tc>
        <w:tc>
          <w:tcPr>
            <w:tcW w:w="607" w:type="pct"/>
            <w:tcBorders>
              <w:bottom w:val="single" w:sz="4" w:space="0" w:color="auto"/>
            </w:tcBorders>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w:t>
            </w:r>
            <w:r w:rsidR="00121244">
              <w:rPr>
                <w:rFonts w:asciiTheme="minorHAnsi" w:hAnsiTheme="minorHAnsi" w:cstheme="minorHAnsi"/>
                <w:color w:val="000000"/>
                <w:sz w:val="22"/>
                <w:szCs w:val="22"/>
              </w:rPr>
              <w:t>86</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3</w:t>
            </w:r>
          </w:p>
        </w:tc>
      </w:tr>
      <w:tr w:rsidR="001B44AF" w:rsidRPr="00677316" w:rsidTr="00CB5813">
        <w:trPr>
          <w:trHeight w:val="211"/>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Restricted cash</w:t>
            </w:r>
          </w:p>
        </w:tc>
        <w:tc>
          <w:tcPr>
            <w:tcW w:w="329" w:type="pct"/>
            <w:tcBorders>
              <w:right w:val="single" w:sz="4" w:space="0" w:color="auto"/>
            </w:tcBorders>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top w:val="single" w:sz="4" w:space="0" w:color="auto"/>
              <w:left w:val="single" w:sz="4" w:space="0" w:color="auto"/>
            </w:tcBorders>
            <w:shd w:val="clear" w:color="auto" w:fill="FFFF00"/>
          </w:tcPr>
          <w:p w:rsidR="00DE7410"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11.8</w:t>
            </w:r>
          </w:p>
        </w:tc>
        <w:tc>
          <w:tcPr>
            <w:tcW w:w="607" w:type="pct"/>
            <w:tcBorders>
              <w:top w:val="single" w:sz="4" w:space="0" w:color="auto"/>
              <w:right w:val="single" w:sz="4" w:space="0" w:color="auto"/>
            </w:tcBorders>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w:t>
            </w:r>
            <w:r w:rsidR="00121244">
              <w:rPr>
                <w:rFonts w:asciiTheme="minorHAnsi" w:hAnsiTheme="minorHAnsi" w:cstheme="minorHAnsi"/>
                <w:color w:val="000000"/>
                <w:sz w:val="22"/>
                <w:szCs w:val="22"/>
              </w:rPr>
              <w:t>1</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8</w:t>
            </w:r>
          </w:p>
        </w:tc>
      </w:tr>
      <w:tr w:rsidR="001B44AF" w:rsidRPr="00677316" w:rsidTr="00CB5813">
        <w:trPr>
          <w:trHeight w:val="223"/>
        </w:trPr>
        <w:tc>
          <w:tcPr>
            <w:tcW w:w="3494" w:type="pct"/>
            <w:gridSpan w:val="2"/>
            <w:shd w:val="solid" w:color="FFFFFF" w:fill="auto"/>
          </w:tcPr>
          <w:p w:rsidR="00DE7410" w:rsidRPr="00677316" w:rsidRDefault="00DE7410" w:rsidP="00ED04B5">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 xml:space="preserve">Financial assets: cash &gt; </w:t>
            </w:r>
            <w:r w:rsidR="00ED04B5">
              <w:rPr>
                <w:rFonts w:asciiTheme="minorHAnsi" w:hAnsiTheme="minorHAnsi" w:cstheme="minorHAnsi"/>
                <w:color w:val="000000"/>
                <w:sz w:val="22"/>
                <w:szCs w:val="22"/>
              </w:rPr>
              <w:t xml:space="preserve">3 </w:t>
            </w:r>
            <w:r w:rsidRPr="00677316">
              <w:rPr>
                <w:rFonts w:asciiTheme="minorHAnsi" w:hAnsiTheme="minorHAnsi" w:cstheme="minorHAnsi"/>
                <w:color w:val="000000"/>
                <w:sz w:val="22"/>
                <w:szCs w:val="22"/>
              </w:rPr>
              <w:t>months</w:t>
            </w:r>
          </w:p>
        </w:tc>
        <w:tc>
          <w:tcPr>
            <w:tcW w:w="329" w:type="pct"/>
            <w:tcBorders>
              <w:right w:val="single" w:sz="4" w:space="0" w:color="auto"/>
            </w:tcBorders>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left w:val="single" w:sz="4" w:space="0" w:color="auto"/>
            </w:tcBorders>
            <w:shd w:val="clear" w:color="auto" w:fill="FFFF00"/>
          </w:tcPr>
          <w:p w:rsidR="00DE7410"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3,140.6</w:t>
            </w:r>
          </w:p>
        </w:tc>
        <w:tc>
          <w:tcPr>
            <w:tcW w:w="607" w:type="pct"/>
            <w:tcBorders>
              <w:right w:val="single" w:sz="4" w:space="0" w:color="auto"/>
            </w:tcBorders>
            <w:shd w:val="solid" w:color="FFFFFF" w:fill="auto"/>
          </w:tcPr>
          <w:p w:rsidR="00DE7410" w:rsidRPr="00677316" w:rsidRDefault="00121244"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w:t>
            </w:r>
            <w:r w:rsidR="00613B47">
              <w:rPr>
                <w:rFonts w:asciiTheme="minorHAnsi" w:hAnsiTheme="minorHAnsi" w:cstheme="minorHAnsi"/>
                <w:color w:val="000000"/>
                <w:sz w:val="22"/>
                <w:szCs w:val="22"/>
              </w:rPr>
              <w:t>,</w:t>
            </w:r>
            <w:r>
              <w:rPr>
                <w:rFonts w:asciiTheme="minorHAnsi" w:hAnsiTheme="minorHAnsi" w:cstheme="minorHAnsi"/>
                <w:color w:val="000000"/>
                <w:sz w:val="22"/>
                <w:szCs w:val="22"/>
              </w:rPr>
              <w:t>904</w:t>
            </w:r>
            <w:r w:rsidR="00613B47">
              <w:rPr>
                <w:rFonts w:asciiTheme="minorHAnsi" w:hAnsiTheme="minorHAnsi" w:cstheme="minorHAnsi"/>
                <w:color w:val="000000"/>
                <w:sz w:val="22"/>
                <w:szCs w:val="22"/>
              </w:rPr>
              <w:t>.</w:t>
            </w:r>
            <w:r>
              <w:rPr>
                <w:rFonts w:asciiTheme="minorHAnsi" w:hAnsiTheme="minorHAnsi" w:cstheme="minorHAnsi"/>
                <w:color w:val="000000"/>
                <w:sz w:val="22"/>
                <w:szCs w:val="22"/>
              </w:rPr>
              <w:t>5</w:t>
            </w:r>
          </w:p>
        </w:tc>
      </w:tr>
      <w:tr w:rsidR="001B44AF" w:rsidRPr="00677316" w:rsidTr="00CB5813">
        <w:trPr>
          <w:trHeight w:val="223"/>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Cash and cash equivalents</w:t>
            </w:r>
          </w:p>
        </w:tc>
        <w:tc>
          <w:tcPr>
            <w:tcW w:w="329" w:type="pct"/>
            <w:tcBorders>
              <w:right w:val="single" w:sz="4" w:space="0" w:color="auto"/>
            </w:tcBorders>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left w:val="single" w:sz="4" w:space="0" w:color="auto"/>
              <w:bottom w:val="single" w:sz="4" w:space="0" w:color="auto"/>
            </w:tcBorders>
            <w:shd w:val="clear" w:color="auto" w:fill="FFFF00"/>
          </w:tcPr>
          <w:p w:rsidR="00DE7410"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1,034.3</w:t>
            </w:r>
          </w:p>
        </w:tc>
        <w:tc>
          <w:tcPr>
            <w:tcW w:w="607" w:type="pct"/>
            <w:tcBorders>
              <w:bottom w:val="single" w:sz="4" w:space="0" w:color="auto"/>
              <w:right w:val="single" w:sz="4" w:space="0" w:color="auto"/>
            </w:tcBorders>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1,2</w:t>
            </w:r>
            <w:r w:rsidR="00121244">
              <w:rPr>
                <w:rFonts w:asciiTheme="minorHAnsi" w:hAnsiTheme="minorHAnsi" w:cstheme="minorHAnsi"/>
                <w:color w:val="000000"/>
                <w:sz w:val="22"/>
                <w:szCs w:val="22"/>
              </w:rPr>
              <w:t>24</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0</w:t>
            </w:r>
          </w:p>
        </w:tc>
      </w:tr>
      <w:tr w:rsidR="001B44AF" w:rsidRPr="00677316" w:rsidTr="00CB5813">
        <w:trPr>
          <w:trHeight w:val="223"/>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Total current assets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top w:val="single" w:sz="4" w:space="0" w:color="auto"/>
              <w:bottom w:val="single" w:sz="4" w:space="0" w:color="auto"/>
            </w:tcBorders>
            <w:shd w:val="clear" w:color="auto" w:fill="FFFF00"/>
          </w:tcPr>
          <w:p w:rsidR="00DE7410"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4,490.1</w:t>
            </w:r>
          </w:p>
        </w:tc>
        <w:tc>
          <w:tcPr>
            <w:tcW w:w="607" w:type="pct"/>
            <w:tcBorders>
              <w:top w:val="single" w:sz="4" w:space="0" w:color="auto"/>
              <w:bottom w:val="single" w:sz="4" w:space="0" w:color="auto"/>
            </w:tcBorders>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4,</w:t>
            </w:r>
            <w:r w:rsidR="00121244">
              <w:rPr>
                <w:rFonts w:asciiTheme="minorHAnsi" w:hAnsiTheme="minorHAnsi" w:cstheme="minorHAnsi"/>
                <w:color w:val="000000"/>
                <w:sz w:val="22"/>
                <w:szCs w:val="22"/>
              </w:rPr>
              <w:t>706</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1</w:t>
            </w:r>
          </w:p>
        </w:tc>
      </w:tr>
      <w:tr w:rsidR="00C6668E" w:rsidRPr="00677316" w:rsidTr="00CB5813">
        <w:trPr>
          <w:trHeight w:val="223"/>
        </w:trPr>
        <w:tc>
          <w:tcPr>
            <w:tcW w:w="2498" w:type="pct"/>
          </w:tcPr>
          <w:p w:rsidR="00DE7410" w:rsidRPr="00677316" w:rsidRDefault="00DE7410" w:rsidP="004C1B72">
            <w:pPr>
              <w:autoSpaceDE w:val="0"/>
              <w:autoSpaceDN w:val="0"/>
              <w:adjustRightInd w:val="0"/>
              <w:ind w:left="38"/>
              <w:jc w:val="right"/>
              <w:rPr>
                <w:rFonts w:asciiTheme="minorHAnsi" w:hAnsiTheme="minorHAnsi" w:cstheme="minorHAnsi"/>
                <w:color w:val="000000"/>
                <w:sz w:val="22"/>
                <w:szCs w:val="22"/>
              </w:rPr>
            </w:pPr>
          </w:p>
        </w:tc>
        <w:tc>
          <w:tcPr>
            <w:tcW w:w="996" w:type="pct"/>
            <w:shd w:val="solid" w:color="FFFFFF" w:fill="auto"/>
          </w:tcPr>
          <w:p w:rsidR="00DE7410" w:rsidRPr="00677316" w:rsidRDefault="00DE7410" w:rsidP="004C1B72">
            <w:pPr>
              <w:autoSpaceDE w:val="0"/>
              <w:autoSpaceDN w:val="0"/>
              <w:adjustRightInd w:val="0"/>
              <w:ind w:left="38"/>
              <w:jc w:val="right"/>
              <w:rPr>
                <w:rFonts w:asciiTheme="minorHAnsi" w:hAnsiTheme="minorHAnsi" w:cstheme="minorHAnsi"/>
                <w:color w:val="000000"/>
                <w:sz w:val="22"/>
                <w:szCs w:val="22"/>
              </w:rPr>
            </w:pPr>
          </w:p>
        </w:tc>
        <w:tc>
          <w:tcPr>
            <w:tcW w:w="329" w:type="pct"/>
          </w:tcPr>
          <w:p w:rsidR="00DE7410" w:rsidRPr="00677316" w:rsidRDefault="00DE7410" w:rsidP="00442786">
            <w:pPr>
              <w:autoSpaceDE w:val="0"/>
              <w:autoSpaceDN w:val="0"/>
              <w:adjustRightInd w:val="0"/>
              <w:jc w:val="center"/>
              <w:rPr>
                <w:rFonts w:asciiTheme="minorHAnsi" w:hAnsiTheme="minorHAnsi" w:cstheme="minorHAnsi"/>
                <w:b/>
                <w:bCs/>
                <w:i/>
                <w:iCs/>
                <w:color w:val="000000"/>
                <w:sz w:val="22"/>
                <w:szCs w:val="22"/>
              </w:rPr>
            </w:pPr>
          </w:p>
        </w:tc>
        <w:tc>
          <w:tcPr>
            <w:tcW w:w="570" w:type="pct"/>
            <w:tcBorders>
              <w:top w:val="single" w:sz="4" w:space="0" w:color="auto"/>
            </w:tcBorders>
            <w:shd w:val="clear" w:color="auto" w:fill="FFFF00"/>
          </w:tcPr>
          <w:p w:rsidR="00DE7410" w:rsidRPr="00677316" w:rsidRDefault="00DE7410" w:rsidP="00442786">
            <w:pPr>
              <w:autoSpaceDE w:val="0"/>
              <w:autoSpaceDN w:val="0"/>
              <w:adjustRightInd w:val="0"/>
              <w:jc w:val="center"/>
              <w:rPr>
                <w:rFonts w:asciiTheme="minorHAnsi" w:hAnsiTheme="minorHAnsi" w:cstheme="minorHAnsi"/>
                <w:b/>
                <w:bCs/>
                <w:i/>
                <w:iCs/>
                <w:color w:val="000000"/>
                <w:sz w:val="22"/>
                <w:szCs w:val="22"/>
              </w:rPr>
            </w:pPr>
          </w:p>
        </w:tc>
        <w:tc>
          <w:tcPr>
            <w:tcW w:w="607" w:type="pct"/>
            <w:tcBorders>
              <w:top w:val="single" w:sz="4" w:space="0" w:color="auto"/>
            </w:tcBorders>
          </w:tcPr>
          <w:p w:rsidR="00DE7410" w:rsidRPr="00677316" w:rsidRDefault="00DE7410" w:rsidP="00442786">
            <w:pPr>
              <w:autoSpaceDE w:val="0"/>
              <w:autoSpaceDN w:val="0"/>
              <w:adjustRightInd w:val="0"/>
              <w:jc w:val="right"/>
              <w:rPr>
                <w:rFonts w:asciiTheme="minorHAnsi" w:hAnsiTheme="minorHAnsi" w:cstheme="minorHAnsi"/>
                <w:color w:val="000000"/>
                <w:sz w:val="22"/>
                <w:szCs w:val="22"/>
              </w:rPr>
            </w:pPr>
          </w:p>
        </w:tc>
      </w:tr>
      <w:tr w:rsidR="001B44AF" w:rsidRPr="00677316" w:rsidTr="00CB5813">
        <w:trPr>
          <w:trHeight w:val="223"/>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Total assets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bottom w:val="single" w:sz="4" w:space="0" w:color="auto"/>
            </w:tcBorders>
            <w:shd w:val="clear" w:color="auto" w:fill="FFFF00"/>
          </w:tcPr>
          <w:p w:rsidR="00DE7410"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12,016.5</w:t>
            </w:r>
          </w:p>
        </w:tc>
        <w:tc>
          <w:tcPr>
            <w:tcW w:w="607" w:type="pct"/>
            <w:tcBorders>
              <w:bottom w:val="single" w:sz="4" w:space="0" w:color="auto"/>
            </w:tcBorders>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11,</w:t>
            </w:r>
            <w:r w:rsidR="00121244">
              <w:rPr>
                <w:rFonts w:asciiTheme="minorHAnsi" w:hAnsiTheme="minorHAnsi" w:cstheme="minorHAnsi"/>
                <w:color w:val="000000"/>
                <w:sz w:val="22"/>
                <w:szCs w:val="22"/>
              </w:rPr>
              <w:t>989</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7</w:t>
            </w:r>
          </w:p>
        </w:tc>
      </w:tr>
      <w:tr w:rsidR="00C6668E" w:rsidRPr="00677316" w:rsidTr="00CB5813">
        <w:trPr>
          <w:trHeight w:val="223"/>
        </w:trPr>
        <w:tc>
          <w:tcPr>
            <w:tcW w:w="2498" w:type="pct"/>
            <w:shd w:val="solid" w:color="FFFFFF" w:fill="auto"/>
          </w:tcPr>
          <w:p w:rsidR="00DE7410" w:rsidRPr="00677316" w:rsidRDefault="00DE7410" w:rsidP="004C1B72">
            <w:pPr>
              <w:autoSpaceDE w:val="0"/>
              <w:autoSpaceDN w:val="0"/>
              <w:adjustRightInd w:val="0"/>
              <w:ind w:left="38"/>
              <w:jc w:val="right"/>
              <w:rPr>
                <w:rFonts w:asciiTheme="minorHAnsi" w:hAnsiTheme="minorHAnsi" w:cstheme="minorHAnsi"/>
                <w:color w:val="000000"/>
                <w:sz w:val="22"/>
                <w:szCs w:val="22"/>
              </w:rPr>
            </w:pPr>
          </w:p>
        </w:tc>
        <w:tc>
          <w:tcPr>
            <w:tcW w:w="996" w:type="pct"/>
            <w:shd w:val="solid" w:color="FFFFFF" w:fill="auto"/>
          </w:tcPr>
          <w:p w:rsidR="00DE7410" w:rsidRPr="00677316" w:rsidRDefault="00DE7410" w:rsidP="004C1B72">
            <w:pPr>
              <w:autoSpaceDE w:val="0"/>
              <w:autoSpaceDN w:val="0"/>
              <w:adjustRightInd w:val="0"/>
              <w:ind w:left="38"/>
              <w:jc w:val="right"/>
              <w:rPr>
                <w:rFonts w:asciiTheme="minorHAnsi" w:hAnsiTheme="minorHAnsi" w:cstheme="minorHAnsi"/>
                <w:color w:val="000000"/>
                <w:sz w:val="22"/>
                <w:szCs w:val="22"/>
              </w:rPr>
            </w:pP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607" w:type="pct"/>
            <w:tcBorders>
              <w:top w:val="single" w:sz="4" w:space="0" w:color="auto"/>
            </w:tcBorders>
            <w:shd w:val="solid" w:color="FFFFFF" w:fill="auto"/>
          </w:tcPr>
          <w:p w:rsidR="00DE7410" w:rsidRPr="00677316" w:rsidRDefault="00DE7410" w:rsidP="00442786">
            <w:pPr>
              <w:autoSpaceDE w:val="0"/>
              <w:autoSpaceDN w:val="0"/>
              <w:adjustRightInd w:val="0"/>
              <w:jc w:val="right"/>
              <w:rPr>
                <w:rFonts w:asciiTheme="minorHAnsi" w:hAnsiTheme="minorHAnsi" w:cstheme="minorHAnsi"/>
                <w:color w:val="000000"/>
                <w:sz w:val="22"/>
                <w:szCs w:val="22"/>
              </w:rPr>
            </w:pPr>
          </w:p>
        </w:tc>
      </w:tr>
      <w:tr w:rsidR="001B44AF" w:rsidRPr="00677316" w:rsidTr="00CB5813">
        <w:trPr>
          <w:trHeight w:val="211"/>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Current liabilities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607" w:type="pct"/>
            <w:shd w:val="solid" w:color="FFFFFF" w:fill="auto"/>
          </w:tcPr>
          <w:p w:rsidR="00DE7410" w:rsidRPr="00677316" w:rsidRDefault="00DE7410" w:rsidP="00442786">
            <w:pPr>
              <w:autoSpaceDE w:val="0"/>
              <w:autoSpaceDN w:val="0"/>
              <w:adjustRightInd w:val="0"/>
              <w:jc w:val="right"/>
              <w:rPr>
                <w:rFonts w:asciiTheme="minorHAnsi" w:hAnsiTheme="minorHAnsi" w:cstheme="minorHAnsi"/>
                <w:color w:val="000000"/>
                <w:sz w:val="22"/>
                <w:szCs w:val="22"/>
              </w:rPr>
            </w:pPr>
          </w:p>
        </w:tc>
      </w:tr>
      <w:tr w:rsidR="001B44AF" w:rsidRPr="00677316" w:rsidTr="00CB5813">
        <w:trPr>
          <w:trHeight w:val="211"/>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Trade payables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324.0</w:t>
            </w:r>
          </w:p>
        </w:tc>
        <w:tc>
          <w:tcPr>
            <w:tcW w:w="607" w:type="pct"/>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w:t>
            </w:r>
            <w:r w:rsidR="00121244">
              <w:rPr>
                <w:rFonts w:asciiTheme="minorHAnsi" w:hAnsiTheme="minorHAnsi" w:cstheme="minorHAnsi"/>
                <w:color w:val="000000"/>
                <w:sz w:val="22"/>
                <w:szCs w:val="22"/>
              </w:rPr>
              <w:t>94</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1</w:t>
            </w:r>
          </w:p>
        </w:tc>
      </w:tr>
      <w:tr w:rsidR="001B44AF" w:rsidRPr="00677316" w:rsidTr="00CB5813">
        <w:trPr>
          <w:trHeight w:val="211"/>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Accrued expenses and other liabilities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2,351.9</w:t>
            </w:r>
          </w:p>
        </w:tc>
        <w:tc>
          <w:tcPr>
            <w:tcW w:w="607" w:type="pct"/>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w:t>
            </w:r>
            <w:r w:rsidR="00121244">
              <w:rPr>
                <w:rFonts w:asciiTheme="minorHAnsi" w:hAnsiTheme="minorHAnsi" w:cstheme="minorHAnsi"/>
                <w:color w:val="000000"/>
                <w:sz w:val="22"/>
                <w:szCs w:val="22"/>
              </w:rPr>
              <w:t>257</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2</w:t>
            </w:r>
          </w:p>
        </w:tc>
      </w:tr>
      <w:tr w:rsidR="001B44AF" w:rsidRPr="00677316" w:rsidTr="00CB5813">
        <w:trPr>
          <w:trHeight w:val="211"/>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Current maturities of debt</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450.1</w:t>
            </w:r>
          </w:p>
        </w:tc>
        <w:tc>
          <w:tcPr>
            <w:tcW w:w="607" w:type="pct"/>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4</w:t>
            </w:r>
            <w:r w:rsidR="00121244">
              <w:rPr>
                <w:rFonts w:asciiTheme="minorHAnsi" w:hAnsiTheme="minorHAnsi" w:cstheme="minorHAnsi"/>
                <w:color w:val="000000"/>
                <w:sz w:val="22"/>
                <w:szCs w:val="22"/>
              </w:rPr>
              <w:t>55</w:t>
            </w:r>
            <w:r>
              <w:rPr>
                <w:rFonts w:asciiTheme="minorHAnsi" w:hAnsiTheme="minorHAnsi" w:cstheme="minorHAnsi"/>
                <w:color w:val="000000"/>
                <w:sz w:val="22"/>
                <w:szCs w:val="22"/>
              </w:rPr>
              <w:t>.9</w:t>
            </w:r>
          </w:p>
        </w:tc>
      </w:tr>
      <w:tr w:rsidR="001B44AF" w:rsidRPr="00677316" w:rsidTr="00CB5813">
        <w:trPr>
          <w:trHeight w:val="211"/>
        </w:trPr>
        <w:tc>
          <w:tcPr>
            <w:tcW w:w="3494" w:type="pct"/>
            <w:gridSpan w:val="2"/>
            <w:shd w:val="solid" w:color="FFFFFF" w:fill="auto"/>
          </w:tcPr>
          <w:p w:rsidR="00010D54" w:rsidRPr="00677316" w:rsidRDefault="00010D54"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Derivative financial instruments</w:t>
            </w:r>
          </w:p>
        </w:tc>
        <w:tc>
          <w:tcPr>
            <w:tcW w:w="329" w:type="pct"/>
          </w:tcPr>
          <w:p w:rsidR="00010D54" w:rsidRPr="00677316" w:rsidRDefault="00010D54"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010D54"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84.1</w:t>
            </w:r>
          </w:p>
        </w:tc>
        <w:tc>
          <w:tcPr>
            <w:tcW w:w="607" w:type="pct"/>
            <w:shd w:val="solid" w:color="FFFFFF" w:fill="auto"/>
          </w:tcPr>
          <w:p w:rsidR="00010D54" w:rsidRPr="00677316" w:rsidRDefault="00121244"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w:t>
            </w:r>
            <w:r w:rsidR="00613B47">
              <w:rPr>
                <w:rFonts w:asciiTheme="minorHAnsi" w:hAnsiTheme="minorHAnsi" w:cstheme="minorHAnsi"/>
                <w:color w:val="000000"/>
                <w:sz w:val="22"/>
                <w:szCs w:val="22"/>
              </w:rPr>
              <w:t>.</w:t>
            </w:r>
            <w:r>
              <w:rPr>
                <w:rFonts w:asciiTheme="minorHAnsi" w:hAnsiTheme="minorHAnsi" w:cstheme="minorHAnsi"/>
                <w:color w:val="000000"/>
                <w:sz w:val="22"/>
                <w:szCs w:val="22"/>
              </w:rPr>
              <w:t>7</w:t>
            </w:r>
          </w:p>
        </w:tc>
      </w:tr>
      <w:tr w:rsidR="001B44AF" w:rsidRPr="00677316" w:rsidTr="00CB5813">
        <w:trPr>
          <w:trHeight w:val="211"/>
        </w:trPr>
        <w:tc>
          <w:tcPr>
            <w:tcW w:w="3494" w:type="pct"/>
            <w:gridSpan w:val="2"/>
            <w:shd w:val="solid" w:color="FFFFFF" w:fill="auto"/>
          </w:tcPr>
          <w:p w:rsidR="005A5328" w:rsidRPr="00677316" w:rsidRDefault="005A5328"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Current tax</w:t>
            </w:r>
          </w:p>
        </w:tc>
        <w:tc>
          <w:tcPr>
            <w:tcW w:w="329" w:type="pct"/>
          </w:tcPr>
          <w:p w:rsidR="005A5328" w:rsidRPr="00677316" w:rsidRDefault="005A5328"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5A5328"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46.9</w:t>
            </w:r>
          </w:p>
        </w:tc>
        <w:tc>
          <w:tcPr>
            <w:tcW w:w="607" w:type="pct"/>
            <w:shd w:val="solid" w:color="FFFFFF" w:fill="auto"/>
          </w:tcPr>
          <w:p w:rsidR="005A5328" w:rsidRPr="00677316" w:rsidRDefault="00613B47" w:rsidP="00FF7990">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2.9</w:t>
            </w:r>
          </w:p>
        </w:tc>
      </w:tr>
      <w:tr w:rsidR="001B44AF" w:rsidRPr="00677316" w:rsidTr="00CB5813">
        <w:trPr>
          <w:trHeight w:val="223"/>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Total current liabilities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top w:val="single" w:sz="4" w:space="0" w:color="auto"/>
              <w:bottom w:val="single" w:sz="4" w:space="0" w:color="auto"/>
            </w:tcBorders>
            <w:shd w:val="clear" w:color="auto" w:fill="FFFF00"/>
          </w:tcPr>
          <w:p w:rsidR="00DE7410" w:rsidRPr="00677316"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3,257.0</w:t>
            </w:r>
          </w:p>
        </w:tc>
        <w:tc>
          <w:tcPr>
            <w:tcW w:w="607" w:type="pct"/>
            <w:tcBorders>
              <w:top w:val="single" w:sz="4" w:space="0" w:color="auto"/>
              <w:bottom w:val="single" w:sz="4" w:space="0" w:color="auto"/>
            </w:tcBorders>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w:t>
            </w:r>
            <w:r w:rsidR="00121244">
              <w:rPr>
                <w:rFonts w:asciiTheme="minorHAnsi" w:hAnsiTheme="minorHAnsi" w:cstheme="minorHAnsi"/>
                <w:color w:val="000000"/>
                <w:sz w:val="22"/>
                <w:szCs w:val="22"/>
              </w:rPr>
              <w:t>011</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8</w:t>
            </w:r>
          </w:p>
        </w:tc>
      </w:tr>
      <w:tr w:rsidR="001B44AF" w:rsidRPr="00677316" w:rsidTr="00CB5813">
        <w:trPr>
          <w:trHeight w:val="223"/>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b/>
                <w:bCs/>
                <w:color w:val="000000"/>
                <w:sz w:val="22"/>
                <w:szCs w:val="22"/>
              </w:rPr>
            </w:pP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top w:val="single" w:sz="4" w:space="0" w:color="auto"/>
            </w:tcBorders>
            <w:shd w:val="clear" w:color="auto" w:fill="FFFF00"/>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607" w:type="pct"/>
            <w:tcBorders>
              <w:top w:val="single" w:sz="4" w:space="0" w:color="auto"/>
            </w:tcBorders>
            <w:shd w:val="solid" w:color="FFFFFF" w:fill="auto"/>
          </w:tcPr>
          <w:p w:rsidR="00DE7410" w:rsidRPr="00677316" w:rsidRDefault="00DE7410" w:rsidP="00442786">
            <w:pPr>
              <w:autoSpaceDE w:val="0"/>
              <w:autoSpaceDN w:val="0"/>
              <w:adjustRightInd w:val="0"/>
              <w:jc w:val="right"/>
              <w:rPr>
                <w:rFonts w:asciiTheme="minorHAnsi" w:hAnsiTheme="minorHAnsi" w:cstheme="minorHAnsi"/>
                <w:color w:val="000000"/>
                <w:sz w:val="22"/>
                <w:szCs w:val="22"/>
              </w:rPr>
            </w:pPr>
          </w:p>
        </w:tc>
      </w:tr>
      <w:tr w:rsidR="001B44AF" w:rsidRPr="00677316" w:rsidTr="00DE40D4">
        <w:trPr>
          <w:trHeight w:val="211"/>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Non-current liabilities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DE40D4" w:rsidRDefault="00DE7410" w:rsidP="00442786">
            <w:pPr>
              <w:autoSpaceDE w:val="0"/>
              <w:autoSpaceDN w:val="0"/>
              <w:adjustRightInd w:val="0"/>
              <w:jc w:val="right"/>
              <w:rPr>
                <w:rFonts w:asciiTheme="minorHAnsi" w:hAnsiTheme="minorHAnsi" w:cstheme="minorHAnsi"/>
                <w:b/>
                <w:bCs/>
                <w:color w:val="000000"/>
                <w:sz w:val="22"/>
                <w:szCs w:val="22"/>
              </w:rPr>
            </w:pPr>
          </w:p>
        </w:tc>
        <w:tc>
          <w:tcPr>
            <w:tcW w:w="607" w:type="pct"/>
            <w:shd w:val="solid" w:color="FFFFFF" w:fill="auto"/>
          </w:tcPr>
          <w:p w:rsidR="00DE7410" w:rsidRPr="00677316" w:rsidRDefault="00DE7410" w:rsidP="00442786">
            <w:pPr>
              <w:autoSpaceDE w:val="0"/>
              <w:autoSpaceDN w:val="0"/>
              <w:adjustRightInd w:val="0"/>
              <w:jc w:val="right"/>
              <w:rPr>
                <w:rFonts w:asciiTheme="minorHAnsi" w:hAnsiTheme="minorHAnsi" w:cstheme="minorHAnsi"/>
                <w:color w:val="000000"/>
                <w:sz w:val="22"/>
                <w:szCs w:val="22"/>
              </w:rPr>
            </w:pPr>
          </w:p>
        </w:tc>
      </w:tr>
      <w:tr w:rsidR="001B44AF" w:rsidRPr="00677316" w:rsidTr="00DE40D4">
        <w:trPr>
          <w:trHeight w:val="211"/>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Provisions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DE40D4"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142.6</w:t>
            </w:r>
          </w:p>
        </w:tc>
        <w:tc>
          <w:tcPr>
            <w:tcW w:w="607" w:type="pct"/>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w:t>
            </w:r>
            <w:r w:rsidR="00121244">
              <w:rPr>
                <w:rFonts w:asciiTheme="minorHAnsi" w:hAnsiTheme="minorHAnsi" w:cstheme="minorHAnsi"/>
                <w:color w:val="000000"/>
                <w:sz w:val="22"/>
                <w:szCs w:val="22"/>
              </w:rPr>
              <w:t>38</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2</w:t>
            </w:r>
          </w:p>
        </w:tc>
      </w:tr>
      <w:tr w:rsidR="001B44AF" w:rsidRPr="00677316" w:rsidTr="00DE40D4">
        <w:trPr>
          <w:trHeight w:val="211"/>
        </w:trPr>
        <w:tc>
          <w:tcPr>
            <w:tcW w:w="3494" w:type="pct"/>
            <w:gridSpan w:val="2"/>
            <w:shd w:val="solid" w:color="FFFFFF" w:fill="auto"/>
          </w:tcPr>
          <w:p w:rsidR="00DE7410" w:rsidRPr="00677316" w:rsidRDefault="00DE7410" w:rsidP="004C1B72">
            <w:pPr>
              <w:tabs>
                <w:tab w:val="left" w:pos="4080"/>
              </w:tabs>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Derivative financial instruments</w:t>
            </w:r>
            <w:r w:rsidRPr="00677316">
              <w:rPr>
                <w:rFonts w:asciiTheme="minorHAnsi" w:hAnsiTheme="minorHAnsi" w:cstheme="minorHAnsi"/>
                <w:color w:val="000000"/>
                <w:sz w:val="22"/>
                <w:szCs w:val="22"/>
              </w:rPr>
              <w:tab/>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DE40D4"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84.9</w:t>
            </w:r>
          </w:p>
        </w:tc>
        <w:tc>
          <w:tcPr>
            <w:tcW w:w="607" w:type="pct"/>
            <w:shd w:val="solid" w:color="FFFFFF" w:fill="auto"/>
          </w:tcPr>
          <w:p w:rsidR="00DE7410" w:rsidRPr="00677316" w:rsidRDefault="00121244"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w:t>
            </w:r>
            <w:r w:rsidR="00613B47">
              <w:rPr>
                <w:rFonts w:asciiTheme="minorHAnsi" w:hAnsiTheme="minorHAnsi" w:cstheme="minorHAnsi"/>
                <w:color w:val="000000"/>
                <w:sz w:val="22"/>
                <w:szCs w:val="22"/>
              </w:rPr>
              <w:t>.6</w:t>
            </w:r>
          </w:p>
        </w:tc>
      </w:tr>
      <w:tr w:rsidR="001B44AF" w:rsidRPr="00677316" w:rsidTr="00DE40D4">
        <w:trPr>
          <w:trHeight w:val="211"/>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Deferred tax</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DE40D4"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426.0</w:t>
            </w:r>
          </w:p>
        </w:tc>
        <w:tc>
          <w:tcPr>
            <w:tcW w:w="607" w:type="pct"/>
            <w:shd w:val="solid" w:color="FFFFFF" w:fill="auto"/>
          </w:tcPr>
          <w:p w:rsidR="00DE7410" w:rsidRPr="00677316" w:rsidRDefault="00121244"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473</w:t>
            </w:r>
            <w:r w:rsidR="00613B47">
              <w:rPr>
                <w:rFonts w:asciiTheme="minorHAnsi" w:hAnsiTheme="minorHAnsi" w:cstheme="minorHAnsi"/>
                <w:color w:val="000000"/>
                <w:sz w:val="22"/>
                <w:szCs w:val="22"/>
              </w:rPr>
              <w:t>.</w:t>
            </w:r>
            <w:r>
              <w:rPr>
                <w:rFonts w:asciiTheme="minorHAnsi" w:hAnsiTheme="minorHAnsi" w:cstheme="minorHAnsi"/>
                <w:color w:val="000000"/>
                <w:sz w:val="22"/>
                <w:szCs w:val="22"/>
              </w:rPr>
              <w:t>1</w:t>
            </w:r>
          </w:p>
        </w:tc>
      </w:tr>
      <w:tr w:rsidR="001B44AF" w:rsidRPr="00677316" w:rsidTr="00DE40D4">
        <w:trPr>
          <w:trHeight w:val="211"/>
        </w:trPr>
        <w:tc>
          <w:tcPr>
            <w:tcW w:w="3494" w:type="pct"/>
            <w:gridSpan w:val="2"/>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Other creditors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DE40D4"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7.4</w:t>
            </w:r>
          </w:p>
        </w:tc>
        <w:tc>
          <w:tcPr>
            <w:tcW w:w="607" w:type="pct"/>
            <w:shd w:val="solid" w:color="FFFFFF" w:fill="auto"/>
          </w:tcPr>
          <w:p w:rsidR="00DE7410" w:rsidRPr="00677316" w:rsidRDefault="00121244"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w:t>
            </w:r>
            <w:r w:rsidR="00613B47">
              <w:rPr>
                <w:rFonts w:asciiTheme="minorHAnsi" w:hAnsiTheme="minorHAnsi" w:cstheme="minorHAnsi"/>
                <w:color w:val="000000"/>
                <w:sz w:val="22"/>
                <w:szCs w:val="22"/>
              </w:rPr>
              <w:t>2.</w:t>
            </w:r>
            <w:r>
              <w:rPr>
                <w:rFonts w:asciiTheme="minorHAnsi" w:hAnsiTheme="minorHAnsi" w:cstheme="minorHAnsi"/>
                <w:color w:val="000000"/>
                <w:sz w:val="22"/>
                <w:szCs w:val="22"/>
              </w:rPr>
              <w:t>4</w:t>
            </w:r>
          </w:p>
        </w:tc>
      </w:tr>
      <w:tr w:rsidR="001B44AF" w:rsidRPr="00677316" w:rsidTr="00DE40D4">
        <w:trPr>
          <w:trHeight w:val="223"/>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Non-current maturities of debt</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bottom w:val="single" w:sz="4" w:space="0" w:color="auto"/>
            </w:tcBorders>
            <w:shd w:val="clear" w:color="auto" w:fill="FFFF00"/>
          </w:tcPr>
          <w:p w:rsidR="00DE7410" w:rsidRPr="00DE40D4"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3,830.8</w:t>
            </w:r>
          </w:p>
        </w:tc>
        <w:tc>
          <w:tcPr>
            <w:tcW w:w="607" w:type="pct"/>
            <w:tcBorders>
              <w:bottom w:val="single" w:sz="4" w:space="0" w:color="auto"/>
            </w:tcBorders>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w:t>
            </w:r>
            <w:r w:rsidR="00121244">
              <w:rPr>
                <w:rFonts w:asciiTheme="minorHAnsi" w:hAnsiTheme="minorHAnsi" w:cstheme="minorHAnsi"/>
                <w:color w:val="000000"/>
                <w:sz w:val="22"/>
                <w:szCs w:val="22"/>
              </w:rPr>
              <w:t>928</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6</w:t>
            </w:r>
          </w:p>
        </w:tc>
      </w:tr>
      <w:tr w:rsidR="001B44AF" w:rsidRPr="00677316" w:rsidTr="00DE40D4">
        <w:trPr>
          <w:trHeight w:val="223"/>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Total non-current liabilities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top w:val="single" w:sz="4" w:space="0" w:color="auto"/>
              <w:bottom w:val="single" w:sz="4" w:space="0" w:color="auto"/>
            </w:tcBorders>
            <w:shd w:val="clear" w:color="auto" w:fill="FFFF00"/>
          </w:tcPr>
          <w:p w:rsidR="00DE7410" w:rsidRPr="00DE40D4"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4,491.7</w:t>
            </w:r>
          </w:p>
        </w:tc>
        <w:tc>
          <w:tcPr>
            <w:tcW w:w="607" w:type="pct"/>
            <w:tcBorders>
              <w:top w:val="single" w:sz="4" w:space="0" w:color="auto"/>
              <w:bottom w:val="single" w:sz="4" w:space="0" w:color="auto"/>
            </w:tcBorders>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4,</w:t>
            </w:r>
            <w:r w:rsidR="00121244">
              <w:rPr>
                <w:rFonts w:asciiTheme="minorHAnsi" w:hAnsiTheme="minorHAnsi" w:cstheme="minorHAnsi"/>
                <w:color w:val="000000"/>
                <w:sz w:val="22"/>
                <w:szCs w:val="22"/>
              </w:rPr>
              <w:t>554</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9</w:t>
            </w:r>
          </w:p>
        </w:tc>
      </w:tr>
      <w:tr w:rsidR="00C6668E" w:rsidRPr="00677316" w:rsidTr="00DE40D4">
        <w:trPr>
          <w:trHeight w:val="211"/>
        </w:trPr>
        <w:tc>
          <w:tcPr>
            <w:tcW w:w="2498" w:type="pct"/>
            <w:shd w:val="solid" w:color="FFFFFF" w:fill="auto"/>
          </w:tcPr>
          <w:p w:rsidR="00DE7410" w:rsidRPr="00677316" w:rsidRDefault="00DE7410" w:rsidP="004C1B72">
            <w:pPr>
              <w:autoSpaceDE w:val="0"/>
              <w:autoSpaceDN w:val="0"/>
              <w:adjustRightInd w:val="0"/>
              <w:ind w:left="38"/>
              <w:jc w:val="right"/>
              <w:rPr>
                <w:rFonts w:asciiTheme="minorHAnsi" w:hAnsiTheme="minorHAnsi" w:cstheme="minorHAnsi"/>
                <w:color w:val="000000"/>
                <w:sz w:val="22"/>
                <w:szCs w:val="22"/>
              </w:rPr>
            </w:pPr>
          </w:p>
        </w:tc>
        <w:tc>
          <w:tcPr>
            <w:tcW w:w="996" w:type="pct"/>
            <w:shd w:val="solid" w:color="FFFFFF" w:fill="auto"/>
          </w:tcPr>
          <w:p w:rsidR="00DE7410" w:rsidRPr="00677316" w:rsidRDefault="00DE7410" w:rsidP="004C1B72">
            <w:pPr>
              <w:autoSpaceDE w:val="0"/>
              <w:autoSpaceDN w:val="0"/>
              <w:adjustRightInd w:val="0"/>
              <w:ind w:left="38"/>
              <w:jc w:val="right"/>
              <w:rPr>
                <w:rFonts w:asciiTheme="minorHAnsi" w:hAnsiTheme="minorHAnsi" w:cstheme="minorHAnsi"/>
                <w:color w:val="000000"/>
                <w:sz w:val="22"/>
                <w:szCs w:val="22"/>
              </w:rPr>
            </w:pPr>
          </w:p>
        </w:tc>
        <w:tc>
          <w:tcPr>
            <w:tcW w:w="329" w:type="pct"/>
          </w:tcPr>
          <w:p w:rsidR="00DE7410" w:rsidRPr="00677316" w:rsidRDefault="00DE7410" w:rsidP="00442786">
            <w:pPr>
              <w:autoSpaceDE w:val="0"/>
              <w:autoSpaceDN w:val="0"/>
              <w:adjustRightInd w:val="0"/>
              <w:rPr>
                <w:rFonts w:asciiTheme="minorHAnsi" w:hAnsiTheme="minorHAnsi" w:cstheme="minorHAnsi"/>
                <w:b/>
                <w:bCs/>
                <w:color w:val="000000"/>
                <w:sz w:val="22"/>
                <w:szCs w:val="22"/>
              </w:rPr>
            </w:pPr>
          </w:p>
        </w:tc>
        <w:tc>
          <w:tcPr>
            <w:tcW w:w="570" w:type="pct"/>
            <w:tcBorders>
              <w:top w:val="single" w:sz="4" w:space="0" w:color="auto"/>
            </w:tcBorders>
            <w:shd w:val="clear" w:color="auto" w:fill="FFFF00"/>
          </w:tcPr>
          <w:p w:rsidR="00DE7410" w:rsidRPr="00DE40D4" w:rsidRDefault="00DE7410" w:rsidP="00442786">
            <w:pPr>
              <w:autoSpaceDE w:val="0"/>
              <w:autoSpaceDN w:val="0"/>
              <w:adjustRightInd w:val="0"/>
              <w:rPr>
                <w:rFonts w:asciiTheme="minorHAnsi" w:hAnsiTheme="minorHAnsi" w:cstheme="minorHAnsi"/>
                <w:b/>
                <w:bCs/>
                <w:color w:val="000000"/>
                <w:sz w:val="22"/>
                <w:szCs w:val="22"/>
              </w:rPr>
            </w:pPr>
          </w:p>
        </w:tc>
        <w:tc>
          <w:tcPr>
            <w:tcW w:w="607" w:type="pct"/>
            <w:tcBorders>
              <w:top w:val="single" w:sz="4" w:space="0" w:color="auto"/>
            </w:tcBorders>
            <w:shd w:val="solid" w:color="FFFFFF" w:fill="auto"/>
          </w:tcPr>
          <w:p w:rsidR="00DE7410" w:rsidRPr="00677316" w:rsidRDefault="00DE7410" w:rsidP="00442786">
            <w:pPr>
              <w:autoSpaceDE w:val="0"/>
              <w:autoSpaceDN w:val="0"/>
              <w:adjustRightInd w:val="0"/>
              <w:rPr>
                <w:rFonts w:asciiTheme="minorHAnsi" w:hAnsiTheme="minorHAnsi" w:cstheme="minorHAnsi"/>
                <w:color w:val="000000"/>
                <w:sz w:val="22"/>
                <w:szCs w:val="22"/>
              </w:rPr>
            </w:pPr>
          </w:p>
        </w:tc>
      </w:tr>
      <w:tr w:rsidR="001B44AF" w:rsidRPr="00677316" w:rsidTr="00DE40D4">
        <w:trPr>
          <w:trHeight w:val="80"/>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Shareholders' equity</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DE40D4" w:rsidRDefault="00DE7410" w:rsidP="00442786">
            <w:pPr>
              <w:autoSpaceDE w:val="0"/>
              <w:autoSpaceDN w:val="0"/>
              <w:adjustRightInd w:val="0"/>
              <w:jc w:val="right"/>
              <w:rPr>
                <w:rFonts w:asciiTheme="minorHAnsi" w:hAnsiTheme="minorHAnsi" w:cstheme="minorHAnsi"/>
                <w:b/>
                <w:bCs/>
                <w:color w:val="000000"/>
                <w:sz w:val="22"/>
                <w:szCs w:val="22"/>
              </w:rPr>
            </w:pPr>
          </w:p>
        </w:tc>
        <w:tc>
          <w:tcPr>
            <w:tcW w:w="607" w:type="pct"/>
            <w:shd w:val="solid" w:color="FFFFFF" w:fill="auto"/>
          </w:tcPr>
          <w:p w:rsidR="00DE7410" w:rsidRPr="00677316" w:rsidRDefault="00DE7410" w:rsidP="00442786">
            <w:pPr>
              <w:autoSpaceDE w:val="0"/>
              <w:autoSpaceDN w:val="0"/>
              <w:adjustRightInd w:val="0"/>
              <w:jc w:val="right"/>
              <w:rPr>
                <w:rFonts w:asciiTheme="minorHAnsi" w:hAnsiTheme="minorHAnsi" w:cstheme="minorHAnsi"/>
                <w:color w:val="000000"/>
                <w:sz w:val="22"/>
                <w:szCs w:val="22"/>
              </w:rPr>
            </w:pPr>
          </w:p>
        </w:tc>
      </w:tr>
      <w:tr w:rsidR="001B44AF" w:rsidRPr="00677316" w:rsidTr="00DE40D4">
        <w:trPr>
          <w:trHeight w:val="211"/>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Issued share capital</w:t>
            </w:r>
          </w:p>
        </w:tc>
        <w:tc>
          <w:tcPr>
            <w:tcW w:w="329" w:type="pct"/>
          </w:tcPr>
          <w:p w:rsidR="00DE7410" w:rsidRPr="00677316" w:rsidRDefault="00613B47" w:rsidP="00845A9A">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w:t>
            </w:r>
          </w:p>
        </w:tc>
        <w:tc>
          <w:tcPr>
            <w:tcW w:w="570" w:type="pct"/>
            <w:shd w:val="clear" w:color="auto" w:fill="FFFF00"/>
          </w:tcPr>
          <w:p w:rsidR="00DE7410" w:rsidRPr="00DE40D4"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7.2</w:t>
            </w:r>
          </w:p>
        </w:tc>
        <w:tc>
          <w:tcPr>
            <w:tcW w:w="607" w:type="pct"/>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7.</w:t>
            </w:r>
            <w:r w:rsidR="00121244">
              <w:rPr>
                <w:rFonts w:asciiTheme="minorHAnsi" w:hAnsiTheme="minorHAnsi" w:cstheme="minorHAnsi"/>
                <w:color w:val="000000"/>
                <w:sz w:val="22"/>
                <w:szCs w:val="22"/>
              </w:rPr>
              <w:t>3</w:t>
            </w:r>
          </w:p>
        </w:tc>
      </w:tr>
      <w:tr w:rsidR="001B44AF" w:rsidRPr="00677316" w:rsidTr="00DE40D4">
        <w:trPr>
          <w:trHeight w:val="211"/>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Share premium account</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shd w:val="clear" w:color="auto" w:fill="FFFF00"/>
          </w:tcPr>
          <w:p w:rsidR="00DE7410" w:rsidRPr="00DE40D4" w:rsidRDefault="00E8594C" w:rsidP="00CD687B">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719.4</w:t>
            </w:r>
          </w:p>
        </w:tc>
        <w:tc>
          <w:tcPr>
            <w:tcW w:w="607" w:type="pct"/>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719.4</w:t>
            </w:r>
          </w:p>
        </w:tc>
      </w:tr>
      <w:tr w:rsidR="001B44AF" w:rsidRPr="00677316" w:rsidTr="00DE40D4">
        <w:trPr>
          <w:trHeight w:val="211"/>
        </w:trPr>
        <w:tc>
          <w:tcPr>
            <w:tcW w:w="3494" w:type="pct"/>
            <w:gridSpan w:val="2"/>
            <w:shd w:val="solid" w:color="FFFFFF" w:fill="auto"/>
          </w:tcPr>
          <w:p w:rsidR="00DE7410" w:rsidRPr="00677316" w:rsidRDefault="00010C77" w:rsidP="004C1B72">
            <w:pPr>
              <w:autoSpaceDE w:val="0"/>
              <w:autoSpaceDN w:val="0"/>
              <w:adjustRightInd w:val="0"/>
              <w:ind w:left="38"/>
              <w:rPr>
                <w:rFonts w:asciiTheme="minorHAnsi" w:hAnsiTheme="minorHAnsi" w:cstheme="minorHAnsi"/>
                <w:color w:val="000000"/>
                <w:sz w:val="22"/>
                <w:szCs w:val="22"/>
              </w:rPr>
            </w:pPr>
            <w:r>
              <w:rPr>
                <w:rFonts w:asciiTheme="minorHAnsi" w:hAnsiTheme="minorHAnsi" w:cstheme="minorHAnsi"/>
                <w:color w:val="000000"/>
                <w:sz w:val="22"/>
                <w:szCs w:val="22"/>
              </w:rPr>
              <w:t>Other undenominated capital</w:t>
            </w:r>
          </w:p>
        </w:tc>
        <w:tc>
          <w:tcPr>
            <w:tcW w:w="329" w:type="pct"/>
          </w:tcPr>
          <w:p w:rsidR="00DE7410" w:rsidRPr="00677316" w:rsidRDefault="00613B47" w:rsidP="00845A9A">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w:t>
            </w:r>
          </w:p>
        </w:tc>
        <w:tc>
          <w:tcPr>
            <w:tcW w:w="570" w:type="pct"/>
            <w:shd w:val="clear" w:color="auto" w:fill="FFFF00"/>
          </w:tcPr>
          <w:p w:rsidR="00DE7410" w:rsidRPr="00DE40D4"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2.7</w:t>
            </w:r>
          </w:p>
        </w:tc>
        <w:tc>
          <w:tcPr>
            <w:tcW w:w="607" w:type="pct"/>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w:t>
            </w:r>
            <w:r w:rsidR="00121244">
              <w:rPr>
                <w:rFonts w:asciiTheme="minorHAnsi" w:hAnsiTheme="minorHAnsi" w:cstheme="minorHAnsi"/>
                <w:color w:val="000000"/>
                <w:sz w:val="22"/>
                <w:szCs w:val="22"/>
              </w:rPr>
              <w:t>7</w:t>
            </w:r>
          </w:p>
        </w:tc>
      </w:tr>
      <w:tr w:rsidR="001B44AF" w:rsidRPr="00677316" w:rsidTr="00DE40D4">
        <w:trPr>
          <w:trHeight w:val="211"/>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Retained earnings</w:t>
            </w:r>
          </w:p>
        </w:tc>
        <w:tc>
          <w:tcPr>
            <w:tcW w:w="329" w:type="pct"/>
          </w:tcPr>
          <w:p w:rsidR="00DE7410" w:rsidRPr="00677316" w:rsidRDefault="00613B47" w:rsidP="00845A9A">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w:t>
            </w:r>
          </w:p>
        </w:tc>
        <w:tc>
          <w:tcPr>
            <w:tcW w:w="570" w:type="pct"/>
            <w:shd w:val="clear" w:color="auto" w:fill="FFFF00"/>
          </w:tcPr>
          <w:p w:rsidR="00DE7410" w:rsidRPr="00DE40D4"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3,649.8</w:t>
            </w:r>
          </w:p>
        </w:tc>
        <w:tc>
          <w:tcPr>
            <w:tcW w:w="607" w:type="pct"/>
            <w:shd w:val="solid" w:color="FFFFFF" w:fill="auto"/>
          </w:tcPr>
          <w:p w:rsidR="00DE7410"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w:t>
            </w:r>
            <w:r w:rsidR="00121244">
              <w:rPr>
                <w:rFonts w:asciiTheme="minorHAnsi" w:hAnsiTheme="minorHAnsi" w:cstheme="minorHAnsi"/>
                <w:color w:val="000000"/>
                <w:sz w:val="22"/>
                <w:szCs w:val="22"/>
              </w:rPr>
              <w:t>456</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8</w:t>
            </w:r>
          </w:p>
        </w:tc>
      </w:tr>
      <w:tr w:rsidR="001B44AF" w:rsidRPr="00677316" w:rsidTr="00DE40D4">
        <w:trPr>
          <w:trHeight w:val="223"/>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color w:val="000000"/>
                <w:sz w:val="22"/>
                <w:szCs w:val="22"/>
              </w:rPr>
            </w:pPr>
            <w:r w:rsidRPr="00677316">
              <w:rPr>
                <w:rFonts w:asciiTheme="minorHAnsi" w:hAnsiTheme="minorHAnsi" w:cstheme="minorHAnsi"/>
                <w:color w:val="000000"/>
                <w:sz w:val="22"/>
                <w:szCs w:val="22"/>
              </w:rPr>
              <w:t>Other reserves</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bottom w:val="single" w:sz="4" w:space="0" w:color="auto"/>
            </w:tcBorders>
            <w:shd w:val="clear" w:color="auto" w:fill="FFFF00"/>
          </w:tcPr>
          <w:p w:rsidR="00DE7410" w:rsidRPr="00DE40D4"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(111.3)</w:t>
            </w:r>
          </w:p>
        </w:tc>
        <w:tc>
          <w:tcPr>
            <w:tcW w:w="607" w:type="pct"/>
            <w:tcBorders>
              <w:bottom w:val="single" w:sz="4" w:space="0" w:color="auto"/>
            </w:tcBorders>
            <w:shd w:val="solid" w:color="FFFFFF" w:fill="auto"/>
          </w:tcPr>
          <w:p w:rsidR="00DE7410" w:rsidRPr="00677316" w:rsidRDefault="00121244"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236</w:t>
            </w:r>
            <w:r w:rsidR="00613B47">
              <w:rPr>
                <w:rFonts w:asciiTheme="minorHAnsi" w:hAnsiTheme="minorHAnsi" w:cstheme="minorHAnsi"/>
                <w:color w:val="000000"/>
                <w:sz w:val="22"/>
                <w:szCs w:val="22"/>
              </w:rPr>
              <w:t>.</w:t>
            </w:r>
            <w:r>
              <w:rPr>
                <w:rFonts w:asciiTheme="minorHAnsi" w:hAnsiTheme="minorHAnsi" w:cstheme="minorHAnsi"/>
                <w:color w:val="000000"/>
                <w:sz w:val="22"/>
                <w:szCs w:val="22"/>
              </w:rPr>
              <w:t>8</w:t>
            </w:r>
          </w:p>
        </w:tc>
      </w:tr>
      <w:tr w:rsidR="001B44AF" w:rsidRPr="00677316" w:rsidTr="00DE40D4">
        <w:trPr>
          <w:trHeight w:val="223"/>
        </w:trPr>
        <w:tc>
          <w:tcPr>
            <w:tcW w:w="3494" w:type="pct"/>
            <w:gridSpan w:val="2"/>
            <w:shd w:val="solid" w:color="FFFFFF" w:fill="auto"/>
          </w:tcPr>
          <w:p w:rsidR="00DE7410" w:rsidRPr="00677316" w:rsidRDefault="00DE7410" w:rsidP="004C1B72">
            <w:pPr>
              <w:autoSpaceDE w:val="0"/>
              <w:autoSpaceDN w:val="0"/>
              <w:adjustRightInd w:val="0"/>
              <w:ind w:left="38"/>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Shareholders' equity</w:t>
            </w: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top w:val="single" w:sz="4" w:space="0" w:color="auto"/>
              <w:bottom w:val="single" w:sz="4" w:space="0" w:color="auto"/>
            </w:tcBorders>
            <w:shd w:val="clear" w:color="auto" w:fill="FFFF00"/>
          </w:tcPr>
          <w:p w:rsidR="00DE7410" w:rsidRPr="00DE40D4"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4,267.8</w:t>
            </w:r>
          </w:p>
        </w:tc>
        <w:tc>
          <w:tcPr>
            <w:tcW w:w="607" w:type="pct"/>
            <w:tcBorders>
              <w:top w:val="single" w:sz="4" w:space="0" w:color="auto"/>
              <w:bottom w:val="single" w:sz="4" w:space="0" w:color="auto"/>
            </w:tcBorders>
            <w:shd w:val="solid" w:color="FFFFFF" w:fill="auto"/>
          </w:tcPr>
          <w:p w:rsidR="00DE7410" w:rsidRPr="00677316" w:rsidRDefault="00121244"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4</w:t>
            </w:r>
            <w:r w:rsidR="00613B47">
              <w:rPr>
                <w:rFonts w:asciiTheme="minorHAnsi" w:hAnsiTheme="minorHAnsi" w:cstheme="minorHAnsi"/>
                <w:color w:val="000000"/>
                <w:sz w:val="22"/>
                <w:szCs w:val="22"/>
              </w:rPr>
              <w:t>,</w:t>
            </w:r>
            <w:r>
              <w:rPr>
                <w:rFonts w:asciiTheme="minorHAnsi" w:hAnsiTheme="minorHAnsi" w:cstheme="minorHAnsi"/>
                <w:color w:val="000000"/>
                <w:sz w:val="22"/>
                <w:szCs w:val="22"/>
              </w:rPr>
              <w:t>423</w:t>
            </w:r>
            <w:r w:rsidR="00613B47">
              <w:rPr>
                <w:rFonts w:asciiTheme="minorHAnsi" w:hAnsiTheme="minorHAnsi" w:cstheme="minorHAnsi"/>
                <w:color w:val="000000"/>
                <w:sz w:val="22"/>
                <w:szCs w:val="22"/>
              </w:rPr>
              <w:t>.</w:t>
            </w:r>
            <w:r>
              <w:rPr>
                <w:rFonts w:asciiTheme="minorHAnsi" w:hAnsiTheme="minorHAnsi" w:cstheme="minorHAnsi"/>
                <w:color w:val="000000"/>
                <w:sz w:val="22"/>
                <w:szCs w:val="22"/>
              </w:rPr>
              <w:t>0</w:t>
            </w:r>
          </w:p>
        </w:tc>
      </w:tr>
      <w:tr w:rsidR="00C6668E" w:rsidRPr="00677316" w:rsidTr="00DE40D4">
        <w:trPr>
          <w:trHeight w:val="211"/>
        </w:trPr>
        <w:tc>
          <w:tcPr>
            <w:tcW w:w="2498" w:type="pct"/>
            <w:shd w:val="solid" w:color="FFFFFF" w:fill="auto"/>
          </w:tcPr>
          <w:p w:rsidR="00DE7410" w:rsidRPr="00677316" w:rsidRDefault="00DE7410" w:rsidP="004C1B72">
            <w:pPr>
              <w:autoSpaceDE w:val="0"/>
              <w:autoSpaceDN w:val="0"/>
              <w:adjustRightInd w:val="0"/>
              <w:ind w:left="38"/>
              <w:jc w:val="right"/>
              <w:rPr>
                <w:rFonts w:asciiTheme="minorHAnsi" w:hAnsiTheme="minorHAnsi" w:cstheme="minorHAnsi"/>
                <w:color w:val="000000"/>
                <w:sz w:val="22"/>
                <w:szCs w:val="22"/>
              </w:rPr>
            </w:pPr>
          </w:p>
        </w:tc>
        <w:tc>
          <w:tcPr>
            <w:tcW w:w="996" w:type="pct"/>
            <w:shd w:val="solid" w:color="FFFFFF" w:fill="auto"/>
          </w:tcPr>
          <w:p w:rsidR="00DE7410" w:rsidRPr="00677316" w:rsidRDefault="00DE7410" w:rsidP="004C1B72">
            <w:pPr>
              <w:autoSpaceDE w:val="0"/>
              <w:autoSpaceDN w:val="0"/>
              <w:adjustRightInd w:val="0"/>
              <w:ind w:left="38"/>
              <w:jc w:val="right"/>
              <w:rPr>
                <w:rFonts w:asciiTheme="minorHAnsi" w:hAnsiTheme="minorHAnsi" w:cstheme="minorHAnsi"/>
                <w:color w:val="000000"/>
                <w:sz w:val="22"/>
                <w:szCs w:val="22"/>
              </w:rPr>
            </w:pPr>
          </w:p>
        </w:tc>
        <w:tc>
          <w:tcPr>
            <w:tcW w:w="329" w:type="pct"/>
          </w:tcPr>
          <w:p w:rsidR="00DE7410" w:rsidRPr="00677316" w:rsidRDefault="00DE7410"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top w:val="single" w:sz="4" w:space="0" w:color="auto"/>
            </w:tcBorders>
            <w:shd w:val="clear" w:color="auto" w:fill="FFFF00"/>
          </w:tcPr>
          <w:p w:rsidR="00DE7410" w:rsidRPr="00DE40D4" w:rsidRDefault="00DE7410" w:rsidP="00442786">
            <w:pPr>
              <w:autoSpaceDE w:val="0"/>
              <w:autoSpaceDN w:val="0"/>
              <w:adjustRightInd w:val="0"/>
              <w:jc w:val="right"/>
              <w:rPr>
                <w:rFonts w:asciiTheme="minorHAnsi" w:hAnsiTheme="minorHAnsi" w:cstheme="minorHAnsi"/>
                <w:b/>
                <w:bCs/>
                <w:color w:val="000000"/>
                <w:sz w:val="22"/>
                <w:szCs w:val="22"/>
              </w:rPr>
            </w:pPr>
          </w:p>
        </w:tc>
        <w:tc>
          <w:tcPr>
            <w:tcW w:w="607" w:type="pct"/>
            <w:tcBorders>
              <w:top w:val="single" w:sz="4" w:space="0" w:color="auto"/>
            </w:tcBorders>
            <w:shd w:val="solid" w:color="FFFFFF" w:fill="auto"/>
          </w:tcPr>
          <w:p w:rsidR="00DE7410" w:rsidRPr="00677316" w:rsidRDefault="00DE7410" w:rsidP="00442786">
            <w:pPr>
              <w:autoSpaceDE w:val="0"/>
              <w:autoSpaceDN w:val="0"/>
              <w:adjustRightInd w:val="0"/>
              <w:jc w:val="right"/>
              <w:rPr>
                <w:rFonts w:asciiTheme="minorHAnsi" w:hAnsiTheme="minorHAnsi" w:cstheme="minorHAnsi"/>
                <w:color w:val="000000"/>
                <w:sz w:val="22"/>
                <w:szCs w:val="22"/>
              </w:rPr>
            </w:pPr>
          </w:p>
        </w:tc>
      </w:tr>
      <w:tr w:rsidR="00C6668E" w:rsidRPr="00677316" w:rsidTr="00DE40D4">
        <w:trPr>
          <w:trHeight w:val="211"/>
        </w:trPr>
        <w:tc>
          <w:tcPr>
            <w:tcW w:w="2498" w:type="pct"/>
            <w:shd w:val="solid" w:color="FFFFFF" w:fill="auto"/>
          </w:tcPr>
          <w:p w:rsidR="00C6668E" w:rsidRPr="00677316" w:rsidRDefault="00C6668E" w:rsidP="00C6668E">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b/>
                <w:bCs/>
                <w:color w:val="000000"/>
                <w:sz w:val="22"/>
                <w:szCs w:val="22"/>
              </w:rPr>
              <w:t>Total liabilities and shareholders' equity</w:t>
            </w:r>
          </w:p>
        </w:tc>
        <w:tc>
          <w:tcPr>
            <w:tcW w:w="996" w:type="pct"/>
            <w:shd w:val="solid" w:color="FFFFFF" w:fill="auto"/>
          </w:tcPr>
          <w:p w:rsidR="00C6668E" w:rsidRPr="00677316" w:rsidRDefault="00C6668E" w:rsidP="004C1B72">
            <w:pPr>
              <w:autoSpaceDE w:val="0"/>
              <w:autoSpaceDN w:val="0"/>
              <w:adjustRightInd w:val="0"/>
              <w:ind w:left="38"/>
              <w:jc w:val="right"/>
              <w:rPr>
                <w:rFonts w:asciiTheme="minorHAnsi" w:hAnsiTheme="minorHAnsi" w:cstheme="minorHAnsi"/>
                <w:color w:val="000000"/>
                <w:sz w:val="22"/>
                <w:szCs w:val="22"/>
              </w:rPr>
            </w:pPr>
          </w:p>
        </w:tc>
        <w:tc>
          <w:tcPr>
            <w:tcW w:w="329" w:type="pct"/>
          </w:tcPr>
          <w:p w:rsidR="00C6668E" w:rsidRPr="00677316" w:rsidRDefault="00C6668E" w:rsidP="00442786">
            <w:pPr>
              <w:autoSpaceDE w:val="0"/>
              <w:autoSpaceDN w:val="0"/>
              <w:adjustRightInd w:val="0"/>
              <w:jc w:val="right"/>
              <w:rPr>
                <w:rFonts w:asciiTheme="minorHAnsi" w:hAnsiTheme="minorHAnsi" w:cstheme="minorHAnsi"/>
                <w:b/>
                <w:bCs/>
                <w:color w:val="000000"/>
                <w:sz w:val="22"/>
                <w:szCs w:val="22"/>
              </w:rPr>
            </w:pPr>
          </w:p>
        </w:tc>
        <w:tc>
          <w:tcPr>
            <w:tcW w:w="570" w:type="pct"/>
            <w:tcBorders>
              <w:bottom w:val="single" w:sz="4" w:space="0" w:color="auto"/>
            </w:tcBorders>
            <w:shd w:val="clear" w:color="auto" w:fill="FFFF00"/>
          </w:tcPr>
          <w:p w:rsidR="00C6668E" w:rsidRPr="00DE40D4" w:rsidRDefault="00E8594C" w:rsidP="00F6283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12,016.5</w:t>
            </w:r>
          </w:p>
        </w:tc>
        <w:tc>
          <w:tcPr>
            <w:tcW w:w="607" w:type="pct"/>
            <w:tcBorders>
              <w:bottom w:val="single" w:sz="4" w:space="0" w:color="auto"/>
            </w:tcBorders>
            <w:shd w:val="solid" w:color="FFFFFF" w:fill="auto"/>
          </w:tcPr>
          <w:p w:rsidR="00C6668E" w:rsidRPr="00677316" w:rsidRDefault="00613B47" w:rsidP="00CD687B">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11,</w:t>
            </w:r>
            <w:r w:rsidR="00121244">
              <w:rPr>
                <w:rFonts w:asciiTheme="minorHAnsi" w:hAnsiTheme="minorHAnsi" w:cstheme="minorHAnsi"/>
                <w:color w:val="000000"/>
                <w:sz w:val="22"/>
                <w:szCs w:val="22"/>
              </w:rPr>
              <w:t>989</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7</w:t>
            </w:r>
          </w:p>
        </w:tc>
      </w:tr>
    </w:tbl>
    <w:p w:rsidR="006A46B6" w:rsidRDefault="006A46B6"/>
    <w:p w:rsidR="007777A2" w:rsidRDefault="007777A2" w:rsidP="002665A0">
      <w:pPr>
        <w:rPr>
          <w:rFonts w:asciiTheme="minorHAnsi" w:hAnsiTheme="minorHAnsi" w:cstheme="minorHAnsi"/>
          <w:b/>
          <w:bCs/>
          <w:color w:val="000000"/>
        </w:rPr>
      </w:pPr>
    </w:p>
    <w:p w:rsidR="002665A0" w:rsidRDefault="002665A0" w:rsidP="002665A0">
      <w:pPr>
        <w:rPr>
          <w:rFonts w:asciiTheme="minorHAnsi" w:hAnsiTheme="minorHAnsi" w:cstheme="minorHAnsi"/>
          <w:b/>
          <w:bCs/>
          <w:color w:val="000000"/>
        </w:rPr>
      </w:pPr>
      <w:r w:rsidRPr="00991F11">
        <w:rPr>
          <w:rFonts w:asciiTheme="minorHAnsi" w:hAnsiTheme="minorHAnsi" w:cstheme="minorHAnsi"/>
          <w:b/>
          <w:bCs/>
          <w:color w:val="000000"/>
        </w:rPr>
        <w:t>Ryanair Holdings plc and Subsidiaries</w:t>
      </w:r>
    </w:p>
    <w:p w:rsidR="002665A0" w:rsidRDefault="002665A0" w:rsidP="002665A0">
      <w:pPr>
        <w:rPr>
          <w:rFonts w:asciiTheme="minorHAnsi" w:hAnsiTheme="minorHAnsi" w:cstheme="minorHAnsi"/>
          <w:b/>
          <w:bCs/>
          <w:i/>
          <w:iCs/>
          <w:color w:val="000000"/>
        </w:rPr>
      </w:pPr>
      <w:r w:rsidRPr="000D602D">
        <w:rPr>
          <w:rFonts w:asciiTheme="minorHAnsi" w:hAnsiTheme="minorHAnsi" w:cstheme="minorHAnsi"/>
          <w:b/>
          <w:bCs/>
          <w:i/>
          <w:iCs/>
          <w:color w:val="000000"/>
        </w:rPr>
        <w:t xml:space="preserve">Condensed Consolidated </w:t>
      </w:r>
      <w:r w:rsidR="00121244">
        <w:rPr>
          <w:rFonts w:asciiTheme="minorHAnsi" w:hAnsiTheme="minorHAnsi" w:cstheme="minorHAnsi"/>
          <w:b/>
          <w:bCs/>
          <w:i/>
          <w:iCs/>
          <w:color w:val="000000"/>
        </w:rPr>
        <w:t>Interim</w:t>
      </w:r>
      <w:r w:rsidRPr="000D602D">
        <w:rPr>
          <w:rFonts w:asciiTheme="minorHAnsi" w:hAnsiTheme="minorHAnsi" w:cstheme="minorHAnsi"/>
          <w:b/>
          <w:bCs/>
          <w:i/>
          <w:iCs/>
          <w:color w:val="000000"/>
        </w:rPr>
        <w:t xml:space="preserve"> Income Statement for the </w:t>
      </w:r>
      <w:r w:rsidR="00121244">
        <w:rPr>
          <w:rFonts w:asciiTheme="minorHAnsi" w:hAnsiTheme="minorHAnsi" w:cstheme="minorHAnsi"/>
          <w:b/>
          <w:bCs/>
          <w:i/>
          <w:iCs/>
          <w:color w:val="000000"/>
        </w:rPr>
        <w:t>quarter</w:t>
      </w:r>
      <w:r w:rsidRPr="000D602D">
        <w:rPr>
          <w:rFonts w:asciiTheme="minorHAnsi" w:hAnsiTheme="minorHAnsi" w:cstheme="minorHAnsi"/>
          <w:b/>
          <w:bCs/>
          <w:i/>
          <w:iCs/>
          <w:color w:val="000000"/>
        </w:rPr>
        <w:t xml:space="preserve"> ended</w:t>
      </w:r>
      <w:r>
        <w:rPr>
          <w:rFonts w:asciiTheme="minorHAnsi" w:hAnsiTheme="minorHAnsi" w:cstheme="minorHAnsi"/>
          <w:b/>
          <w:bCs/>
          <w:i/>
          <w:iCs/>
          <w:color w:val="000000"/>
        </w:rPr>
        <w:t xml:space="preserve"> </w:t>
      </w:r>
      <w:r w:rsidR="00121244">
        <w:rPr>
          <w:rFonts w:asciiTheme="minorHAnsi" w:hAnsiTheme="minorHAnsi" w:cstheme="minorHAnsi"/>
          <w:b/>
          <w:bCs/>
          <w:i/>
          <w:iCs/>
          <w:color w:val="000000"/>
        </w:rPr>
        <w:t>June</w:t>
      </w:r>
      <w:r>
        <w:rPr>
          <w:rFonts w:asciiTheme="minorHAnsi" w:hAnsiTheme="minorHAnsi" w:cstheme="minorHAnsi"/>
          <w:b/>
          <w:bCs/>
          <w:i/>
          <w:iCs/>
          <w:color w:val="000000"/>
        </w:rPr>
        <w:t xml:space="preserve"> 3</w:t>
      </w:r>
      <w:r w:rsidR="00121244">
        <w:rPr>
          <w:rFonts w:asciiTheme="minorHAnsi" w:hAnsiTheme="minorHAnsi" w:cstheme="minorHAnsi"/>
          <w:b/>
          <w:bCs/>
          <w:i/>
          <w:iCs/>
          <w:color w:val="000000"/>
        </w:rPr>
        <w:t>0</w:t>
      </w:r>
      <w:r w:rsidRPr="000D602D">
        <w:rPr>
          <w:rFonts w:asciiTheme="minorHAnsi" w:hAnsiTheme="minorHAnsi" w:cstheme="minorHAnsi"/>
          <w:b/>
          <w:bCs/>
          <w:i/>
          <w:iCs/>
          <w:color w:val="000000"/>
        </w:rPr>
        <w:t xml:space="preserve">, </w:t>
      </w:r>
      <w:r>
        <w:rPr>
          <w:rFonts w:asciiTheme="minorHAnsi" w:hAnsiTheme="minorHAnsi" w:cstheme="minorHAnsi"/>
          <w:b/>
          <w:bCs/>
          <w:i/>
          <w:iCs/>
          <w:color w:val="000000"/>
        </w:rPr>
        <w:t>201</w:t>
      </w:r>
      <w:r w:rsidR="008D5705">
        <w:rPr>
          <w:rFonts w:asciiTheme="minorHAnsi" w:hAnsiTheme="minorHAnsi" w:cstheme="minorHAnsi"/>
          <w:b/>
          <w:bCs/>
          <w:i/>
          <w:iCs/>
          <w:color w:val="000000"/>
        </w:rPr>
        <w:t>7</w:t>
      </w:r>
      <w:r w:rsidRPr="000D602D">
        <w:rPr>
          <w:rFonts w:asciiTheme="minorHAnsi" w:hAnsiTheme="minorHAnsi" w:cstheme="minorHAnsi"/>
          <w:b/>
          <w:bCs/>
          <w:i/>
          <w:iCs/>
          <w:color w:val="000000"/>
        </w:rPr>
        <w:t xml:space="preserve"> (unaudited)</w:t>
      </w:r>
    </w:p>
    <w:p w:rsidR="00CB5813" w:rsidRDefault="00CB5813"/>
    <w:tbl>
      <w:tblPr>
        <w:tblW w:w="9064" w:type="dxa"/>
        <w:tblLayout w:type="fixed"/>
        <w:tblLook w:val="0000" w:firstRow="0" w:lastRow="0" w:firstColumn="0" w:lastColumn="0" w:noHBand="0" w:noVBand="0"/>
      </w:tblPr>
      <w:tblGrid>
        <w:gridCol w:w="257"/>
        <w:gridCol w:w="4563"/>
        <w:gridCol w:w="681"/>
        <w:gridCol w:w="1026"/>
        <w:gridCol w:w="1243"/>
        <w:gridCol w:w="1294"/>
      </w:tblGrid>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681" w:type="dxa"/>
            <w:tcBorders>
              <w:top w:val="nil"/>
              <w:bottom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bottom w:val="nil"/>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top w:val="single" w:sz="4" w:space="0" w:color="auto"/>
              <w:left w:val="single" w:sz="4" w:space="0" w:color="auto"/>
              <w:bottom w:val="nil"/>
              <w:right w:val="single" w:sz="4" w:space="0" w:color="auto"/>
            </w:tcBorders>
            <w:shd w:val="clear" w:color="auto" w:fill="FFFF00"/>
          </w:tcPr>
          <w:p w:rsidR="00121244" w:rsidRPr="001B62F8" w:rsidRDefault="00121244" w:rsidP="008D5705">
            <w:pPr>
              <w:autoSpaceDE w:val="0"/>
              <w:autoSpaceDN w:val="0"/>
              <w:adjustRightInd w:val="0"/>
              <w:jc w:val="right"/>
              <w:rPr>
                <w:rFonts w:asciiTheme="minorHAnsi" w:hAnsiTheme="minorHAnsi" w:cstheme="minorHAnsi"/>
                <w:b/>
                <w:bCs/>
                <w:color w:val="000000"/>
                <w:sz w:val="22"/>
                <w:szCs w:val="22"/>
              </w:rPr>
            </w:pPr>
          </w:p>
        </w:tc>
        <w:tc>
          <w:tcPr>
            <w:tcW w:w="1294" w:type="dxa"/>
            <w:tcBorders>
              <w:top w:val="single" w:sz="4" w:space="0" w:color="auto"/>
              <w:left w:val="nil"/>
              <w:bottom w:val="nil"/>
              <w:right w:val="single" w:sz="4" w:space="0" w:color="auto"/>
            </w:tcBorders>
          </w:tcPr>
          <w:p w:rsidR="00121244" w:rsidRPr="0067660B" w:rsidRDefault="00121244" w:rsidP="008D5705">
            <w:pPr>
              <w:autoSpaceDE w:val="0"/>
              <w:autoSpaceDN w:val="0"/>
              <w:adjustRightInd w:val="0"/>
              <w:ind w:left="-226" w:firstLine="140"/>
              <w:jc w:val="right"/>
              <w:rPr>
                <w:rFonts w:asciiTheme="minorHAnsi" w:hAnsiTheme="minorHAnsi" w:cstheme="minorHAnsi"/>
                <w:bCs/>
                <w:color w:val="000000"/>
                <w:sz w:val="22"/>
                <w:szCs w:val="22"/>
              </w:rPr>
            </w:pP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681" w:type="dxa"/>
            <w:tcBorders>
              <w:top w:val="nil"/>
              <w:bottom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bottom w:val="nil"/>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top w:val="nil"/>
              <w:left w:val="single" w:sz="4" w:space="0" w:color="auto"/>
              <w:bottom w:val="nil"/>
              <w:right w:val="single" w:sz="4" w:space="0" w:color="auto"/>
            </w:tcBorders>
            <w:shd w:val="clear" w:color="auto" w:fill="FFFF00"/>
          </w:tcPr>
          <w:p w:rsidR="00121244" w:rsidRDefault="00121244" w:rsidP="00314FC0">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Quarter</w:t>
            </w:r>
          </w:p>
          <w:p w:rsidR="00121244" w:rsidRPr="001B62F8" w:rsidRDefault="00121244" w:rsidP="008D5705">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Ended</w:t>
            </w:r>
          </w:p>
        </w:tc>
        <w:tc>
          <w:tcPr>
            <w:tcW w:w="1294" w:type="dxa"/>
            <w:tcBorders>
              <w:top w:val="nil"/>
              <w:left w:val="nil"/>
              <w:bottom w:val="nil"/>
              <w:right w:val="single" w:sz="4" w:space="0" w:color="auto"/>
            </w:tcBorders>
          </w:tcPr>
          <w:p w:rsidR="00121244" w:rsidRDefault="00121244" w:rsidP="00314FC0">
            <w:pPr>
              <w:autoSpaceDE w:val="0"/>
              <w:autoSpaceDN w:val="0"/>
              <w:adjustRightInd w:val="0"/>
              <w:ind w:left="-226" w:firstLine="14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Quarter</w:t>
            </w:r>
          </w:p>
          <w:p w:rsidR="00121244" w:rsidRPr="0067660B" w:rsidRDefault="00121244" w:rsidP="009303B8">
            <w:pPr>
              <w:autoSpaceDE w:val="0"/>
              <w:autoSpaceDN w:val="0"/>
              <w:adjustRightInd w:val="0"/>
              <w:ind w:left="-226" w:firstLine="14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Ended</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681" w:type="dxa"/>
            <w:tcBorders>
              <w:top w:val="nil"/>
              <w:bottom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bottom w:val="nil"/>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top w:val="nil"/>
              <w:left w:val="single" w:sz="4" w:space="0" w:color="auto"/>
              <w:bottom w:val="nil"/>
              <w:right w:val="single" w:sz="4" w:space="0" w:color="auto"/>
            </w:tcBorders>
            <w:shd w:val="clear" w:color="auto" w:fill="FFFF00"/>
          </w:tcPr>
          <w:p w:rsidR="00121244" w:rsidRDefault="00121244" w:rsidP="00314FC0">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Jun 30,</w:t>
            </w:r>
          </w:p>
        </w:tc>
        <w:tc>
          <w:tcPr>
            <w:tcW w:w="1294" w:type="dxa"/>
            <w:tcBorders>
              <w:top w:val="nil"/>
              <w:left w:val="nil"/>
              <w:bottom w:val="nil"/>
              <w:right w:val="single" w:sz="4" w:space="0" w:color="auto"/>
            </w:tcBorders>
          </w:tcPr>
          <w:p w:rsidR="00121244" w:rsidRDefault="00121244" w:rsidP="00314FC0">
            <w:pPr>
              <w:autoSpaceDE w:val="0"/>
              <w:autoSpaceDN w:val="0"/>
              <w:adjustRightInd w:val="0"/>
              <w:ind w:left="-226" w:firstLine="14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Jun 30,</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681" w:type="dxa"/>
            <w:tcBorders>
              <w:top w:val="nil"/>
              <w:bottom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bottom w:val="nil"/>
              <w:right w:val="single" w:sz="4" w:space="0" w:color="auto"/>
            </w:tcBorders>
            <w:shd w:val="clear" w:color="auto" w:fill="auto"/>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r w:rsidRPr="0067660B">
              <w:rPr>
                <w:rFonts w:asciiTheme="minorHAnsi" w:hAnsiTheme="minorHAnsi" w:cstheme="minorHAnsi"/>
                <w:bCs/>
                <w:color w:val="000000"/>
                <w:sz w:val="22"/>
                <w:szCs w:val="22"/>
              </w:rPr>
              <w:t>Change</w:t>
            </w:r>
          </w:p>
        </w:tc>
        <w:tc>
          <w:tcPr>
            <w:tcW w:w="1243" w:type="dxa"/>
            <w:tcBorders>
              <w:top w:val="nil"/>
              <w:left w:val="single" w:sz="4" w:space="0" w:color="auto"/>
              <w:bottom w:val="nil"/>
              <w:right w:val="single" w:sz="4" w:space="0" w:color="auto"/>
            </w:tcBorders>
            <w:shd w:val="clear" w:color="auto" w:fill="FFFF00"/>
          </w:tcPr>
          <w:p w:rsidR="00121244" w:rsidRPr="001B62F8" w:rsidRDefault="00121244" w:rsidP="00314FC0">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2017</w:t>
            </w:r>
          </w:p>
        </w:tc>
        <w:tc>
          <w:tcPr>
            <w:tcW w:w="1294" w:type="dxa"/>
            <w:tcBorders>
              <w:top w:val="nil"/>
              <w:left w:val="nil"/>
              <w:bottom w:val="nil"/>
              <w:right w:val="single" w:sz="4" w:space="0" w:color="auto"/>
            </w:tcBorders>
          </w:tcPr>
          <w:p w:rsidR="00121244" w:rsidRPr="0067660B" w:rsidRDefault="00121244" w:rsidP="00314FC0">
            <w:pPr>
              <w:autoSpaceDE w:val="0"/>
              <w:autoSpaceDN w:val="0"/>
              <w:adjustRightInd w:val="0"/>
              <w:ind w:left="-226" w:firstLine="14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2016</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681" w:type="dxa"/>
            <w:tcBorders>
              <w:top w:val="nil"/>
              <w:bottom w:val="nil"/>
            </w:tcBorders>
          </w:tcPr>
          <w:p w:rsidR="00121244" w:rsidRPr="000A6725" w:rsidRDefault="00121244" w:rsidP="00314FC0">
            <w:pPr>
              <w:autoSpaceDE w:val="0"/>
              <w:autoSpaceDN w:val="0"/>
              <w:adjustRightInd w:val="0"/>
              <w:jc w:val="right"/>
              <w:rPr>
                <w:rFonts w:asciiTheme="minorHAnsi" w:hAnsiTheme="minorHAnsi" w:cstheme="minorHAnsi"/>
                <w:b/>
                <w:bCs/>
                <w:color w:val="000000"/>
                <w:sz w:val="22"/>
                <w:szCs w:val="22"/>
                <w:u w:val="single"/>
              </w:rPr>
            </w:pPr>
            <w:r w:rsidRPr="000A6725">
              <w:rPr>
                <w:rFonts w:asciiTheme="minorHAnsi" w:hAnsiTheme="minorHAnsi" w:cstheme="minorHAnsi"/>
                <w:b/>
                <w:bCs/>
                <w:color w:val="000000"/>
                <w:sz w:val="22"/>
                <w:szCs w:val="22"/>
                <w:u w:val="single"/>
              </w:rPr>
              <w:t>Note</w:t>
            </w:r>
          </w:p>
        </w:tc>
        <w:tc>
          <w:tcPr>
            <w:tcW w:w="1026" w:type="dxa"/>
            <w:tcBorders>
              <w:top w:val="nil"/>
              <w:bottom w:val="nil"/>
              <w:right w:val="single" w:sz="4" w:space="0" w:color="auto"/>
            </w:tcBorders>
            <w:shd w:val="clear" w:color="auto" w:fill="auto"/>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u w:val="single"/>
              </w:rPr>
            </w:pPr>
            <w:r w:rsidRPr="0067660B">
              <w:rPr>
                <w:rFonts w:asciiTheme="minorHAnsi" w:hAnsiTheme="minorHAnsi" w:cstheme="minorHAnsi"/>
                <w:bCs/>
                <w:color w:val="000000"/>
                <w:sz w:val="22"/>
                <w:szCs w:val="22"/>
                <w:u w:val="single"/>
              </w:rPr>
              <w:t>%</w:t>
            </w:r>
          </w:p>
        </w:tc>
        <w:tc>
          <w:tcPr>
            <w:tcW w:w="1243" w:type="dxa"/>
            <w:tcBorders>
              <w:top w:val="nil"/>
              <w:left w:val="single" w:sz="4" w:space="0" w:color="auto"/>
              <w:bottom w:val="nil"/>
              <w:right w:val="single" w:sz="4" w:space="0" w:color="auto"/>
            </w:tcBorders>
            <w:shd w:val="clear" w:color="auto" w:fill="FFFF00"/>
          </w:tcPr>
          <w:p w:rsidR="00121244" w:rsidRPr="001B62F8" w:rsidRDefault="00121244" w:rsidP="00314FC0">
            <w:pPr>
              <w:autoSpaceDE w:val="0"/>
              <w:autoSpaceDN w:val="0"/>
              <w:adjustRightInd w:val="0"/>
              <w:jc w:val="right"/>
              <w:rPr>
                <w:rFonts w:asciiTheme="minorHAnsi" w:hAnsiTheme="minorHAnsi" w:cstheme="minorHAnsi"/>
                <w:b/>
                <w:bCs/>
                <w:color w:val="000000"/>
                <w:sz w:val="22"/>
                <w:szCs w:val="22"/>
                <w:u w:val="single"/>
              </w:rPr>
            </w:pPr>
            <w:r w:rsidRPr="001B62F8">
              <w:rPr>
                <w:rFonts w:asciiTheme="minorHAnsi" w:hAnsiTheme="minorHAnsi" w:cstheme="minorHAnsi"/>
                <w:b/>
                <w:bCs/>
                <w:color w:val="000000"/>
                <w:sz w:val="22"/>
                <w:szCs w:val="22"/>
                <w:u w:val="single"/>
              </w:rPr>
              <w:t>€</w:t>
            </w:r>
            <w:r>
              <w:rPr>
                <w:rFonts w:asciiTheme="minorHAnsi" w:hAnsiTheme="minorHAnsi" w:cstheme="minorHAnsi"/>
                <w:b/>
                <w:bCs/>
                <w:color w:val="000000"/>
                <w:sz w:val="22"/>
                <w:szCs w:val="22"/>
                <w:u w:val="single"/>
              </w:rPr>
              <w:t>M</w:t>
            </w:r>
          </w:p>
        </w:tc>
        <w:tc>
          <w:tcPr>
            <w:tcW w:w="1294" w:type="dxa"/>
            <w:tcBorders>
              <w:top w:val="nil"/>
              <w:left w:val="nil"/>
              <w:bottom w:val="nil"/>
              <w:right w:val="single" w:sz="4" w:space="0" w:color="auto"/>
            </w:tcBorders>
          </w:tcPr>
          <w:p w:rsidR="00121244" w:rsidRPr="0067660B" w:rsidRDefault="00121244" w:rsidP="00314FC0">
            <w:pPr>
              <w:autoSpaceDE w:val="0"/>
              <w:autoSpaceDN w:val="0"/>
              <w:adjustRightInd w:val="0"/>
              <w:ind w:left="-226"/>
              <w:jc w:val="right"/>
              <w:rPr>
                <w:rFonts w:asciiTheme="minorHAnsi" w:hAnsiTheme="minorHAnsi" w:cstheme="minorHAnsi"/>
                <w:bCs/>
                <w:color w:val="000000"/>
                <w:sz w:val="22"/>
                <w:szCs w:val="22"/>
                <w:u w:val="single"/>
              </w:rPr>
            </w:pPr>
            <w:r w:rsidRPr="0067660B">
              <w:rPr>
                <w:rFonts w:asciiTheme="minorHAnsi" w:hAnsiTheme="minorHAnsi" w:cstheme="minorHAnsi"/>
                <w:bCs/>
                <w:color w:val="000000"/>
                <w:sz w:val="22"/>
                <w:szCs w:val="22"/>
                <w:u w:val="single"/>
              </w:rPr>
              <w:t>€</w:t>
            </w:r>
            <w:r>
              <w:rPr>
                <w:rFonts w:asciiTheme="minorHAnsi" w:hAnsiTheme="minorHAnsi" w:cstheme="minorHAnsi"/>
                <w:bCs/>
                <w:color w:val="000000"/>
                <w:sz w:val="22"/>
                <w:szCs w:val="22"/>
                <w:u w:val="single"/>
              </w:rPr>
              <w:t>M</w:t>
            </w:r>
          </w:p>
        </w:tc>
      </w:tr>
      <w:tr w:rsidR="00121244" w:rsidRPr="0067660B" w:rsidTr="00121244">
        <w:trPr>
          <w:trHeight w:val="223"/>
        </w:trPr>
        <w:tc>
          <w:tcPr>
            <w:tcW w:w="4820" w:type="dxa"/>
            <w:gridSpan w:val="2"/>
            <w:tcBorders>
              <w:top w:val="nil"/>
              <w:left w:val="nil"/>
              <w:bottom w:val="nil"/>
            </w:tcBorders>
          </w:tcPr>
          <w:p w:rsidR="00121244" w:rsidRPr="00B86918" w:rsidRDefault="00121244" w:rsidP="00314FC0">
            <w:pPr>
              <w:autoSpaceDE w:val="0"/>
              <w:autoSpaceDN w:val="0"/>
              <w:adjustRightInd w:val="0"/>
              <w:rPr>
                <w:rFonts w:asciiTheme="minorHAnsi" w:hAnsiTheme="minorHAnsi" w:cstheme="minorHAnsi"/>
                <w:b/>
                <w:bCs/>
                <w:color w:val="000000"/>
                <w:sz w:val="22"/>
                <w:szCs w:val="22"/>
              </w:rPr>
            </w:pPr>
            <w:r w:rsidRPr="00B86918">
              <w:rPr>
                <w:rFonts w:asciiTheme="minorHAnsi" w:hAnsiTheme="minorHAnsi" w:cstheme="minorHAnsi"/>
                <w:b/>
                <w:bCs/>
                <w:color w:val="000000"/>
                <w:sz w:val="22"/>
                <w:szCs w:val="22"/>
              </w:rPr>
              <w:t>Operating revenues</w:t>
            </w:r>
          </w:p>
        </w:tc>
        <w:tc>
          <w:tcPr>
            <w:tcW w:w="681" w:type="dxa"/>
            <w:tcBorders>
              <w:top w:val="nil"/>
              <w:bottom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1026" w:type="dxa"/>
            <w:tcBorders>
              <w:top w:val="nil"/>
              <w:bottom w:val="nil"/>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1243" w:type="dxa"/>
            <w:tcBorders>
              <w:top w:val="nil"/>
              <w:left w:val="single" w:sz="4" w:space="0" w:color="auto"/>
              <w:bottom w:val="nil"/>
              <w:right w:val="single" w:sz="4" w:space="0" w:color="auto"/>
            </w:tcBorders>
            <w:shd w:val="clear" w:color="auto" w:fill="FFFF00"/>
          </w:tcPr>
          <w:p w:rsidR="00121244" w:rsidRPr="001B62F8" w:rsidRDefault="00121244" w:rsidP="00314FC0">
            <w:pPr>
              <w:autoSpaceDE w:val="0"/>
              <w:autoSpaceDN w:val="0"/>
              <w:adjustRightInd w:val="0"/>
              <w:jc w:val="right"/>
              <w:rPr>
                <w:rFonts w:asciiTheme="minorHAnsi" w:hAnsiTheme="minorHAnsi" w:cstheme="minorHAnsi"/>
                <w:b/>
                <w:color w:val="000000"/>
                <w:sz w:val="22"/>
                <w:szCs w:val="22"/>
              </w:rPr>
            </w:pPr>
          </w:p>
        </w:tc>
        <w:tc>
          <w:tcPr>
            <w:tcW w:w="1294" w:type="dxa"/>
            <w:tcBorders>
              <w:top w:val="nil"/>
              <w:left w:val="nil"/>
              <w:bottom w:val="nil"/>
              <w:right w:val="single" w:sz="4" w:space="0" w:color="auto"/>
            </w:tcBorders>
          </w:tcPr>
          <w:p w:rsidR="00121244" w:rsidRPr="0067660B" w:rsidRDefault="00121244" w:rsidP="00314FC0">
            <w:pPr>
              <w:autoSpaceDE w:val="0"/>
              <w:autoSpaceDN w:val="0"/>
              <w:adjustRightInd w:val="0"/>
              <w:ind w:left="-226"/>
              <w:jc w:val="right"/>
              <w:rPr>
                <w:rFonts w:asciiTheme="minorHAnsi" w:hAnsiTheme="minorHAnsi" w:cstheme="minorHAnsi"/>
                <w:color w:val="000000"/>
                <w:sz w:val="22"/>
                <w:szCs w:val="22"/>
              </w:rPr>
            </w:pP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ind w:right="-818"/>
              <w:rPr>
                <w:rFonts w:asciiTheme="minorHAnsi" w:hAnsiTheme="minorHAnsi" w:cstheme="minorHAnsi"/>
                <w:color w:val="000000"/>
                <w:sz w:val="22"/>
                <w:szCs w:val="22"/>
              </w:rPr>
            </w:pPr>
            <w:r w:rsidRPr="0067660B">
              <w:rPr>
                <w:rFonts w:asciiTheme="minorHAnsi" w:hAnsiTheme="minorHAnsi" w:cstheme="minorHAnsi"/>
                <w:color w:val="000000"/>
                <w:sz w:val="22"/>
                <w:szCs w:val="22"/>
              </w:rPr>
              <w:t xml:space="preserve">Scheduled revenues </w:t>
            </w: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right w:val="single" w:sz="4" w:space="0" w:color="auto"/>
            </w:tcBorders>
          </w:tcPr>
          <w:p w:rsidR="00121244" w:rsidRPr="0067660B" w:rsidRDefault="00AE04C8" w:rsidP="00314FC0">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+13%</w:t>
            </w:r>
          </w:p>
        </w:tc>
        <w:tc>
          <w:tcPr>
            <w:tcW w:w="1243" w:type="dxa"/>
            <w:tcBorders>
              <w:top w:val="nil"/>
              <w:left w:val="single" w:sz="4" w:space="0" w:color="auto"/>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1,409.3</w:t>
            </w:r>
          </w:p>
        </w:tc>
        <w:tc>
          <w:tcPr>
            <w:tcW w:w="1294" w:type="dxa"/>
            <w:tcBorders>
              <w:top w:val="nil"/>
              <w:left w:val="nil"/>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1,244.0</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ind w:right="-818"/>
              <w:rPr>
                <w:rFonts w:asciiTheme="minorHAnsi" w:hAnsiTheme="minorHAnsi" w:cstheme="minorHAnsi"/>
                <w:color w:val="000000"/>
                <w:sz w:val="22"/>
                <w:szCs w:val="22"/>
              </w:rPr>
            </w:pPr>
            <w:r w:rsidRPr="0067660B">
              <w:rPr>
                <w:rFonts w:asciiTheme="minorHAnsi" w:hAnsiTheme="minorHAnsi" w:cstheme="minorHAnsi"/>
                <w:color w:val="000000"/>
                <w:sz w:val="22"/>
                <w:szCs w:val="22"/>
              </w:rPr>
              <w:t>Ancillary revenues</w:t>
            </w: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bottom w:val="single" w:sz="4" w:space="0" w:color="auto"/>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+13%</w:t>
            </w:r>
          </w:p>
        </w:tc>
        <w:tc>
          <w:tcPr>
            <w:tcW w:w="1243" w:type="dxa"/>
            <w:tcBorders>
              <w:top w:val="nil"/>
              <w:left w:val="single" w:sz="4" w:space="0" w:color="auto"/>
              <w:bottom w:val="single" w:sz="4" w:space="0" w:color="auto"/>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501.0</w:t>
            </w:r>
          </w:p>
        </w:tc>
        <w:tc>
          <w:tcPr>
            <w:tcW w:w="1294" w:type="dxa"/>
            <w:tcBorders>
              <w:top w:val="nil"/>
              <w:left w:val="nil"/>
              <w:bottom w:val="single" w:sz="4" w:space="0" w:color="auto"/>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443</w:t>
            </w:r>
            <w:r w:rsidRPr="0067660B">
              <w:rPr>
                <w:rFonts w:asciiTheme="minorHAnsi" w:hAnsiTheme="minorHAnsi" w:cstheme="minorHAnsi"/>
                <w:bCs/>
                <w:color w:val="000000"/>
                <w:sz w:val="22"/>
                <w:szCs w:val="22"/>
              </w:rPr>
              <w:t>.</w:t>
            </w:r>
            <w:r>
              <w:rPr>
                <w:rFonts w:asciiTheme="minorHAnsi" w:hAnsiTheme="minorHAnsi" w:cstheme="minorHAnsi"/>
                <w:bCs/>
                <w:color w:val="000000"/>
                <w:sz w:val="22"/>
                <w:szCs w:val="22"/>
              </w:rPr>
              <w:t>4</w:t>
            </w:r>
          </w:p>
        </w:tc>
      </w:tr>
      <w:tr w:rsidR="00121244" w:rsidRPr="0067660B" w:rsidTr="00121244">
        <w:trPr>
          <w:trHeight w:val="223"/>
        </w:trPr>
        <w:tc>
          <w:tcPr>
            <w:tcW w:w="4820" w:type="dxa"/>
            <w:gridSpan w:val="2"/>
            <w:tcBorders>
              <w:top w:val="nil"/>
              <w:left w:val="nil"/>
              <w:bottom w:val="nil"/>
            </w:tcBorders>
          </w:tcPr>
          <w:p w:rsidR="00121244" w:rsidRPr="00B86918" w:rsidRDefault="00121244" w:rsidP="00314FC0">
            <w:pPr>
              <w:autoSpaceDE w:val="0"/>
              <w:autoSpaceDN w:val="0"/>
              <w:adjustRightInd w:val="0"/>
              <w:ind w:right="-818"/>
              <w:rPr>
                <w:rFonts w:asciiTheme="minorHAnsi" w:hAnsiTheme="minorHAnsi" w:cstheme="minorHAnsi"/>
                <w:b/>
                <w:color w:val="000000"/>
                <w:sz w:val="22"/>
                <w:szCs w:val="22"/>
              </w:rPr>
            </w:pPr>
            <w:r w:rsidRPr="00B86918">
              <w:rPr>
                <w:rFonts w:asciiTheme="minorHAnsi" w:hAnsiTheme="minorHAnsi" w:cstheme="minorHAnsi"/>
                <w:b/>
                <w:bCs/>
                <w:color w:val="000000"/>
                <w:sz w:val="22"/>
                <w:szCs w:val="22"/>
              </w:rPr>
              <w:t>Total operating revenues - continuing operations</w:t>
            </w: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single" w:sz="4" w:space="0" w:color="auto"/>
              <w:bottom w:val="single" w:sz="4" w:space="0" w:color="auto"/>
              <w:right w:val="single" w:sz="4" w:space="0" w:color="auto"/>
            </w:tcBorders>
          </w:tcPr>
          <w:p w:rsidR="00121244" w:rsidRPr="0067660B" w:rsidRDefault="00AE04C8" w:rsidP="002E211B">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+13%</w:t>
            </w:r>
          </w:p>
        </w:tc>
        <w:tc>
          <w:tcPr>
            <w:tcW w:w="1243" w:type="dxa"/>
            <w:tcBorders>
              <w:top w:val="single" w:sz="4" w:space="0" w:color="auto"/>
              <w:left w:val="single" w:sz="4" w:space="0" w:color="auto"/>
              <w:bottom w:val="single" w:sz="4" w:space="0" w:color="auto"/>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1,910.3</w:t>
            </w:r>
          </w:p>
        </w:tc>
        <w:tc>
          <w:tcPr>
            <w:tcW w:w="1294" w:type="dxa"/>
            <w:tcBorders>
              <w:top w:val="single" w:sz="4" w:space="0" w:color="auto"/>
              <w:left w:val="nil"/>
              <w:bottom w:val="single" w:sz="4" w:space="0" w:color="auto"/>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1,687.4</w:t>
            </w:r>
          </w:p>
        </w:tc>
      </w:tr>
      <w:tr w:rsidR="00121244" w:rsidRPr="0067660B" w:rsidTr="00121244">
        <w:trPr>
          <w:trHeight w:val="223"/>
        </w:trPr>
        <w:tc>
          <w:tcPr>
            <w:tcW w:w="4820" w:type="dxa"/>
            <w:gridSpan w:val="2"/>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bCs/>
                <w:color w:val="000000"/>
                <w:sz w:val="22"/>
                <w:szCs w:val="22"/>
              </w:rPr>
            </w:pPr>
          </w:p>
        </w:tc>
        <w:tc>
          <w:tcPr>
            <w:tcW w:w="681" w:type="dxa"/>
            <w:tcBorders>
              <w:bottom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bottom w:val="nil"/>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left w:val="single" w:sz="4" w:space="0" w:color="auto"/>
              <w:bottom w:val="nil"/>
              <w:right w:val="single" w:sz="4" w:space="0" w:color="auto"/>
            </w:tcBorders>
            <w:shd w:val="clear" w:color="auto" w:fill="FFFF00"/>
          </w:tcPr>
          <w:p w:rsidR="00121244" w:rsidRPr="001B62F8" w:rsidRDefault="00121244" w:rsidP="00314FC0">
            <w:pPr>
              <w:autoSpaceDE w:val="0"/>
              <w:autoSpaceDN w:val="0"/>
              <w:adjustRightInd w:val="0"/>
              <w:jc w:val="right"/>
              <w:rPr>
                <w:rFonts w:asciiTheme="minorHAnsi" w:hAnsiTheme="minorHAnsi" w:cstheme="minorHAnsi"/>
                <w:b/>
                <w:bCs/>
                <w:color w:val="000000"/>
                <w:sz w:val="22"/>
                <w:szCs w:val="22"/>
              </w:rPr>
            </w:pPr>
          </w:p>
        </w:tc>
        <w:tc>
          <w:tcPr>
            <w:tcW w:w="1294" w:type="dxa"/>
            <w:tcBorders>
              <w:top w:val="single" w:sz="4" w:space="0" w:color="auto"/>
              <w:left w:val="nil"/>
              <w:bottom w:val="nil"/>
              <w:right w:val="single" w:sz="4" w:space="0" w:color="auto"/>
            </w:tcBorders>
          </w:tcPr>
          <w:p w:rsidR="00121244" w:rsidRPr="0067660B" w:rsidRDefault="00121244" w:rsidP="00314FC0">
            <w:pPr>
              <w:autoSpaceDE w:val="0"/>
              <w:autoSpaceDN w:val="0"/>
              <w:adjustRightInd w:val="0"/>
              <w:ind w:left="-226"/>
              <w:jc w:val="right"/>
              <w:rPr>
                <w:rFonts w:asciiTheme="minorHAnsi" w:hAnsiTheme="minorHAnsi" w:cstheme="minorHAnsi"/>
                <w:bCs/>
                <w:color w:val="000000"/>
                <w:sz w:val="22"/>
                <w:szCs w:val="22"/>
              </w:rPr>
            </w:pPr>
          </w:p>
        </w:tc>
      </w:tr>
      <w:tr w:rsidR="00121244" w:rsidRPr="0067660B" w:rsidTr="00121244">
        <w:trPr>
          <w:trHeight w:val="223"/>
        </w:trPr>
        <w:tc>
          <w:tcPr>
            <w:tcW w:w="4820" w:type="dxa"/>
            <w:gridSpan w:val="2"/>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B86918">
              <w:rPr>
                <w:rFonts w:asciiTheme="minorHAnsi" w:hAnsiTheme="minorHAnsi" w:cstheme="minorHAnsi"/>
                <w:b/>
                <w:color w:val="000000"/>
                <w:sz w:val="22"/>
                <w:szCs w:val="22"/>
              </w:rPr>
              <w:t>Operating expenses</w:t>
            </w:r>
          </w:p>
        </w:tc>
        <w:tc>
          <w:tcPr>
            <w:tcW w:w="681" w:type="dxa"/>
            <w:tcBorders>
              <w:top w:val="nil"/>
              <w:bottom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bottom w:val="nil"/>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top w:val="nil"/>
              <w:left w:val="single" w:sz="4" w:space="0" w:color="auto"/>
              <w:bottom w:val="nil"/>
              <w:right w:val="single" w:sz="4" w:space="0" w:color="auto"/>
            </w:tcBorders>
            <w:shd w:val="clear" w:color="auto" w:fill="FFFF00"/>
          </w:tcPr>
          <w:p w:rsidR="00121244" w:rsidRPr="001B62F8" w:rsidRDefault="00121244" w:rsidP="00314FC0">
            <w:pPr>
              <w:autoSpaceDE w:val="0"/>
              <w:autoSpaceDN w:val="0"/>
              <w:adjustRightInd w:val="0"/>
              <w:jc w:val="right"/>
              <w:rPr>
                <w:rFonts w:asciiTheme="minorHAnsi" w:hAnsiTheme="minorHAnsi" w:cstheme="minorHAnsi"/>
                <w:b/>
                <w:bCs/>
                <w:color w:val="000000"/>
                <w:sz w:val="22"/>
                <w:szCs w:val="22"/>
              </w:rPr>
            </w:pPr>
          </w:p>
        </w:tc>
        <w:tc>
          <w:tcPr>
            <w:tcW w:w="1294" w:type="dxa"/>
            <w:tcBorders>
              <w:top w:val="nil"/>
              <w:left w:val="nil"/>
              <w:bottom w:val="nil"/>
              <w:right w:val="single" w:sz="4" w:space="0" w:color="auto"/>
            </w:tcBorders>
          </w:tcPr>
          <w:p w:rsidR="00121244" w:rsidRPr="0067660B" w:rsidRDefault="00121244" w:rsidP="00314FC0">
            <w:pPr>
              <w:autoSpaceDE w:val="0"/>
              <w:autoSpaceDN w:val="0"/>
              <w:adjustRightInd w:val="0"/>
              <w:ind w:left="-226"/>
              <w:jc w:val="right"/>
              <w:rPr>
                <w:rFonts w:asciiTheme="minorHAnsi" w:hAnsiTheme="minorHAnsi" w:cstheme="minorHAnsi"/>
                <w:bCs/>
                <w:color w:val="000000"/>
                <w:sz w:val="22"/>
                <w:szCs w:val="22"/>
              </w:rPr>
            </w:pP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Fuel and oil</w:t>
            </w:r>
          </w:p>
        </w:tc>
        <w:tc>
          <w:tcPr>
            <w:tcW w:w="681" w:type="dxa"/>
            <w:tcBorders>
              <w:top w:val="nil"/>
              <w:bottom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bottom w:val="nil"/>
              <w:right w:val="single" w:sz="4" w:space="0" w:color="auto"/>
            </w:tcBorders>
          </w:tcPr>
          <w:p w:rsidR="00121244" w:rsidRPr="0067660B" w:rsidRDefault="00AE04C8" w:rsidP="00314FC0">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w:t>
            </w:r>
          </w:p>
        </w:tc>
        <w:tc>
          <w:tcPr>
            <w:tcW w:w="1243" w:type="dxa"/>
            <w:tcBorders>
              <w:top w:val="nil"/>
              <w:left w:val="single" w:sz="4" w:space="0" w:color="auto"/>
              <w:bottom w:val="nil"/>
              <w:right w:val="single" w:sz="4" w:space="0" w:color="auto"/>
            </w:tcBorders>
            <w:shd w:val="clear" w:color="auto" w:fill="FFFF00"/>
          </w:tcPr>
          <w:p w:rsidR="00121244" w:rsidRPr="001B62F8" w:rsidRDefault="00AE04C8" w:rsidP="00A1581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513.0</w:t>
            </w:r>
          </w:p>
        </w:tc>
        <w:tc>
          <w:tcPr>
            <w:tcW w:w="1294" w:type="dxa"/>
            <w:tcBorders>
              <w:top w:val="nil"/>
              <w:left w:val="nil"/>
              <w:bottom w:val="nil"/>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518.4</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Airport and handling charges</w:t>
            </w: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+11%</w:t>
            </w:r>
          </w:p>
        </w:tc>
        <w:tc>
          <w:tcPr>
            <w:tcW w:w="1243" w:type="dxa"/>
            <w:tcBorders>
              <w:top w:val="nil"/>
              <w:left w:val="single" w:sz="4" w:space="0" w:color="auto"/>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267.0</w:t>
            </w:r>
          </w:p>
        </w:tc>
        <w:tc>
          <w:tcPr>
            <w:tcW w:w="1294" w:type="dxa"/>
            <w:tcBorders>
              <w:top w:val="nil"/>
              <w:left w:val="nil"/>
              <w:right w:val="single" w:sz="4" w:space="0" w:color="auto"/>
            </w:tcBorders>
          </w:tcPr>
          <w:p w:rsidR="00121244" w:rsidRPr="0067660B" w:rsidRDefault="00121244" w:rsidP="002A03FF">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241.4</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Route charges</w:t>
            </w:r>
          </w:p>
        </w:tc>
        <w:tc>
          <w:tcPr>
            <w:tcW w:w="681" w:type="dxa"/>
            <w:tcBorders>
              <w:top w:val="nil"/>
              <w:bottom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bottom w:val="nil"/>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+7%</w:t>
            </w:r>
          </w:p>
        </w:tc>
        <w:tc>
          <w:tcPr>
            <w:tcW w:w="1243" w:type="dxa"/>
            <w:tcBorders>
              <w:top w:val="nil"/>
              <w:left w:val="single" w:sz="4" w:space="0" w:color="auto"/>
              <w:bottom w:val="nil"/>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191.0</w:t>
            </w:r>
          </w:p>
        </w:tc>
        <w:tc>
          <w:tcPr>
            <w:tcW w:w="1294" w:type="dxa"/>
            <w:tcBorders>
              <w:top w:val="nil"/>
              <w:left w:val="nil"/>
              <w:bottom w:val="nil"/>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177.9</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Staff costs</w:t>
            </w:r>
          </w:p>
        </w:tc>
        <w:tc>
          <w:tcPr>
            <w:tcW w:w="681" w:type="dxa"/>
            <w:tcBorders>
              <w:top w:val="nil"/>
              <w:bottom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bottom w:val="nil"/>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+10%</w:t>
            </w:r>
          </w:p>
        </w:tc>
        <w:tc>
          <w:tcPr>
            <w:tcW w:w="1243" w:type="dxa"/>
            <w:tcBorders>
              <w:top w:val="nil"/>
              <w:left w:val="single" w:sz="4" w:space="0" w:color="auto"/>
              <w:bottom w:val="nil"/>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182.4</w:t>
            </w:r>
          </w:p>
        </w:tc>
        <w:tc>
          <w:tcPr>
            <w:tcW w:w="1294" w:type="dxa"/>
            <w:tcBorders>
              <w:top w:val="nil"/>
              <w:left w:val="nil"/>
              <w:bottom w:val="nil"/>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165.8</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Depreciation</w:t>
            </w:r>
          </w:p>
        </w:tc>
        <w:tc>
          <w:tcPr>
            <w:tcW w:w="681" w:type="dxa"/>
            <w:tcBorders>
              <w:top w:val="nil"/>
              <w:bottom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+11%</w:t>
            </w:r>
          </w:p>
        </w:tc>
        <w:tc>
          <w:tcPr>
            <w:tcW w:w="1243" w:type="dxa"/>
            <w:tcBorders>
              <w:top w:val="nil"/>
              <w:left w:val="single" w:sz="4" w:space="0" w:color="auto"/>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139.0</w:t>
            </w:r>
          </w:p>
        </w:tc>
        <w:tc>
          <w:tcPr>
            <w:tcW w:w="1294" w:type="dxa"/>
            <w:tcBorders>
              <w:top w:val="nil"/>
              <w:left w:val="nil"/>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125.6</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Marketing, distribution and other</w:t>
            </w: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right w:val="single" w:sz="4" w:space="0" w:color="auto"/>
            </w:tcBorders>
          </w:tcPr>
          <w:p w:rsidR="00121244" w:rsidRPr="0067660B" w:rsidRDefault="00AE04C8" w:rsidP="002E211B">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+15%</w:t>
            </w:r>
          </w:p>
        </w:tc>
        <w:tc>
          <w:tcPr>
            <w:tcW w:w="1243" w:type="dxa"/>
            <w:tcBorders>
              <w:top w:val="nil"/>
              <w:left w:val="single" w:sz="4" w:space="0" w:color="auto"/>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100.6</w:t>
            </w:r>
          </w:p>
        </w:tc>
        <w:tc>
          <w:tcPr>
            <w:tcW w:w="1294" w:type="dxa"/>
            <w:tcBorders>
              <w:top w:val="nil"/>
              <w:left w:val="nil"/>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87.6</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Maintenance, materials and repairs</w:t>
            </w:r>
          </w:p>
        </w:tc>
        <w:tc>
          <w:tcPr>
            <w:tcW w:w="681" w:type="dxa"/>
            <w:tcBorders>
              <w:top w:val="nil"/>
              <w:bottom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bottom w:val="nil"/>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-13%</w:t>
            </w:r>
          </w:p>
        </w:tc>
        <w:tc>
          <w:tcPr>
            <w:tcW w:w="1243" w:type="dxa"/>
            <w:tcBorders>
              <w:left w:val="single" w:sz="4" w:space="0" w:color="auto"/>
              <w:bottom w:val="nil"/>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35.9</w:t>
            </w:r>
          </w:p>
        </w:tc>
        <w:tc>
          <w:tcPr>
            <w:tcW w:w="1294" w:type="dxa"/>
            <w:tcBorders>
              <w:left w:val="nil"/>
              <w:bottom w:val="nil"/>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41</w:t>
            </w:r>
            <w:r w:rsidRPr="0067660B">
              <w:rPr>
                <w:rFonts w:asciiTheme="minorHAnsi" w:hAnsiTheme="minorHAnsi" w:cstheme="minorHAnsi"/>
                <w:bCs/>
                <w:color w:val="000000"/>
                <w:sz w:val="22"/>
                <w:szCs w:val="22"/>
              </w:rPr>
              <w:t>.</w:t>
            </w:r>
            <w:r>
              <w:rPr>
                <w:rFonts w:asciiTheme="minorHAnsi" w:hAnsiTheme="minorHAnsi" w:cstheme="minorHAnsi"/>
                <w:bCs/>
                <w:color w:val="000000"/>
                <w:sz w:val="22"/>
                <w:szCs w:val="22"/>
              </w:rPr>
              <w:t>3</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Aircraft rentals</w:t>
            </w:r>
          </w:p>
        </w:tc>
        <w:tc>
          <w:tcPr>
            <w:tcW w:w="681" w:type="dxa"/>
            <w:tcBorders>
              <w:top w:val="nil"/>
              <w:bottom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bottom w:val="nil"/>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-6%</w:t>
            </w:r>
          </w:p>
        </w:tc>
        <w:tc>
          <w:tcPr>
            <w:tcW w:w="1243" w:type="dxa"/>
            <w:tcBorders>
              <w:top w:val="nil"/>
              <w:left w:val="single" w:sz="4" w:space="0" w:color="auto"/>
              <w:bottom w:val="nil"/>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21.2</w:t>
            </w:r>
          </w:p>
        </w:tc>
        <w:tc>
          <w:tcPr>
            <w:tcW w:w="1294" w:type="dxa"/>
            <w:tcBorders>
              <w:top w:val="nil"/>
              <w:left w:val="nil"/>
              <w:bottom w:val="nil"/>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22.6</w:t>
            </w:r>
          </w:p>
        </w:tc>
      </w:tr>
      <w:tr w:rsidR="00121244" w:rsidRPr="0067660B" w:rsidTr="00121244">
        <w:trPr>
          <w:trHeight w:val="223"/>
        </w:trPr>
        <w:tc>
          <w:tcPr>
            <w:tcW w:w="4820" w:type="dxa"/>
            <w:gridSpan w:val="2"/>
            <w:tcBorders>
              <w:top w:val="nil"/>
              <w:left w:val="nil"/>
              <w:bottom w:val="nil"/>
            </w:tcBorders>
          </w:tcPr>
          <w:p w:rsidR="00121244" w:rsidRPr="00B86918" w:rsidRDefault="00121244" w:rsidP="00314FC0">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bCs/>
                <w:color w:val="000000"/>
                <w:sz w:val="22"/>
                <w:szCs w:val="22"/>
              </w:rPr>
              <w:t>Total operating expenses</w:t>
            </w: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single" w:sz="4" w:space="0" w:color="auto"/>
              <w:right w:val="single" w:sz="4" w:space="0" w:color="auto"/>
            </w:tcBorders>
          </w:tcPr>
          <w:p w:rsidR="00121244" w:rsidRPr="0067660B" w:rsidRDefault="00AE04C8" w:rsidP="00314FC0">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+5%</w:t>
            </w:r>
          </w:p>
        </w:tc>
        <w:tc>
          <w:tcPr>
            <w:tcW w:w="1243" w:type="dxa"/>
            <w:tcBorders>
              <w:top w:val="single" w:sz="4" w:space="0" w:color="auto"/>
              <w:left w:val="single" w:sz="4" w:space="0" w:color="auto"/>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1,450.1</w:t>
            </w:r>
          </w:p>
        </w:tc>
        <w:tc>
          <w:tcPr>
            <w:tcW w:w="1294" w:type="dxa"/>
            <w:tcBorders>
              <w:top w:val="single" w:sz="4" w:space="0" w:color="auto"/>
              <w:left w:val="nil"/>
              <w:bottom w:val="single" w:sz="4" w:space="0" w:color="auto"/>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w:t>
            </w:r>
            <w:r w:rsidRPr="0067660B">
              <w:rPr>
                <w:rFonts w:asciiTheme="minorHAnsi" w:hAnsiTheme="minorHAnsi" w:cstheme="minorHAnsi"/>
                <w:bCs/>
                <w:color w:val="000000"/>
                <w:sz w:val="22"/>
                <w:szCs w:val="22"/>
              </w:rPr>
              <w:t>,</w:t>
            </w:r>
            <w:r>
              <w:rPr>
                <w:rFonts w:asciiTheme="minorHAnsi" w:hAnsiTheme="minorHAnsi" w:cstheme="minorHAnsi"/>
                <w:bCs/>
                <w:color w:val="000000"/>
                <w:sz w:val="22"/>
                <w:szCs w:val="22"/>
              </w:rPr>
              <w:t>380</w:t>
            </w:r>
            <w:r w:rsidRPr="0067660B">
              <w:rPr>
                <w:rFonts w:asciiTheme="minorHAnsi" w:hAnsiTheme="minorHAnsi" w:cstheme="minorHAnsi"/>
                <w:bCs/>
                <w:color w:val="000000"/>
                <w:sz w:val="22"/>
                <w:szCs w:val="22"/>
              </w:rPr>
              <w:t>.</w:t>
            </w:r>
            <w:r>
              <w:rPr>
                <w:rFonts w:asciiTheme="minorHAnsi" w:hAnsiTheme="minorHAnsi" w:cstheme="minorHAnsi"/>
                <w:bCs/>
                <w:color w:val="000000"/>
                <w:sz w:val="22"/>
                <w:szCs w:val="22"/>
              </w:rPr>
              <w:t>6</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single" w:sz="4" w:space="0" w:color="auto"/>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top w:val="single" w:sz="4" w:space="0" w:color="auto"/>
              <w:left w:val="single" w:sz="4" w:space="0" w:color="auto"/>
              <w:right w:val="single" w:sz="4" w:space="0" w:color="auto"/>
            </w:tcBorders>
            <w:shd w:val="clear" w:color="auto" w:fill="FFFF00"/>
          </w:tcPr>
          <w:p w:rsidR="00121244" w:rsidRPr="001B62F8" w:rsidRDefault="00121244" w:rsidP="00314FC0">
            <w:pPr>
              <w:autoSpaceDE w:val="0"/>
              <w:autoSpaceDN w:val="0"/>
              <w:adjustRightInd w:val="0"/>
              <w:jc w:val="right"/>
              <w:rPr>
                <w:rFonts w:asciiTheme="minorHAnsi" w:hAnsiTheme="minorHAnsi" w:cstheme="minorHAnsi"/>
                <w:b/>
                <w:bCs/>
                <w:color w:val="000000"/>
                <w:sz w:val="22"/>
                <w:szCs w:val="22"/>
              </w:rPr>
            </w:pPr>
          </w:p>
        </w:tc>
        <w:tc>
          <w:tcPr>
            <w:tcW w:w="1294" w:type="dxa"/>
            <w:tcBorders>
              <w:top w:val="single" w:sz="4" w:space="0" w:color="auto"/>
              <w:left w:val="nil"/>
              <w:right w:val="single" w:sz="4" w:space="0" w:color="auto"/>
            </w:tcBorders>
          </w:tcPr>
          <w:p w:rsidR="00121244" w:rsidRPr="0067660B" w:rsidRDefault="00121244" w:rsidP="00314FC0">
            <w:pPr>
              <w:autoSpaceDE w:val="0"/>
              <w:autoSpaceDN w:val="0"/>
              <w:adjustRightInd w:val="0"/>
              <w:ind w:left="-226"/>
              <w:jc w:val="right"/>
              <w:rPr>
                <w:rFonts w:asciiTheme="minorHAnsi" w:hAnsiTheme="minorHAnsi" w:cstheme="minorHAnsi"/>
                <w:bCs/>
                <w:color w:val="000000"/>
                <w:sz w:val="22"/>
                <w:szCs w:val="22"/>
              </w:rPr>
            </w:pPr>
          </w:p>
        </w:tc>
      </w:tr>
      <w:tr w:rsidR="00121244" w:rsidRPr="0067660B" w:rsidTr="00121244">
        <w:trPr>
          <w:trHeight w:val="223"/>
        </w:trPr>
        <w:tc>
          <w:tcPr>
            <w:tcW w:w="4820" w:type="dxa"/>
            <w:gridSpan w:val="2"/>
            <w:tcBorders>
              <w:top w:val="nil"/>
              <w:left w:val="nil"/>
              <w:bottom w:val="nil"/>
            </w:tcBorders>
          </w:tcPr>
          <w:p w:rsidR="00121244" w:rsidRPr="00B86918" w:rsidRDefault="00121244" w:rsidP="00314FC0">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bCs/>
                <w:color w:val="000000"/>
                <w:sz w:val="22"/>
                <w:szCs w:val="22"/>
              </w:rPr>
              <w:t>Operating profit - continuing operations</w:t>
            </w: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+50%</w:t>
            </w:r>
          </w:p>
        </w:tc>
        <w:tc>
          <w:tcPr>
            <w:tcW w:w="1243" w:type="dxa"/>
            <w:tcBorders>
              <w:top w:val="nil"/>
              <w:left w:val="single" w:sz="4" w:space="0" w:color="auto"/>
              <w:right w:val="single" w:sz="4" w:space="0" w:color="auto"/>
            </w:tcBorders>
            <w:shd w:val="clear" w:color="auto" w:fill="FFFF00"/>
          </w:tcPr>
          <w:p w:rsidR="00121244" w:rsidRPr="001B62F8" w:rsidRDefault="00AE04C8" w:rsidP="00722C1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460.2</w:t>
            </w:r>
          </w:p>
        </w:tc>
        <w:tc>
          <w:tcPr>
            <w:tcW w:w="1294" w:type="dxa"/>
            <w:tcBorders>
              <w:top w:val="nil"/>
              <w:left w:val="nil"/>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306.8</w:t>
            </w:r>
          </w:p>
        </w:tc>
      </w:tr>
      <w:tr w:rsidR="00121244" w:rsidRPr="0067660B" w:rsidTr="00121244">
        <w:trPr>
          <w:trHeight w:val="223"/>
        </w:trPr>
        <w:tc>
          <w:tcPr>
            <w:tcW w:w="4820" w:type="dxa"/>
            <w:gridSpan w:val="2"/>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bCs/>
                <w:color w:val="000000"/>
                <w:sz w:val="22"/>
                <w:szCs w:val="22"/>
              </w:rPr>
            </w:pP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top w:val="nil"/>
              <w:left w:val="single" w:sz="4" w:space="0" w:color="auto"/>
              <w:right w:val="single" w:sz="4" w:space="0" w:color="auto"/>
            </w:tcBorders>
            <w:shd w:val="clear" w:color="auto" w:fill="FFFF00"/>
          </w:tcPr>
          <w:p w:rsidR="00121244" w:rsidRPr="001B62F8" w:rsidRDefault="00121244" w:rsidP="00314FC0">
            <w:pPr>
              <w:autoSpaceDE w:val="0"/>
              <w:autoSpaceDN w:val="0"/>
              <w:adjustRightInd w:val="0"/>
              <w:jc w:val="right"/>
              <w:rPr>
                <w:rFonts w:asciiTheme="minorHAnsi" w:hAnsiTheme="minorHAnsi" w:cstheme="minorHAnsi"/>
                <w:b/>
                <w:bCs/>
                <w:color w:val="000000"/>
                <w:sz w:val="22"/>
                <w:szCs w:val="22"/>
              </w:rPr>
            </w:pPr>
          </w:p>
        </w:tc>
        <w:tc>
          <w:tcPr>
            <w:tcW w:w="1294" w:type="dxa"/>
            <w:tcBorders>
              <w:top w:val="nil"/>
              <w:left w:val="nil"/>
              <w:right w:val="single" w:sz="4" w:space="0" w:color="auto"/>
            </w:tcBorders>
          </w:tcPr>
          <w:p w:rsidR="00121244" w:rsidRPr="0067660B" w:rsidRDefault="00121244" w:rsidP="00314FC0">
            <w:pPr>
              <w:autoSpaceDE w:val="0"/>
              <w:autoSpaceDN w:val="0"/>
              <w:adjustRightInd w:val="0"/>
              <w:ind w:left="-226"/>
              <w:jc w:val="right"/>
              <w:rPr>
                <w:rFonts w:asciiTheme="minorHAnsi" w:hAnsiTheme="minorHAnsi" w:cstheme="minorHAnsi"/>
                <w:bCs/>
                <w:color w:val="000000"/>
                <w:sz w:val="22"/>
                <w:szCs w:val="22"/>
              </w:rPr>
            </w:pPr>
          </w:p>
        </w:tc>
      </w:tr>
      <w:tr w:rsidR="00121244" w:rsidRPr="0067660B" w:rsidTr="00121244">
        <w:trPr>
          <w:trHeight w:val="223"/>
        </w:trPr>
        <w:tc>
          <w:tcPr>
            <w:tcW w:w="4820" w:type="dxa"/>
            <w:gridSpan w:val="2"/>
            <w:tcBorders>
              <w:top w:val="nil"/>
              <w:left w:val="nil"/>
              <w:bottom w:val="nil"/>
            </w:tcBorders>
          </w:tcPr>
          <w:p w:rsidR="00121244" w:rsidRPr="00B86918" w:rsidRDefault="00121244" w:rsidP="00733BAC">
            <w:pPr>
              <w:autoSpaceDE w:val="0"/>
              <w:autoSpaceDN w:val="0"/>
              <w:adjustRightInd w:val="0"/>
              <w:rPr>
                <w:rFonts w:asciiTheme="minorHAnsi" w:hAnsiTheme="minorHAnsi" w:cstheme="minorHAnsi"/>
                <w:b/>
                <w:bCs/>
                <w:color w:val="000000"/>
                <w:sz w:val="22"/>
                <w:szCs w:val="22"/>
              </w:rPr>
            </w:pPr>
            <w:r w:rsidRPr="00B86918">
              <w:rPr>
                <w:rFonts w:asciiTheme="minorHAnsi" w:hAnsiTheme="minorHAnsi" w:cstheme="minorHAnsi"/>
                <w:b/>
                <w:bCs/>
                <w:color w:val="000000"/>
                <w:sz w:val="22"/>
                <w:szCs w:val="22"/>
              </w:rPr>
              <w:t>Other (expense)</w:t>
            </w:r>
            <w:r>
              <w:rPr>
                <w:rFonts w:asciiTheme="minorHAnsi" w:hAnsiTheme="minorHAnsi" w:cstheme="minorHAnsi"/>
                <w:b/>
                <w:bCs/>
                <w:color w:val="000000"/>
                <w:sz w:val="22"/>
                <w:szCs w:val="22"/>
              </w:rPr>
              <w:t>/income</w:t>
            </w: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top w:val="nil"/>
              <w:left w:val="single" w:sz="4" w:space="0" w:color="auto"/>
              <w:right w:val="single" w:sz="4" w:space="0" w:color="auto"/>
            </w:tcBorders>
            <w:shd w:val="clear" w:color="auto" w:fill="FFFF00"/>
          </w:tcPr>
          <w:p w:rsidR="00121244" w:rsidRPr="001B62F8" w:rsidRDefault="00121244" w:rsidP="00314FC0">
            <w:pPr>
              <w:autoSpaceDE w:val="0"/>
              <w:autoSpaceDN w:val="0"/>
              <w:adjustRightInd w:val="0"/>
              <w:jc w:val="right"/>
              <w:rPr>
                <w:rFonts w:asciiTheme="minorHAnsi" w:hAnsiTheme="minorHAnsi" w:cstheme="minorHAnsi"/>
                <w:b/>
                <w:bCs/>
                <w:color w:val="000000"/>
                <w:sz w:val="22"/>
                <w:szCs w:val="22"/>
              </w:rPr>
            </w:pPr>
          </w:p>
        </w:tc>
        <w:tc>
          <w:tcPr>
            <w:tcW w:w="1294" w:type="dxa"/>
            <w:tcBorders>
              <w:top w:val="nil"/>
              <w:left w:val="nil"/>
              <w:right w:val="single" w:sz="4" w:space="0" w:color="auto"/>
            </w:tcBorders>
          </w:tcPr>
          <w:p w:rsidR="00121244" w:rsidRPr="0067660B" w:rsidRDefault="00121244" w:rsidP="00314FC0">
            <w:pPr>
              <w:autoSpaceDE w:val="0"/>
              <w:autoSpaceDN w:val="0"/>
              <w:adjustRightInd w:val="0"/>
              <w:ind w:left="-226"/>
              <w:jc w:val="right"/>
              <w:rPr>
                <w:rFonts w:asciiTheme="minorHAnsi" w:hAnsiTheme="minorHAnsi" w:cstheme="minorHAnsi"/>
                <w:bCs/>
                <w:color w:val="000000"/>
                <w:sz w:val="22"/>
                <w:szCs w:val="22"/>
              </w:rPr>
            </w:pP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Finance expense</w:t>
            </w: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-15%</w:t>
            </w:r>
          </w:p>
        </w:tc>
        <w:tc>
          <w:tcPr>
            <w:tcW w:w="1243" w:type="dxa"/>
            <w:tcBorders>
              <w:top w:val="nil"/>
              <w:left w:val="single" w:sz="4" w:space="0" w:color="auto"/>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(17.8)</w:t>
            </w:r>
          </w:p>
        </w:tc>
        <w:tc>
          <w:tcPr>
            <w:tcW w:w="1294" w:type="dxa"/>
            <w:tcBorders>
              <w:top w:val="nil"/>
              <w:left w:val="nil"/>
              <w:right w:val="single" w:sz="4" w:space="0" w:color="auto"/>
            </w:tcBorders>
          </w:tcPr>
          <w:p w:rsidR="00121244" w:rsidRPr="0067660B" w:rsidRDefault="00121244" w:rsidP="00722C14">
            <w:pPr>
              <w:autoSpaceDE w:val="0"/>
              <w:autoSpaceDN w:val="0"/>
              <w:adjustRightInd w:val="0"/>
              <w:jc w:val="right"/>
              <w:rPr>
                <w:rFonts w:asciiTheme="minorHAnsi" w:hAnsiTheme="minorHAnsi" w:cstheme="minorHAnsi"/>
                <w:bCs/>
                <w:color w:val="000000"/>
                <w:sz w:val="22"/>
                <w:szCs w:val="22"/>
              </w:rPr>
            </w:pPr>
            <w:r w:rsidRPr="0067660B">
              <w:rPr>
                <w:rFonts w:asciiTheme="minorHAnsi" w:hAnsiTheme="minorHAnsi" w:cstheme="minorHAnsi"/>
                <w:bCs/>
                <w:color w:val="000000"/>
                <w:sz w:val="22"/>
                <w:szCs w:val="22"/>
              </w:rPr>
              <w:t>(</w:t>
            </w:r>
            <w:r>
              <w:rPr>
                <w:rFonts w:asciiTheme="minorHAnsi" w:hAnsiTheme="minorHAnsi" w:cstheme="minorHAnsi"/>
                <w:bCs/>
                <w:color w:val="000000"/>
                <w:sz w:val="22"/>
                <w:szCs w:val="22"/>
              </w:rPr>
              <w:t>21</w:t>
            </w:r>
            <w:r w:rsidRPr="0067660B">
              <w:rPr>
                <w:rFonts w:asciiTheme="minorHAnsi" w:hAnsiTheme="minorHAnsi" w:cstheme="minorHAnsi"/>
                <w:bCs/>
                <w:color w:val="000000"/>
                <w:sz w:val="22"/>
                <w:szCs w:val="22"/>
              </w:rPr>
              <w:t>.</w:t>
            </w:r>
            <w:r>
              <w:rPr>
                <w:rFonts w:asciiTheme="minorHAnsi" w:hAnsiTheme="minorHAnsi" w:cstheme="minorHAnsi"/>
                <w:bCs/>
                <w:color w:val="000000"/>
                <w:sz w:val="22"/>
                <w:szCs w:val="22"/>
              </w:rPr>
              <w:t>0</w:t>
            </w:r>
            <w:r w:rsidRPr="0067660B">
              <w:rPr>
                <w:rFonts w:asciiTheme="minorHAnsi" w:hAnsiTheme="minorHAnsi" w:cstheme="minorHAnsi"/>
                <w:bCs/>
                <w:color w:val="000000"/>
                <w:sz w:val="22"/>
                <w:szCs w:val="22"/>
              </w:rPr>
              <w:t>)</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Finance income</w:t>
            </w:r>
          </w:p>
        </w:tc>
        <w:tc>
          <w:tcPr>
            <w:tcW w:w="681" w:type="dxa"/>
            <w:tcBorders>
              <w:bottom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bottom w:val="nil"/>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-56%</w:t>
            </w:r>
          </w:p>
        </w:tc>
        <w:tc>
          <w:tcPr>
            <w:tcW w:w="1243" w:type="dxa"/>
            <w:tcBorders>
              <w:left w:val="single" w:sz="4" w:space="0" w:color="auto"/>
              <w:bottom w:val="nil"/>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0.6</w:t>
            </w:r>
          </w:p>
        </w:tc>
        <w:tc>
          <w:tcPr>
            <w:tcW w:w="1294" w:type="dxa"/>
            <w:tcBorders>
              <w:left w:val="nil"/>
              <w:bottom w:val="nil"/>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w:t>
            </w:r>
            <w:r w:rsidRPr="0067660B">
              <w:rPr>
                <w:rFonts w:asciiTheme="minorHAnsi" w:hAnsiTheme="minorHAnsi" w:cstheme="minorHAnsi"/>
                <w:bCs/>
                <w:color w:val="000000"/>
                <w:sz w:val="22"/>
                <w:szCs w:val="22"/>
              </w:rPr>
              <w:t>.</w:t>
            </w:r>
            <w:r>
              <w:rPr>
                <w:rFonts w:asciiTheme="minorHAnsi" w:hAnsiTheme="minorHAnsi" w:cstheme="minorHAnsi"/>
                <w:bCs/>
                <w:color w:val="000000"/>
                <w:sz w:val="22"/>
                <w:szCs w:val="22"/>
              </w:rPr>
              <w:t>3</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Foreign exchange</w:t>
            </w:r>
            <w:r w:rsidR="00EE553C">
              <w:rPr>
                <w:rFonts w:asciiTheme="minorHAnsi" w:hAnsiTheme="minorHAnsi" w:cstheme="minorHAnsi"/>
                <w:color w:val="000000"/>
                <w:sz w:val="22"/>
                <w:szCs w:val="22"/>
              </w:rPr>
              <w:t xml:space="preserve"> gain/</w:t>
            </w:r>
            <w:r>
              <w:rPr>
                <w:rFonts w:asciiTheme="minorHAnsi" w:hAnsiTheme="minorHAnsi" w:cstheme="minorHAnsi"/>
                <w:color w:val="000000"/>
                <w:sz w:val="22"/>
                <w:szCs w:val="22"/>
              </w:rPr>
              <w:t>(loss)</w:t>
            </w: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nil"/>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-232%</w:t>
            </w:r>
          </w:p>
        </w:tc>
        <w:tc>
          <w:tcPr>
            <w:tcW w:w="1243" w:type="dxa"/>
            <w:tcBorders>
              <w:top w:val="nil"/>
              <w:left w:val="single" w:sz="4" w:space="0" w:color="auto"/>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0.7</w:t>
            </w:r>
          </w:p>
        </w:tc>
        <w:tc>
          <w:tcPr>
            <w:tcW w:w="1294" w:type="dxa"/>
            <w:tcBorders>
              <w:top w:val="nil"/>
              <w:left w:val="nil"/>
              <w:bottom w:val="single" w:sz="4" w:space="0" w:color="auto"/>
              <w:right w:val="single" w:sz="4" w:space="0" w:color="auto"/>
            </w:tcBorders>
          </w:tcPr>
          <w:p w:rsidR="00121244" w:rsidRPr="0067660B" w:rsidRDefault="00121244" w:rsidP="002A03FF">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(0.6)</w:t>
            </w:r>
          </w:p>
        </w:tc>
      </w:tr>
      <w:tr w:rsidR="00121244" w:rsidRPr="0067660B" w:rsidTr="00121244">
        <w:trPr>
          <w:trHeight w:val="223"/>
        </w:trPr>
        <w:tc>
          <w:tcPr>
            <w:tcW w:w="4820" w:type="dxa"/>
            <w:gridSpan w:val="2"/>
            <w:tcBorders>
              <w:top w:val="nil"/>
              <w:left w:val="nil"/>
              <w:bottom w:val="nil"/>
            </w:tcBorders>
          </w:tcPr>
          <w:p w:rsidR="00121244" w:rsidRPr="00B86918" w:rsidRDefault="00121244" w:rsidP="00733BAC">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color w:val="000000"/>
                <w:sz w:val="22"/>
                <w:szCs w:val="22"/>
              </w:rPr>
              <w:t>Total other (expense)</w:t>
            </w:r>
            <w:r>
              <w:rPr>
                <w:rFonts w:asciiTheme="minorHAnsi" w:hAnsiTheme="minorHAnsi" w:cstheme="minorHAnsi"/>
                <w:b/>
                <w:color w:val="000000"/>
                <w:sz w:val="22"/>
                <w:szCs w:val="22"/>
              </w:rPr>
              <w:t>/income</w:t>
            </w: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single" w:sz="4" w:space="0" w:color="auto"/>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-19%</w:t>
            </w:r>
          </w:p>
        </w:tc>
        <w:tc>
          <w:tcPr>
            <w:tcW w:w="1243" w:type="dxa"/>
            <w:tcBorders>
              <w:top w:val="single" w:sz="4" w:space="0" w:color="auto"/>
              <w:left w:val="single" w:sz="4" w:space="0" w:color="auto"/>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(16.5)</w:t>
            </w:r>
          </w:p>
        </w:tc>
        <w:tc>
          <w:tcPr>
            <w:tcW w:w="1294" w:type="dxa"/>
            <w:tcBorders>
              <w:top w:val="single" w:sz="4" w:space="0" w:color="auto"/>
              <w:left w:val="nil"/>
              <w:bottom w:val="single" w:sz="4" w:space="0" w:color="auto"/>
              <w:right w:val="single" w:sz="4" w:space="0" w:color="auto"/>
            </w:tcBorders>
          </w:tcPr>
          <w:p w:rsidR="00121244" w:rsidRPr="0067660B" w:rsidRDefault="00121244" w:rsidP="002A03FF">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(20.3)</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top w:val="single" w:sz="4" w:space="0" w:color="auto"/>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top w:val="single" w:sz="4" w:space="0" w:color="auto"/>
              <w:left w:val="single" w:sz="4" w:space="0" w:color="auto"/>
              <w:right w:val="single" w:sz="4" w:space="0" w:color="auto"/>
            </w:tcBorders>
            <w:shd w:val="clear" w:color="auto" w:fill="FFFF00"/>
          </w:tcPr>
          <w:p w:rsidR="00121244" w:rsidRPr="001B62F8" w:rsidRDefault="00121244" w:rsidP="00314FC0">
            <w:pPr>
              <w:autoSpaceDE w:val="0"/>
              <w:autoSpaceDN w:val="0"/>
              <w:adjustRightInd w:val="0"/>
              <w:jc w:val="right"/>
              <w:rPr>
                <w:rFonts w:asciiTheme="minorHAnsi" w:hAnsiTheme="minorHAnsi" w:cstheme="minorHAnsi"/>
                <w:b/>
                <w:bCs/>
                <w:color w:val="000000"/>
                <w:sz w:val="22"/>
                <w:szCs w:val="22"/>
              </w:rPr>
            </w:pPr>
          </w:p>
        </w:tc>
        <w:tc>
          <w:tcPr>
            <w:tcW w:w="1294" w:type="dxa"/>
            <w:tcBorders>
              <w:top w:val="single" w:sz="4" w:space="0" w:color="auto"/>
              <w:left w:val="nil"/>
              <w:right w:val="single" w:sz="4" w:space="0" w:color="auto"/>
            </w:tcBorders>
          </w:tcPr>
          <w:p w:rsidR="00121244" w:rsidRPr="0067660B" w:rsidRDefault="00121244" w:rsidP="00314FC0">
            <w:pPr>
              <w:autoSpaceDE w:val="0"/>
              <w:autoSpaceDN w:val="0"/>
              <w:adjustRightInd w:val="0"/>
              <w:ind w:left="-226"/>
              <w:jc w:val="right"/>
              <w:rPr>
                <w:rFonts w:asciiTheme="minorHAnsi" w:hAnsiTheme="minorHAnsi" w:cstheme="minorHAnsi"/>
                <w:bCs/>
                <w:color w:val="000000"/>
                <w:sz w:val="22"/>
                <w:szCs w:val="22"/>
              </w:rPr>
            </w:pPr>
          </w:p>
        </w:tc>
      </w:tr>
      <w:tr w:rsidR="00121244" w:rsidRPr="0067660B" w:rsidTr="00121244">
        <w:trPr>
          <w:trHeight w:val="223"/>
        </w:trPr>
        <w:tc>
          <w:tcPr>
            <w:tcW w:w="4820" w:type="dxa"/>
            <w:gridSpan w:val="2"/>
            <w:tcBorders>
              <w:top w:val="nil"/>
              <w:left w:val="nil"/>
              <w:bottom w:val="nil"/>
            </w:tcBorders>
          </w:tcPr>
          <w:p w:rsidR="00121244" w:rsidRPr="00B86918" w:rsidRDefault="00121244" w:rsidP="00314FC0">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color w:val="000000"/>
                <w:sz w:val="22"/>
                <w:szCs w:val="22"/>
              </w:rPr>
              <w:t>Profit before tax</w:t>
            </w: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+55%</w:t>
            </w:r>
          </w:p>
        </w:tc>
        <w:tc>
          <w:tcPr>
            <w:tcW w:w="1243" w:type="dxa"/>
            <w:tcBorders>
              <w:left w:val="single" w:sz="4" w:space="0" w:color="auto"/>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443.7</w:t>
            </w:r>
          </w:p>
        </w:tc>
        <w:tc>
          <w:tcPr>
            <w:tcW w:w="1294" w:type="dxa"/>
            <w:tcBorders>
              <w:left w:val="nil"/>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286</w:t>
            </w:r>
            <w:r w:rsidRPr="0067660B">
              <w:rPr>
                <w:rFonts w:asciiTheme="minorHAnsi" w:hAnsiTheme="minorHAnsi" w:cstheme="minorHAnsi"/>
                <w:bCs/>
                <w:color w:val="000000"/>
                <w:sz w:val="22"/>
                <w:szCs w:val="22"/>
              </w:rPr>
              <w:t>.</w:t>
            </w:r>
            <w:r>
              <w:rPr>
                <w:rFonts w:asciiTheme="minorHAnsi" w:hAnsiTheme="minorHAnsi" w:cstheme="minorHAnsi"/>
                <w:bCs/>
                <w:color w:val="000000"/>
                <w:sz w:val="22"/>
                <w:szCs w:val="22"/>
              </w:rPr>
              <w:t>5</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p>
        </w:tc>
        <w:tc>
          <w:tcPr>
            <w:tcW w:w="681" w:type="dxa"/>
            <w:tcBorders>
              <w:top w:val="nil"/>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026" w:type="dxa"/>
            <w:tcBorders>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left w:val="single" w:sz="4" w:space="0" w:color="auto"/>
              <w:right w:val="single" w:sz="4" w:space="0" w:color="auto"/>
            </w:tcBorders>
            <w:shd w:val="clear" w:color="auto" w:fill="FFFF00"/>
          </w:tcPr>
          <w:p w:rsidR="00121244" w:rsidRPr="001B62F8" w:rsidRDefault="00121244" w:rsidP="00314FC0">
            <w:pPr>
              <w:autoSpaceDE w:val="0"/>
              <w:autoSpaceDN w:val="0"/>
              <w:adjustRightInd w:val="0"/>
              <w:jc w:val="right"/>
              <w:rPr>
                <w:rFonts w:asciiTheme="minorHAnsi" w:hAnsiTheme="minorHAnsi" w:cstheme="minorHAnsi"/>
                <w:b/>
                <w:bCs/>
                <w:color w:val="000000"/>
                <w:sz w:val="22"/>
                <w:szCs w:val="22"/>
              </w:rPr>
            </w:pPr>
          </w:p>
        </w:tc>
        <w:tc>
          <w:tcPr>
            <w:tcW w:w="1294" w:type="dxa"/>
            <w:tcBorders>
              <w:left w:val="nil"/>
              <w:right w:val="single" w:sz="4" w:space="0" w:color="auto"/>
            </w:tcBorders>
          </w:tcPr>
          <w:p w:rsidR="00121244" w:rsidRPr="0067660B" w:rsidRDefault="00121244" w:rsidP="00314FC0">
            <w:pPr>
              <w:autoSpaceDE w:val="0"/>
              <w:autoSpaceDN w:val="0"/>
              <w:adjustRightInd w:val="0"/>
              <w:ind w:left="-226"/>
              <w:jc w:val="right"/>
              <w:rPr>
                <w:rFonts w:asciiTheme="minorHAnsi" w:hAnsiTheme="minorHAnsi" w:cstheme="minorHAnsi"/>
                <w:bCs/>
                <w:color w:val="000000"/>
                <w:sz w:val="22"/>
                <w:szCs w:val="22"/>
              </w:rPr>
            </w:pP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Tax expense on profit</w:t>
            </w:r>
          </w:p>
        </w:tc>
        <w:tc>
          <w:tcPr>
            <w:tcW w:w="681" w:type="dxa"/>
            <w:tcBorders>
              <w:top w:val="nil"/>
            </w:tcBorders>
          </w:tcPr>
          <w:p w:rsidR="00121244" w:rsidRPr="000A6725" w:rsidRDefault="00EE553C" w:rsidP="00314FC0">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w:t>
            </w:r>
          </w:p>
        </w:tc>
        <w:tc>
          <w:tcPr>
            <w:tcW w:w="1026" w:type="dxa"/>
            <w:tcBorders>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+51%</w:t>
            </w:r>
          </w:p>
        </w:tc>
        <w:tc>
          <w:tcPr>
            <w:tcW w:w="1243" w:type="dxa"/>
            <w:tcBorders>
              <w:left w:val="single" w:sz="4" w:space="0" w:color="auto"/>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(46.6)</w:t>
            </w:r>
          </w:p>
        </w:tc>
        <w:tc>
          <w:tcPr>
            <w:tcW w:w="1294" w:type="dxa"/>
            <w:tcBorders>
              <w:left w:val="nil"/>
              <w:bottom w:val="single" w:sz="4" w:space="0" w:color="auto"/>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sidRPr="0067660B">
              <w:rPr>
                <w:rFonts w:asciiTheme="minorHAnsi" w:hAnsiTheme="minorHAnsi" w:cstheme="minorHAnsi"/>
                <w:bCs/>
                <w:color w:val="000000"/>
                <w:sz w:val="22"/>
                <w:szCs w:val="22"/>
              </w:rPr>
              <w:t>(</w:t>
            </w:r>
            <w:r>
              <w:rPr>
                <w:rFonts w:asciiTheme="minorHAnsi" w:hAnsiTheme="minorHAnsi" w:cstheme="minorHAnsi"/>
                <w:bCs/>
                <w:color w:val="000000"/>
                <w:sz w:val="22"/>
                <w:szCs w:val="22"/>
              </w:rPr>
              <w:t>31</w:t>
            </w:r>
            <w:r w:rsidRPr="0067660B">
              <w:rPr>
                <w:rFonts w:asciiTheme="minorHAnsi" w:hAnsiTheme="minorHAnsi" w:cstheme="minorHAnsi"/>
                <w:bCs/>
                <w:color w:val="000000"/>
                <w:sz w:val="22"/>
                <w:szCs w:val="22"/>
              </w:rPr>
              <w:t>.</w:t>
            </w:r>
            <w:r>
              <w:rPr>
                <w:rFonts w:asciiTheme="minorHAnsi" w:hAnsiTheme="minorHAnsi" w:cstheme="minorHAnsi"/>
                <w:bCs/>
                <w:color w:val="000000"/>
                <w:sz w:val="22"/>
                <w:szCs w:val="22"/>
              </w:rPr>
              <w:t>0</w:t>
            </w:r>
            <w:r w:rsidRPr="0067660B">
              <w:rPr>
                <w:rFonts w:asciiTheme="minorHAnsi" w:hAnsiTheme="minorHAnsi" w:cstheme="minorHAnsi"/>
                <w:bCs/>
                <w:color w:val="000000"/>
                <w:sz w:val="22"/>
                <w:szCs w:val="22"/>
              </w:rPr>
              <w:t>)</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p>
        </w:tc>
        <w:tc>
          <w:tcPr>
            <w:tcW w:w="681" w:type="dxa"/>
            <w:tcBorders>
              <w:top w:val="nil"/>
            </w:tcBorders>
          </w:tcPr>
          <w:p w:rsidR="00121244" w:rsidRPr="000A6725" w:rsidRDefault="00121244" w:rsidP="00314FC0">
            <w:pPr>
              <w:autoSpaceDE w:val="0"/>
              <w:autoSpaceDN w:val="0"/>
              <w:adjustRightInd w:val="0"/>
              <w:jc w:val="right"/>
              <w:rPr>
                <w:rFonts w:asciiTheme="minorHAnsi" w:hAnsiTheme="minorHAnsi" w:cstheme="minorHAnsi"/>
                <w:b/>
                <w:bCs/>
                <w:color w:val="000000"/>
                <w:sz w:val="22"/>
                <w:szCs w:val="22"/>
              </w:rPr>
            </w:pPr>
          </w:p>
        </w:tc>
        <w:tc>
          <w:tcPr>
            <w:tcW w:w="1026" w:type="dxa"/>
            <w:tcBorders>
              <w:top w:val="single" w:sz="4" w:space="0" w:color="auto"/>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top w:val="single" w:sz="4" w:space="0" w:color="auto"/>
              <w:left w:val="single" w:sz="4" w:space="0" w:color="auto"/>
              <w:right w:val="single" w:sz="4" w:space="0" w:color="auto"/>
            </w:tcBorders>
            <w:shd w:val="clear" w:color="auto" w:fill="FFFF00"/>
          </w:tcPr>
          <w:p w:rsidR="00121244" w:rsidRPr="001B62F8" w:rsidRDefault="00121244" w:rsidP="00314FC0">
            <w:pPr>
              <w:autoSpaceDE w:val="0"/>
              <w:autoSpaceDN w:val="0"/>
              <w:adjustRightInd w:val="0"/>
              <w:jc w:val="right"/>
              <w:rPr>
                <w:rFonts w:asciiTheme="minorHAnsi" w:hAnsiTheme="minorHAnsi" w:cstheme="minorHAnsi"/>
                <w:b/>
                <w:bCs/>
                <w:color w:val="000000"/>
                <w:sz w:val="22"/>
                <w:szCs w:val="22"/>
              </w:rPr>
            </w:pPr>
          </w:p>
        </w:tc>
        <w:tc>
          <w:tcPr>
            <w:tcW w:w="1294" w:type="dxa"/>
            <w:tcBorders>
              <w:top w:val="single" w:sz="4" w:space="0" w:color="auto"/>
              <w:left w:val="nil"/>
              <w:right w:val="single" w:sz="4" w:space="0" w:color="auto"/>
            </w:tcBorders>
          </w:tcPr>
          <w:p w:rsidR="00121244" w:rsidRPr="0067660B" w:rsidRDefault="00121244" w:rsidP="00314FC0">
            <w:pPr>
              <w:autoSpaceDE w:val="0"/>
              <w:autoSpaceDN w:val="0"/>
              <w:adjustRightInd w:val="0"/>
              <w:ind w:left="-226"/>
              <w:jc w:val="right"/>
              <w:rPr>
                <w:rFonts w:asciiTheme="minorHAnsi" w:hAnsiTheme="minorHAnsi" w:cstheme="minorHAnsi"/>
                <w:bCs/>
                <w:color w:val="000000"/>
                <w:sz w:val="22"/>
                <w:szCs w:val="22"/>
              </w:rPr>
            </w:pPr>
          </w:p>
        </w:tc>
      </w:tr>
      <w:tr w:rsidR="00121244" w:rsidRPr="0067660B" w:rsidTr="00121244">
        <w:trPr>
          <w:trHeight w:val="223"/>
        </w:trPr>
        <w:tc>
          <w:tcPr>
            <w:tcW w:w="4820" w:type="dxa"/>
            <w:gridSpan w:val="2"/>
            <w:tcBorders>
              <w:top w:val="nil"/>
              <w:left w:val="nil"/>
              <w:bottom w:val="nil"/>
            </w:tcBorders>
          </w:tcPr>
          <w:p w:rsidR="00121244" w:rsidRPr="00B86918" w:rsidRDefault="00121244" w:rsidP="009303B8">
            <w:pPr>
              <w:autoSpaceDE w:val="0"/>
              <w:autoSpaceDN w:val="0"/>
              <w:adjustRightInd w:val="0"/>
              <w:rPr>
                <w:rFonts w:asciiTheme="minorHAnsi" w:hAnsiTheme="minorHAnsi" w:cstheme="minorHAnsi"/>
                <w:b/>
                <w:color w:val="000000"/>
                <w:sz w:val="22"/>
                <w:szCs w:val="22"/>
              </w:rPr>
            </w:pPr>
            <w:r w:rsidRPr="00B86918">
              <w:rPr>
                <w:rFonts w:asciiTheme="minorHAnsi" w:hAnsiTheme="minorHAnsi" w:cstheme="minorHAnsi"/>
                <w:b/>
                <w:bCs/>
                <w:color w:val="000000"/>
                <w:sz w:val="22"/>
                <w:szCs w:val="22"/>
              </w:rPr>
              <w:t xml:space="preserve">Profit for the </w:t>
            </w:r>
            <w:r>
              <w:rPr>
                <w:rFonts w:asciiTheme="minorHAnsi" w:hAnsiTheme="minorHAnsi" w:cstheme="minorHAnsi"/>
                <w:b/>
                <w:bCs/>
                <w:color w:val="000000"/>
                <w:sz w:val="22"/>
                <w:szCs w:val="22"/>
              </w:rPr>
              <w:t>quarter</w:t>
            </w:r>
            <w:r w:rsidRPr="00B86918">
              <w:rPr>
                <w:rFonts w:asciiTheme="minorHAnsi" w:hAnsiTheme="minorHAnsi" w:cstheme="minorHAnsi"/>
                <w:b/>
                <w:bCs/>
                <w:color w:val="000000"/>
                <w:sz w:val="22"/>
                <w:szCs w:val="22"/>
              </w:rPr>
              <w:t xml:space="preserve"> – all attributable to equity holders of parent</w:t>
            </w:r>
          </w:p>
        </w:tc>
        <w:tc>
          <w:tcPr>
            <w:tcW w:w="681" w:type="dxa"/>
            <w:tcBorders>
              <w:top w:val="nil"/>
            </w:tcBorders>
          </w:tcPr>
          <w:p w:rsidR="00121244" w:rsidRPr="000A6725" w:rsidRDefault="00121244" w:rsidP="00314FC0">
            <w:pPr>
              <w:autoSpaceDE w:val="0"/>
              <w:autoSpaceDN w:val="0"/>
              <w:adjustRightInd w:val="0"/>
              <w:jc w:val="right"/>
              <w:rPr>
                <w:rFonts w:asciiTheme="minorHAnsi" w:hAnsiTheme="minorHAnsi" w:cstheme="minorHAnsi"/>
                <w:b/>
                <w:bCs/>
                <w:color w:val="000000"/>
                <w:sz w:val="22"/>
                <w:szCs w:val="22"/>
              </w:rPr>
            </w:pPr>
          </w:p>
        </w:tc>
        <w:tc>
          <w:tcPr>
            <w:tcW w:w="1026" w:type="dxa"/>
            <w:tcBorders>
              <w:right w:val="single" w:sz="4" w:space="0" w:color="auto"/>
            </w:tcBorders>
          </w:tcPr>
          <w:p w:rsidR="00121244" w:rsidRPr="0067660B" w:rsidRDefault="00AE04C8"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+55%</w:t>
            </w:r>
          </w:p>
        </w:tc>
        <w:tc>
          <w:tcPr>
            <w:tcW w:w="1243" w:type="dxa"/>
            <w:tcBorders>
              <w:left w:val="single" w:sz="4" w:space="0" w:color="auto"/>
              <w:right w:val="single" w:sz="4" w:space="0" w:color="auto"/>
            </w:tcBorders>
            <w:shd w:val="clear" w:color="auto" w:fill="FFFF00"/>
          </w:tcPr>
          <w:p w:rsidR="00121244" w:rsidRPr="001B62F8" w:rsidRDefault="00AE04C8" w:rsidP="009303B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397.1</w:t>
            </w:r>
          </w:p>
        </w:tc>
        <w:tc>
          <w:tcPr>
            <w:tcW w:w="1294" w:type="dxa"/>
            <w:tcBorders>
              <w:left w:val="nil"/>
              <w:bottom w:val="double" w:sz="6" w:space="0" w:color="auto"/>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255</w:t>
            </w:r>
            <w:r w:rsidRPr="0067660B">
              <w:rPr>
                <w:rFonts w:asciiTheme="minorHAnsi" w:hAnsiTheme="minorHAnsi" w:cstheme="minorHAnsi"/>
                <w:bCs/>
                <w:color w:val="000000"/>
                <w:sz w:val="22"/>
                <w:szCs w:val="22"/>
              </w:rPr>
              <w:t>.</w:t>
            </w:r>
            <w:r>
              <w:rPr>
                <w:rFonts w:asciiTheme="minorHAnsi" w:hAnsiTheme="minorHAnsi" w:cstheme="minorHAnsi"/>
                <w:bCs/>
                <w:color w:val="000000"/>
                <w:sz w:val="22"/>
                <w:szCs w:val="22"/>
              </w:rPr>
              <w:t>5</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p>
        </w:tc>
        <w:tc>
          <w:tcPr>
            <w:tcW w:w="681" w:type="dxa"/>
            <w:tcBorders>
              <w:top w:val="nil"/>
            </w:tcBorders>
          </w:tcPr>
          <w:p w:rsidR="00121244" w:rsidRPr="000A6725" w:rsidRDefault="00121244" w:rsidP="00314FC0">
            <w:pPr>
              <w:autoSpaceDE w:val="0"/>
              <w:autoSpaceDN w:val="0"/>
              <w:adjustRightInd w:val="0"/>
              <w:jc w:val="right"/>
              <w:rPr>
                <w:rFonts w:asciiTheme="minorHAnsi" w:hAnsiTheme="minorHAnsi" w:cstheme="minorHAnsi"/>
                <w:b/>
                <w:bCs/>
                <w:color w:val="000000"/>
                <w:sz w:val="22"/>
                <w:szCs w:val="22"/>
              </w:rPr>
            </w:pPr>
          </w:p>
        </w:tc>
        <w:tc>
          <w:tcPr>
            <w:tcW w:w="1026" w:type="dxa"/>
            <w:tcBorders>
              <w:top w:val="double" w:sz="6" w:space="0" w:color="auto"/>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top w:val="double" w:sz="6" w:space="0" w:color="auto"/>
              <w:left w:val="single" w:sz="4" w:space="0" w:color="auto"/>
              <w:right w:val="single" w:sz="4" w:space="0" w:color="auto"/>
            </w:tcBorders>
            <w:shd w:val="clear" w:color="auto" w:fill="FFFF00"/>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94" w:type="dxa"/>
            <w:tcBorders>
              <w:top w:val="double" w:sz="6" w:space="0" w:color="auto"/>
              <w:left w:val="nil"/>
              <w:right w:val="single" w:sz="4" w:space="0" w:color="auto"/>
            </w:tcBorders>
          </w:tcPr>
          <w:p w:rsidR="00121244" w:rsidRPr="0067660B" w:rsidRDefault="00121244" w:rsidP="00314FC0">
            <w:pPr>
              <w:autoSpaceDE w:val="0"/>
              <w:autoSpaceDN w:val="0"/>
              <w:adjustRightInd w:val="0"/>
              <w:ind w:left="-226"/>
              <w:jc w:val="right"/>
              <w:rPr>
                <w:rFonts w:asciiTheme="minorHAnsi" w:hAnsiTheme="minorHAnsi" w:cstheme="minorHAnsi"/>
                <w:bCs/>
                <w:color w:val="000000"/>
                <w:sz w:val="22"/>
                <w:szCs w:val="22"/>
              </w:rPr>
            </w:pPr>
          </w:p>
        </w:tc>
      </w:tr>
      <w:tr w:rsidR="00121244" w:rsidRPr="0067660B" w:rsidTr="00121244">
        <w:trPr>
          <w:trHeight w:val="223"/>
        </w:trPr>
        <w:tc>
          <w:tcPr>
            <w:tcW w:w="257" w:type="dxa"/>
            <w:tcBorders>
              <w:left w:val="nil"/>
              <w:bottom w:val="nil"/>
              <w:right w:val="nil"/>
            </w:tcBorders>
          </w:tcPr>
          <w:p w:rsidR="00121244" w:rsidRPr="0067660B" w:rsidRDefault="00121244" w:rsidP="00314FC0">
            <w:pPr>
              <w:autoSpaceDE w:val="0"/>
              <w:autoSpaceDN w:val="0"/>
              <w:adjustRightInd w:val="0"/>
              <w:rPr>
                <w:rFonts w:asciiTheme="minorHAnsi" w:hAnsiTheme="minorHAnsi" w:cstheme="minorHAnsi"/>
                <w:bCs/>
                <w:color w:val="000000"/>
                <w:sz w:val="22"/>
                <w:szCs w:val="22"/>
              </w:rPr>
            </w:pPr>
          </w:p>
        </w:tc>
        <w:tc>
          <w:tcPr>
            <w:tcW w:w="4563" w:type="dxa"/>
            <w:tcBorders>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Earnings per ordinary share (in € cent)</w:t>
            </w:r>
          </w:p>
        </w:tc>
        <w:tc>
          <w:tcPr>
            <w:tcW w:w="681" w:type="dxa"/>
            <w:tcBorders>
              <w:bottom w:val="nil"/>
            </w:tcBorders>
          </w:tcPr>
          <w:p w:rsidR="00121244" w:rsidRPr="000A6725" w:rsidRDefault="00121244" w:rsidP="00314FC0">
            <w:pPr>
              <w:autoSpaceDE w:val="0"/>
              <w:autoSpaceDN w:val="0"/>
              <w:adjustRightInd w:val="0"/>
              <w:jc w:val="right"/>
              <w:rPr>
                <w:rFonts w:asciiTheme="minorHAnsi" w:hAnsiTheme="minorHAnsi" w:cstheme="minorHAnsi"/>
                <w:b/>
                <w:color w:val="000000"/>
                <w:sz w:val="22"/>
                <w:szCs w:val="22"/>
              </w:rPr>
            </w:pPr>
          </w:p>
        </w:tc>
        <w:tc>
          <w:tcPr>
            <w:tcW w:w="1026" w:type="dxa"/>
            <w:tcBorders>
              <w:bottom w:val="nil"/>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1243" w:type="dxa"/>
            <w:tcBorders>
              <w:left w:val="single" w:sz="4" w:space="0" w:color="auto"/>
              <w:bottom w:val="nil"/>
              <w:right w:val="single" w:sz="4" w:space="0" w:color="auto"/>
            </w:tcBorders>
            <w:shd w:val="clear" w:color="auto" w:fill="FFFF00"/>
          </w:tcPr>
          <w:p w:rsidR="00121244" w:rsidRPr="0067660B" w:rsidRDefault="00121244" w:rsidP="00314FC0">
            <w:pPr>
              <w:autoSpaceDE w:val="0"/>
              <w:autoSpaceDN w:val="0"/>
              <w:adjustRightInd w:val="0"/>
              <w:jc w:val="right"/>
              <w:rPr>
                <w:rFonts w:asciiTheme="minorHAnsi" w:hAnsiTheme="minorHAnsi" w:cstheme="minorHAnsi"/>
                <w:color w:val="000000"/>
                <w:sz w:val="22"/>
                <w:szCs w:val="22"/>
              </w:rPr>
            </w:pPr>
          </w:p>
        </w:tc>
        <w:tc>
          <w:tcPr>
            <w:tcW w:w="1294" w:type="dxa"/>
            <w:tcBorders>
              <w:left w:val="nil"/>
              <w:bottom w:val="nil"/>
              <w:right w:val="single" w:sz="4" w:space="0" w:color="auto"/>
            </w:tcBorders>
          </w:tcPr>
          <w:p w:rsidR="00121244" w:rsidRPr="0067660B" w:rsidRDefault="00121244" w:rsidP="00314FC0">
            <w:pPr>
              <w:autoSpaceDE w:val="0"/>
              <w:autoSpaceDN w:val="0"/>
              <w:adjustRightInd w:val="0"/>
              <w:ind w:left="-226"/>
              <w:jc w:val="right"/>
              <w:rPr>
                <w:rFonts w:asciiTheme="minorHAnsi" w:hAnsiTheme="minorHAnsi" w:cstheme="minorHAnsi"/>
                <w:color w:val="000000"/>
                <w:sz w:val="22"/>
                <w:szCs w:val="22"/>
              </w:rPr>
            </w:pP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Basic</w:t>
            </w:r>
          </w:p>
        </w:tc>
        <w:tc>
          <w:tcPr>
            <w:tcW w:w="681" w:type="dxa"/>
            <w:tcBorders>
              <w:top w:val="nil"/>
              <w:bottom w:val="nil"/>
            </w:tcBorders>
          </w:tcPr>
          <w:p w:rsidR="00121244" w:rsidRPr="000A6725" w:rsidRDefault="00121244" w:rsidP="00314FC0">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p>
        </w:tc>
        <w:tc>
          <w:tcPr>
            <w:tcW w:w="1026" w:type="dxa"/>
            <w:tcBorders>
              <w:top w:val="nil"/>
              <w:bottom w:val="nil"/>
              <w:right w:val="single" w:sz="4" w:space="0" w:color="auto"/>
            </w:tcBorders>
          </w:tcPr>
          <w:p w:rsidR="00121244" w:rsidRPr="0067660B" w:rsidRDefault="00121244"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FA6972">
              <w:rPr>
                <w:rFonts w:asciiTheme="minorHAnsi" w:hAnsiTheme="minorHAnsi" w:cstheme="minorHAnsi"/>
                <w:bCs/>
                <w:color w:val="000000"/>
                <w:sz w:val="22"/>
                <w:szCs w:val="22"/>
              </w:rPr>
              <w:t>63</w:t>
            </w:r>
            <w:r>
              <w:rPr>
                <w:rFonts w:asciiTheme="minorHAnsi" w:hAnsiTheme="minorHAnsi" w:cstheme="minorHAnsi"/>
                <w:bCs/>
                <w:color w:val="000000"/>
                <w:sz w:val="22"/>
                <w:szCs w:val="22"/>
              </w:rPr>
              <w:t>%</w:t>
            </w:r>
          </w:p>
        </w:tc>
        <w:tc>
          <w:tcPr>
            <w:tcW w:w="1243" w:type="dxa"/>
            <w:tcBorders>
              <w:top w:val="nil"/>
              <w:left w:val="single" w:sz="4" w:space="0" w:color="auto"/>
              <w:bottom w:val="nil"/>
              <w:right w:val="single" w:sz="4" w:space="0" w:color="auto"/>
            </w:tcBorders>
            <w:shd w:val="clear" w:color="auto" w:fill="FFFF00"/>
          </w:tcPr>
          <w:p w:rsidR="00121244" w:rsidRPr="001B62F8" w:rsidRDefault="00FA6972" w:rsidP="00722C1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32.66</w:t>
            </w:r>
          </w:p>
        </w:tc>
        <w:tc>
          <w:tcPr>
            <w:tcW w:w="1294" w:type="dxa"/>
            <w:tcBorders>
              <w:top w:val="nil"/>
              <w:left w:val="nil"/>
              <w:bottom w:val="nil"/>
              <w:right w:val="single" w:sz="4" w:space="0" w:color="auto"/>
            </w:tcBorders>
          </w:tcPr>
          <w:p w:rsidR="00121244" w:rsidRPr="0067660B" w:rsidRDefault="00121244" w:rsidP="002A03FF">
            <w:pPr>
              <w:autoSpaceDE w:val="0"/>
              <w:autoSpaceDN w:val="0"/>
              <w:adjustRightInd w:val="0"/>
              <w:ind w:left="-226"/>
              <w:jc w:val="right"/>
              <w:rPr>
                <w:rFonts w:asciiTheme="minorHAnsi" w:hAnsiTheme="minorHAnsi" w:cstheme="minorHAnsi"/>
                <w:color w:val="000000"/>
                <w:sz w:val="22"/>
                <w:szCs w:val="22"/>
              </w:rPr>
            </w:pPr>
            <w:r>
              <w:rPr>
                <w:rFonts w:asciiTheme="minorHAnsi" w:hAnsiTheme="minorHAnsi" w:cstheme="minorHAnsi"/>
                <w:color w:val="000000"/>
                <w:sz w:val="22"/>
                <w:szCs w:val="22"/>
              </w:rPr>
              <w:t>20</w:t>
            </w:r>
            <w:r w:rsidRPr="0067660B">
              <w:rPr>
                <w:rFonts w:asciiTheme="minorHAnsi" w:hAnsiTheme="minorHAnsi" w:cstheme="minorHAnsi"/>
                <w:color w:val="000000"/>
                <w:sz w:val="22"/>
                <w:szCs w:val="22"/>
              </w:rPr>
              <w:t>.</w:t>
            </w:r>
            <w:r>
              <w:rPr>
                <w:rFonts w:asciiTheme="minorHAnsi" w:hAnsiTheme="minorHAnsi" w:cstheme="minorHAnsi"/>
                <w:color w:val="000000"/>
                <w:sz w:val="22"/>
                <w:szCs w:val="22"/>
              </w:rPr>
              <w:t>01</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Diluted</w:t>
            </w:r>
          </w:p>
        </w:tc>
        <w:tc>
          <w:tcPr>
            <w:tcW w:w="681" w:type="dxa"/>
            <w:tcBorders>
              <w:top w:val="nil"/>
              <w:bottom w:val="nil"/>
            </w:tcBorders>
          </w:tcPr>
          <w:p w:rsidR="00121244" w:rsidRPr="000A6725" w:rsidRDefault="00121244" w:rsidP="00314FC0">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p>
        </w:tc>
        <w:tc>
          <w:tcPr>
            <w:tcW w:w="1026" w:type="dxa"/>
            <w:tcBorders>
              <w:top w:val="nil"/>
              <w:bottom w:val="nil"/>
              <w:right w:val="single" w:sz="4" w:space="0" w:color="auto"/>
            </w:tcBorders>
          </w:tcPr>
          <w:p w:rsidR="00121244" w:rsidRPr="0067660B" w:rsidRDefault="00FA6972" w:rsidP="009303B8">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+63</w:t>
            </w:r>
            <w:r w:rsidR="00121244">
              <w:rPr>
                <w:rFonts w:asciiTheme="minorHAnsi" w:hAnsiTheme="minorHAnsi" w:cstheme="minorHAnsi"/>
                <w:bCs/>
                <w:color w:val="000000"/>
                <w:sz w:val="22"/>
                <w:szCs w:val="22"/>
              </w:rPr>
              <w:t>%</w:t>
            </w:r>
          </w:p>
        </w:tc>
        <w:tc>
          <w:tcPr>
            <w:tcW w:w="1243" w:type="dxa"/>
            <w:tcBorders>
              <w:top w:val="nil"/>
              <w:left w:val="single" w:sz="4" w:space="0" w:color="auto"/>
              <w:bottom w:val="nil"/>
              <w:right w:val="single" w:sz="4" w:space="0" w:color="auto"/>
            </w:tcBorders>
            <w:shd w:val="clear" w:color="auto" w:fill="FFFF00"/>
          </w:tcPr>
          <w:p w:rsidR="00121244" w:rsidRPr="001B62F8" w:rsidRDefault="00FA6972" w:rsidP="00722C1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32.3</w:t>
            </w:r>
            <w:r w:rsidR="00EE553C">
              <w:rPr>
                <w:rFonts w:asciiTheme="minorHAnsi" w:hAnsiTheme="minorHAnsi" w:cstheme="minorHAnsi"/>
                <w:b/>
                <w:bCs/>
                <w:color w:val="000000"/>
                <w:sz w:val="22"/>
                <w:szCs w:val="22"/>
              </w:rPr>
              <w:t>8</w:t>
            </w:r>
          </w:p>
        </w:tc>
        <w:tc>
          <w:tcPr>
            <w:tcW w:w="1294" w:type="dxa"/>
            <w:tcBorders>
              <w:top w:val="nil"/>
              <w:left w:val="nil"/>
              <w:bottom w:val="nil"/>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color w:val="000000"/>
                <w:sz w:val="22"/>
                <w:szCs w:val="22"/>
              </w:rPr>
            </w:pPr>
            <w:r>
              <w:rPr>
                <w:rFonts w:asciiTheme="minorHAnsi" w:hAnsiTheme="minorHAnsi" w:cstheme="minorHAnsi"/>
                <w:color w:val="000000"/>
                <w:sz w:val="22"/>
                <w:szCs w:val="22"/>
              </w:rPr>
              <w:t>19</w:t>
            </w:r>
            <w:r w:rsidRPr="0067660B">
              <w:rPr>
                <w:rFonts w:asciiTheme="minorHAnsi" w:hAnsiTheme="minorHAnsi" w:cstheme="minorHAnsi"/>
                <w:color w:val="000000"/>
                <w:sz w:val="22"/>
                <w:szCs w:val="22"/>
              </w:rPr>
              <w:t>.</w:t>
            </w:r>
            <w:r>
              <w:rPr>
                <w:rFonts w:asciiTheme="minorHAnsi" w:hAnsiTheme="minorHAnsi" w:cstheme="minorHAnsi"/>
                <w:color w:val="000000"/>
                <w:sz w:val="22"/>
                <w:szCs w:val="22"/>
              </w:rPr>
              <w:t>90</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ind w:right="-128"/>
              <w:rPr>
                <w:rFonts w:asciiTheme="minorHAnsi" w:hAnsiTheme="minorHAnsi" w:cstheme="minorHAnsi"/>
                <w:color w:val="000000"/>
                <w:sz w:val="22"/>
                <w:szCs w:val="22"/>
              </w:rPr>
            </w:pPr>
            <w:r w:rsidRPr="0067660B">
              <w:rPr>
                <w:rFonts w:asciiTheme="minorHAnsi" w:hAnsiTheme="minorHAnsi" w:cstheme="minorHAnsi"/>
                <w:color w:val="000000"/>
                <w:sz w:val="22"/>
                <w:szCs w:val="22"/>
              </w:rPr>
              <w:t>Weighted average no. of ordinary shares (in Ms)</w:t>
            </w:r>
          </w:p>
        </w:tc>
        <w:tc>
          <w:tcPr>
            <w:tcW w:w="681" w:type="dxa"/>
            <w:tcBorders>
              <w:top w:val="nil"/>
              <w:bottom w:val="nil"/>
            </w:tcBorders>
          </w:tcPr>
          <w:p w:rsidR="00121244" w:rsidRPr="000A6725" w:rsidRDefault="00121244" w:rsidP="00314FC0">
            <w:pPr>
              <w:autoSpaceDE w:val="0"/>
              <w:autoSpaceDN w:val="0"/>
              <w:adjustRightInd w:val="0"/>
              <w:jc w:val="right"/>
              <w:rPr>
                <w:rFonts w:asciiTheme="minorHAnsi" w:hAnsiTheme="minorHAnsi" w:cstheme="minorHAnsi"/>
                <w:b/>
                <w:bCs/>
                <w:color w:val="000000"/>
                <w:sz w:val="22"/>
                <w:szCs w:val="22"/>
              </w:rPr>
            </w:pPr>
          </w:p>
        </w:tc>
        <w:tc>
          <w:tcPr>
            <w:tcW w:w="1026" w:type="dxa"/>
            <w:tcBorders>
              <w:top w:val="nil"/>
              <w:bottom w:val="nil"/>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top w:val="nil"/>
              <w:left w:val="single" w:sz="4" w:space="0" w:color="auto"/>
              <w:bottom w:val="nil"/>
              <w:right w:val="single" w:sz="4" w:space="0" w:color="auto"/>
            </w:tcBorders>
            <w:shd w:val="clear" w:color="auto" w:fill="FFFF00"/>
          </w:tcPr>
          <w:p w:rsidR="00121244" w:rsidRPr="001B62F8" w:rsidRDefault="00121244" w:rsidP="00314FC0">
            <w:pPr>
              <w:autoSpaceDE w:val="0"/>
              <w:autoSpaceDN w:val="0"/>
              <w:adjustRightInd w:val="0"/>
              <w:jc w:val="right"/>
              <w:rPr>
                <w:rFonts w:asciiTheme="minorHAnsi" w:hAnsiTheme="minorHAnsi" w:cstheme="minorHAnsi"/>
                <w:b/>
                <w:bCs/>
                <w:color w:val="000000"/>
                <w:sz w:val="22"/>
                <w:szCs w:val="22"/>
              </w:rPr>
            </w:pPr>
          </w:p>
        </w:tc>
        <w:tc>
          <w:tcPr>
            <w:tcW w:w="1294" w:type="dxa"/>
            <w:tcBorders>
              <w:top w:val="nil"/>
              <w:left w:val="nil"/>
              <w:bottom w:val="nil"/>
              <w:right w:val="single" w:sz="4" w:space="0" w:color="auto"/>
            </w:tcBorders>
          </w:tcPr>
          <w:p w:rsidR="00121244" w:rsidRPr="0067660B" w:rsidRDefault="00121244" w:rsidP="00314FC0">
            <w:pPr>
              <w:autoSpaceDE w:val="0"/>
              <w:autoSpaceDN w:val="0"/>
              <w:adjustRightInd w:val="0"/>
              <w:ind w:left="-226"/>
              <w:jc w:val="right"/>
              <w:rPr>
                <w:rFonts w:asciiTheme="minorHAnsi" w:hAnsiTheme="minorHAnsi" w:cstheme="minorHAnsi"/>
                <w:color w:val="000000"/>
                <w:sz w:val="22"/>
                <w:szCs w:val="22"/>
              </w:rPr>
            </w:pP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Basic</w:t>
            </w:r>
          </w:p>
        </w:tc>
        <w:tc>
          <w:tcPr>
            <w:tcW w:w="681" w:type="dxa"/>
            <w:tcBorders>
              <w:top w:val="nil"/>
              <w:bottom w:val="nil"/>
            </w:tcBorders>
          </w:tcPr>
          <w:p w:rsidR="00121244" w:rsidRPr="000A6725" w:rsidRDefault="00121244" w:rsidP="00314FC0">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p>
        </w:tc>
        <w:tc>
          <w:tcPr>
            <w:tcW w:w="1026" w:type="dxa"/>
            <w:tcBorders>
              <w:top w:val="nil"/>
              <w:bottom w:val="nil"/>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top w:val="nil"/>
              <w:left w:val="single" w:sz="4" w:space="0" w:color="auto"/>
              <w:bottom w:val="nil"/>
              <w:right w:val="single" w:sz="4" w:space="0" w:color="auto"/>
            </w:tcBorders>
            <w:shd w:val="clear" w:color="auto" w:fill="FFFF00"/>
          </w:tcPr>
          <w:p w:rsidR="00121244" w:rsidRPr="001B62F8" w:rsidRDefault="00FA6972" w:rsidP="00722C1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1,216.0</w:t>
            </w:r>
          </w:p>
        </w:tc>
        <w:tc>
          <w:tcPr>
            <w:tcW w:w="1294" w:type="dxa"/>
            <w:tcBorders>
              <w:top w:val="nil"/>
              <w:left w:val="nil"/>
              <w:bottom w:val="nil"/>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color w:val="000000"/>
                <w:sz w:val="22"/>
                <w:szCs w:val="22"/>
              </w:rPr>
            </w:pPr>
            <w:r>
              <w:rPr>
                <w:rFonts w:asciiTheme="minorHAnsi" w:hAnsiTheme="minorHAnsi" w:cstheme="minorHAnsi"/>
                <w:color w:val="000000"/>
                <w:sz w:val="22"/>
                <w:szCs w:val="22"/>
              </w:rPr>
              <w:t>1</w:t>
            </w:r>
            <w:r w:rsidRPr="0067660B">
              <w:rPr>
                <w:rFonts w:asciiTheme="minorHAnsi" w:hAnsiTheme="minorHAnsi" w:cstheme="minorHAnsi"/>
                <w:color w:val="000000"/>
                <w:sz w:val="22"/>
                <w:szCs w:val="22"/>
              </w:rPr>
              <w:t>,</w:t>
            </w:r>
            <w:r>
              <w:rPr>
                <w:rFonts w:asciiTheme="minorHAnsi" w:hAnsiTheme="minorHAnsi" w:cstheme="minorHAnsi"/>
                <w:color w:val="000000"/>
                <w:sz w:val="22"/>
                <w:szCs w:val="22"/>
              </w:rPr>
              <w:t>276</w:t>
            </w:r>
            <w:r w:rsidRPr="0067660B">
              <w:rPr>
                <w:rFonts w:asciiTheme="minorHAnsi" w:hAnsiTheme="minorHAnsi" w:cstheme="minorHAnsi"/>
                <w:color w:val="000000"/>
                <w:sz w:val="22"/>
                <w:szCs w:val="22"/>
              </w:rPr>
              <w:t>.</w:t>
            </w:r>
            <w:r>
              <w:rPr>
                <w:rFonts w:asciiTheme="minorHAnsi" w:hAnsiTheme="minorHAnsi" w:cstheme="minorHAnsi"/>
                <w:color w:val="000000"/>
                <w:sz w:val="22"/>
                <w:szCs w:val="22"/>
              </w:rPr>
              <w:t>8</w:t>
            </w:r>
          </w:p>
        </w:tc>
      </w:tr>
      <w:tr w:rsidR="00121244" w:rsidRPr="0067660B" w:rsidTr="00121244">
        <w:trPr>
          <w:trHeight w:val="223"/>
        </w:trPr>
        <w:tc>
          <w:tcPr>
            <w:tcW w:w="257" w:type="dxa"/>
            <w:tcBorders>
              <w:top w:val="nil"/>
              <w:left w:val="nil"/>
              <w:bottom w:val="nil"/>
              <w:right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p>
        </w:tc>
        <w:tc>
          <w:tcPr>
            <w:tcW w:w="4563" w:type="dxa"/>
            <w:tcBorders>
              <w:top w:val="nil"/>
              <w:left w:val="nil"/>
              <w:bottom w:val="nil"/>
            </w:tcBorders>
          </w:tcPr>
          <w:p w:rsidR="00121244" w:rsidRPr="0067660B" w:rsidRDefault="00121244" w:rsidP="00314FC0">
            <w:pPr>
              <w:autoSpaceDE w:val="0"/>
              <w:autoSpaceDN w:val="0"/>
              <w:adjustRightInd w:val="0"/>
              <w:rPr>
                <w:rFonts w:asciiTheme="minorHAnsi" w:hAnsiTheme="minorHAnsi" w:cstheme="minorHAnsi"/>
                <w:color w:val="000000"/>
                <w:sz w:val="22"/>
                <w:szCs w:val="22"/>
              </w:rPr>
            </w:pPr>
            <w:r w:rsidRPr="0067660B">
              <w:rPr>
                <w:rFonts w:asciiTheme="minorHAnsi" w:hAnsiTheme="minorHAnsi" w:cstheme="minorHAnsi"/>
                <w:color w:val="000000"/>
                <w:sz w:val="22"/>
                <w:szCs w:val="22"/>
              </w:rPr>
              <w:t>Diluted</w:t>
            </w:r>
          </w:p>
        </w:tc>
        <w:tc>
          <w:tcPr>
            <w:tcW w:w="681" w:type="dxa"/>
            <w:tcBorders>
              <w:top w:val="nil"/>
            </w:tcBorders>
          </w:tcPr>
          <w:p w:rsidR="00121244" w:rsidRPr="000A6725" w:rsidRDefault="00121244" w:rsidP="00314FC0">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9</w:t>
            </w:r>
          </w:p>
        </w:tc>
        <w:tc>
          <w:tcPr>
            <w:tcW w:w="1026" w:type="dxa"/>
            <w:tcBorders>
              <w:top w:val="nil"/>
              <w:right w:val="single" w:sz="4" w:space="0" w:color="auto"/>
            </w:tcBorders>
          </w:tcPr>
          <w:p w:rsidR="00121244" w:rsidRPr="0067660B" w:rsidRDefault="00121244" w:rsidP="00314FC0">
            <w:pPr>
              <w:autoSpaceDE w:val="0"/>
              <w:autoSpaceDN w:val="0"/>
              <w:adjustRightInd w:val="0"/>
              <w:jc w:val="right"/>
              <w:rPr>
                <w:rFonts w:asciiTheme="minorHAnsi" w:hAnsiTheme="minorHAnsi" w:cstheme="minorHAnsi"/>
                <w:bCs/>
                <w:color w:val="000000"/>
                <w:sz w:val="22"/>
                <w:szCs w:val="22"/>
              </w:rPr>
            </w:pPr>
          </w:p>
        </w:tc>
        <w:tc>
          <w:tcPr>
            <w:tcW w:w="1243" w:type="dxa"/>
            <w:tcBorders>
              <w:top w:val="nil"/>
              <w:left w:val="single" w:sz="4" w:space="0" w:color="auto"/>
              <w:bottom w:val="single" w:sz="4" w:space="0" w:color="auto"/>
              <w:right w:val="single" w:sz="4" w:space="0" w:color="auto"/>
            </w:tcBorders>
            <w:shd w:val="clear" w:color="auto" w:fill="FFFF00"/>
          </w:tcPr>
          <w:p w:rsidR="00121244" w:rsidRPr="001B62F8" w:rsidRDefault="00FA6972" w:rsidP="00722C14">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1,226.4</w:t>
            </w:r>
          </w:p>
        </w:tc>
        <w:tc>
          <w:tcPr>
            <w:tcW w:w="1294" w:type="dxa"/>
            <w:tcBorders>
              <w:top w:val="nil"/>
              <w:left w:val="nil"/>
              <w:bottom w:val="single" w:sz="4" w:space="0" w:color="auto"/>
              <w:right w:val="single" w:sz="4" w:space="0" w:color="auto"/>
            </w:tcBorders>
          </w:tcPr>
          <w:p w:rsidR="00121244" w:rsidRPr="0067660B" w:rsidRDefault="00121244" w:rsidP="00722C14">
            <w:pPr>
              <w:autoSpaceDE w:val="0"/>
              <w:autoSpaceDN w:val="0"/>
              <w:adjustRightInd w:val="0"/>
              <w:ind w:left="-226"/>
              <w:jc w:val="right"/>
              <w:rPr>
                <w:rFonts w:asciiTheme="minorHAnsi" w:hAnsiTheme="minorHAnsi" w:cstheme="minorHAnsi"/>
                <w:color w:val="000000"/>
                <w:sz w:val="22"/>
                <w:szCs w:val="22"/>
              </w:rPr>
            </w:pPr>
            <w:r>
              <w:rPr>
                <w:rFonts w:asciiTheme="minorHAnsi" w:hAnsiTheme="minorHAnsi" w:cstheme="minorHAnsi"/>
                <w:color w:val="000000"/>
                <w:sz w:val="22"/>
                <w:szCs w:val="22"/>
              </w:rPr>
              <w:t>1</w:t>
            </w:r>
            <w:r w:rsidRPr="0067660B">
              <w:rPr>
                <w:rFonts w:asciiTheme="minorHAnsi" w:hAnsiTheme="minorHAnsi" w:cstheme="minorHAnsi"/>
                <w:color w:val="000000"/>
                <w:sz w:val="22"/>
                <w:szCs w:val="22"/>
              </w:rPr>
              <w:t>,</w:t>
            </w:r>
            <w:r>
              <w:rPr>
                <w:rFonts w:asciiTheme="minorHAnsi" w:hAnsiTheme="minorHAnsi" w:cstheme="minorHAnsi"/>
                <w:color w:val="000000"/>
                <w:sz w:val="22"/>
                <w:szCs w:val="22"/>
              </w:rPr>
              <w:t>284</w:t>
            </w:r>
            <w:r w:rsidRPr="0067660B">
              <w:rPr>
                <w:rFonts w:asciiTheme="minorHAnsi" w:hAnsiTheme="minorHAnsi" w:cstheme="minorHAnsi"/>
                <w:color w:val="000000"/>
                <w:sz w:val="22"/>
                <w:szCs w:val="22"/>
              </w:rPr>
              <w:t>.</w:t>
            </w:r>
            <w:r>
              <w:rPr>
                <w:rFonts w:asciiTheme="minorHAnsi" w:hAnsiTheme="minorHAnsi" w:cstheme="minorHAnsi"/>
                <w:color w:val="000000"/>
                <w:sz w:val="22"/>
                <w:szCs w:val="22"/>
              </w:rPr>
              <w:t>2</w:t>
            </w:r>
          </w:p>
        </w:tc>
      </w:tr>
    </w:tbl>
    <w:p w:rsidR="00112C2B" w:rsidRPr="007777A2" w:rsidRDefault="00112C2B" w:rsidP="00112C2B">
      <w:pPr>
        <w:rPr>
          <w:rFonts w:asciiTheme="minorHAnsi" w:hAnsiTheme="minorHAnsi" w:cstheme="minorHAnsi"/>
          <w:b/>
          <w:bCs/>
          <w:i/>
          <w:color w:val="000000"/>
          <w:sz w:val="20"/>
          <w:szCs w:val="20"/>
        </w:rPr>
      </w:pPr>
    </w:p>
    <w:p w:rsidR="00F24BBD" w:rsidRDefault="00F24BBD"/>
    <w:p w:rsidR="00F24BBD" w:rsidRDefault="00D778F3">
      <w:pPr>
        <w:rPr>
          <w:rFonts w:asciiTheme="minorHAnsi" w:hAnsiTheme="minorHAnsi" w:cstheme="minorHAnsi"/>
          <w:b/>
          <w:bCs/>
          <w:color w:val="000000"/>
        </w:rPr>
      </w:pPr>
      <w:r w:rsidRPr="00991F11">
        <w:rPr>
          <w:rFonts w:asciiTheme="minorHAnsi" w:hAnsiTheme="minorHAnsi" w:cstheme="minorHAnsi"/>
          <w:b/>
          <w:bCs/>
          <w:color w:val="000000"/>
        </w:rPr>
        <w:t>Ryanair Holdings plc and Subsidiaries</w:t>
      </w:r>
    </w:p>
    <w:p w:rsidR="00DD7769" w:rsidRDefault="00DD7769"/>
    <w:p w:rsidR="00314FC0" w:rsidRDefault="00314FC0" w:rsidP="00314FC0">
      <w:pPr>
        <w:rPr>
          <w:rFonts w:asciiTheme="minorHAnsi" w:hAnsiTheme="minorHAnsi" w:cstheme="minorHAnsi"/>
          <w:b/>
          <w:bCs/>
          <w:i/>
          <w:iCs/>
          <w:color w:val="000000"/>
          <w:sz w:val="22"/>
          <w:szCs w:val="22"/>
        </w:rPr>
      </w:pPr>
      <w:r w:rsidRPr="006D0437">
        <w:rPr>
          <w:rFonts w:asciiTheme="minorHAnsi" w:hAnsiTheme="minorHAnsi" w:cstheme="minorHAnsi"/>
          <w:b/>
          <w:bCs/>
          <w:i/>
          <w:iCs/>
          <w:color w:val="000000"/>
        </w:rPr>
        <w:t xml:space="preserve">Condensed Consolidated </w:t>
      </w:r>
      <w:r w:rsidR="00121244">
        <w:rPr>
          <w:rFonts w:asciiTheme="minorHAnsi" w:hAnsiTheme="minorHAnsi" w:cstheme="minorHAnsi"/>
          <w:b/>
          <w:bCs/>
          <w:i/>
          <w:iCs/>
          <w:color w:val="000000"/>
        </w:rPr>
        <w:t>Interim</w:t>
      </w:r>
      <w:r w:rsidRPr="006D0437">
        <w:rPr>
          <w:rFonts w:asciiTheme="minorHAnsi" w:hAnsiTheme="minorHAnsi" w:cstheme="minorHAnsi"/>
          <w:b/>
          <w:bCs/>
          <w:i/>
          <w:iCs/>
          <w:color w:val="000000"/>
        </w:rPr>
        <w:t xml:space="preserve"> Statement of Comprehensive Income for the </w:t>
      </w:r>
      <w:r w:rsidR="00121244">
        <w:rPr>
          <w:rFonts w:asciiTheme="minorHAnsi" w:hAnsiTheme="minorHAnsi" w:cstheme="minorHAnsi"/>
          <w:b/>
          <w:bCs/>
          <w:i/>
          <w:iCs/>
          <w:color w:val="000000"/>
        </w:rPr>
        <w:t>quarter</w:t>
      </w:r>
      <w:r w:rsidRPr="006D0437">
        <w:rPr>
          <w:rFonts w:asciiTheme="minorHAnsi" w:hAnsiTheme="minorHAnsi" w:cstheme="minorHAnsi"/>
          <w:b/>
          <w:bCs/>
          <w:i/>
          <w:iCs/>
          <w:color w:val="000000"/>
        </w:rPr>
        <w:t xml:space="preserve"> ended </w:t>
      </w:r>
      <w:r w:rsidR="00121244">
        <w:rPr>
          <w:rFonts w:asciiTheme="minorHAnsi" w:hAnsiTheme="minorHAnsi" w:cstheme="minorHAnsi"/>
          <w:b/>
          <w:bCs/>
          <w:i/>
          <w:iCs/>
          <w:color w:val="000000"/>
        </w:rPr>
        <w:t>June</w:t>
      </w:r>
      <w:r w:rsidR="008323AE">
        <w:rPr>
          <w:rFonts w:asciiTheme="minorHAnsi" w:hAnsiTheme="minorHAnsi" w:cstheme="minorHAnsi"/>
          <w:b/>
          <w:bCs/>
          <w:i/>
          <w:iCs/>
          <w:color w:val="000000"/>
        </w:rPr>
        <w:t xml:space="preserve"> 3</w:t>
      </w:r>
      <w:r w:rsidR="00121244">
        <w:rPr>
          <w:rFonts w:asciiTheme="minorHAnsi" w:hAnsiTheme="minorHAnsi" w:cstheme="minorHAnsi"/>
          <w:b/>
          <w:bCs/>
          <w:i/>
          <w:iCs/>
          <w:color w:val="000000"/>
        </w:rPr>
        <w:t>0</w:t>
      </w:r>
      <w:r w:rsidRPr="006D0437">
        <w:rPr>
          <w:rFonts w:asciiTheme="minorHAnsi" w:hAnsiTheme="minorHAnsi" w:cstheme="minorHAnsi"/>
          <w:b/>
          <w:bCs/>
          <w:i/>
          <w:iCs/>
          <w:color w:val="000000"/>
        </w:rPr>
        <w:t xml:space="preserve">, </w:t>
      </w:r>
      <w:r>
        <w:rPr>
          <w:rFonts w:asciiTheme="minorHAnsi" w:hAnsiTheme="minorHAnsi" w:cstheme="minorHAnsi"/>
          <w:b/>
          <w:bCs/>
          <w:i/>
          <w:iCs/>
          <w:color w:val="000000"/>
        </w:rPr>
        <w:t>201</w:t>
      </w:r>
      <w:r w:rsidR="00DD7769">
        <w:rPr>
          <w:rFonts w:asciiTheme="minorHAnsi" w:hAnsiTheme="minorHAnsi" w:cstheme="minorHAnsi"/>
          <w:b/>
          <w:bCs/>
          <w:i/>
          <w:iCs/>
          <w:color w:val="000000"/>
        </w:rPr>
        <w:t>7</w:t>
      </w:r>
      <w:r w:rsidRPr="006D0437">
        <w:rPr>
          <w:rFonts w:asciiTheme="minorHAnsi" w:hAnsiTheme="minorHAnsi" w:cstheme="minorHAnsi"/>
          <w:b/>
          <w:bCs/>
          <w:i/>
          <w:iCs/>
          <w:color w:val="000000"/>
        </w:rPr>
        <w:t xml:space="preserve"> (unaudited</w:t>
      </w:r>
      <w:r w:rsidRPr="00677316">
        <w:rPr>
          <w:rFonts w:asciiTheme="minorHAnsi" w:hAnsiTheme="minorHAnsi" w:cstheme="minorHAnsi"/>
          <w:b/>
          <w:bCs/>
          <w:i/>
          <w:iCs/>
          <w:color w:val="000000"/>
          <w:sz w:val="22"/>
          <w:szCs w:val="22"/>
        </w:rPr>
        <w:t>)</w:t>
      </w:r>
    </w:p>
    <w:p w:rsidR="00DD7769" w:rsidRPr="00677316" w:rsidRDefault="00DD7769" w:rsidP="00314FC0">
      <w:pPr>
        <w:rPr>
          <w:rFonts w:asciiTheme="minorHAnsi" w:hAnsiTheme="minorHAnsi" w:cstheme="minorHAnsi"/>
          <w:b/>
          <w:bCs/>
          <w:i/>
          <w:iCs/>
          <w:color w:val="000000"/>
          <w:sz w:val="22"/>
          <w:szCs w:val="22"/>
        </w:rPr>
      </w:pPr>
    </w:p>
    <w:tbl>
      <w:tblPr>
        <w:tblW w:w="11121" w:type="dxa"/>
        <w:tblLook w:val="0000" w:firstRow="0" w:lastRow="0" w:firstColumn="0" w:lastColumn="0" w:noHBand="0" w:noVBand="0"/>
      </w:tblPr>
      <w:tblGrid>
        <w:gridCol w:w="3374"/>
        <w:gridCol w:w="5274"/>
        <w:gridCol w:w="1239"/>
        <w:gridCol w:w="1234"/>
      </w:tblGrid>
      <w:tr w:rsidR="00314FC0" w:rsidRPr="00677316" w:rsidTr="00DD7769">
        <w:trPr>
          <w:trHeight w:val="259"/>
        </w:trPr>
        <w:tc>
          <w:tcPr>
            <w:tcW w:w="3888" w:type="pct"/>
            <w:gridSpan w:val="2"/>
            <w:shd w:val="solid" w:color="FFFFFF" w:fill="auto"/>
          </w:tcPr>
          <w:p w:rsidR="00314FC0" w:rsidRPr="00677316" w:rsidRDefault="00314FC0" w:rsidP="00314FC0">
            <w:pPr>
              <w:autoSpaceDE w:val="0"/>
              <w:autoSpaceDN w:val="0"/>
              <w:adjustRightInd w:val="0"/>
              <w:rPr>
                <w:rFonts w:asciiTheme="minorHAnsi" w:hAnsiTheme="minorHAnsi" w:cstheme="minorHAnsi"/>
                <w:b/>
                <w:bCs/>
                <w:i/>
                <w:iCs/>
                <w:color w:val="000000"/>
                <w:sz w:val="22"/>
                <w:szCs w:val="22"/>
              </w:rPr>
            </w:pPr>
          </w:p>
        </w:tc>
        <w:tc>
          <w:tcPr>
            <w:tcW w:w="557" w:type="pct"/>
            <w:shd w:val="clear" w:color="auto" w:fill="FFFF00"/>
          </w:tcPr>
          <w:p w:rsidR="00314FC0" w:rsidRPr="00677316" w:rsidRDefault="00121244" w:rsidP="00314FC0">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Quarter</w:t>
            </w:r>
          </w:p>
        </w:tc>
        <w:tc>
          <w:tcPr>
            <w:tcW w:w="555" w:type="pct"/>
            <w:shd w:val="solid" w:color="FFFFFF" w:fill="auto"/>
          </w:tcPr>
          <w:p w:rsidR="00430E4A" w:rsidRPr="00677316" w:rsidRDefault="00121244" w:rsidP="00314FC0">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Quarter</w:t>
            </w:r>
          </w:p>
        </w:tc>
      </w:tr>
      <w:tr w:rsidR="00314FC0" w:rsidRPr="00677316" w:rsidTr="00DD7769">
        <w:trPr>
          <w:trHeight w:val="211"/>
        </w:trPr>
        <w:tc>
          <w:tcPr>
            <w:tcW w:w="3888" w:type="pct"/>
            <w:gridSpan w:val="2"/>
          </w:tcPr>
          <w:p w:rsidR="00314FC0" w:rsidRPr="00677316" w:rsidRDefault="00314FC0" w:rsidP="00314FC0">
            <w:pPr>
              <w:autoSpaceDE w:val="0"/>
              <w:autoSpaceDN w:val="0"/>
              <w:adjustRightInd w:val="0"/>
              <w:rPr>
                <w:rFonts w:asciiTheme="minorHAnsi" w:hAnsiTheme="minorHAnsi" w:cstheme="minorHAnsi"/>
                <w:b/>
                <w:color w:val="000000"/>
                <w:sz w:val="22"/>
                <w:szCs w:val="22"/>
              </w:rPr>
            </w:pPr>
          </w:p>
        </w:tc>
        <w:tc>
          <w:tcPr>
            <w:tcW w:w="557" w:type="pct"/>
            <w:shd w:val="clear" w:color="auto" w:fill="FFFF00"/>
          </w:tcPr>
          <w:p w:rsidR="00314FC0" w:rsidRPr="00677316" w:rsidRDefault="00314FC0" w:rsidP="00314FC0">
            <w:pPr>
              <w:autoSpaceDE w:val="0"/>
              <w:autoSpaceDN w:val="0"/>
              <w:adjustRightInd w:val="0"/>
              <w:jc w:val="right"/>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Ended</w:t>
            </w:r>
          </w:p>
        </w:tc>
        <w:tc>
          <w:tcPr>
            <w:tcW w:w="555" w:type="pct"/>
            <w:shd w:val="solid" w:color="FFFFFF" w:fill="auto"/>
          </w:tcPr>
          <w:p w:rsidR="00314FC0" w:rsidRPr="00677316" w:rsidRDefault="00314FC0" w:rsidP="00314FC0">
            <w:pPr>
              <w:autoSpaceDE w:val="0"/>
              <w:autoSpaceDN w:val="0"/>
              <w:adjustRightInd w:val="0"/>
              <w:jc w:val="right"/>
              <w:rPr>
                <w:rFonts w:asciiTheme="minorHAnsi" w:hAnsiTheme="minorHAnsi" w:cstheme="minorHAnsi"/>
                <w:color w:val="000000"/>
                <w:sz w:val="22"/>
                <w:szCs w:val="22"/>
              </w:rPr>
            </w:pPr>
            <w:r w:rsidRPr="00677316">
              <w:rPr>
                <w:rFonts w:asciiTheme="minorHAnsi" w:hAnsiTheme="minorHAnsi" w:cstheme="minorHAnsi"/>
                <w:color w:val="000000"/>
                <w:sz w:val="22"/>
                <w:szCs w:val="22"/>
              </w:rPr>
              <w:t>Ended</w:t>
            </w:r>
          </w:p>
        </w:tc>
      </w:tr>
      <w:tr w:rsidR="00314FC0" w:rsidRPr="00677316" w:rsidTr="00DD7769">
        <w:trPr>
          <w:trHeight w:val="211"/>
        </w:trPr>
        <w:tc>
          <w:tcPr>
            <w:tcW w:w="3888" w:type="pct"/>
            <w:gridSpan w:val="2"/>
          </w:tcPr>
          <w:p w:rsidR="00314FC0" w:rsidRPr="00677316" w:rsidRDefault="00314FC0" w:rsidP="00314FC0">
            <w:pPr>
              <w:autoSpaceDE w:val="0"/>
              <w:autoSpaceDN w:val="0"/>
              <w:adjustRightInd w:val="0"/>
              <w:rPr>
                <w:rFonts w:asciiTheme="minorHAnsi" w:hAnsiTheme="minorHAnsi" w:cstheme="minorHAnsi"/>
                <w:b/>
                <w:color w:val="000000"/>
                <w:sz w:val="22"/>
                <w:szCs w:val="22"/>
              </w:rPr>
            </w:pPr>
          </w:p>
        </w:tc>
        <w:tc>
          <w:tcPr>
            <w:tcW w:w="557" w:type="pct"/>
            <w:shd w:val="clear" w:color="auto" w:fill="FFFF00"/>
          </w:tcPr>
          <w:p w:rsidR="00314FC0" w:rsidRPr="00677316" w:rsidRDefault="00121244" w:rsidP="00430E4A">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Jun</w:t>
            </w:r>
            <w:r w:rsidR="00314FC0">
              <w:rPr>
                <w:rFonts w:asciiTheme="minorHAnsi" w:hAnsiTheme="minorHAnsi" w:cstheme="minorHAnsi"/>
                <w:b/>
                <w:bCs/>
                <w:color w:val="000000"/>
                <w:sz w:val="22"/>
                <w:szCs w:val="22"/>
              </w:rPr>
              <w:t xml:space="preserve"> 3</w:t>
            </w:r>
            <w:r>
              <w:rPr>
                <w:rFonts w:asciiTheme="minorHAnsi" w:hAnsiTheme="minorHAnsi" w:cstheme="minorHAnsi"/>
                <w:b/>
                <w:bCs/>
                <w:color w:val="000000"/>
                <w:sz w:val="22"/>
                <w:szCs w:val="22"/>
              </w:rPr>
              <w:t>0</w:t>
            </w:r>
            <w:r w:rsidR="00314FC0" w:rsidRPr="00677316">
              <w:rPr>
                <w:rFonts w:asciiTheme="minorHAnsi" w:hAnsiTheme="minorHAnsi" w:cstheme="minorHAnsi"/>
                <w:b/>
                <w:bCs/>
                <w:color w:val="000000"/>
                <w:sz w:val="22"/>
                <w:szCs w:val="22"/>
              </w:rPr>
              <w:t>,</w:t>
            </w:r>
          </w:p>
        </w:tc>
        <w:tc>
          <w:tcPr>
            <w:tcW w:w="555" w:type="pct"/>
            <w:shd w:val="solid" w:color="FFFFFF" w:fill="auto"/>
          </w:tcPr>
          <w:p w:rsidR="00314FC0" w:rsidRPr="00677316" w:rsidRDefault="00121244" w:rsidP="00430E4A">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Jun</w:t>
            </w:r>
            <w:r w:rsidR="00314FC0">
              <w:rPr>
                <w:rFonts w:asciiTheme="minorHAnsi" w:hAnsiTheme="minorHAnsi" w:cstheme="minorHAnsi"/>
                <w:color w:val="000000"/>
                <w:sz w:val="22"/>
                <w:szCs w:val="22"/>
              </w:rPr>
              <w:t xml:space="preserve"> 3</w:t>
            </w:r>
            <w:r>
              <w:rPr>
                <w:rFonts w:asciiTheme="minorHAnsi" w:hAnsiTheme="minorHAnsi" w:cstheme="minorHAnsi"/>
                <w:color w:val="000000"/>
                <w:sz w:val="22"/>
                <w:szCs w:val="22"/>
              </w:rPr>
              <w:t>0</w:t>
            </w:r>
            <w:r w:rsidR="00314FC0" w:rsidRPr="00677316">
              <w:rPr>
                <w:rFonts w:asciiTheme="minorHAnsi" w:hAnsiTheme="minorHAnsi" w:cstheme="minorHAnsi"/>
                <w:color w:val="000000"/>
                <w:sz w:val="22"/>
                <w:szCs w:val="22"/>
              </w:rPr>
              <w:t>,</w:t>
            </w:r>
          </w:p>
        </w:tc>
      </w:tr>
      <w:tr w:rsidR="00314FC0" w:rsidRPr="00677316" w:rsidTr="00DD7769">
        <w:trPr>
          <w:trHeight w:val="211"/>
        </w:trPr>
        <w:tc>
          <w:tcPr>
            <w:tcW w:w="3888" w:type="pct"/>
            <w:gridSpan w:val="2"/>
          </w:tcPr>
          <w:p w:rsidR="00314FC0" w:rsidRPr="00677316" w:rsidRDefault="00314FC0" w:rsidP="00314FC0">
            <w:pPr>
              <w:autoSpaceDE w:val="0"/>
              <w:autoSpaceDN w:val="0"/>
              <w:adjustRightInd w:val="0"/>
              <w:rPr>
                <w:rFonts w:asciiTheme="minorHAnsi" w:hAnsiTheme="minorHAnsi" w:cstheme="minorHAnsi"/>
                <w:b/>
                <w:color w:val="000000"/>
                <w:sz w:val="22"/>
                <w:szCs w:val="22"/>
              </w:rPr>
            </w:pPr>
          </w:p>
        </w:tc>
        <w:tc>
          <w:tcPr>
            <w:tcW w:w="557" w:type="pct"/>
            <w:shd w:val="clear" w:color="auto" w:fill="FFFF00"/>
          </w:tcPr>
          <w:p w:rsidR="00314FC0" w:rsidRPr="00677316" w:rsidRDefault="00314FC0" w:rsidP="00314FC0">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201</w:t>
            </w:r>
            <w:r w:rsidR="00DD7769">
              <w:rPr>
                <w:rFonts w:asciiTheme="minorHAnsi" w:hAnsiTheme="minorHAnsi" w:cstheme="minorHAnsi"/>
                <w:b/>
                <w:bCs/>
                <w:color w:val="000000"/>
                <w:sz w:val="22"/>
                <w:szCs w:val="22"/>
              </w:rPr>
              <w:t>7</w:t>
            </w:r>
          </w:p>
        </w:tc>
        <w:tc>
          <w:tcPr>
            <w:tcW w:w="555" w:type="pct"/>
            <w:shd w:val="solid" w:color="FFFFFF" w:fill="auto"/>
          </w:tcPr>
          <w:p w:rsidR="00314FC0" w:rsidRPr="00677316" w:rsidRDefault="00314FC0" w:rsidP="00314FC0">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201</w:t>
            </w:r>
            <w:r w:rsidR="00DD7769">
              <w:rPr>
                <w:rFonts w:asciiTheme="minorHAnsi" w:hAnsiTheme="minorHAnsi" w:cstheme="minorHAnsi"/>
                <w:color w:val="000000"/>
                <w:sz w:val="22"/>
                <w:szCs w:val="22"/>
              </w:rPr>
              <w:t>6</w:t>
            </w:r>
          </w:p>
        </w:tc>
      </w:tr>
      <w:tr w:rsidR="00314FC0" w:rsidRPr="00677316" w:rsidTr="00DD7769">
        <w:trPr>
          <w:trHeight w:val="211"/>
        </w:trPr>
        <w:tc>
          <w:tcPr>
            <w:tcW w:w="3888" w:type="pct"/>
            <w:gridSpan w:val="2"/>
          </w:tcPr>
          <w:p w:rsidR="00314FC0" w:rsidRPr="00677316" w:rsidRDefault="00314FC0" w:rsidP="00314FC0">
            <w:pPr>
              <w:autoSpaceDE w:val="0"/>
              <w:autoSpaceDN w:val="0"/>
              <w:adjustRightInd w:val="0"/>
              <w:rPr>
                <w:rFonts w:asciiTheme="minorHAnsi" w:hAnsiTheme="minorHAnsi" w:cstheme="minorHAnsi"/>
                <w:b/>
                <w:color w:val="000000"/>
                <w:sz w:val="22"/>
                <w:szCs w:val="22"/>
              </w:rPr>
            </w:pPr>
          </w:p>
        </w:tc>
        <w:tc>
          <w:tcPr>
            <w:tcW w:w="557" w:type="pct"/>
            <w:shd w:val="clear" w:color="auto" w:fill="FFFF00"/>
          </w:tcPr>
          <w:p w:rsidR="00314FC0" w:rsidRPr="00677316" w:rsidRDefault="00314FC0" w:rsidP="00314FC0">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w:t>
            </w:r>
            <w:r>
              <w:rPr>
                <w:rFonts w:asciiTheme="minorHAnsi" w:hAnsiTheme="minorHAnsi" w:cstheme="minorHAnsi"/>
                <w:b/>
                <w:bCs/>
                <w:color w:val="000000"/>
                <w:sz w:val="22"/>
                <w:szCs w:val="22"/>
                <w:u w:val="single"/>
              </w:rPr>
              <w:t>M</w:t>
            </w:r>
          </w:p>
        </w:tc>
        <w:tc>
          <w:tcPr>
            <w:tcW w:w="555" w:type="pct"/>
            <w:shd w:val="solid" w:color="FFFFFF" w:fill="auto"/>
          </w:tcPr>
          <w:p w:rsidR="00314FC0" w:rsidRPr="00677316" w:rsidRDefault="00314FC0" w:rsidP="00314FC0">
            <w:pPr>
              <w:autoSpaceDE w:val="0"/>
              <w:autoSpaceDN w:val="0"/>
              <w:adjustRightInd w:val="0"/>
              <w:jc w:val="right"/>
              <w:rPr>
                <w:rFonts w:asciiTheme="minorHAnsi" w:hAnsiTheme="minorHAnsi" w:cstheme="minorHAnsi"/>
                <w:color w:val="000000"/>
                <w:sz w:val="22"/>
                <w:szCs w:val="22"/>
                <w:u w:val="single"/>
              </w:rPr>
            </w:pPr>
            <w:r w:rsidRPr="00677316">
              <w:rPr>
                <w:rFonts w:asciiTheme="minorHAnsi" w:hAnsiTheme="minorHAnsi" w:cstheme="minorHAnsi"/>
                <w:color w:val="000000"/>
                <w:sz w:val="22"/>
                <w:szCs w:val="22"/>
                <w:u w:val="single"/>
              </w:rPr>
              <w:t>€</w:t>
            </w:r>
            <w:r>
              <w:rPr>
                <w:rFonts w:asciiTheme="minorHAnsi" w:hAnsiTheme="minorHAnsi" w:cstheme="minorHAnsi"/>
                <w:color w:val="000000"/>
                <w:sz w:val="22"/>
                <w:szCs w:val="22"/>
                <w:u w:val="single"/>
              </w:rPr>
              <w:t>M</w:t>
            </w:r>
          </w:p>
        </w:tc>
      </w:tr>
      <w:tr w:rsidR="00314FC0" w:rsidRPr="00677316" w:rsidTr="00DD7769">
        <w:trPr>
          <w:trHeight w:val="211"/>
        </w:trPr>
        <w:tc>
          <w:tcPr>
            <w:tcW w:w="3888" w:type="pct"/>
            <w:gridSpan w:val="2"/>
          </w:tcPr>
          <w:p w:rsidR="00314FC0" w:rsidRPr="00677316" w:rsidRDefault="00314FC0" w:rsidP="00314FC0">
            <w:pPr>
              <w:autoSpaceDE w:val="0"/>
              <w:autoSpaceDN w:val="0"/>
              <w:adjustRightInd w:val="0"/>
              <w:rPr>
                <w:rFonts w:asciiTheme="minorHAnsi" w:hAnsiTheme="minorHAnsi" w:cstheme="minorHAnsi"/>
                <w:b/>
                <w:color w:val="000000"/>
                <w:sz w:val="22"/>
                <w:szCs w:val="22"/>
              </w:rPr>
            </w:pPr>
          </w:p>
        </w:tc>
        <w:tc>
          <w:tcPr>
            <w:tcW w:w="557" w:type="pct"/>
            <w:shd w:val="clear" w:color="auto" w:fill="FFFF00"/>
          </w:tcPr>
          <w:p w:rsidR="00314FC0" w:rsidRPr="00677316" w:rsidRDefault="00314FC0" w:rsidP="00314FC0">
            <w:pPr>
              <w:autoSpaceDE w:val="0"/>
              <w:autoSpaceDN w:val="0"/>
              <w:adjustRightInd w:val="0"/>
              <w:jc w:val="right"/>
              <w:rPr>
                <w:rFonts w:asciiTheme="minorHAnsi" w:hAnsiTheme="minorHAnsi" w:cstheme="minorHAnsi"/>
                <w:b/>
                <w:bCs/>
                <w:color w:val="000000"/>
                <w:sz w:val="22"/>
                <w:szCs w:val="22"/>
                <w:u w:val="single"/>
              </w:rPr>
            </w:pPr>
          </w:p>
        </w:tc>
        <w:tc>
          <w:tcPr>
            <w:tcW w:w="555" w:type="pct"/>
            <w:shd w:val="solid" w:color="FFFFFF" w:fill="auto"/>
          </w:tcPr>
          <w:p w:rsidR="00314FC0" w:rsidRPr="00677316" w:rsidRDefault="00314FC0" w:rsidP="00314FC0">
            <w:pPr>
              <w:autoSpaceDE w:val="0"/>
              <w:autoSpaceDN w:val="0"/>
              <w:adjustRightInd w:val="0"/>
              <w:jc w:val="right"/>
              <w:rPr>
                <w:rFonts w:asciiTheme="minorHAnsi" w:hAnsiTheme="minorHAnsi" w:cstheme="minorHAnsi"/>
                <w:color w:val="000000"/>
                <w:sz w:val="22"/>
                <w:szCs w:val="22"/>
                <w:u w:val="single"/>
              </w:rPr>
            </w:pPr>
          </w:p>
        </w:tc>
      </w:tr>
      <w:tr w:rsidR="00314FC0" w:rsidRPr="00677316" w:rsidTr="00DD7769">
        <w:trPr>
          <w:trHeight w:val="211"/>
        </w:trPr>
        <w:tc>
          <w:tcPr>
            <w:tcW w:w="3888" w:type="pct"/>
            <w:gridSpan w:val="2"/>
            <w:shd w:val="solid" w:color="FFFFFF" w:fill="auto"/>
          </w:tcPr>
          <w:p w:rsidR="00314FC0" w:rsidRPr="00677316" w:rsidRDefault="00121244" w:rsidP="00430E4A">
            <w:pPr>
              <w:autoSpaceDE w:val="0"/>
              <w:autoSpaceDN w:val="0"/>
              <w:adjustRightInd w:val="0"/>
              <w:rPr>
                <w:rFonts w:asciiTheme="minorHAnsi" w:hAnsiTheme="minorHAnsi" w:cstheme="minorHAnsi"/>
                <w:b/>
                <w:color w:val="000000"/>
                <w:sz w:val="22"/>
                <w:szCs w:val="22"/>
              </w:rPr>
            </w:pPr>
            <w:r>
              <w:rPr>
                <w:rFonts w:asciiTheme="minorHAnsi" w:hAnsiTheme="minorHAnsi" w:cstheme="minorHAnsi"/>
                <w:b/>
                <w:color w:val="000000"/>
                <w:sz w:val="22"/>
                <w:szCs w:val="22"/>
              </w:rPr>
              <w:t>Profit for the quarter</w:t>
            </w:r>
          </w:p>
        </w:tc>
        <w:tc>
          <w:tcPr>
            <w:tcW w:w="557" w:type="pct"/>
            <w:tcBorders>
              <w:bottom w:val="single" w:sz="4" w:space="0" w:color="auto"/>
            </w:tcBorders>
            <w:shd w:val="clear" w:color="auto" w:fill="FFFF00"/>
          </w:tcPr>
          <w:p w:rsidR="00314FC0" w:rsidRPr="00677316" w:rsidRDefault="00FF7BC2" w:rsidP="008323A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397.1</w:t>
            </w:r>
          </w:p>
        </w:tc>
        <w:tc>
          <w:tcPr>
            <w:tcW w:w="555" w:type="pct"/>
            <w:tcBorders>
              <w:bottom w:val="single" w:sz="4" w:space="0" w:color="auto"/>
            </w:tcBorders>
            <w:shd w:val="solid" w:color="FFFFFF" w:fill="auto"/>
          </w:tcPr>
          <w:p w:rsidR="00314FC0" w:rsidRPr="00677316" w:rsidRDefault="00121244" w:rsidP="00430E4A">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255.5</w:t>
            </w:r>
          </w:p>
        </w:tc>
      </w:tr>
      <w:tr w:rsidR="00314FC0" w:rsidRPr="00677316" w:rsidTr="00DD7769">
        <w:trPr>
          <w:trHeight w:val="211"/>
        </w:trPr>
        <w:tc>
          <w:tcPr>
            <w:tcW w:w="3888" w:type="pct"/>
            <w:gridSpan w:val="2"/>
            <w:shd w:val="solid" w:color="FFFFFF" w:fill="auto"/>
          </w:tcPr>
          <w:p w:rsidR="00314FC0" w:rsidRPr="00677316" w:rsidRDefault="00314FC0" w:rsidP="00314FC0">
            <w:pPr>
              <w:autoSpaceDE w:val="0"/>
              <w:autoSpaceDN w:val="0"/>
              <w:adjustRightInd w:val="0"/>
              <w:rPr>
                <w:rFonts w:asciiTheme="minorHAnsi" w:hAnsiTheme="minorHAnsi" w:cstheme="minorHAnsi"/>
                <w:color w:val="000000"/>
                <w:sz w:val="22"/>
                <w:szCs w:val="22"/>
              </w:rPr>
            </w:pPr>
          </w:p>
        </w:tc>
        <w:tc>
          <w:tcPr>
            <w:tcW w:w="557" w:type="pct"/>
            <w:tcBorders>
              <w:top w:val="single" w:sz="4" w:space="0" w:color="auto"/>
            </w:tcBorders>
            <w:shd w:val="clear" w:color="auto" w:fill="FFFF00"/>
          </w:tcPr>
          <w:p w:rsidR="00314FC0" w:rsidRPr="00677316" w:rsidRDefault="00314FC0" w:rsidP="00314FC0">
            <w:pPr>
              <w:autoSpaceDE w:val="0"/>
              <w:autoSpaceDN w:val="0"/>
              <w:adjustRightInd w:val="0"/>
              <w:jc w:val="right"/>
              <w:rPr>
                <w:rFonts w:asciiTheme="minorHAnsi" w:hAnsiTheme="minorHAnsi" w:cstheme="minorHAnsi"/>
                <w:b/>
                <w:bCs/>
                <w:color w:val="000000"/>
                <w:sz w:val="22"/>
                <w:szCs w:val="22"/>
              </w:rPr>
            </w:pPr>
          </w:p>
        </w:tc>
        <w:tc>
          <w:tcPr>
            <w:tcW w:w="555" w:type="pct"/>
            <w:tcBorders>
              <w:top w:val="single" w:sz="4" w:space="0" w:color="auto"/>
            </w:tcBorders>
            <w:shd w:val="solid" w:color="FFFFFF" w:fill="auto"/>
          </w:tcPr>
          <w:p w:rsidR="00314FC0" w:rsidRPr="00677316" w:rsidRDefault="00314FC0" w:rsidP="00314FC0">
            <w:pPr>
              <w:autoSpaceDE w:val="0"/>
              <w:autoSpaceDN w:val="0"/>
              <w:adjustRightInd w:val="0"/>
              <w:jc w:val="right"/>
              <w:rPr>
                <w:rFonts w:asciiTheme="minorHAnsi" w:hAnsiTheme="minorHAnsi" w:cstheme="minorHAnsi"/>
                <w:color w:val="000000"/>
                <w:sz w:val="22"/>
                <w:szCs w:val="22"/>
              </w:rPr>
            </w:pPr>
          </w:p>
        </w:tc>
      </w:tr>
      <w:tr w:rsidR="00314FC0" w:rsidRPr="00677316" w:rsidTr="00DD7769">
        <w:trPr>
          <w:trHeight w:val="211"/>
        </w:trPr>
        <w:tc>
          <w:tcPr>
            <w:tcW w:w="3888" w:type="pct"/>
            <w:gridSpan w:val="2"/>
            <w:shd w:val="solid" w:color="FFFFFF" w:fill="auto"/>
          </w:tcPr>
          <w:p w:rsidR="00314FC0" w:rsidRPr="00677316" w:rsidRDefault="00314FC0" w:rsidP="00314FC0">
            <w:pPr>
              <w:autoSpaceDE w:val="0"/>
              <w:autoSpaceDN w:val="0"/>
              <w:adjustRightInd w:val="0"/>
              <w:spacing w:after="120"/>
              <w:rPr>
                <w:rFonts w:asciiTheme="minorHAnsi" w:hAnsiTheme="minorHAnsi" w:cstheme="minorHAnsi"/>
                <w:b/>
                <w:color w:val="000000"/>
                <w:sz w:val="22"/>
                <w:szCs w:val="22"/>
              </w:rPr>
            </w:pPr>
            <w:r w:rsidRPr="00677316">
              <w:rPr>
                <w:rFonts w:asciiTheme="minorHAnsi" w:hAnsiTheme="minorHAnsi" w:cstheme="minorHAnsi"/>
                <w:b/>
                <w:color w:val="000000"/>
                <w:sz w:val="22"/>
                <w:szCs w:val="22"/>
              </w:rPr>
              <w:lastRenderedPageBreak/>
              <w:t>Other comprehensive income:</w:t>
            </w:r>
          </w:p>
        </w:tc>
        <w:tc>
          <w:tcPr>
            <w:tcW w:w="557" w:type="pct"/>
            <w:shd w:val="clear" w:color="auto" w:fill="FFFF00"/>
          </w:tcPr>
          <w:p w:rsidR="00DD7769" w:rsidRPr="00677316" w:rsidRDefault="00DD7769" w:rsidP="00314FC0">
            <w:pPr>
              <w:autoSpaceDE w:val="0"/>
              <w:autoSpaceDN w:val="0"/>
              <w:adjustRightInd w:val="0"/>
              <w:spacing w:after="120"/>
              <w:jc w:val="right"/>
              <w:rPr>
                <w:rFonts w:asciiTheme="minorHAnsi" w:hAnsiTheme="minorHAnsi" w:cstheme="minorHAnsi"/>
                <w:b/>
                <w:bCs/>
                <w:color w:val="000000"/>
                <w:sz w:val="22"/>
                <w:szCs w:val="22"/>
              </w:rPr>
            </w:pPr>
          </w:p>
        </w:tc>
        <w:tc>
          <w:tcPr>
            <w:tcW w:w="555" w:type="pct"/>
          </w:tcPr>
          <w:p w:rsidR="00314FC0" w:rsidRPr="00677316" w:rsidRDefault="00314FC0" w:rsidP="00314FC0">
            <w:pPr>
              <w:autoSpaceDE w:val="0"/>
              <w:autoSpaceDN w:val="0"/>
              <w:adjustRightInd w:val="0"/>
              <w:spacing w:after="120"/>
              <w:jc w:val="right"/>
              <w:rPr>
                <w:rFonts w:asciiTheme="minorHAnsi" w:hAnsiTheme="minorHAnsi" w:cstheme="minorHAnsi"/>
                <w:color w:val="000000"/>
                <w:sz w:val="22"/>
                <w:szCs w:val="22"/>
              </w:rPr>
            </w:pPr>
          </w:p>
        </w:tc>
      </w:tr>
      <w:tr w:rsidR="00DD7769" w:rsidRPr="00677316" w:rsidTr="00DD7769">
        <w:trPr>
          <w:trHeight w:val="211"/>
        </w:trPr>
        <w:tc>
          <w:tcPr>
            <w:tcW w:w="3888" w:type="pct"/>
            <w:gridSpan w:val="2"/>
            <w:shd w:val="solid" w:color="FFFFFF" w:fill="auto"/>
          </w:tcPr>
          <w:p w:rsidR="00DD7769" w:rsidRPr="00677316" w:rsidRDefault="00DD7769" w:rsidP="00314FC0">
            <w:pPr>
              <w:autoSpaceDE w:val="0"/>
              <w:autoSpaceDN w:val="0"/>
              <w:adjustRightInd w:val="0"/>
              <w:spacing w:after="120"/>
              <w:rPr>
                <w:rFonts w:asciiTheme="minorHAnsi" w:hAnsiTheme="minorHAnsi" w:cstheme="minorHAnsi"/>
                <w:b/>
                <w:color w:val="000000"/>
                <w:sz w:val="22"/>
                <w:szCs w:val="22"/>
              </w:rPr>
            </w:pPr>
          </w:p>
        </w:tc>
        <w:tc>
          <w:tcPr>
            <w:tcW w:w="557" w:type="pct"/>
            <w:shd w:val="clear" w:color="auto" w:fill="FFFF00"/>
          </w:tcPr>
          <w:p w:rsidR="00DD7769" w:rsidRDefault="00DD7769" w:rsidP="00314FC0">
            <w:pPr>
              <w:autoSpaceDE w:val="0"/>
              <w:autoSpaceDN w:val="0"/>
              <w:adjustRightInd w:val="0"/>
              <w:spacing w:after="120"/>
              <w:jc w:val="right"/>
              <w:rPr>
                <w:rFonts w:asciiTheme="minorHAnsi" w:hAnsiTheme="minorHAnsi" w:cstheme="minorHAnsi"/>
                <w:b/>
                <w:bCs/>
                <w:color w:val="000000"/>
                <w:sz w:val="22"/>
                <w:szCs w:val="22"/>
              </w:rPr>
            </w:pPr>
          </w:p>
        </w:tc>
        <w:tc>
          <w:tcPr>
            <w:tcW w:w="555" w:type="pct"/>
          </w:tcPr>
          <w:p w:rsidR="00DD7769" w:rsidRPr="00677316" w:rsidRDefault="00DD7769" w:rsidP="00314FC0">
            <w:pPr>
              <w:autoSpaceDE w:val="0"/>
              <w:autoSpaceDN w:val="0"/>
              <w:adjustRightInd w:val="0"/>
              <w:spacing w:after="120"/>
              <w:jc w:val="right"/>
              <w:rPr>
                <w:rFonts w:asciiTheme="minorHAnsi" w:hAnsiTheme="minorHAnsi" w:cstheme="minorHAnsi"/>
                <w:color w:val="000000"/>
                <w:sz w:val="22"/>
                <w:szCs w:val="22"/>
              </w:rPr>
            </w:pPr>
          </w:p>
        </w:tc>
      </w:tr>
      <w:tr w:rsidR="00314FC0" w:rsidRPr="00677316" w:rsidTr="00DD7769">
        <w:trPr>
          <w:trHeight w:val="211"/>
        </w:trPr>
        <w:tc>
          <w:tcPr>
            <w:tcW w:w="3888" w:type="pct"/>
            <w:gridSpan w:val="2"/>
            <w:shd w:val="solid" w:color="FFFFFF" w:fill="auto"/>
          </w:tcPr>
          <w:p w:rsidR="00314FC0" w:rsidRPr="00502966" w:rsidRDefault="00314FC0" w:rsidP="00314FC0">
            <w:pPr>
              <w:autoSpaceDE w:val="0"/>
              <w:autoSpaceDN w:val="0"/>
              <w:adjustRightInd w:val="0"/>
              <w:spacing w:after="60"/>
              <w:rPr>
                <w:rFonts w:asciiTheme="minorHAnsi" w:hAnsiTheme="minorHAnsi" w:cstheme="minorHAnsi"/>
                <w:b/>
                <w:i/>
                <w:sz w:val="22"/>
                <w:szCs w:val="22"/>
                <w:lang w:val="en-US"/>
              </w:rPr>
            </w:pPr>
            <w:r w:rsidRPr="00502966">
              <w:rPr>
                <w:rFonts w:asciiTheme="minorHAnsi" w:hAnsiTheme="minorHAnsi" w:cstheme="minorHAnsi"/>
                <w:b/>
                <w:i/>
                <w:lang w:val="en-US"/>
              </w:rPr>
              <w:t>Items that are or may be reclassified to profit or loss:</w:t>
            </w:r>
          </w:p>
        </w:tc>
        <w:tc>
          <w:tcPr>
            <w:tcW w:w="557" w:type="pct"/>
            <w:shd w:val="clear" w:color="auto" w:fill="FFFF00"/>
          </w:tcPr>
          <w:p w:rsidR="00314FC0" w:rsidRPr="00677316" w:rsidRDefault="00314FC0" w:rsidP="00314FC0">
            <w:pPr>
              <w:autoSpaceDE w:val="0"/>
              <w:autoSpaceDN w:val="0"/>
              <w:adjustRightInd w:val="0"/>
              <w:jc w:val="right"/>
              <w:rPr>
                <w:rFonts w:asciiTheme="minorHAnsi" w:hAnsiTheme="minorHAnsi" w:cstheme="minorHAnsi"/>
                <w:b/>
                <w:bCs/>
                <w:color w:val="000000"/>
                <w:sz w:val="22"/>
                <w:szCs w:val="22"/>
              </w:rPr>
            </w:pPr>
          </w:p>
        </w:tc>
        <w:tc>
          <w:tcPr>
            <w:tcW w:w="555" w:type="pct"/>
          </w:tcPr>
          <w:p w:rsidR="00314FC0" w:rsidRPr="00677316" w:rsidRDefault="00314FC0" w:rsidP="00314FC0">
            <w:pPr>
              <w:autoSpaceDE w:val="0"/>
              <w:autoSpaceDN w:val="0"/>
              <w:adjustRightInd w:val="0"/>
              <w:jc w:val="right"/>
              <w:rPr>
                <w:rFonts w:asciiTheme="minorHAnsi" w:hAnsiTheme="minorHAnsi" w:cstheme="minorHAnsi"/>
                <w:color w:val="000000"/>
                <w:sz w:val="22"/>
                <w:szCs w:val="22"/>
              </w:rPr>
            </w:pPr>
          </w:p>
        </w:tc>
      </w:tr>
      <w:tr w:rsidR="00314FC0" w:rsidRPr="00677316" w:rsidTr="00DD7769">
        <w:trPr>
          <w:trHeight w:val="211"/>
        </w:trPr>
        <w:tc>
          <w:tcPr>
            <w:tcW w:w="3888" w:type="pct"/>
            <w:gridSpan w:val="2"/>
            <w:shd w:val="solid" w:color="FFFFFF" w:fill="auto"/>
          </w:tcPr>
          <w:p w:rsidR="00314FC0" w:rsidRPr="00677316" w:rsidRDefault="00314FC0" w:rsidP="00314FC0">
            <w:pPr>
              <w:autoSpaceDE w:val="0"/>
              <w:autoSpaceDN w:val="0"/>
              <w:adjustRightInd w:val="0"/>
              <w:rPr>
                <w:rFonts w:asciiTheme="minorHAnsi" w:hAnsiTheme="minorHAnsi" w:cstheme="minorHAnsi"/>
                <w:b/>
                <w:sz w:val="22"/>
                <w:szCs w:val="22"/>
                <w:lang w:val="en-US"/>
              </w:rPr>
            </w:pPr>
            <w:r w:rsidRPr="00677316">
              <w:rPr>
                <w:rFonts w:asciiTheme="minorHAnsi" w:hAnsiTheme="minorHAnsi" w:cstheme="minorHAnsi"/>
                <w:b/>
                <w:sz w:val="22"/>
                <w:szCs w:val="22"/>
                <w:lang w:val="en-US"/>
              </w:rPr>
              <w:t>Cash flow hedge reserve movements:</w:t>
            </w:r>
          </w:p>
        </w:tc>
        <w:tc>
          <w:tcPr>
            <w:tcW w:w="557" w:type="pct"/>
            <w:shd w:val="clear" w:color="auto" w:fill="FFFF00"/>
          </w:tcPr>
          <w:p w:rsidR="00314FC0" w:rsidRPr="00677316" w:rsidRDefault="00314FC0" w:rsidP="00314FC0">
            <w:pPr>
              <w:autoSpaceDE w:val="0"/>
              <w:autoSpaceDN w:val="0"/>
              <w:adjustRightInd w:val="0"/>
              <w:jc w:val="right"/>
              <w:rPr>
                <w:rFonts w:asciiTheme="minorHAnsi" w:hAnsiTheme="minorHAnsi" w:cstheme="minorHAnsi"/>
                <w:b/>
                <w:bCs/>
                <w:color w:val="000000"/>
                <w:sz w:val="22"/>
                <w:szCs w:val="22"/>
              </w:rPr>
            </w:pPr>
          </w:p>
        </w:tc>
        <w:tc>
          <w:tcPr>
            <w:tcW w:w="555" w:type="pct"/>
          </w:tcPr>
          <w:p w:rsidR="00314FC0" w:rsidRPr="00677316" w:rsidRDefault="00314FC0" w:rsidP="00314FC0">
            <w:pPr>
              <w:autoSpaceDE w:val="0"/>
              <w:autoSpaceDN w:val="0"/>
              <w:adjustRightInd w:val="0"/>
              <w:jc w:val="right"/>
              <w:rPr>
                <w:rFonts w:asciiTheme="minorHAnsi" w:hAnsiTheme="minorHAnsi" w:cstheme="minorHAnsi"/>
                <w:color w:val="000000"/>
                <w:sz w:val="22"/>
                <w:szCs w:val="22"/>
              </w:rPr>
            </w:pPr>
          </w:p>
        </w:tc>
      </w:tr>
      <w:tr w:rsidR="00314FC0" w:rsidRPr="00677316" w:rsidTr="00DD7769">
        <w:trPr>
          <w:trHeight w:val="223"/>
        </w:trPr>
        <w:tc>
          <w:tcPr>
            <w:tcW w:w="3888" w:type="pct"/>
            <w:gridSpan w:val="2"/>
            <w:shd w:val="solid" w:color="FFFFFF" w:fill="auto"/>
          </w:tcPr>
          <w:p w:rsidR="00314FC0" w:rsidRPr="00677316" w:rsidRDefault="00314FC0" w:rsidP="00314FC0">
            <w:pPr>
              <w:autoSpaceDE w:val="0"/>
              <w:autoSpaceDN w:val="0"/>
              <w:adjustRightInd w:val="0"/>
              <w:rPr>
                <w:rFonts w:asciiTheme="minorHAnsi" w:hAnsiTheme="minorHAnsi" w:cstheme="minorHAnsi"/>
                <w:b/>
                <w:sz w:val="22"/>
                <w:szCs w:val="22"/>
                <w:lang w:val="en-US"/>
              </w:rPr>
            </w:pPr>
            <w:r w:rsidRPr="00677316">
              <w:rPr>
                <w:rFonts w:asciiTheme="minorHAnsi" w:hAnsiTheme="minorHAnsi" w:cstheme="minorHAnsi"/>
                <w:sz w:val="22"/>
                <w:szCs w:val="22"/>
                <w:lang w:val="en-US"/>
              </w:rPr>
              <w:t>Net movement in cash flow hedge reserve</w:t>
            </w:r>
          </w:p>
        </w:tc>
        <w:tc>
          <w:tcPr>
            <w:tcW w:w="557" w:type="pct"/>
            <w:shd w:val="clear" w:color="auto" w:fill="FFFF00"/>
          </w:tcPr>
          <w:p w:rsidR="00314FC0" w:rsidRPr="00677316" w:rsidRDefault="00FF7BC2" w:rsidP="00430E4A">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(349.6)</w:t>
            </w:r>
          </w:p>
        </w:tc>
        <w:tc>
          <w:tcPr>
            <w:tcW w:w="555" w:type="pct"/>
            <w:shd w:val="solid" w:color="FFFFFF" w:fill="auto"/>
          </w:tcPr>
          <w:p w:rsidR="00314FC0" w:rsidRPr="00677316" w:rsidRDefault="00121244" w:rsidP="000A0936">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348.4</w:t>
            </w:r>
          </w:p>
        </w:tc>
      </w:tr>
      <w:tr w:rsidR="00314FC0" w:rsidRPr="00677316" w:rsidTr="00DD7769">
        <w:trPr>
          <w:trHeight w:val="223"/>
        </w:trPr>
        <w:tc>
          <w:tcPr>
            <w:tcW w:w="3888" w:type="pct"/>
            <w:gridSpan w:val="2"/>
            <w:shd w:val="solid" w:color="FFFFFF" w:fill="auto"/>
          </w:tcPr>
          <w:p w:rsidR="00314FC0" w:rsidRPr="00677316" w:rsidRDefault="00314FC0" w:rsidP="00314FC0">
            <w:pPr>
              <w:autoSpaceDE w:val="0"/>
              <w:autoSpaceDN w:val="0"/>
              <w:adjustRightInd w:val="0"/>
              <w:rPr>
                <w:rFonts w:asciiTheme="minorHAnsi" w:hAnsiTheme="minorHAnsi" w:cstheme="minorHAnsi"/>
                <w:b/>
                <w:sz w:val="22"/>
                <w:szCs w:val="22"/>
                <w:lang w:val="en-US"/>
              </w:rPr>
            </w:pPr>
          </w:p>
        </w:tc>
        <w:tc>
          <w:tcPr>
            <w:tcW w:w="557" w:type="pct"/>
            <w:shd w:val="clear" w:color="auto" w:fill="FFFF00"/>
          </w:tcPr>
          <w:p w:rsidR="00314FC0" w:rsidRPr="00677316" w:rsidRDefault="00314FC0" w:rsidP="00314FC0">
            <w:pPr>
              <w:autoSpaceDE w:val="0"/>
              <w:autoSpaceDN w:val="0"/>
              <w:adjustRightInd w:val="0"/>
              <w:jc w:val="right"/>
              <w:rPr>
                <w:rFonts w:asciiTheme="minorHAnsi" w:hAnsiTheme="minorHAnsi" w:cstheme="minorHAnsi"/>
                <w:b/>
                <w:bCs/>
                <w:color w:val="000000"/>
                <w:sz w:val="22"/>
                <w:szCs w:val="22"/>
              </w:rPr>
            </w:pPr>
          </w:p>
        </w:tc>
        <w:tc>
          <w:tcPr>
            <w:tcW w:w="555" w:type="pct"/>
            <w:shd w:val="solid" w:color="FFFFFF" w:fill="auto"/>
          </w:tcPr>
          <w:p w:rsidR="00314FC0" w:rsidRPr="00677316" w:rsidRDefault="00314FC0" w:rsidP="00314FC0">
            <w:pPr>
              <w:autoSpaceDE w:val="0"/>
              <w:autoSpaceDN w:val="0"/>
              <w:adjustRightInd w:val="0"/>
              <w:jc w:val="right"/>
              <w:rPr>
                <w:rFonts w:asciiTheme="minorHAnsi" w:hAnsiTheme="minorHAnsi" w:cstheme="minorHAnsi"/>
                <w:color w:val="000000"/>
                <w:sz w:val="22"/>
                <w:szCs w:val="22"/>
              </w:rPr>
            </w:pPr>
          </w:p>
        </w:tc>
      </w:tr>
      <w:tr w:rsidR="00314FC0" w:rsidRPr="00677316" w:rsidTr="00DD7769">
        <w:trPr>
          <w:trHeight w:val="211"/>
        </w:trPr>
        <w:tc>
          <w:tcPr>
            <w:tcW w:w="1517" w:type="pct"/>
            <w:shd w:val="solid" w:color="FFFFFF" w:fill="auto"/>
          </w:tcPr>
          <w:p w:rsidR="00314FC0" w:rsidRPr="00677316" w:rsidRDefault="00314FC0" w:rsidP="00314FC0">
            <w:pPr>
              <w:autoSpaceDE w:val="0"/>
              <w:autoSpaceDN w:val="0"/>
              <w:adjustRightInd w:val="0"/>
              <w:jc w:val="right"/>
              <w:rPr>
                <w:rFonts w:asciiTheme="minorHAnsi" w:hAnsiTheme="minorHAnsi" w:cstheme="minorHAnsi"/>
                <w:b/>
                <w:bCs/>
                <w:color w:val="000000"/>
                <w:sz w:val="22"/>
                <w:szCs w:val="22"/>
              </w:rPr>
            </w:pPr>
          </w:p>
        </w:tc>
        <w:tc>
          <w:tcPr>
            <w:tcW w:w="2371" w:type="pct"/>
            <w:shd w:val="solid" w:color="FFFFFF" w:fill="auto"/>
          </w:tcPr>
          <w:p w:rsidR="00314FC0" w:rsidRPr="00677316" w:rsidRDefault="00314FC0" w:rsidP="00314FC0">
            <w:pPr>
              <w:autoSpaceDE w:val="0"/>
              <w:autoSpaceDN w:val="0"/>
              <w:adjustRightInd w:val="0"/>
              <w:jc w:val="right"/>
              <w:rPr>
                <w:rFonts w:asciiTheme="minorHAnsi" w:hAnsiTheme="minorHAnsi" w:cstheme="minorHAnsi"/>
                <w:color w:val="000000"/>
                <w:sz w:val="22"/>
                <w:szCs w:val="22"/>
              </w:rPr>
            </w:pPr>
          </w:p>
        </w:tc>
        <w:tc>
          <w:tcPr>
            <w:tcW w:w="557" w:type="pct"/>
            <w:tcBorders>
              <w:top w:val="single" w:sz="4" w:space="0" w:color="auto"/>
            </w:tcBorders>
            <w:shd w:val="clear" w:color="auto" w:fill="FFFF00"/>
          </w:tcPr>
          <w:p w:rsidR="00314FC0" w:rsidRPr="00677316" w:rsidRDefault="00314FC0" w:rsidP="00314FC0">
            <w:pPr>
              <w:autoSpaceDE w:val="0"/>
              <w:autoSpaceDN w:val="0"/>
              <w:adjustRightInd w:val="0"/>
              <w:jc w:val="right"/>
              <w:rPr>
                <w:rFonts w:asciiTheme="minorHAnsi" w:hAnsiTheme="minorHAnsi" w:cstheme="minorHAnsi"/>
                <w:b/>
                <w:bCs/>
                <w:color w:val="000000"/>
                <w:sz w:val="22"/>
                <w:szCs w:val="22"/>
              </w:rPr>
            </w:pPr>
          </w:p>
        </w:tc>
        <w:tc>
          <w:tcPr>
            <w:tcW w:w="555" w:type="pct"/>
            <w:tcBorders>
              <w:top w:val="single" w:sz="4" w:space="0" w:color="auto"/>
            </w:tcBorders>
            <w:shd w:val="solid" w:color="FFFFFF" w:fill="auto"/>
          </w:tcPr>
          <w:p w:rsidR="00314FC0" w:rsidRPr="00677316" w:rsidRDefault="00314FC0" w:rsidP="00314FC0">
            <w:pPr>
              <w:autoSpaceDE w:val="0"/>
              <w:autoSpaceDN w:val="0"/>
              <w:adjustRightInd w:val="0"/>
              <w:jc w:val="right"/>
              <w:rPr>
                <w:rFonts w:asciiTheme="minorHAnsi" w:hAnsiTheme="minorHAnsi" w:cstheme="minorHAnsi"/>
                <w:color w:val="000000"/>
                <w:sz w:val="22"/>
                <w:szCs w:val="22"/>
              </w:rPr>
            </w:pPr>
          </w:p>
        </w:tc>
      </w:tr>
      <w:tr w:rsidR="00314FC0" w:rsidRPr="00677316" w:rsidTr="00DD7769">
        <w:trPr>
          <w:trHeight w:val="211"/>
        </w:trPr>
        <w:tc>
          <w:tcPr>
            <w:tcW w:w="3888" w:type="pct"/>
            <w:gridSpan w:val="2"/>
            <w:shd w:val="solid" w:color="FFFFFF" w:fill="auto"/>
          </w:tcPr>
          <w:p w:rsidR="00314FC0" w:rsidRPr="00677316" w:rsidRDefault="00314FC0" w:rsidP="00430E4A">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Other </w:t>
            </w:r>
            <w:r w:rsidRPr="00FA6972">
              <w:rPr>
                <w:rFonts w:asciiTheme="minorHAnsi" w:hAnsiTheme="minorHAnsi" w:cstheme="minorHAnsi"/>
                <w:b/>
                <w:bCs/>
                <w:color w:val="000000"/>
                <w:sz w:val="22"/>
                <w:szCs w:val="22"/>
              </w:rPr>
              <w:t xml:space="preserve">comprehensive </w:t>
            </w:r>
            <w:r w:rsidR="00FA6972" w:rsidRPr="00FA6972">
              <w:rPr>
                <w:rFonts w:asciiTheme="minorHAnsi" w:hAnsiTheme="minorHAnsi" w:cstheme="minorHAnsi"/>
                <w:b/>
                <w:bCs/>
                <w:color w:val="000000"/>
                <w:sz w:val="22"/>
                <w:szCs w:val="22"/>
              </w:rPr>
              <w:t>(</w:t>
            </w:r>
            <w:r w:rsidR="00121244" w:rsidRPr="00FA6972">
              <w:rPr>
                <w:rFonts w:asciiTheme="minorHAnsi" w:hAnsiTheme="minorHAnsi" w:cstheme="minorHAnsi"/>
                <w:b/>
                <w:bCs/>
                <w:color w:val="000000"/>
                <w:sz w:val="22"/>
                <w:szCs w:val="22"/>
              </w:rPr>
              <w:t>loss</w:t>
            </w:r>
            <w:r w:rsidR="00FA6972" w:rsidRPr="00FA6972">
              <w:rPr>
                <w:rFonts w:asciiTheme="minorHAnsi" w:hAnsiTheme="minorHAnsi" w:cstheme="minorHAnsi"/>
                <w:b/>
                <w:bCs/>
                <w:color w:val="000000"/>
                <w:sz w:val="22"/>
                <w:szCs w:val="22"/>
              </w:rPr>
              <w:t>)</w:t>
            </w:r>
            <w:r w:rsidR="00121244" w:rsidRPr="00FA6972">
              <w:rPr>
                <w:rFonts w:asciiTheme="minorHAnsi" w:hAnsiTheme="minorHAnsi" w:cstheme="minorHAnsi"/>
                <w:b/>
                <w:bCs/>
                <w:color w:val="000000"/>
                <w:sz w:val="22"/>
                <w:szCs w:val="22"/>
              </w:rPr>
              <w:t>/</w:t>
            </w:r>
            <w:r w:rsidRPr="00FA6972">
              <w:rPr>
                <w:rFonts w:asciiTheme="minorHAnsi" w:hAnsiTheme="minorHAnsi" w:cstheme="minorHAnsi"/>
                <w:b/>
                <w:bCs/>
                <w:color w:val="000000"/>
                <w:sz w:val="22"/>
                <w:szCs w:val="22"/>
              </w:rPr>
              <w:t>income</w:t>
            </w:r>
            <w:r w:rsidRPr="00677316">
              <w:rPr>
                <w:rFonts w:asciiTheme="minorHAnsi" w:hAnsiTheme="minorHAnsi" w:cstheme="minorHAnsi"/>
                <w:b/>
                <w:bCs/>
                <w:color w:val="000000"/>
                <w:sz w:val="22"/>
                <w:szCs w:val="22"/>
              </w:rPr>
              <w:t xml:space="preserve"> for the </w:t>
            </w:r>
            <w:r w:rsidR="00121244">
              <w:rPr>
                <w:rFonts w:asciiTheme="minorHAnsi" w:hAnsiTheme="minorHAnsi" w:cstheme="minorHAnsi"/>
                <w:b/>
                <w:bCs/>
                <w:color w:val="000000"/>
                <w:sz w:val="22"/>
                <w:szCs w:val="22"/>
              </w:rPr>
              <w:t>quarter</w:t>
            </w:r>
            <w:r w:rsidRPr="00677316">
              <w:rPr>
                <w:rFonts w:asciiTheme="minorHAnsi" w:hAnsiTheme="minorHAnsi" w:cstheme="minorHAnsi"/>
                <w:b/>
                <w:bCs/>
                <w:color w:val="000000"/>
                <w:sz w:val="22"/>
                <w:szCs w:val="22"/>
              </w:rPr>
              <w:t>, net of income tax</w:t>
            </w:r>
          </w:p>
        </w:tc>
        <w:tc>
          <w:tcPr>
            <w:tcW w:w="557" w:type="pct"/>
            <w:tcBorders>
              <w:bottom w:val="single" w:sz="4" w:space="0" w:color="auto"/>
            </w:tcBorders>
            <w:shd w:val="clear" w:color="auto" w:fill="FFFF00"/>
          </w:tcPr>
          <w:p w:rsidR="00314FC0" w:rsidRPr="00677316" w:rsidRDefault="00FF7BC2" w:rsidP="00430E4A">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(349.6)</w:t>
            </w:r>
          </w:p>
        </w:tc>
        <w:tc>
          <w:tcPr>
            <w:tcW w:w="555" w:type="pct"/>
            <w:tcBorders>
              <w:bottom w:val="single" w:sz="4" w:space="0" w:color="auto"/>
            </w:tcBorders>
            <w:shd w:val="solid" w:color="FFFFFF" w:fill="auto"/>
          </w:tcPr>
          <w:p w:rsidR="00314FC0" w:rsidRPr="00677316" w:rsidRDefault="00121244" w:rsidP="000A0936">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348.4</w:t>
            </w:r>
          </w:p>
        </w:tc>
      </w:tr>
      <w:tr w:rsidR="00314FC0" w:rsidRPr="00677316" w:rsidTr="00DD7769">
        <w:trPr>
          <w:trHeight w:val="211"/>
        </w:trPr>
        <w:tc>
          <w:tcPr>
            <w:tcW w:w="3888" w:type="pct"/>
            <w:gridSpan w:val="2"/>
            <w:shd w:val="solid" w:color="FFFFFF" w:fill="auto"/>
          </w:tcPr>
          <w:p w:rsidR="00314FC0" w:rsidRPr="00677316" w:rsidRDefault="00314FC0" w:rsidP="00314FC0">
            <w:pPr>
              <w:autoSpaceDE w:val="0"/>
              <w:autoSpaceDN w:val="0"/>
              <w:adjustRightInd w:val="0"/>
              <w:rPr>
                <w:rFonts w:asciiTheme="minorHAnsi" w:hAnsiTheme="minorHAnsi" w:cstheme="minorHAnsi"/>
                <w:b/>
                <w:bCs/>
                <w:color w:val="000000"/>
                <w:sz w:val="22"/>
                <w:szCs w:val="22"/>
              </w:rPr>
            </w:pPr>
          </w:p>
        </w:tc>
        <w:tc>
          <w:tcPr>
            <w:tcW w:w="557" w:type="pct"/>
            <w:tcBorders>
              <w:top w:val="single" w:sz="4" w:space="0" w:color="auto"/>
            </w:tcBorders>
            <w:shd w:val="clear" w:color="auto" w:fill="FFFF00"/>
          </w:tcPr>
          <w:p w:rsidR="00314FC0" w:rsidRPr="00677316" w:rsidRDefault="00314FC0" w:rsidP="00314FC0">
            <w:pPr>
              <w:autoSpaceDE w:val="0"/>
              <w:autoSpaceDN w:val="0"/>
              <w:adjustRightInd w:val="0"/>
              <w:jc w:val="right"/>
              <w:rPr>
                <w:rFonts w:asciiTheme="minorHAnsi" w:hAnsiTheme="minorHAnsi" w:cstheme="minorHAnsi"/>
                <w:b/>
                <w:bCs/>
                <w:color w:val="000000"/>
                <w:sz w:val="22"/>
                <w:szCs w:val="22"/>
              </w:rPr>
            </w:pPr>
          </w:p>
        </w:tc>
        <w:tc>
          <w:tcPr>
            <w:tcW w:w="555" w:type="pct"/>
            <w:tcBorders>
              <w:top w:val="single" w:sz="4" w:space="0" w:color="auto"/>
            </w:tcBorders>
            <w:shd w:val="solid" w:color="FFFFFF" w:fill="auto"/>
          </w:tcPr>
          <w:p w:rsidR="00314FC0" w:rsidRPr="00677316" w:rsidRDefault="00314FC0" w:rsidP="00314FC0">
            <w:pPr>
              <w:autoSpaceDE w:val="0"/>
              <w:autoSpaceDN w:val="0"/>
              <w:adjustRightInd w:val="0"/>
              <w:jc w:val="right"/>
              <w:rPr>
                <w:rFonts w:asciiTheme="minorHAnsi" w:hAnsiTheme="minorHAnsi" w:cstheme="minorHAnsi"/>
                <w:color w:val="000000"/>
                <w:sz w:val="22"/>
                <w:szCs w:val="22"/>
              </w:rPr>
            </w:pPr>
          </w:p>
        </w:tc>
      </w:tr>
      <w:tr w:rsidR="00314FC0" w:rsidRPr="00677316" w:rsidTr="00DD7769">
        <w:trPr>
          <w:trHeight w:val="211"/>
        </w:trPr>
        <w:tc>
          <w:tcPr>
            <w:tcW w:w="3888" w:type="pct"/>
            <w:gridSpan w:val="2"/>
            <w:shd w:val="solid" w:color="FFFFFF" w:fill="auto"/>
          </w:tcPr>
          <w:p w:rsidR="00314FC0" w:rsidRPr="00677316" w:rsidRDefault="00314FC0" w:rsidP="00430E4A">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Total comprehensive income for the </w:t>
            </w:r>
            <w:r w:rsidR="00121244">
              <w:rPr>
                <w:rFonts w:asciiTheme="minorHAnsi" w:hAnsiTheme="minorHAnsi" w:cstheme="minorHAnsi"/>
                <w:b/>
                <w:bCs/>
                <w:color w:val="000000"/>
                <w:sz w:val="22"/>
                <w:szCs w:val="22"/>
              </w:rPr>
              <w:t>quarter</w:t>
            </w:r>
            <w:r w:rsidRPr="00677316">
              <w:rPr>
                <w:rFonts w:asciiTheme="minorHAnsi" w:hAnsiTheme="minorHAnsi" w:cstheme="minorHAnsi"/>
                <w:b/>
                <w:bCs/>
                <w:color w:val="000000"/>
                <w:sz w:val="22"/>
                <w:szCs w:val="22"/>
              </w:rPr>
              <w:t xml:space="preserve"> – all attributable to equity holders of parent</w:t>
            </w:r>
          </w:p>
        </w:tc>
        <w:tc>
          <w:tcPr>
            <w:tcW w:w="557" w:type="pct"/>
            <w:tcBorders>
              <w:bottom w:val="single" w:sz="4" w:space="0" w:color="auto"/>
            </w:tcBorders>
            <w:shd w:val="clear" w:color="auto" w:fill="FFFF00"/>
          </w:tcPr>
          <w:p w:rsidR="00314FC0" w:rsidRPr="00677316" w:rsidRDefault="00FF7BC2" w:rsidP="008323A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47.5</w:t>
            </w:r>
          </w:p>
        </w:tc>
        <w:tc>
          <w:tcPr>
            <w:tcW w:w="555" w:type="pct"/>
            <w:tcBorders>
              <w:bottom w:val="single" w:sz="4" w:space="0" w:color="auto"/>
            </w:tcBorders>
            <w:shd w:val="solid" w:color="FFFFFF" w:fill="auto"/>
          </w:tcPr>
          <w:p w:rsidR="00314FC0" w:rsidRPr="00677316" w:rsidRDefault="00121244" w:rsidP="000A0936">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603.9</w:t>
            </w:r>
          </w:p>
        </w:tc>
      </w:tr>
    </w:tbl>
    <w:p w:rsidR="00314FC0" w:rsidRPr="00677316" w:rsidRDefault="00314FC0" w:rsidP="00314FC0">
      <w:pPr>
        <w:rPr>
          <w:rFonts w:asciiTheme="minorHAnsi" w:hAnsiTheme="minorHAnsi" w:cstheme="minorHAnsi"/>
          <w:b/>
          <w:bCs/>
          <w:color w:val="000000"/>
          <w:sz w:val="22"/>
          <w:szCs w:val="22"/>
        </w:rPr>
      </w:pPr>
    </w:p>
    <w:p w:rsidR="00D735E7" w:rsidRDefault="00D735E7" w:rsidP="00DE7410">
      <w:pPr>
        <w:autoSpaceDE w:val="0"/>
        <w:autoSpaceDN w:val="0"/>
        <w:adjustRightInd w:val="0"/>
        <w:rPr>
          <w:rFonts w:asciiTheme="minorHAnsi" w:hAnsiTheme="minorHAnsi" w:cstheme="minorHAnsi"/>
          <w:b/>
          <w:bCs/>
          <w:color w:val="000000"/>
        </w:rPr>
      </w:pPr>
    </w:p>
    <w:p w:rsidR="00DE7410" w:rsidRPr="006D0437" w:rsidRDefault="00DE7410" w:rsidP="00DE7410">
      <w:pPr>
        <w:autoSpaceDE w:val="0"/>
        <w:autoSpaceDN w:val="0"/>
        <w:adjustRightInd w:val="0"/>
        <w:rPr>
          <w:rFonts w:asciiTheme="minorHAnsi" w:hAnsiTheme="minorHAnsi" w:cstheme="minorHAnsi"/>
          <w:b/>
          <w:bCs/>
          <w:color w:val="000000"/>
        </w:rPr>
      </w:pPr>
      <w:r w:rsidRPr="006D0437">
        <w:rPr>
          <w:rFonts w:asciiTheme="minorHAnsi" w:hAnsiTheme="minorHAnsi" w:cstheme="minorHAnsi"/>
          <w:b/>
          <w:bCs/>
          <w:color w:val="000000"/>
        </w:rPr>
        <w:t>Ryanair Holdings plc and Subsidiaries</w:t>
      </w:r>
    </w:p>
    <w:p w:rsidR="000C0F4D" w:rsidRPr="00CB534B" w:rsidRDefault="000C0F4D" w:rsidP="000C0F4D">
      <w:pPr>
        <w:ind w:right="-279"/>
        <w:rPr>
          <w:rFonts w:asciiTheme="minorHAnsi" w:hAnsiTheme="minorHAnsi" w:cstheme="minorHAnsi"/>
          <w:b/>
          <w:bCs/>
          <w:i/>
          <w:iCs/>
          <w:color w:val="000000"/>
        </w:rPr>
      </w:pPr>
      <w:r w:rsidRPr="006D0437">
        <w:rPr>
          <w:rFonts w:asciiTheme="minorHAnsi" w:hAnsiTheme="minorHAnsi" w:cstheme="minorHAnsi"/>
          <w:b/>
          <w:bCs/>
          <w:i/>
          <w:iCs/>
          <w:color w:val="000000"/>
        </w:rPr>
        <w:t xml:space="preserve">Condensed Consolidated </w:t>
      </w:r>
      <w:r w:rsidR="00121244">
        <w:rPr>
          <w:rFonts w:asciiTheme="minorHAnsi" w:hAnsiTheme="minorHAnsi" w:cstheme="minorHAnsi"/>
          <w:b/>
          <w:bCs/>
          <w:i/>
          <w:iCs/>
          <w:color w:val="000000"/>
        </w:rPr>
        <w:t>Interim</w:t>
      </w:r>
      <w:r w:rsidRPr="006D0437">
        <w:rPr>
          <w:rFonts w:asciiTheme="minorHAnsi" w:hAnsiTheme="minorHAnsi" w:cstheme="minorHAnsi"/>
          <w:b/>
          <w:bCs/>
          <w:i/>
          <w:iCs/>
          <w:color w:val="000000"/>
        </w:rPr>
        <w:t xml:space="preserve"> Statement of Cash Flows for the</w:t>
      </w:r>
      <w:r w:rsidR="009D5EA3" w:rsidRPr="006D0437">
        <w:rPr>
          <w:rFonts w:asciiTheme="minorHAnsi" w:hAnsiTheme="minorHAnsi" w:cstheme="minorHAnsi"/>
          <w:b/>
          <w:bCs/>
          <w:i/>
          <w:iCs/>
          <w:color w:val="000000"/>
        </w:rPr>
        <w:t xml:space="preserve"> </w:t>
      </w:r>
      <w:r w:rsidR="00121244">
        <w:rPr>
          <w:rFonts w:asciiTheme="minorHAnsi" w:hAnsiTheme="minorHAnsi" w:cstheme="minorHAnsi"/>
          <w:b/>
          <w:bCs/>
          <w:i/>
          <w:iCs/>
          <w:color w:val="000000"/>
        </w:rPr>
        <w:t>quarter</w:t>
      </w:r>
      <w:r w:rsidRPr="006D0437">
        <w:rPr>
          <w:rFonts w:asciiTheme="minorHAnsi" w:hAnsiTheme="minorHAnsi" w:cstheme="minorHAnsi"/>
          <w:b/>
          <w:bCs/>
          <w:i/>
          <w:iCs/>
          <w:color w:val="000000"/>
        </w:rPr>
        <w:t xml:space="preserve"> ended</w:t>
      </w:r>
      <w:r w:rsidR="008323AE">
        <w:rPr>
          <w:rFonts w:asciiTheme="minorHAnsi" w:hAnsiTheme="minorHAnsi" w:cstheme="minorHAnsi"/>
          <w:b/>
          <w:bCs/>
          <w:i/>
          <w:iCs/>
          <w:color w:val="000000"/>
        </w:rPr>
        <w:t xml:space="preserve"> </w:t>
      </w:r>
      <w:r w:rsidR="00121244">
        <w:rPr>
          <w:rFonts w:asciiTheme="minorHAnsi" w:hAnsiTheme="minorHAnsi" w:cstheme="minorHAnsi"/>
          <w:b/>
          <w:bCs/>
          <w:i/>
          <w:iCs/>
          <w:color w:val="000000"/>
        </w:rPr>
        <w:t>June</w:t>
      </w:r>
      <w:r w:rsidRPr="006D0437">
        <w:rPr>
          <w:rFonts w:asciiTheme="minorHAnsi" w:hAnsiTheme="minorHAnsi" w:cstheme="minorHAnsi"/>
          <w:b/>
          <w:bCs/>
          <w:i/>
          <w:iCs/>
          <w:color w:val="000000"/>
        </w:rPr>
        <w:t xml:space="preserve"> </w:t>
      </w:r>
      <w:r w:rsidR="000A0936">
        <w:rPr>
          <w:rFonts w:asciiTheme="minorHAnsi" w:hAnsiTheme="minorHAnsi" w:cstheme="minorHAnsi"/>
          <w:b/>
          <w:bCs/>
          <w:i/>
          <w:iCs/>
          <w:color w:val="000000"/>
        </w:rPr>
        <w:t>3</w:t>
      </w:r>
      <w:r w:rsidR="00121244">
        <w:rPr>
          <w:rFonts w:asciiTheme="minorHAnsi" w:hAnsiTheme="minorHAnsi" w:cstheme="minorHAnsi"/>
          <w:b/>
          <w:bCs/>
          <w:i/>
          <w:iCs/>
          <w:color w:val="000000"/>
        </w:rPr>
        <w:t>0</w:t>
      </w:r>
      <w:r w:rsidRPr="006D0437">
        <w:rPr>
          <w:rFonts w:asciiTheme="minorHAnsi" w:hAnsiTheme="minorHAnsi" w:cstheme="minorHAnsi"/>
          <w:b/>
          <w:bCs/>
          <w:i/>
          <w:iCs/>
          <w:color w:val="000000"/>
        </w:rPr>
        <w:t xml:space="preserve">, </w:t>
      </w:r>
      <w:r w:rsidR="00B425A8">
        <w:rPr>
          <w:rFonts w:asciiTheme="minorHAnsi" w:hAnsiTheme="minorHAnsi" w:cstheme="minorHAnsi"/>
          <w:b/>
          <w:bCs/>
          <w:i/>
          <w:iCs/>
          <w:color w:val="000000"/>
        </w:rPr>
        <w:t>201</w:t>
      </w:r>
      <w:r w:rsidR="00DD7769">
        <w:rPr>
          <w:rFonts w:asciiTheme="minorHAnsi" w:hAnsiTheme="minorHAnsi" w:cstheme="minorHAnsi"/>
          <w:b/>
          <w:bCs/>
          <w:i/>
          <w:iCs/>
          <w:color w:val="000000"/>
        </w:rPr>
        <w:t>7</w:t>
      </w:r>
      <w:r w:rsidRPr="006D0437">
        <w:rPr>
          <w:rFonts w:asciiTheme="minorHAnsi" w:hAnsiTheme="minorHAnsi" w:cstheme="minorHAnsi"/>
          <w:b/>
          <w:bCs/>
          <w:i/>
          <w:iCs/>
          <w:color w:val="000000"/>
        </w:rPr>
        <w:t xml:space="preserve"> </w:t>
      </w:r>
      <w:r w:rsidR="00B7470E" w:rsidRPr="006D0437">
        <w:rPr>
          <w:rFonts w:asciiTheme="minorHAnsi" w:hAnsiTheme="minorHAnsi" w:cstheme="minorHAnsi"/>
          <w:b/>
          <w:bCs/>
          <w:i/>
          <w:iCs/>
          <w:color w:val="000000"/>
        </w:rPr>
        <w:t>(unaudited)</w:t>
      </w:r>
    </w:p>
    <w:p w:rsidR="000C0F4D" w:rsidRPr="00395906" w:rsidRDefault="003E505D" w:rsidP="000C0F4D">
      <w:pPr>
        <w:rPr>
          <w:rFonts w:asciiTheme="minorHAnsi" w:hAnsiTheme="minorHAnsi" w:cstheme="minorHAnsi"/>
          <w:sz w:val="22"/>
          <w:szCs w:val="22"/>
        </w:rPr>
      </w:pPr>
      <w:r w:rsidRPr="00395906">
        <w:rPr>
          <w:rFonts w:asciiTheme="minorHAnsi" w:hAnsiTheme="minorHAnsi" w:cstheme="minorHAnsi"/>
          <w:sz w:val="22"/>
          <w:szCs w:val="22"/>
        </w:rPr>
        <w:tab/>
      </w:r>
    </w:p>
    <w:tbl>
      <w:tblPr>
        <w:tblW w:w="11085" w:type="dxa"/>
        <w:tblLook w:val="0000" w:firstRow="0" w:lastRow="0" w:firstColumn="0" w:lastColumn="0" w:noHBand="0" w:noVBand="0"/>
      </w:tblPr>
      <w:tblGrid>
        <w:gridCol w:w="275"/>
        <w:gridCol w:w="7664"/>
        <w:gridCol w:w="745"/>
        <w:gridCol w:w="1206"/>
        <w:gridCol w:w="1195"/>
      </w:tblGrid>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0C0F4D" w:rsidP="000C0F4D">
            <w:pPr>
              <w:autoSpaceDE w:val="0"/>
              <w:autoSpaceDN w:val="0"/>
              <w:adjustRightInd w:val="0"/>
              <w:jc w:val="right"/>
              <w:rPr>
                <w:rFonts w:asciiTheme="minorHAnsi" w:hAnsiTheme="minorHAnsi" w:cstheme="minorHAnsi"/>
                <w:b/>
                <w:color w:val="000000"/>
                <w:sz w:val="22"/>
                <w:szCs w:val="22"/>
                <w:u w:val="single"/>
              </w:rPr>
            </w:pP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7D5B9B" w:rsidRPr="00677316" w:rsidRDefault="00121244" w:rsidP="008323A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Quarter</w:t>
            </w:r>
          </w:p>
        </w:tc>
        <w:tc>
          <w:tcPr>
            <w:tcW w:w="539" w:type="pct"/>
          </w:tcPr>
          <w:p w:rsidR="000A0936" w:rsidRPr="00677316" w:rsidRDefault="00121244" w:rsidP="000C0F4D">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Quarter</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rPr>
            </w:pP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Ended</w:t>
            </w:r>
          </w:p>
        </w:tc>
        <w:tc>
          <w:tcPr>
            <w:tcW w:w="539" w:type="pct"/>
          </w:tcPr>
          <w:p w:rsidR="000C0F4D" w:rsidRPr="00677316" w:rsidRDefault="000C0F4D" w:rsidP="000C0F4D">
            <w:pPr>
              <w:autoSpaceDE w:val="0"/>
              <w:autoSpaceDN w:val="0"/>
              <w:adjustRightInd w:val="0"/>
              <w:jc w:val="right"/>
              <w:rPr>
                <w:rFonts w:asciiTheme="minorHAnsi" w:hAnsiTheme="minorHAnsi" w:cstheme="minorHAnsi"/>
                <w:bCs/>
                <w:color w:val="000000"/>
                <w:sz w:val="22"/>
                <w:szCs w:val="22"/>
              </w:rPr>
            </w:pPr>
            <w:r w:rsidRPr="00677316">
              <w:rPr>
                <w:rFonts w:asciiTheme="minorHAnsi" w:hAnsiTheme="minorHAnsi" w:cstheme="minorHAnsi"/>
                <w:bCs/>
                <w:color w:val="000000"/>
                <w:sz w:val="22"/>
                <w:szCs w:val="22"/>
              </w:rPr>
              <w:t>Ended</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rPr>
            </w:pP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121244" w:rsidP="000A0936">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Jun</w:t>
            </w:r>
            <w:r w:rsidR="00CB534B">
              <w:rPr>
                <w:rFonts w:asciiTheme="minorHAnsi" w:hAnsiTheme="minorHAnsi" w:cstheme="minorHAnsi"/>
                <w:b/>
                <w:bCs/>
                <w:color w:val="000000"/>
                <w:sz w:val="22"/>
                <w:szCs w:val="22"/>
              </w:rPr>
              <w:t xml:space="preserve"> 3</w:t>
            </w:r>
            <w:r>
              <w:rPr>
                <w:rFonts w:asciiTheme="minorHAnsi" w:hAnsiTheme="minorHAnsi" w:cstheme="minorHAnsi"/>
                <w:b/>
                <w:bCs/>
                <w:color w:val="000000"/>
                <w:sz w:val="22"/>
                <w:szCs w:val="22"/>
              </w:rPr>
              <w:t>0</w:t>
            </w:r>
            <w:r w:rsidR="000C0F4D" w:rsidRPr="00677316">
              <w:rPr>
                <w:rFonts w:asciiTheme="minorHAnsi" w:hAnsiTheme="minorHAnsi" w:cstheme="minorHAnsi"/>
                <w:b/>
                <w:bCs/>
                <w:color w:val="000000"/>
                <w:sz w:val="22"/>
                <w:szCs w:val="22"/>
              </w:rPr>
              <w:t>,</w:t>
            </w:r>
          </w:p>
        </w:tc>
        <w:tc>
          <w:tcPr>
            <w:tcW w:w="539" w:type="pct"/>
          </w:tcPr>
          <w:p w:rsidR="000C0F4D" w:rsidRPr="00677316" w:rsidRDefault="00121244" w:rsidP="000A0936">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Jun</w:t>
            </w:r>
            <w:r w:rsidR="001B645A">
              <w:rPr>
                <w:rFonts w:asciiTheme="minorHAnsi" w:hAnsiTheme="minorHAnsi" w:cstheme="minorHAnsi"/>
                <w:bCs/>
                <w:color w:val="000000"/>
                <w:sz w:val="22"/>
                <w:szCs w:val="22"/>
              </w:rPr>
              <w:t xml:space="preserve"> 3</w:t>
            </w:r>
            <w:r>
              <w:rPr>
                <w:rFonts w:asciiTheme="minorHAnsi" w:hAnsiTheme="minorHAnsi" w:cstheme="minorHAnsi"/>
                <w:bCs/>
                <w:color w:val="000000"/>
                <w:sz w:val="22"/>
                <w:szCs w:val="22"/>
              </w:rPr>
              <w:t>0</w:t>
            </w:r>
            <w:r w:rsidR="000C0F4D" w:rsidRPr="00677316">
              <w:rPr>
                <w:rFonts w:asciiTheme="minorHAnsi" w:hAnsiTheme="minorHAnsi" w:cstheme="minorHAnsi"/>
                <w:bCs/>
                <w:color w:val="000000"/>
                <w:sz w:val="22"/>
                <w:szCs w:val="22"/>
              </w:rPr>
              <w:t>,</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rPr>
            </w:pP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B425A8" w:rsidP="007D5B9B">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201</w:t>
            </w:r>
            <w:r w:rsidR="00DD7769">
              <w:rPr>
                <w:rFonts w:asciiTheme="minorHAnsi" w:hAnsiTheme="minorHAnsi" w:cstheme="minorHAnsi"/>
                <w:b/>
                <w:bCs/>
                <w:color w:val="000000"/>
                <w:sz w:val="22"/>
                <w:szCs w:val="22"/>
              </w:rPr>
              <w:t>7</w:t>
            </w:r>
          </w:p>
        </w:tc>
        <w:tc>
          <w:tcPr>
            <w:tcW w:w="539" w:type="pct"/>
          </w:tcPr>
          <w:p w:rsidR="000C0F4D" w:rsidRPr="00677316" w:rsidRDefault="00B425A8" w:rsidP="007D5B9B">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201</w:t>
            </w:r>
            <w:r w:rsidR="00DD7769">
              <w:rPr>
                <w:rFonts w:asciiTheme="minorHAnsi" w:hAnsiTheme="minorHAnsi" w:cstheme="minorHAnsi"/>
                <w:bCs/>
                <w:color w:val="000000"/>
                <w:sz w:val="22"/>
                <w:szCs w:val="22"/>
              </w:rPr>
              <w:t>6</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rPr>
            </w:pP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Note</w:t>
            </w:r>
          </w:p>
        </w:tc>
        <w:tc>
          <w:tcPr>
            <w:tcW w:w="544" w:type="pct"/>
            <w:shd w:val="clear" w:color="auto" w:fill="FFFF00"/>
          </w:tcPr>
          <w:p w:rsidR="000C0F4D" w:rsidRPr="00677316" w:rsidRDefault="000C0F4D" w:rsidP="00FE7CA2">
            <w:pPr>
              <w:autoSpaceDE w:val="0"/>
              <w:autoSpaceDN w:val="0"/>
              <w:adjustRightInd w:val="0"/>
              <w:jc w:val="right"/>
              <w:rPr>
                <w:rFonts w:asciiTheme="minorHAnsi" w:hAnsiTheme="minorHAnsi" w:cstheme="minorHAnsi"/>
                <w:b/>
                <w:bCs/>
                <w:color w:val="000000"/>
                <w:sz w:val="22"/>
                <w:szCs w:val="22"/>
                <w:u w:val="single"/>
              </w:rPr>
            </w:pPr>
            <w:r w:rsidRPr="00677316">
              <w:rPr>
                <w:rFonts w:asciiTheme="minorHAnsi" w:hAnsiTheme="minorHAnsi" w:cstheme="minorHAnsi"/>
                <w:b/>
                <w:bCs/>
                <w:color w:val="000000"/>
                <w:sz w:val="22"/>
                <w:szCs w:val="22"/>
                <w:u w:val="single"/>
              </w:rPr>
              <w:t>€</w:t>
            </w:r>
            <w:r w:rsidR="00FE7CA2">
              <w:rPr>
                <w:rFonts w:asciiTheme="minorHAnsi" w:hAnsiTheme="minorHAnsi" w:cstheme="minorHAnsi"/>
                <w:b/>
                <w:bCs/>
                <w:color w:val="000000"/>
                <w:sz w:val="22"/>
                <w:szCs w:val="22"/>
                <w:u w:val="single"/>
              </w:rPr>
              <w:t>M</w:t>
            </w:r>
          </w:p>
        </w:tc>
        <w:tc>
          <w:tcPr>
            <w:tcW w:w="539" w:type="pct"/>
          </w:tcPr>
          <w:p w:rsidR="000C0F4D" w:rsidRPr="00677316" w:rsidRDefault="000C0F4D" w:rsidP="00FE7CA2">
            <w:pPr>
              <w:autoSpaceDE w:val="0"/>
              <w:autoSpaceDN w:val="0"/>
              <w:adjustRightInd w:val="0"/>
              <w:jc w:val="right"/>
              <w:rPr>
                <w:rFonts w:asciiTheme="minorHAnsi" w:hAnsiTheme="minorHAnsi" w:cstheme="minorHAnsi"/>
                <w:bCs/>
                <w:color w:val="000000"/>
                <w:sz w:val="22"/>
                <w:szCs w:val="22"/>
                <w:u w:val="single"/>
              </w:rPr>
            </w:pPr>
            <w:r w:rsidRPr="00677316">
              <w:rPr>
                <w:rFonts w:asciiTheme="minorHAnsi" w:hAnsiTheme="minorHAnsi" w:cstheme="minorHAnsi"/>
                <w:bCs/>
                <w:color w:val="000000"/>
                <w:sz w:val="22"/>
                <w:szCs w:val="22"/>
                <w:u w:val="single"/>
              </w:rPr>
              <w:t>€</w:t>
            </w:r>
            <w:r w:rsidR="00FE7CA2">
              <w:rPr>
                <w:rFonts w:asciiTheme="minorHAnsi" w:hAnsiTheme="minorHAnsi" w:cstheme="minorHAnsi"/>
                <w:bCs/>
                <w:color w:val="000000"/>
                <w:sz w:val="22"/>
                <w:szCs w:val="22"/>
                <w:u w:val="single"/>
              </w:rPr>
              <w:t>M</w:t>
            </w:r>
          </w:p>
        </w:tc>
      </w:tr>
      <w:tr w:rsidR="000C0F4D" w:rsidRPr="00677316" w:rsidTr="008323AE">
        <w:trPr>
          <w:trHeight w:val="247"/>
        </w:trPr>
        <w:tc>
          <w:tcPr>
            <w:tcW w:w="3581" w:type="pct"/>
            <w:gridSpan w:val="2"/>
          </w:tcPr>
          <w:p w:rsidR="000C0F4D" w:rsidRPr="00677316" w:rsidRDefault="000C0F4D" w:rsidP="000C0F4D">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Operating activities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39"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rPr>
            </w:pP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0C0F4D" w:rsidP="000C0F4D">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Profit after tax</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FF7BC2" w:rsidP="000A0936">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397.1</w:t>
            </w:r>
          </w:p>
        </w:tc>
        <w:tc>
          <w:tcPr>
            <w:tcW w:w="539" w:type="pct"/>
          </w:tcPr>
          <w:p w:rsidR="000C0F4D" w:rsidRPr="00677316" w:rsidRDefault="00121244" w:rsidP="00BC5352">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255.5</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rPr>
            </w:pP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39" w:type="pct"/>
          </w:tcPr>
          <w:p w:rsidR="000C0F4D" w:rsidRPr="00677316" w:rsidRDefault="000C0F4D" w:rsidP="000C0F4D">
            <w:pPr>
              <w:autoSpaceDE w:val="0"/>
              <w:autoSpaceDN w:val="0"/>
              <w:adjustRightInd w:val="0"/>
              <w:jc w:val="right"/>
              <w:rPr>
                <w:rFonts w:asciiTheme="minorHAnsi" w:hAnsiTheme="minorHAnsi" w:cstheme="minorHAnsi"/>
                <w:bCs/>
                <w:color w:val="000000"/>
                <w:sz w:val="22"/>
                <w:szCs w:val="22"/>
              </w:rPr>
            </w:pPr>
          </w:p>
        </w:tc>
      </w:tr>
      <w:tr w:rsidR="000C0F4D" w:rsidRPr="00677316" w:rsidTr="008323AE">
        <w:trPr>
          <w:trHeight w:val="262"/>
        </w:trPr>
        <w:tc>
          <w:tcPr>
            <w:tcW w:w="3581" w:type="pct"/>
            <w:gridSpan w:val="2"/>
          </w:tcPr>
          <w:p w:rsidR="000C0F4D" w:rsidRPr="00677316" w:rsidRDefault="000C0F4D" w:rsidP="001302E6">
            <w:pPr>
              <w:autoSpaceDE w:val="0"/>
              <w:autoSpaceDN w:val="0"/>
              <w:adjustRightInd w:val="0"/>
              <w:rPr>
                <w:rFonts w:asciiTheme="minorHAnsi" w:hAnsiTheme="minorHAnsi" w:cstheme="minorHAnsi"/>
                <w:b/>
                <w:bCs/>
                <w:i/>
                <w:iCs/>
                <w:color w:val="000000"/>
                <w:sz w:val="22"/>
                <w:szCs w:val="22"/>
              </w:rPr>
            </w:pPr>
            <w:r w:rsidRPr="00677316">
              <w:rPr>
                <w:rFonts w:asciiTheme="minorHAnsi" w:hAnsiTheme="minorHAnsi" w:cstheme="minorHAnsi"/>
                <w:b/>
                <w:bCs/>
                <w:i/>
                <w:iCs/>
                <w:color w:val="000000"/>
                <w:sz w:val="22"/>
                <w:szCs w:val="22"/>
              </w:rPr>
              <w:t xml:space="preserve">Adjustments to reconcile profit </w:t>
            </w:r>
            <w:r w:rsidR="001302E6">
              <w:rPr>
                <w:rFonts w:asciiTheme="minorHAnsi" w:hAnsiTheme="minorHAnsi" w:cstheme="minorHAnsi"/>
                <w:b/>
                <w:bCs/>
                <w:i/>
                <w:iCs/>
                <w:color w:val="000000"/>
                <w:sz w:val="22"/>
                <w:szCs w:val="22"/>
              </w:rPr>
              <w:t>after</w:t>
            </w:r>
            <w:r w:rsidRPr="00677316">
              <w:rPr>
                <w:rFonts w:asciiTheme="minorHAnsi" w:hAnsiTheme="minorHAnsi" w:cstheme="minorHAnsi"/>
                <w:b/>
                <w:bCs/>
                <w:i/>
                <w:iCs/>
                <w:color w:val="000000"/>
                <w:sz w:val="22"/>
                <w:szCs w:val="22"/>
              </w:rPr>
              <w:t xml:space="preserve"> tax to net cash provided by operating activities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39"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rPr>
            </w:pP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0C0F4D" w:rsidP="000C0F4D">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Depreciation</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139.0</w:t>
            </w:r>
          </w:p>
        </w:tc>
        <w:tc>
          <w:tcPr>
            <w:tcW w:w="539" w:type="pct"/>
          </w:tcPr>
          <w:p w:rsidR="000C0F4D" w:rsidRPr="00677316" w:rsidRDefault="00121244" w:rsidP="00BC5352">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125</w:t>
            </w:r>
            <w:r w:rsidR="00CB534B">
              <w:rPr>
                <w:rFonts w:asciiTheme="minorHAnsi" w:hAnsiTheme="minorHAnsi" w:cstheme="minorHAnsi"/>
                <w:bCs/>
                <w:color w:val="000000"/>
                <w:sz w:val="22"/>
                <w:szCs w:val="22"/>
              </w:rPr>
              <w:t>.</w:t>
            </w:r>
            <w:r>
              <w:rPr>
                <w:rFonts w:asciiTheme="minorHAnsi" w:hAnsiTheme="minorHAnsi" w:cstheme="minorHAnsi"/>
                <w:bCs/>
                <w:color w:val="000000"/>
                <w:sz w:val="22"/>
                <w:szCs w:val="22"/>
              </w:rPr>
              <w:t>6</w:t>
            </w:r>
          </w:p>
        </w:tc>
      </w:tr>
      <w:tr w:rsidR="009F2CE6" w:rsidRPr="00677316" w:rsidTr="00121244">
        <w:trPr>
          <w:trHeight w:val="247"/>
        </w:trPr>
        <w:tc>
          <w:tcPr>
            <w:tcW w:w="124" w:type="pct"/>
          </w:tcPr>
          <w:p w:rsidR="009F2CE6" w:rsidRPr="00677316" w:rsidRDefault="009F2CE6" w:rsidP="00B7470E">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9F2CE6" w:rsidRPr="00677316" w:rsidRDefault="00EE553C" w:rsidP="000A093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w:t>
            </w:r>
            <w:r w:rsidR="00FF7BC2">
              <w:rPr>
                <w:rFonts w:asciiTheme="minorHAnsi" w:hAnsiTheme="minorHAnsi" w:cstheme="minorHAnsi"/>
                <w:color w:val="000000"/>
                <w:sz w:val="22"/>
                <w:szCs w:val="22"/>
              </w:rPr>
              <w:t>Increase</w:t>
            </w:r>
            <w:r>
              <w:rPr>
                <w:rFonts w:asciiTheme="minorHAnsi" w:hAnsiTheme="minorHAnsi" w:cstheme="minorHAnsi"/>
                <w:color w:val="000000"/>
                <w:sz w:val="22"/>
                <w:szCs w:val="22"/>
              </w:rPr>
              <w:t>)</w:t>
            </w:r>
            <w:r w:rsidR="00DD7769">
              <w:rPr>
                <w:rFonts w:asciiTheme="minorHAnsi" w:hAnsiTheme="minorHAnsi" w:cstheme="minorHAnsi"/>
                <w:color w:val="000000"/>
                <w:sz w:val="22"/>
                <w:szCs w:val="22"/>
              </w:rPr>
              <w:t>/</w:t>
            </w:r>
            <w:r w:rsidR="00FF7BC2">
              <w:rPr>
                <w:rFonts w:asciiTheme="minorHAnsi" w:hAnsiTheme="minorHAnsi" w:cstheme="minorHAnsi"/>
                <w:color w:val="000000"/>
                <w:sz w:val="22"/>
                <w:szCs w:val="22"/>
              </w:rPr>
              <w:t>de</w:t>
            </w:r>
            <w:r w:rsidR="00DD7769">
              <w:rPr>
                <w:rFonts w:asciiTheme="minorHAnsi" w:hAnsiTheme="minorHAnsi" w:cstheme="minorHAnsi"/>
                <w:color w:val="000000"/>
                <w:sz w:val="22"/>
                <w:szCs w:val="22"/>
              </w:rPr>
              <w:t>crease</w:t>
            </w:r>
            <w:r w:rsidR="009F2CE6">
              <w:rPr>
                <w:rFonts w:asciiTheme="minorHAnsi" w:hAnsiTheme="minorHAnsi" w:cstheme="minorHAnsi"/>
                <w:color w:val="000000"/>
                <w:sz w:val="22"/>
                <w:szCs w:val="22"/>
              </w:rPr>
              <w:t xml:space="preserve"> in inventories</w:t>
            </w:r>
          </w:p>
        </w:tc>
        <w:tc>
          <w:tcPr>
            <w:tcW w:w="336" w:type="pct"/>
          </w:tcPr>
          <w:p w:rsidR="009F2CE6" w:rsidRPr="00677316" w:rsidRDefault="009F2CE6" w:rsidP="00B7470E">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9F2CE6" w:rsidRDefault="00FF7BC2" w:rsidP="00395906">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(0.2)</w:t>
            </w:r>
          </w:p>
        </w:tc>
        <w:tc>
          <w:tcPr>
            <w:tcW w:w="539" w:type="pct"/>
          </w:tcPr>
          <w:p w:rsidR="009F2CE6" w:rsidRDefault="00121244" w:rsidP="00A169F6">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0.3</w:t>
            </w:r>
          </w:p>
        </w:tc>
      </w:tr>
      <w:tr w:rsidR="00B7470E" w:rsidRPr="00677316" w:rsidTr="00121244">
        <w:trPr>
          <w:trHeight w:val="247"/>
        </w:trPr>
        <w:tc>
          <w:tcPr>
            <w:tcW w:w="124" w:type="pct"/>
          </w:tcPr>
          <w:p w:rsidR="00B7470E" w:rsidRPr="00677316" w:rsidRDefault="00B7470E" w:rsidP="00B7470E">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B7470E" w:rsidRPr="00677316" w:rsidRDefault="00B7470E" w:rsidP="00B7470E">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Tax expense on profit on ordinary activities</w:t>
            </w:r>
          </w:p>
        </w:tc>
        <w:tc>
          <w:tcPr>
            <w:tcW w:w="336" w:type="pct"/>
          </w:tcPr>
          <w:p w:rsidR="00B7470E" w:rsidRPr="00677316" w:rsidRDefault="00B7470E" w:rsidP="00B7470E">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B7470E"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46.6</w:t>
            </w:r>
          </w:p>
        </w:tc>
        <w:tc>
          <w:tcPr>
            <w:tcW w:w="539" w:type="pct"/>
          </w:tcPr>
          <w:p w:rsidR="00B7470E" w:rsidRPr="00677316" w:rsidRDefault="00121244" w:rsidP="00BC5352">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31.0</w:t>
            </w:r>
          </w:p>
        </w:tc>
      </w:tr>
      <w:tr w:rsidR="00B7470E" w:rsidRPr="00677316" w:rsidTr="00121244">
        <w:trPr>
          <w:trHeight w:val="247"/>
        </w:trPr>
        <w:tc>
          <w:tcPr>
            <w:tcW w:w="124" w:type="pct"/>
          </w:tcPr>
          <w:p w:rsidR="00B7470E" w:rsidRPr="00677316" w:rsidRDefault="00B7470E" w:rsidP="00B7470E">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B7470E" w:rsidRPr="00677316" w:rsidRDefault="00B7470E" w:rsidP="00B7470E">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Share based payments</w:t>
            </w:r>
          </w:p>
        </w:tc>
        <w:tc>
          <w:tcPr>
            <w:tcW w:w="336" w:type="pct"/>
          </w:tcPr>
          <w:p w:rsidR="00B7470E" w:rsidRPr="00677316" w:rsidRDefault="00B7470E" w:rsidP="00B7470E">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B7470E"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1.5</w:t>
            </w:r>
          </w:p>
        </w:tc>
        <w:tc>
          <w:tcPr>
            <w:tcW w:w="539" w:type="pct"/>
          </w:tcPr>
          <w:p w:rsidR="00B7470E" w:rsidRPr="00677316" w:rsidRDefault="00121244" w:rsidP="00BC5352">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w:t>
            </w:r>
            <w:r w:rsidR="00E25F44">
              <w:rPr>
                <w:rFonts w:asciiTheme="minorHAnsi" w:hAnsiTheme="minorHAnsi" w:cstheme="minorHAnsi"/>
                <w:bCs/>
                <w:color w:val="000000"/>
                <w:sz w:val="22"/>
                <w:szCs w:val="22"/>
              </w:rPr>
              <w:t>.</w:t>
            </w:r>
            <w:r>
              <w:rPr>
                <w:rFonts w:asciiTheme="minorHAnsi" w:hAnsiTheme="minorHAnsi" w:cstheme="minorHAnsi"/>
                <w:bCs/>
                <w:color w:val="000000"/>
                <w:sz w:val="22"/>
                <w:szCs w:val="22"/>
              </w:rPr>
              <w:t>5</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center"/>
              <w:rPr>
                <w:rFonts w:asciiTheme="minorHAnsi" w:hAnsiTheme="minorHAnsi" w:cstheme="minorHAnsi"/>
                <w:color w:val="000000"/>
                <w:sz w:val="22"/>
                <w:szCs w:val="22"/>
                <w:highlight w:val="yellow"/>
              </w:rPr>
            </w:pPr>
          </w:p>
        </w:tc>
        <w:tc>
          <w:tcPr>
            <w:tcW w:w="3457" w:type="pct"/>
          </w:tcPr>
          <w:p w:rsidR="000C0F4D" w:rsidRPr="00677316" w:rsidRDefault="00EE553C" w:rsidP="0002033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w:t>
            </w:r>
            <w:r w:rsidR="00E25F44">
              <w:rPr>
                <w:rFonts w:asciiTheme="minorHAnsi" w:hAnsiTheme="minorHAnsi" w:cstheme="minorHAnsi"/>
                <w:color w:val="000000"/>
                <w:sz w:val="22"/>
                <w:szCs w:val="22"/>
              </w:rPr>
              <w:t>Decrease</w:t>
            </w:r>
            <w:r>
              <w:rPr>
                <w:rFonts w:asciiTheme="minorHAnsi" w:hAnsiTheme="minorHAnsi" w:cstheme="minorHAnsi"/>
                <w:color w:val="000000"/>
                <w:sz w:val="22"/>
                <w:szCs w:val="22"/>
              </w:rPr>
              <w:t>)</w:t>
            </w:r>
            <w:r w:rsidR="00722370">
              <w:rPr>
                <w:rFonts w:asciiTheme="minorHAnsi" w:hAnsiTheme="minorHAnsi" w:cstheme="minorHAnsi"/>
                <w:color w:val="000000"/>
                <w:sz w:val="22"/>
                <w:szCs w:val="22"/>
              </w:rPr>
              <w:t>/increase</w:t>
            </w:r>
            <w:r w:rsidR="00020331">
              <w:rPr>
                <w:rFonts w:asciiTheme="minorHAnsi" w:hAnsiTheme="minorHAnsi" w:cstheme="minorHAnsi"/>
                <w:color w:val="000000"/>
                <w:sz w:val="22"/>
                <w:szCs w:val="22"/>
              </w:rPr>
              <w:t xml:space="preserve"> </w:t>
            </w:r>
            <w:r w:rsidR="000C0F4D" w:rsidRPr="00677316">
              <w:rPr>
                <w:rFonts w:asciiTheme="minorHAnsi" w:hAnsiTheme="minorHAnsi" w:cstheme="minorHAnsi"/>
                <w:color w:val="000000"/>
                <w:sz w:val="22"/>
                <w:szCs w:val="22"/>
              </w:rPr>
              <w:t>in trade receivables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(6.9)</w:t>
            </w:r>
          </w:p>
        </w:tc>
        <w:tc>
          <w:tcPr>
            <w:tcW w:w="539" w:type="pct"/>
          </w:tcPr>
          <w:p w:rsidR="000C0F4D" w:rsidRPr="00677316" w:rsidRDefault="00121244" w:rsidP="00A94803">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16</w:t>
            </w:r>
            <w:r w:rsidR="00BC5352">
              <w:rPr>
                <w:rFonts w:asciiTheme="minorHAnsi" w:hAnsiTheme="minorHAnsi" w:cstheme="minorHAnsi"/>
                <w:bCs/>
                <w:color w:val="000000"/>
                <w:sz w:val="22"/>
                <w:szCs w:val="22"/>
              </w:rPr>
              <w:t>.</w:t>
            </w:r>
            <w:r>
              <w:rPr>
                <w:rFonts w:asciiTheme="minorHAnsi" w:hAnsiTheme="minorHAnsi" w:cstheme="minorHAnsi"/>
                <w:bCs/>
                <w:color w:val="000000"/>
                <w:sz w:val="22"/>
                <w:szCs w:val="22"/>
              </w:rPr>
              <w:t>4</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FF7BC2" w:rsidP="00BC5352">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Decrease</w:t>
            </w:r>
            <w:r w:rsidR="00020331">
              <w:rPr>
                <w:rFonts w:asciiTheme="minorHAnsi" w:hAnsiTheme="minorHAnsi" w:cstheme="minorHAnsi"/>
                <w:color w:val="000000"/>
                <w:sz w:val="22"/>
                <w:szCs w:val="22"/>
              </w:rPr>
              <w:t xml:space="preserve"> </w:t>
            </w:r>
            <w:r w:rsidR="000C0F4D" w:rsidRPr="00677316">
              <w:rPr>
                <w:rFonts w:asciiTheme="minorHAnsi" w:hAnsiTheme="minorHAnsi" w:cstheme="minorHAnsi"/>
                <w:color w:val="000000"/>
                <w:sz w:val="22"/>
                <w:szCs w:val="22"/>
              </w:rPr>
              <w:t>in other current assets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FF7BC2" w:rsidP="008323AE">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25.1</w:t>
            </w:r>
          </w:p>
        </w:tc>
        <w:tc>
          <w:tcPr>
            <w:tcW w:w="539" w:type="pct"/>
          </w:tcPr>
          <w:p w:rsidR="000C0F4D" w:rsidRPr="00677316" w:rsidRDefault="00121244" w:rsidP="00BC5352">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15</w:t>
            </w:r>
            <w:r w:rsidR="00E25F44">
              <w:rPr>
                <w:rFonts w:asciiTheme="minorHAnsi" w:hAnsiTheme="minorHAnsi" w:cstheme="minorHAnsi"/>
                <w:bCs/>
                <w:color w:val="000000"/>
                <w:sz w:val="22"/>
                <w:szCs w:val="22"/>
              </w:rPr>
              <w:t>.</w:t>
            </w:r>
            <w:r>
              <w:rPr>
                <w:rFonts w:asciiTheme="minorHAnsi" w:hAnsiTheme="minorHAnsi" w:cstheme="minorHAnsi"/>
                <w:bCs/>
                <w:color w:val="000000"/>
                <w:sz w:val="22"/>
                <w:szCs w:val="22"/>
              </w:rPr>
              <w:t>6</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722370" w:rsidP="00BC5352">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I</w:t>
            </w:r>
            <w:r w:rsidR="00895469" w:rsidRPr="00677316">
              <w:rPr>
                <w:rFonts w:asciiTheme="minorHAnsi" w:hAnsiTheme="minorHAnsi" w:cstheme="minorHAnsi"/>
                <w:color w:val="000000"/>
                <w:sz w:val="22"/>
                <w:szCs w:val="22"/>
              </w:rPr>
              <w:t>n</w:t>
            </w:r>
            <w:r w:rsidR="00533F58" w:rsidRPr="00677316">
              <w:rPr>
                <w:rFonts w:asciiTheme="minorHAnsi" w:hAnsiTheme="minorHAnsi" w:cstheme="minorHAnsi"/>
                <w:color w:val="000000"/>
                <w:sz w:val="22"/>
                <w:szCs w:val="22"/>
              </w:rPr>
              <w:t>crease</w:t>
            </w:r>
            <w:r w:rsidR="00020331">
              <w:rPr>
                <w:rFonts w:asciiTheme="minorHAnsi" w:hAnsiTheme="minorHAnsi" w:cstheme="minorHAnsi"/>
                <w:color w:val="000000"/>
                <w:sz w:val="22"/>
                <w:szCs w:val="22"/>
              </w:rPr>
              <w:t xml:space="preserve"> </w:t>
            </w:r>
            <w:r w:rsidR="000C0F4D" w:rsidRPr="00677316">
              <w:rPr>
                <w:rFonts w:asciiTheme="minorHAnsi" w:hAnsiTheme="minorHAnsi" w:cstheme="minorHAnsi"/>
                <w:color w:val="000000"/>
                <w:sz w:val="22"/>
                <w:szCs w:val="22"/>
              </w:rPr>
              <w:t>in trade payables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29.9</w:t>
            </w:r>
          </w:p>
        </w:tc>
        <w:tc>
          <w:tcPr>
            <w:tcW w:w="539" w:type="pct"/>
          </w:tcPr>
          <w:p w:rsidR="000C0F4D" w:rsidRPr="00677316" w:rsidRDefault="00121244" w:rsidP="00A169F6">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49</w:t>
            </w:r>
            <w:r w:rsidR="00E25F44">
              <w:rPr>
                <w:rFonts w:asciiTheme="minorHAnsi" w:hAnsiTheme="minorHAnsi" w:cstheme="minorHAnsi"/>
                <w:bCs/>
                <w:color w:val="000000"/>
                <w:sz w:val="22"/>
                <w:szCs w:val="22"/>
              </w:rPr>
              <w:t>.</w:t>
            </w:r>
            <w:r>
              <w:rPr>
                <w:rFonts w:asciiTheme="minorHAnsi" w:hAnsiTheme="minorHAnsi" w:cstheme="minorHAnsi"/>
                <w:bCs/>
                <w:color w:val="000000"/>
                <w:sz w:val="22"/>
                <w:szCs w:val="22"/>
              </w:rPr>
              <w:t>2</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722370" w:rsidP="008323A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In</w:t>
            </w:r>
            <w:r w:rsidR="000C0F4D" w:rsidRPr="00677316">
              <w:rPr>
                <w:rFonts w:asciiTheme="minorHAnsi" w:hAnsiTheme="minorHAnsi" w:cstheme="minorHAnsi"/>
                <w:color w:val="000000"/>
                <w:sz w:val="22"/>
                <w:szCs w:val="22"/>
              </w:rPr>
              <w:t xml:space="preserve">crease in accrued expenses </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102.2</w:t>
            </w:r>
          </w:p>
        </w:tc>
        <w:tc>
          <w:tcPr>
            <w:tcW w:w="539" w:type="pct"/>
          </w:tcPr>
          <w:p w:rsidR="000C0F4D" w:rsidRPr="00677316" w:rsidRDefault="00121244" w:rsidP="00BC5352">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229</w:t>
            </w:r>
            <w:r w:rsidR="00E25F44">
              <w:rPr>
                <w:rFonts w:asciiTheme="minorHAnsi" w:hAnsiTheme="minorHAnsi" w:cstheme="minorHAnsi"/>
                <w:bCs/>
                <w:color w:val="000000"/>
                <w:sz w:val="22"/>
                <w:szCs w:val="22"/>
              </w:rPr>
              <w:t>.</w:t>
            </w:r>
            <w:r>
              <w:rPr>
                <w:rFonts w:asciiTheme="minorHAnsi" w:hAnsiTheme="minorHAnsi" w:cstheme="minorHAnsi"/>
                <w:bCs/>
                <w:color w:val="000000"/>
                <w:sz w:val="22"/>
                <w:szCs w:val="22"/>
              </w:rPr>
              <w:t>6</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0C0F4D" w:rsidP="000C0F4D">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(Decrease) in other creditors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(5.0)</w:t>
            </w:r>
          </w:p>
        </w:tc>
        <w:tc>
          <w:tcPr>
            <w:tcW w:w="539" w:type="pct"/>
          </w:tcPr>
          <w:p w:rsidR="000C0F4D" w:rsidRPr="00677316" w:rsidRDefault="00E25F44" w:rsidP="00BC5352">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121244">
              <w:rPr>
                <w:rFonts w:asciiTheme="minorHAnsi" w:hAnsiTheme="minorHAnsi" w:cstheme="minorHAnsi"/>
                <w:bCs/>
                <w:color w:val="000000"/>
                <w:sz w:val="22"/>
                <w:szCs w:val="22"/>
              </w:rPr>
              <w:t>5</w:t>
            </w:r>
            <w:r>
              <w:rPr>
                <w:rFonts w:asciiTheme="minorHAnsi" w:hAnsiTheme="minorHAnsi" w:cstheme="minorHAnsi"/>
                <w:bCs/>
                <w:color w:val="000000"/>
                <w:sz w:val="22"/>
                <w:szCs w:val="22"/>
              </w:rPr>
              <w:t>.</w:t>
            </w:r>
            <w:r w:rsidR="00121244">
              <w:rPr>
                <w:rFonts w:asciiTheme="minorHAnsi" w:hAnsiTheme="minorHAnsi" w:cstheme="minorHAnsi"/>
                <w:bCs/>
                <w:color w:val="000000"/>
                <w:sz w:val="22"/>
                <w:szCs w:val="22"/>
              </w:rPr>
              <w:t>1</w:t>
            </w:r>
            <w:r>
              <w:rPr>
                <w:rFonts w:asciiTheme="minorHAnsi" w:hAnsiTheme="minorHAnsi" w:cstheme="minorHAnsi"/>
                <w:bCs/>
                <w:color w:val="000000"/>
                <w:sz w:val="22"/>
                <w:szCs w:val="22"/>
              </w:rPr>
              <w:t>)</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FF7BC2" w:rsidP="008323A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Increase/</w:t>
            </w:r>
            <w:r w:rsidR="00F50747">
              <w:rPr>
                <w:rFonts w:asciiTheme="minorHAnsi" w:hAnsiTheme="minorHAnsi" w:cstheme="minorHAnsi"/>
                <w:color w:val="000000"/>
                <w:sz w:val="22"/>
                <w:szCs w:val="22"/>
              </w:rPr>
              <w:t>(</w:t>
            </w:r>
            <w:r>
              <w:rPr>
                <w:rFonts w:asciiTheme="minorHAnsi" w:hAnsiTheme="minorHAnsi" w:cstheme="minorHAnsi"/>
                <w:color w:val="000000"/>
                <w:sz w:val="22"/>
                <w:szCs w:val="22"/>
              </w:rPr>
              <w:t>d</w:t>
            </w:r>
            <w:r w:rsidR="00F50747">
              <w:rPr>
                <w:rFonts w:asciiTheme="minorHAnsi" w:hAnsiTheme="minorHAnsi" w:cstheme="minorHAnsi"/>
                <w:color w:val="000000"/>
                <w:sz w:val="22"/>
                <w:szCs w:val="22"/>
              </w:rPr>
              <w:t>ecrease)</w:t>
            </w:r>
            <w:r w:rsidR="000C0F4D" w:rsidRPr="00677316">
              <w:rPr>
                <w:rFonts w:asciiTheme="minorHAnsi" w:hAnsiTheme="minorHAnsi" w:cstheme="minorHAnsi"/>
                <w:color w:val="000000"/>
                <w:sz w:val="22"/>
                <w:szCs w:val="22"/>
              </w:rPr>
              <w:t xml:space="preserve"> in provisions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4.3</w:t>
            </w:r>
          </w:p>
        </w:tc>
        <w:tc>
          <w:tcPr>
            <w:tcW w:w="539" w:type="pct"/>
          </w:tcPr>
          <w:p w:rsidR="000C0F4D" w:rsidRPr="00677316" w:rsidRDefault="00A94803" w:rsidP="00BC5352">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121244">
              <w:rPr>
                <w:rFonts w:asciiTheme="minorHAnsi" w:hAnsiTheme="minorHAnsi" w:cstheme="minorHAnsi"/>
                <w:bCs/>
                <w:color w:val="000000"/>
                <w:sz w:val="22"/>
                <w:szCs w:val="22"/>
              </w:rPr>
              <w:t>4</w:t>
            </w:r>
            <w:r w:rsidR="00E25F44">
              <w:rPr>
                <w:rFonts w:asciiTheme="minorHAnsi" w:hAnsiTheme="minorHAnsi" w:cstheme="minorHAnsi"/>
                <w:bCs/>
                <w:color w:val="000000"/>
                <w:sz w:val="22"/>
                <w:szCs w:val="22"/>
              </w:rPr>
              <w:t>.</w:t>
            </w:r>
            <w:r w:rsidR="00121244">
              <w:rPr>
                <w:rFonts w:asciiTheme="minorHAnsi" w:hAnsiTheme="minorHAnsi" w:cstheme="minorHAnsi"/>
                <w:bCs/>
                <w:color w:val="000000"/>
                <w:sz w:val="22"/>
                <w:szCs w:val="22"/>
              </w:rPr>
              <w:t>6</w:t>
            </w:r>
            <w:r>
              <w:rPr>
                <w:rFonts w:asciiTheme="minorHAnsi" w:hAnsiTheme="minorHAnsi" w:cstheme="minorHAnsi"/>
                <w:bCs/>
                <w:color w:val="000000"/>
                <w:sz w:val="22"/>
                <w:szCs w:val="22"/>
              </w:rPr>
              <w:t>)</w:t>
            </w:r>
          </w:p>
        </w:tc>
      </w:tr>
      <w:tr w:rsidR="005D1052" w:rsidRPr="00677316" w:rsidTr="00121244">
        <w:trPr>
          <w:trHeight w:val="247"/>
        </w:trPr>
        <w:tc>
          <w:tcPr>
            <w:tcW w:w="124" w:type="pct"/>
          </w:tcPr>
          <w:p w:rsidR="005D1052" w:rsidRPr="00677316" w:rsidRDefault="005D1052"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5D1052" w:rsidRPr="00677316" w:rsidRDefault="00FF7BC2" w:rsidP="00BC5352">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(Increase)/d</w:t>
            </w:r>
            <w:r w:rsidR="00722370">
              <w:rPr>
                <w:rFonts w:asciiTheme="minorHAnsi" w:hAnsiTheme="minorHAnsi" w:cstheme="minorHAnsi"/>
                <w:color w:val="000000"/>
                <w:sz w:val="22"/>
                <w:szCs w:val="22"/>
              </w:rPr>
              <w:t>e</w:t>
            </w:r>
            <w:r w:rsidR="00322BC9">
              <w:rPr>
                <w:rFonts w:asciiTheme="minorHAnsi" w:hAnsiTheme="minorHAnsi" w:cstheme="minorHAnsi"/>
                <w:color w:val="000000"/>
                <w:sz w:val="22"/>
                <w:szCs w:val="22"/>
              </w:rPr>
              <w:t>crease in finance income</w:t>
            </w:r>
          </w:p>
        </w:tc>
        <w:tc>
          <w:tcPr>
            <w:tcW w:w="336" w:type="pct"/>
          </w:tcPr>
          <w:p w:rsidR="005D1052" w:rsidRPr="00677316" w:rsidRDefault="005D1052"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5D1052" w:rsidRPr="00677316" w:rsidRDefault="00FF7BC2" w:rsidP="00A94803">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(0.1)</w:t>
            </w:r>
          </w:p>
        </w:tc>
        <w:tc>
          <w:tcPr>
            <w:tcW w:w="539" w:type="pct"/>
          </w:tcPr>
          <w:p w:rsidR="005D1052" w:rsidRPr="00677316" w:rsidRDefault="00121244" w:rsidP="00BC5352">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0</w:t>
            </w:r>
            <w:r w:rsidR="00722370">
              <w:rPr>
                <w:rFonts w:asciiTheme="minorHAnsi" w:hAnsiTheme="minorHAnsi" w:cstheme="minorHAnsi"/>
                <w:bCs/>
                <w:color w:val="000000"/>
                <w:sz w:val="22"/>
                <w:szCs w:val="22"/>
              </w:rPr>
              <w:t>.</w:t>
            </w:r>
            <w:r>
              <w:rPr>
                <w:rFonts w:asciiTheme="minorHAnsi" w:hAnsiTheme="minorHAnsi" w:cstheme="minorHAnsi"/>
                <w:bCs/>
                <w:color w:val="000000"/>
                <w:sz w:val="22"/>
                <w:szCs w:val="22"/>
              </w:rPr>
              <w:t>3</w:t>
            </w:r>
          </w:p>
        </w:tc>
      </w:tr>
      <w:tr w:rsidR="00322BC9" w:rsidRPr="00677316" w:rsidTr="00121244">
        <w:trPr>
          <w:trHeight w:val="247"/>
        </w:trPr>
        <w:tc>
          <w:tcPr>
            <w:tcW w:w="124" w:type="pct"/>
          </w:tcPr>
          <w:p w:rsidR="00322BC9" w:rsidRPr="00677316" w:rsidRDefault="00322BC9"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322BC9" w:rsidRDefault="00722370" w:rsidP="00BC5352">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(De</w:t>
            </w:r>
            <w:r w:rsidR="00BC5352">
              <w:rPr>
                <w:rFonts w:asciiTheme="minorHAnsi" w:hAnsiTheme="minorHAnsi" w:cstheme="minorHAnsi"/>
                <w:color w:val="000000"/>
                <w:sz w:val="22"/>
                <w:szCs w:val="22"/>
              </w:rPr>
              <w:t>c</w:t>
            </w:r>
            <w:r w:rsidR="00395906">
              <w:rPr>
                <w:rFonts w:asciiTheme="minorHAnsi" w:hAnsiTheme="minorHAnsi" w:cstheme="minorHAnsi"/>
                <w:color w:val="000000"/>
                <w:sz w:val="22"/>
                <w:szCs w:val="22"/>
              </w:rPr>
              <w:t>rease</w:t>
            </w:r>
            <w:r>
              <w:rPr>
                <w:rFonts w:asciiTheme="minorHAnsi" w:hAnsiTheme="minorHAnsi" w:cstheme="minorHAnsi"/>
                <w:color w:val="000000"/>
                <w:sz w:val="22"/>
                <w:szCs w:val="22"/>
              </w:rPr>
              <w:t>)</w:t>
            </w:r>
            <w:r w:rsidR="00445EF1">
              <w:rPr>
                <w:rFonts w:asciiTheme="minorHAnsi" w:hAnsiTheme="minorHAnsi" w:cstheme="minorHAnsi"/>
                <w:color w:val="000000"/>
                <w:sz w:val="22"/>
                <w:szCs w:val="22"/>
              </w:rPr>
              <w:t xml:space="preserve"> in finance expense</w:t>
            </w:r>
          </w:p>
        </w:tc>
        <w:tc>
          <w:tcPr>
            <w:tcW w:w="336" w:type="pct"/>
          </w:tcPr>
          <w:p w:rsidR="00322BC9" w:rsidRPr="00677316" w:rsidRDefault="00322BC9"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322BC9" w:rsidRDefault="00FF7BC2" w:rsidP="00A169F6">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(7.4)</w:t>
            </w:r>
          </w:p>
        </w:tc>
        <w:tc>
          <w:tcPr>
            <w:tcW w:w="539" w:type="pct"/>
          </w:tcPr>
          <w:p w:rsidR="00322BC9" w:rsidRDefault="00722370" w:rsidP="00BC5352">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121244">
              <w:rPr>
                <w:rFonts w:asciiTheme="minorHAnsi" w:hAnsiTheme="minorHAnsi" w:cstheme="minorHAnsi"/>
                <w:bCs/>
                <w:color w:val="000000"/>
                <w:sz w:val="22"/>
                <w:szCs w:val="22"/>
              </w:rPr>
              <w:t>8</w:t>
            </w:r>
            <w:r>
              <w:rPr>
                <w:rFonts w:asciiTheme="minorHAnsi" w:hAnsiTheme="minorHAnsi" w:cstheme="minorHAnsi"/>
                <w:bCs/>
                <w:color w:val="000000"/>
                <w:sz w:val="22"/>
                <w:szCs w:val="22"/>
              </w:rPr>
              <w:t>.</w:t>
            </w:r>
            <w:r w:rsidR="00121244">
              <w:rPr>
                <w:rFonts w:asciiTheme="minorHAnsi" w:hAnsiTheme="minorHAnsi" w:cstheme="minorHAnsi"/>
                <w:bCs/>
                <w:color w:val="000000"/>
                <w:sz w:val="22"/>
                <w:szCs w:val="22"/>
              </w:rPr>
              <w:t>5</w:t>
            </w:r>
            <w:r>
              <w:rPr>
                <w:rFonts w:asciiTheme="minorHAnsi" w:hAnsiTheme="minorHAnsi" w:cstheme="minorHAnsi"/>
                <w:bCs/>
                <w:color w:val="000000"/>
                <w:sz w:val="22"/>
                <w:szCs w:val="22"/>
              </w:rPr>
              <w:t>)</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0C0F4D" w:rsidP="000C0F4D">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Income tax paid</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FF7BC2" w:rsidP="00A94803">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p>
        </w:tc>
        <w:tc>
          <w:tcPr>
            <w:tcW w:w="539" w:type="pct"/>
          </w:tcPr>
          <w:p w:rsidR="000C0F4D" w:rsidRPr="00677316" w:rsidRDefault="00E25F44" w:rsidP="00BC5352">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121244">
              <w:rPr>
                <w:rFonts w:asciiTheme="minorHAnsi" w:hAnsiTheme="minorHAnsi" w:cstheme="minorHAnsi"/>
                <w:bCs/>
                <w:color w:val="000000"/>
                <w:sz w:val="22"/>
                <w:szCs w:val="22"/>
              </w:rPr>
              <w:t>0</w:t>
            </w:r>
            <w:r>
              <w:rPr>
                <w:rFonts w:asciiTheme="minorHAnsi" w:hAnsiTheme="minorHAnsi" w:cstheme="minorHAnsi"/>
                <w:bCs/>
                <w:color w:val="000000"/>
                <w:sz w:val="22"/>
                <w:szCs w:val="22"/>
              </w:rPr>
              <w:t>.</w:t>
            </w:r>
            <w:r w:rsidR="00121244">
              <w:rPr>
                <w:rFonts w:asciiTheme="minorHAnsi" w:hAnsiTheme="minorHAnsi" w:cstheme="minorHAnsi"/>
                <w:bCs/>
                <w:color w:val="000000"/>
                <w:sz w:val="22"/>
                <w:szCs w:val="22"/>
              </w:rPr>
              <w:t>1</w:t>
            </w:r>
            <w:r>
              <w:rPr>
                <w:rFonts w:asciiTheme="minorHAnsi" w:hAnsiTheme="minorHAnsi" w:cstheme="minorHAnsi"/>
                <w:bCs/>
                <w:color w:val="000000"/>
                <w:sz w:val="22"/>
                <w:szCs w:val="22"/>
              </w:rPr>
              <w:t>)</w:t>
            </w:r>
          </w:p>
        </w:tc>
      </w:tr>
      <w:tr w:rsidR="000C0F4D" w:rsidRPr="00677316" w:rsidTr="008323AE">
        <w:trPr>
          <w:trHeight w:val="262"/>
        </w:trPr>
        <w:tc>
          <w:tcPr>
            <w:tcW w:w="3581" w:type="pct"/>
            <w:gridSpan w:val="2"/>
          </w:tcPr>
          <w:p w:rsidR="000C0F4D" w:rsidRPr="00677316" w:rsidRDefault="000C0F4D" w:rsidP="000C0F4D">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Net cash provided by operating activities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tcBorders>
              <w:top w:val="single" w:sz="4" w:space="0" w:color="auto"/>
              <w:bottom w:val="single" w:sz="4" w:space="0" w:color="auto"/>
            </w:tcBorders>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726.1</w:t>
            </w:r>
          </w:p>
        </w:tc>
        <w:tc>
          <w:tcPr>
            <w:tcW w:w="539" w:type="pct"/>
            <w:tcBorders>
              <w:top w:val="single" w:sz="4" w:space="0" w:color="auto"/>
              <w:bottom w:val="single" w:sz="4" w:space="0" w:color="auto"/>
            </w:tcBorders>
          </w:tcPr>
          <w:p w:rsidR="000C0F4D" w:rsidRPr="00677316" w:rsidRDefault="00121244" w:rsidP="00BC5352">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706.7</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rPr>
            </w:pP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39" w:type="pct"/>
            <w:tcBorders>
              <w:top w:val="single" w:sz="4" w:space="0" w:color="auto"/>
            </w:tcBorders>
          </w:tcPr>
          <w:p w:rsidR="000C0F4D" w:rsidRPr="00677316" w:rsidRDefault="000C0F4D" w:rsidP="000C0F4D">
            <w:pPr>
              <w:autoSpaceDE w:val="0"/>
              <w:autoSpaceDN w:val="0"/>
              <w:adjustRightInd w:val="0"/>
              <w:jc w:val="right"/>
              <w:rPr>
                <w:rFonts w:asciiTheme="minorHAnsi" w:hAnsiTheme="minorHAnsi" w:cstheme="minorHAnsi"/>
                <w:bCs/>
                <w:color w:val="000000"/>
                <w:sz w:val="22"/>
                <w:szCs w:val="22"/>
              </w:rPr>
            </w:pPr>
          </w:p>
        </w:tc>
      </w:tr>
      <w:tr w:rsidR="000C0F4D" w:rsidRPr="00677316" w:rsidTr="008323AE">
        <w:trPr>
          <w:trHeight w:val="247"/>
        </w:trPr>
        <w:tc>
          <w:tcPr>
            <w:tcW w:w="3581" w:type="pct"/>
            <w:gridSpan w:val="2"/>
          </w:tcPr>
          <w:p w:rsidR="000C0F4D" w:rsidRPr="00677316" w:rsidRDefault="000C0F4D" w:rsidP="000C0F4D">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Investing activities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39"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rPr>
            </w:pP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0C0F4D" w:rsidP="000C0F4D">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Capital expenditure (purchase of property, plant and equipment)</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(392.6)</w:t>
            </w:r>
          </w:p>
        </w:tc>
        <w:tc>
          <w:tcPr>
            <w:tcW w:w="539" w:type="pct"/>
          </w:tcPr>
          <w:p w:rsidR="000C0F4D" w:rsidRPr="00677316" w:rsidRDefault="00E25F44" w:rsidP="00BC5352">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121244">
              <w:rPr>
                <w:rFonts w:asciiTheme="minorHAnsi" w:hAnsiTheme="minorHAnsi" w:cstheme="minorHAnsi"/>
                <w:bCs/>
                <w:color w:val="000000"/>
                <w:sz w:val="22"/>
                <w:szCs w:val="22"/>
              </w:rPr>
              <w:t>381</w:t>
            </w:r>
            <w:r>
              <w:rPr>
                <w:rFonts w:asciiTheme="minorHAnsi" w:hAnsiTheme="minorHAnsi" w:cstheme="minorHAnsi"/>
                <w:bCs/>
                <w:color w:val="000000"/>
                <w:sz w:val="22"/>
                <w:szCs w:val="22"/>
              </w:rPr>
              <w:t>.</w:t>
            </w:r>
            <w:r w:rsidR="00121244">
              <w:rPr>
                <w:rFonts w:asciiTheme="minorHAnsi" w:hAnsiTheme="minorHAnsi" w:cstheme="minorHAnsi"/>
                <w:bCs/>
                <w:color w:val="000000"/>
                <w:sz w:val="22"/>
                <w:szCs w:val="22"/>
              </w:rPr>
              <w:t>4</w:t>
            </w:r>
            <w:r>
              <w:rPr>
                <w:rFonts w:asciiTheme="minorHAnsi" w:hAnsiTheme="minorHAnsi" w:cstheme="minorHAnsi"/>
                <w:bCs/>
                <w:color w:val="000000"/>
                <w:sz w:val="22"/>
                <w:szCs w:val="22"/>
              </w:rPr>
              <w:t>)</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E25F44" w:rsidP="008323A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w:t>
            </w:r>
            <w:r w:rsidR="00395906">
              <w:rPr>
                <w:rFonts w:asciiTheme="minorHAnsi" w:hAnsiTheme="minorHAnsi" w:cstheme="minorHAnsi"/>
                <w:color w:val="000000"/>
                <w:sz w:val="22"/>
                <w:szCs w:val="22"/>
              </w:rPr>
              <w:t>e</w:t>
            </w:r>
            <w:r w:rsidR="000C0F4D" w:rsidRPr="00677316">
              <w:rPr>
                <w:rFonts w:asciiTheme="minorHAnsi" w:hAnsiTheme="minorHAnsi" w:cstheme="minorHAnsi"/>
                <w:color w:val="000000"/>
                <w:sz w:val="22"/>
                <w:szCs w:val="22"/>
              </w:rPr>
              <w:t>crease</w:t>
            </w:r>
            <w:r w:rsidR="00722370">
              <w:rPr>
                <w:rFonts w:asciiTheme="minorHAnsi" w:hAnsiTheme="minorHAnsi" w:cstheme="minorHAnsi"/>
                <w:color w:val="000000"/>
                <w:sz w:val="22"/>
                <w:szCs w:val="22"/>
              </w:rPr>
              <w:t>/(increase)</w:t>
            </w:r>
            <w:r w:rsidR="008323AE">
              <w:rPr>
                <w:rFonts w:asciiTheme="minorHAnsi" w:hAnsiTheme="minorHAnsi" w:cstheme="minorHAnsi"/>
                <w:color w:val="000000"/>
                <w:sz w:val="22"/>
                <w:szCs w:val="22"/>
              </w:rPr>
              <w:t xml:space="preserve"> </w:t>
            </w:r>
            <w:r w:rsidR="000C0F4D" w:rsidRPr="00677316">
              <w:rPr>
                <w:rFonts w:asciiTheme="minorHAnsi" w:hAnsiTheme="minorHAnsi" w:cstheme="minorHAnsi"/>
                <w:color w:val="000000"/>
                <w:sz w:val="22"/>
                <w:szCs w:val="22"/>
              </w:rPr>
              <w:t>in restricted cash</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p>
        </w:tc>
        <w:tc>
          <w:tcPr>
            <w:tcW w:w="539" w:type="pct"/>
          </w:tcPr>
          <w:p w:rsidR="000C0F4D" w:rsidRPr="00677316" w:rsidRDefault="00121244" w:rsidP="00A94803">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0.1</w:t>
            </w:r>
          </w:p>
        </w:tc>
      </w:tr>
      <w:tr w:rsidR="000C0F4D" w:rsidRPr="00677316" w:rsidTr="00121244">
        <w:trPr>
          <w:trHeight w:val="262"/>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A169F6" w:rsidP="00A169F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Decrease</w:t>
            </w:r>
            <w:r w:rsidR="00722370">
              <w:rPr>
                <w:rFonts w:asciiTheme="minorHAnsi" w:hAnsiTheme="minorHAnsi" w:cstheme="minorHAnsi"/>
                <w:color w:val="000000"/>
                <w:sz w:val="22"/>
                <w:szCs w:val="22"/>
              </w:rPr>
              <w:t xml:space="preserve"> </w:t>
            </w:r>
            <w:r w:rsidR="000C0F4D" w:rsidRPr="00677316">
              <w:rPr>
                <w:rFonts w:asciiTheme="minorHAnsi" w:hAnsiTheme="minorHAnsi" w:cstheme="minorHAnsi"/>
                <w:color w:val="000000"/>
                <w:sz w:val="22"/>
                <w:szCs w:val="22"/>
              </w:rPr>
              <w:t xml:space="preserve">in financial assets: cash &gt; </w:t>
            </w:r>
            <w:r w:rsidR="00ED04B5">
              <w:rPr>
                <w:rFonts w:asciiTheme="minorHAnsi" w:hAnsiTheme="minorHAnsi" w:cstheme="minorHAnsi"/>
                <w:color w:val="000000"/>
                <w:sz w:val="22"/>
                <w:szCs w:val="22"/>
              </w:rPr>
              <w:t xml:space="preserve">3 </w:t>
            </w:r>
            <w:r w:rsidR="000C0F4D" w:rsidRPr="00677316">
              <w:rPr>
                <w:rFonts w:asciiTheme="minorHAnsi" w:hAnsiTheme="minorHAnsi" w:cstheme="minorHAnsi"/>
                <w:color w:val="000000"/>
                <w:sz w:val="22"/>
                <w:szCs w:val="22"/>
              </w:rPr>
              <w:t>months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(236.1)</w:t>
            </w:r>
          </w:p>
        </w:tc>
        <w:tc>
          <w:tcPr>
            <w:tcW w:w="539" w:type="pct"/>
          </w:tcPr>
          <w:p w:rsidR="000C0F4D" w:rsidRPr="00677316" w:rsidRDefault="00121244" w:rsidP="00BC5352">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A94803">
              <w:rPr>
                <w:rFonts w:asciiTheme="minorHAnsi" w:hAnsiTheme="minorHAnsi" w:cstheme="minorHAnsi"/>
                <w:bCs/>
                <w:color w:val="000000"/>
                <w:sz w:val="22"/>
                <w:szCs w:val="22"/>
              </w:rPr>
              <w:t>.</w:t>
            </w:r>
            <w:r>
              <w:rPr>
                <w:rFonts w:asciiTheme="minorHAnsi" w:hAnsiTheme="minorHAnsi" w:cstheme="minorHAnsi"/>
                <w:bCs/>
                <w:color w:val="000000"/>
                <w:sz w:val="22"/>
                <w:szCs w:val="22"/>
              </w:rPr>
              <w:t>6</w:t>
            </w:r>
          </w:p>
        </w:tc>
      </w:tr>
      <w:tr w:rsidR="000C0F4D" w:rsidRPr="00677316" w:rsidTr="008323AE">
        <w:trPr>
          <w:trHeight w:val="262"/>
        </w:trPr>
        <w:tc>
          <w:tcPr>
            <w:tcW w:w="3581" w:type="pct"/>
            <w:gridSpan w:val="2"/>
          </w:tcPr>
          <w:p w:rsidR="000C0F4D" w:rsidRPr="00677316" w:rsidRDefault="000C0F4D" w:rsidP="00CC6285">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Net cash</w:t>
            </w:r>
            <w:r w:rsidR="003B7833" w:rsidRPr="00677316">
              <w:rPr>
                <w:rFonts w:asciiTheme="minorHAnsi" w:hAnsiTheme="minorHAnsi" w:cstheme="minorHAnsi"/>
                <w:b/>
                <w:bCs/>
                <w:color w:val="000000"/>
                <w:sz w:val="22"/>
                <w:szCs w:val="22"/>
              </w:rPr>
              <w:t xml:space="preserve"> </w:t>
            </w:r>
            <w:r w:rsidR="00FF7BC2">
              <w:rPr>
                <w:rFonts w:asciiTheme="minorHAnsi" w:hAnsiTheme="minorHAnsi" w:cstheme="minorHAnsi"/>
                <w:b/>
                <w:bCs/>
                <w:color w:val="000000"/>
                <w:sz w:val="22"/>
                <w:szCs w:val="22"/>
              </w:rPr>
              <w:t>provided</w:t>
            </w:r>
            <w:proofErr w:type="gramStart"/>
            <w:r w:rsidR="00FF7BC2">
              <w:rPr>
                <w:rFonts w:asciiTheme="minorHAnsi" w:hAnsiTheme="minorHAnsi" w:cstheme="minorHAnsi"/>
                <w:b/>
                <w:bCs/>
                <w:color w:val="000000"/>
                <w:sz w:val="22"/>
                <w:szCs w:val="22"/>
              </w:rPr>
              <w:t>/</w:t>
            </w:r>
            <w:r w:rsidR="003B7833" w:rsidRPr="00677316">
              <w:rPr>
                <w:rFonts w:asciiTheme="minorHAnsi" w:hAnsiTheme="minorHAnsi" w:cstheme="minorHAnsi"/>
                <w:b/>
                <w:bCs/>
                <w:color w:val="000000"/>
                <w:sz w:val="22"/>
                <w:szCs w:val="22"/>
              </w:rPr>
              <w:t>(</w:t>
            </w:r>
            <w:proofErr w:type="gramEnd"/>
            <w:r w:rsidRPr="00677316">
              <w:rPr>
                <w:rFonts w:asciiTheme="minorHAnsi" w:hAnsiTheme="minorHAnsi" w:cstheme="minorHAnsi"/>
                <w:b/>
                <w:bCs/>
                <w:color w:val="000000"/>
                <w:sz w:val="22"/>
                <w:szCs w:val="22"/>
              </w:rPr>
              <w:t>used in</w:t>
            </w:r>
            <w:r w:rsidR="003B7833" w:rsidRPr="00677316">
              <w:rPr>
                <w:rFonts w:asciiTheme="minorHAnsi" w:hAnsiTheme="minorHAnsi" w:cstheme="minorHAnsi"/>
                <w:b/>
                <w:bCs/>
                <w:color w:val="000000"/>
                <w:sz w:val="22"/>
                <w:szCs w:val="22"/>
              </w:rPr>
              <w:t>)</w:t>
            </w:r>
            <w:r w:rsidRPr="00677316">
              <w:rPr>
                <w:rFonts w:asciiTheme="minorHAnsi" w:hAnsiTheme="minorHAnsi" w:cstheme="minorHAnsi"/>
                <w:b/>
                <w:bCs/>
                <w:color w:val="000000"/>
                <w:sz w:val="22"/>
                <w:szCs w:val="22"/>
              </w:rPr>
              <w:t xml:space="preserve"> investing activities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tcBorders>
              <w:top w:val="single" w:sz="4" w:space="0" w:color="auto"/>
              <w:bottom w:val="single" w:sz="4" w:space="0" w:color="auto"/>
            </w:tcBorders>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(628.7)</w:t>
            </w:r>
          </w:p>
        </w:tc>
        <w:tc>
          <w:tcPr>
            <w:tcW w:w="539" w:type="pct"/>
            <w:tcBorders>
              <w:top w:val="single" w:sz="4" w:space="0" w:color="auto"/>
              <w:bottom w:val="single" w:sz="4" w:space="0" w:color="auto"/>
            </w:tcBorders>
          </w:tcPr>
          <w:p w:rsidR="000C0F4D" w:rsidRPr="00677316" w:rsidRDefault="00E25F44" w:rsidP="00BC5352">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w:t>
            </w:r>
            <w:r w:rsidR="00121244">
              <w:rPr>
                <w:rFonts w:asciiTheme="minorHAnsi" w:hAnsiTheme="minorHAnsi" w:cstheme="minorHAnsi"/>
                <w:color w:val="000000"/>
                <w:sz w:val="22"/>
                <w:szCs w:val="22"/>
              </w:rPr>
              <w:t>376</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7</w:t>
            </w:r>
            <w:r>
              <w:rPr>
                <w:rFonts w:asciiTheme="minorHAnsi" w:hAnsiTheme="minorHAnsi" w:cstheme="minorHAnsi"/>
                <w:color w:val="000000"/>
                <w:sz w:val="22"/>
                <w:szCs w:val="22"/>
              </w:rPr>
              <w:t>)</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highlight w:val="yellow"/>
              </w:rPr>
            </w:pPr>
          </w:p>
        </w:tc>
        <w:tc>
          <w:tcPr>
            <w:tcW w:w="3457"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39" w:type="pct"/>
            <w:tcBorders>
              <w:top w:val="single" w:sz="4" w:space="0" w:color="auto"/>
            </w:tcBorders>
          </w:tcPr>
          <w:p w:rsidR="000C0F4D" w:rsidRPr="00677316" w:rsidRDefault="000C0F4D" w:rsidP="000C0F4D">
            <w:pPr>
              <w:autoSpaceDE w:val="0"/>
              <w:autoSpaceDN w:val="0"/>
              <w:adjustRightInd w:val="0"/>
              <w:jc w:val="right"/>
              <w:rPr>
                <w:rFonts w:asciiTheme="minorHAnsi" w:hAnsiTheme="minorHAnsi" w:cstheme="minorHAnsi"/>
                <w:bCs/>
                <w:color w:val="000000"/>
                <w:sz w:val="22"/>
                <w:szCs w:val="22"/>
              </w:rPr>
            </w:pPr>
          </w:p>
        </w:tc>
      </w:tr>
      <w:tr w:rsidR="000C0F4D" w:rsidRPr="00677316" w:rsidTr="008323AE">
        <w:trPr>
          <w:trHeight w:val="247"/>
        </w:trPr>
        <w:tc>
          <w:tcPr>
            <w:tcW w:w="3581" w:type="pct"/>
            <w:gridSpan w:val="2"/>
          </w:tcPr>
          <w:p w:rsidR="000C0F4D" w:rsidRPr="00677316" w:rsidRDefault="000C0F4D" w:rsidP="000C0F4D">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Financing activities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39"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rPr>
            </w:pPr>
          </w:p>
        </w:tc>
      </w:tr>
      <w:tr w:rsidR="007B1442" w:rsidRPr="00677316" w:rsidTr="00121244">
        <w:trPr>
          <w:trHeight w:val="262"/>
        </w:trPr>
        <w:tc>
          <w:tcPr>
            <w:tcW w:w="124" w:type="pct"/>
          </w:tcPr>
          <w:p w:rsidR="007B1442" w:rsidRPr="00677316" w:rsidRDefault="007B1442"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7B1442" w:rsidRPr="00677316" w:rsidRDefault="00074DE3" w:rsidP="007B1442">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Shareholder returns</w:t>
            </w:r>
          </w:p>
        </w:tc>
        <w:tc>
          <w:tcPr>
            <w:tcW w:w="336" w:type="pct"/>
          </w:tcPr>
          <w:p w:rsidR="007B1442" w:rsidRPr="00677316" w:rsidRDefault="00E25F44" w:rsidP="000C0F4D">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w:t>
            </w:r>
          </w:p>
        </w:tc>
        <w:tc>
          <w:tcPr>
            <w:tcW w:w="544" w:type="pct"/>
            <w:shd w:val="clear" w:color="auto" w:fill="FFFF00"/>
          </w:tcPr>
          <w:p w:rsidR="007B1442" w:rsidRPr="00677316" w:rsidRDefault="00FF7BC2" w:rsidP="00BC5352">
            <w:pPr>
              <w:autoSpaceDE w:val="0"/>
              <w:autoSpaceDN w:val="0"/>
              <w:adjustRightInd w:val="0"/>
              <w:jc w:val="right"/>
              <w:rPr>
                <w:rFonts w:asciiTheme="minorHAnsi" w:hAnsiTheme="minorHAnsi" w:cstheme="minorHAnsi"/>
                <w:b/>
                <w:bCs/>
                <w:color w:val="000000"/>
                <w:sz w:val="22"/>
                <w:szCs w:val="22"/>
                <w:highlight w:val="yellow"/>
              </w:rPr>
            </w:pPr>
            <w:r>
              <w:rPr>
                <w:rFonts w:asciiTheme="minorHAnsi" w:hAnsiTheme="minorHAnsi" w:cstheme="minorHAnsi"/>
                <w:b/>
                <w:bCs/>
                <w:color w:val="000000"/>
                <w:sz w:val="22"/>
                <w:szCs w:val="22"/>
                <w:highlight w:val="yellow"/>
              </w:rPr>
              <w:t>(204.1)</w:t>
            </w:r>
          </w:p>
        </w:tc>
        <w:tc>
          <w:tcPr>
            <w:tcW w:w="539" w:type="pct"/>
          </w:tcPr>
          <w:p w:rsidR="007B1442" w:rsidRPr="00677316" w:rsidRDefault="00E25F44" w:rsidP="00643D21">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121244">
              <w:rPr>
                <w:rFonts w:asciiTheme="minorHAnsi" w:hAnsiTheme="minorHAnsi" w:cstheme="minorHAnsi"/>
                <w:bCs/>
                <w:color w:val="000000"/>
                <w:sz w:val="22"/>
                <w:szCs w:val="22"/>
              </w:rPr>
              <w:t>467</w:t>
            </w:r>
            <w:r w:rsidR="00722370">
              <w:rPr>
                <w:rFonts w:asciiTheme="minorHAnsi" w:hAnsiTheme="minorHAnsi" w:cstheme="minorHAnsi"/>
                <w:bCs/>
                <w:color w:val="000000"/>
                <w:sz w:val="22"/>
                <w:szCs w:val="22"/>
              </w:rPr>
              <w:t>.</w:t>
            </w:r>
            <w:r w:rsidR="00121244">
              <w:rPr>
                <w:rFonts w:asciiTheme="minorHAnsi" w:hAnsiTheme="minorHAnsi" w:cstheme="minorHAnsi"/>
                <w:bCs/>
                <w:color w:val="000000"/>
                <w:sz w:val="22"/>
                <w:szCs w:val="22"/>
              </w:rPr>
              <w:t>5</w:t>
            </w:r>
            <w:r>
              <w:rPr>
                <w:rFonts w:asciiTheme="minorHAnsi" w:hAnsiTheme="minorHAnsi" w:cstheme="minorHAnsi"/>
                <w:bCs/>
                <w:color w:val="000000"/>
                <w:sz w:val="22"/>
                <w:szCs w:val="22"/>
              </w:rPr>
              <w:t>)</w:t>
            </w:r>
          </w:p>
        </w:tc>
      </w:tr>
      <w:tr w:rsidR="000C0F4D" w:rsidRPr="00677316" w:rsidTr="00121244">
        <w:trPr>
          <w:trHeight w:val="262"/>
        </w:trPr>
        <w:tc>
          <w:tcPr>
            <w:tcW w:w="124" w:type="pct"/>
          </w:tcPr>
          <w:p w:rsidR="000C0F4D" w:rsidRPr="00677316" w:rsidRDefault="000C0F4D" w:rsidP="000C0F4D">
            <w:pPr>
              <w:autoSpaceDE w:val="0"/>
              <w:autoSpaceDN w:val="0"/>
              <w:adjustRightInd w:val="0"/>
              <w:jc w:val="right"/>
              <w:rPr>
                <w:rFonts w:asciiTheme="minorHAnsi" w:hAnsiTheme="minorHAnsi" w:cstheme="minorHAnsi"/>
                <w:color w:val="000000"/>
                <w:sz w:val="22"/>
                <w:szCs w:val="22"/>
                <w:highlight w:val="yellow"/>
              </w:rPr>
            </w:pPr>
          </w:p>
        </w:tc>
        <w:tc>
          <w:tcPr>
            <w:tcW w:w="3457" w:type="pct"/>
          </w:tcPr>
          <w:p w:rsidR="000C0F4D" w:rsidRPr="00677316" w:rsidRDefault="002162AA" w:rsidP="000C0F4D">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Repayments of long term borrowings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(83.0)</w:t>
            </w:r>
          </w:p>
        </w:tc>
        <w:tc>
          <w:tcPr>
            <w:tcW w:w="539" w:type="pct"/>
          </w:tcPr>
          <w:p w:rsidR="000C0F4D" w:rsidRPr="00677316" w:rsidRDefault="00E25F44" w:rsidP="00643D21">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121244">
              <w:rPr>
                <w:rFonts w:asciiTheme="minorHAnsi" w:hAnsiTheme="minorHAnsi" w:cstheme="minorHAnsi"/>
                <w:bCs/>
                <w:color w:val="000000"/>
                <w:sz w:val="22"/>
                <w:szCs w:val="22"/>
              </w:rPr>
              <w:t>88</w:t>
            </w:r>
            <w:r w:rsidR="00A94803">
              <w:rPr>
                <w:rFonts w:asciiTheme="minorHAnsi" w:hAnsiTheme="minorHAnsi" w:cstheme="minorHAnsi"/>
                <w:bCs/>
                <w:color w:val="000000"/>
                <w:sz w:val="22"/>
                <w:szCs w:val="22"/>
              </w:rPr>
              <w:t>.</w:t>
            </w:r>
            <w:r w:rsidR="00121244">
              <w:rPr>
                <w:rFonts w:asciiTheme="minorHAnsi" w:hAnsiTheme="minorHAnsi" w:cstheme="minorHAnsi"/>
                <w:bCs/>
                <w:color w:val="000000"/>
                <w:sz w:val="22"/>
                <w:szCs w:val="22"/>
              </w:rPr>
              <w:t>5</w:t>
            </w:r>
            <w:r>
              <w:rPr>
                <w:rFonts w:asciiTheme="minorHAnsi" w:hAnsiTheme="minorHAnsi" w:cstheme="minorHAnsi"/>
                <w:bCs/>
                <w:color w:val="000000"/>
                <w:sz w:val="22"/>
                <w:szCs w:val="22"/>
              </w:rPr>
              <w:t>)</w:t>
            </w:r>
          </w:p>
        </w:tc>
      </w:tr>
      <w:tr w:rsidR="000C0F4D" w:rsidRPr="00677316" w:rsidTr="008323AE">
        <w:trPr>
          <w:trHeight w:val="262"/>
        </w:trPr>
        <w:tc>
          <w:tcPr>
            <w:tcW w:w="3581" w:type="pct"/>
            <w:gridSpan w:val="2"/>
          </w:tcPr>
          <w:p w:rsidR="000C0F4D" w:rsidRPr="00677316" w:rsidRDefault="000C0F4D" w:rsidP="007B1442">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Net cash</w:t>
            </w:r>
            <w:r w:rsidR="00EE553C">
              <w:rPr>
                <w:rFonts w:asciiTheme="minorHAnsi" w:hAnsiTheme="minorHAnsi" w:cstheme="minorHAnsi"/>
                <w:b/>
                <w:bCs/>
                <w:color w:val="000000"/>
                <w:sz w:val="22"/>
                <w:szCs w:val="22"/>
              </w:rPr>
              <w:t xml:space="preserve"> provided</w:t>
            </w:r>
            <w:proofErr w:type="gramStart"/>
            <w:r w:rsidR="00EE553C">
              <w:rPr>
                <w:rFonts w:asciiTheme="minorHAnsi" w:hAnsiTheme="minorHAnsi" w:cstheme="minorHAnsi"/>
                <w:b/>
                <w:bCs/>
                <w:color w:val="000000"/>
                <w:sz w:val="22"/>
                <w:szCs w:val="22"/>
              </w:rPr>
              <w:t>/</w:t>
            </w:r>
            <w:r w:rsidRPr="00677316">
              <w:rPr>
                <w:rFonts w:asciiTheme="minorHAnsi" w:hAnsiTheme="minorHAnsi" w:cstheme="minorHAnsi"/>
                <w:b/>
                <w:bCs/>
                <w:color w:val="000000"/>
                <w:sz w:val="22"/>
                <w:szCs w:val="22"/>
              </w:rPr>
              <w:t>(</w:t>
            </w:r>
            <w:proofErr w:type="gramEnd"/>
            <w:r w:rsidRPr="00677316">
              <w:rPr>
                <w:rFonts w:asciiTheme="minorHAnsi" w:hAnsiTheme="minorHAnsi" w:cstheme="minorHAnsi"/>
                <w:b/>
                <w:bCs/>
                <w:color w:val="000000"/>
                <w:sz w:val="22"/>
                <w:szCs w:val="22"/>
              </w:rPr>
              <w:t>used in) financing activities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tcBorders>
              <w:top w:val="single" w:sz="4" w:space="0" w:color="auto"/>
              <w:bottom w:val="single" w:sz="4" w:space="0" w:color="auto"/>
            </w:tcBorders>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(287.1)</w:t>
            </w:r>
          </w:p>
        </w:tc>
        <w:tc>
          <w:tcPr>
            <w:tcW w:w="539" w:type="pct"/>
            <w:tcBorders>
              <w:top w:val="single" w:sz="4" w:space="0" w:color="auto"/>
              <w:bottom w:val="single" w:sz="4" w:space="0" w:color="auto"/>
            </w:tcBorders>
          </w:tcPr>
          <w:p w:rsidR="000C0F4D" w:rsidRPr="00677316" w:rsidRDefault="00E25F44" w:rsidP="00643D2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w:t>
            </w:r>
            <w:r w:rsidR="00121244">
              <w:rPr>
                <w:rFonts w:asciiTheme="minorHAnsi" w:hAnsiTheme="minorHAnsi" w:cstheme="minorHAnsi"/>
                <w:color w:val="000000"/>
                <w:sz w:val="22"/>
                <w:szCs w:val="22"/>
              </w:rPr>
              <w:t>556</w:t>
            </w:r>
            <w:r w:rsidR="00643D21">
              <w:rPr>
                <w:rFonts w:asciiTheme="minorHAnsi" w:hAnsiTheme="minorHAnsi" w:cstheme="minorHAnsi"/>
                <w:color w:val="000000"/>
                <w:sz w:val="22"/>
                <w:szCs w:val="22"/>
              </w:rPr>
              <w:t>.</w:t>
            </w:r>
            <w:r w:rsidR="00121244">
              <w:rPr>
                <w:rFonts w:asciiTheme="minorHAnsi" w:hAnsiTheme="minorHAnsi" w:cstheme="minorHAnsi"/>
                <w:color w:val="000000"/>
                <w:sz w:val="22"/>
                <w:szCs w:val="22"/>
              </w:rPr>
              <w:t>0</w:t>
            </w:r>
            <w:r w:rsidR="00643D21">
              <w:rPr>
                <w:rFonts w:asciiTheme="minorHAnsi" w:hAnsiTheme="minorHAnsi" w:cstheme="minorHAnsi"/>
                <w:color w:val="000000"/>
                <w:sz w:val="22"/>
                <w:szCs w:val="22"/>
              </w:rPr>
              <w:t>)</w:t>
            </w:r>
          </w:p>
        </w:tc>
      </w:tr>
      <w:tr w:rsidR="000C0F4D" w:rsidRPr="00677316" w:rsidTr="00121244">
        <w:trPr>
          <w:trHeight w:val="247"/>
        </w:trPr>
        <w:tc>
          <w:tcPr>
            <w:tcW w:w="124"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highlight w:val="yellow"/>
              </w:rPr>
            </w:pPr>
          </w:p>
        </w:tc>
        <w:tc>
          <w:tcPr>
            <w:tcW w:w="3457" w:type="pct"/>
          </w:tcPr>
          <w:p w:rsidR="000C0F4D" w:rsidRPr="00677316" w:rsidRDefault="000C0F4D" w:rsidP="000C0F4D">
            <w:pPr>
              <w:autoSpaceDE w:val="0"/>
              <w:autoSpaceDN w:val="0"/>
              <w:adjustRightInd w:val="0"/>
              <w:ind w:right="-200"/>
              <w:jc w:val="right"/>
              <w:rPr>
                <w:rFonts w:asciiTheme="minorHAnsi" w:hAnsiTheme="minorHAnsi" w:cstheme="minorHAnsi"/>
                <w:color w:val="000000"/>
                <w:sz w:val="22"/>
                <w:szCs w:val="22"/>
              </w:rPr>
            </w:pP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39" w:type="pct"/>
            <w:tcBorders>
              <w:top w:val="single" w:sz="4" w:space="0" w:color="auto"/>
            </w:tcBorders>
          </w:tcPr>
          <w:p w:rsidR="000C0F4D" w:rsidRPr="00677316" w:rsidRDefault="000C0F4D" w:rsidP="000C0F4D">
            <w:pPr>
              <w:autoSpaceDE w:val="0"/>
              <w:autoSpaceDN w:val="0"/>
              <w:adjustRightInd w:val="0"/>
              <w:jc w:val="right"/>
              <w:rPr>
                <w:rFonts w:asciiTheme="minorHAnsi" w:hAnsiTheme="minorHAnsi" w:cstheme="minorHAnsi"/>
                <w:bCs/>
                <w:color w:val="000000"/>
                <w:sz w:val="22"/>
                <w:szCs w:val="22"/>
              </w:rPr>
            </w:pPr>
          </w:p>
        </w:tc>
      </w:tr>
      <w:tr w:rsidR="000C0F4D" w:rsidRPr="00677316" w:rsidTr="008323AE">
        <w:trPr>
          <w:trHeight w:val="247"/>
        </w:trPr>
        <w:tc>
          <w:tcPr>
            <w:tcW w:w="3581" w:type="pct"/>
            <w:gridSpan w:val="2"/>
          </w:tcPr>
          <w:p w:rsidR="000C0F4D" w:rsidRPr="00677316" w:rsidRDefault="00F50747" w:rsidP="00BC5352">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r w:rsidR="00E25F44">
              <w:rPr>
                <w:rFonts w:asciiTheme="minorHAnsi" w:hAnsiTheme="minorHAnsi" w:cstheme="minorHAnsi"/>
                <w:b/>
                <w:bCs/>
                <w:color w:val="000000"/>
                <w:sz w:val="22"/>
                <w:szCs w:val="22"/>
              </w:rPr>
              <w:t>D</w:t>
            </w:r>
            <w:r>
              <w:rPr>
                <w:rFonts w:asciiTheme="minorHAnsi" w:hAnsiTheme="minorHAnsi" w:cstheme="minorHAnsi"/>
                <w:b/>
                <w:bCs/>
                <w:color w:val="000000"/>
                <w:sz w:val="22"/>
                <w:szCs w:val="22"/>
              </w:rPr>
              <w:t>ecrease)</w:t>
            </w:r>
            <w:r w:rsidR="00722370">
              <w:rPr>
                <w:rFonts w:asciiTheme="minorHAnsi" w:hAnsiTheme="minorHAnsi" w:cstheme="minorHAnsi"/>
                <w:b/>
                <w:bCs/>
                <w:color w:val="000000"/>
                <w:sz w:val="22"/>
                <w:szCs w:val="22"/>
              </w:rPr>
              <w:t>/increase</w:t>
            </w:r>
            <w:r w:rsidR="000C0F4D" w:rsidRPr="00677316">
              <w:rPr>
                <w:rFonts w:asciiTheme="minorHAnsi" w:hAnsiTheme="minorHAnsi" w:cstheme="minorHAnsi"/>
                <w:b/>
                <w:bCs/>
                <w:color w:val="000000"/>
                <w:sz w:val="22"/>
                <w:szCs w:val="22"/>
              </w:rPr>
              <w:t xml:space="preserve"> in cash and cash equivalents</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(189.7)</w:t>
            </w:r>
          </w:p>
        </w:tc>
        <w:tc>
          <w:tcPr>
            <w:tcW w:w="539" w:type="pct"/>
          </w:tcPr>
          <w:p w:rsidR="000C0F4D" w:rsidRPr="00677316" w:rsidRDefault="00121244" w:rsidP="00A94803">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(226</w:t>
            </w:r>
            <w:r w:rsidR="00722370">
              <w:rPr>
                <w:rFonts w:asciiTheme="minorHAnsi" w:hAnsiTheme="minorHAnsi" w:cstheme="minorHAnsi"/>
                <w:color w:val="000000"/>
                <w:sz w:val="22"/>
                <w:szCs w:val="22"/>
              </w:rPr>
              <w:t>.</w:t>
            </w:r>
            <w:r>
              <w:rPr>
                <w:rFonts w:asciiTheme="minorHAnsi" w:hAnsiTheme="minorHAnsi" w:cstheme="minorHAnsi"/>
                <w:color w:val="000000"/>
                <w:sz w:val="22"/>
                <w:szCs w:val="22"/>
              </w:rPr>
              <w:t>0)</w:t>
            </w:r>
          </w:p>
        </w:tc>
      </w:tr>
      <w:tr w:rsidR="000C0F4D" w:rsidRPr="00677316" w:rsidTr="008323AE">
        <w:trPr>
          <w:trHeight w:val="247"/>
        </w:trPr>
        <w:tc>
          <w:tcPr>
            <w:tcW w:w="3581" w:type="pct"/>
            <w:gridSpan w:val="2"/>
          </w:tcPr>
          <w:p w:rsidR="000C0F4D" w:rsidRPr="00677316" w:rsidRDefault="000C0F4D" w:rsidP="009D5EA3">
            <w:pPr>
              <w:autoSpaceDE w:val="0"/>
              <w:autoSpaceDN w:val="0"/>
              <w:adjustRightInd w:val="0"/>
              <w:rPr>
                <w:rFonts w:asciiTheme="minorHAnsi" w:hAnsiTheme="minorHAnsi" w:cstheme="minorHAnsi"/>
                <w:color w:val="000000"/>
                <w:sz w:val="22"/>
                <w:szCs w:val="22"/>
              </w:rPr>
            </w:pPr>
            <w:r w:rsidRPr="00677316">
              <w:rPr>
                <w:rFonts w:asciiTheme="minorHAnsi" w:hAnsiTheme="minorHAnsi" w:cstheme="minorHAnsi"/>
                <w:color w:val="000000"/>
                <w:sz w:val="22"/>
                <w:szCs w:val="22"/>
              </w:rPr>
              <w:t xml:space="preserve">Cash and cash equivalents at beginning of the </w:t>
            </w:r>
            <w:r w:rsidR="00121244">
              <w:rPr>
                <w:rFonts w:asciiTheme="minorHAnsi" w:hAnsiTheme="minorHAnsi" w:cstheme="minorHAnsi"/>
                <w:color w:val="000000"/>
                <w:sz w:val="22"/>
                <w:szCs w:val="22"/>
              </w:rPr>
              <w:t>period</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tcBorders>
              <w:bottom w:val="single" w:sz="4" w:space="0" w:color="auto"/>
            </w:tcBorders>
            <w:shd w:val="clear" w:color="auto" w:fill="FFFF00"/>
          </w:tcPr>
          <w:p w:rsidR="000C0F4D" w:rsidRPr="00677316" w:rsidRDefault="00FF7BC2" w:rsidP="00B425A8">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1,224.0</w:t>
            </w:r>
          </w:p>
        </w:tc>
        <w:tc>
          <w:tcPr>
            <w:tcW w:w="539" w:type="pct"/>
            <w:tcBorders>
              <w:bottom w:val="single" w:sz="4" w:space="0" w:color="auto"/>
            </w:tcBorders>
          </w:tcPr>
          <w:p w:rsidR="000C0F4D" w:rsidRPr="00677316" w:rsidRDefault="00E25F44" w:rsidP="008A5986">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w:t>
            </w:r>
            <w:r w:rsidR="00121244">
              <w:rPr>
                <w:rFonts w:asciiTheme="minorHAnsi" w:hAnsiTheme="minorHAnsi" w:cstheme="minorHAnsi"/>
                <w:color w:val="000000"/>
                <w:sz w:val="22"/>
                <w:szCs w:val="22"/>
              </w:rPr>
              <w:t>259</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2</w:t>
            </w:r>
          </w:p>
        </w:tc>
      </w:tr>
      <w:tr w:rsidR="000C0F4D" w:rsidRPr="00677316" w:rsidTr="008323AE">
        <w:trPr>
          <w:trHeight w:val="262"/>
        </w:trPr>
        <w:tc>
          <w:tcPr>
            <w:tcW w:w="3581" w:type="pct"/>
            <w:gridSpan w:val="2"/>
          </w:tcPr>
          <w:p w:rsidR="000C0F4D" w:rsidRPr="00677316" w:rsidRDefault="000C0F4D" w:rsidP="009D5EA3">
            <w:pPr>
              <w:autoSpaceDE w:val="0"/>
              <w:autoSpaceDN w:val="0"/>
              <w:adjustRightInd w:val="0"/>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 xml:space="preserve">Cash and cash equivalents at end of the </w:t>
            </w:r>
            <w:r w:rsidR="00121244">
              <w:rPr>
                <w:rFonts w:asciiTheme="minorHAnsi" w:hAnsiTheme="minorHAnsi" w:cstheme="minorHAnsi"/>
                <w:b/>
                <w:bCs/>
                <w:color w:val="000000"/>
                <w:sz w:val="22"/>
                <w:szCs w:val="22"/>
              </w:rPr>
              <w:t>period</w:t>
            </w:r>
          </w:p>
        </w:tc>
        <w:tc>
          <w:tcPr>
            <w:tcW w:w="336" w:type="pct"/>
          </w:tcPr>
          <w:p w:rsidR="000C0F4D" w:rsidRPr="00677316" w:rsidRDefault="000C0F4D" w:rsidP="000C0F4D">
            <w:pPr>
              <w:autoSpaceDE w:val="0"/>
              <w:autoSpaceDN w:val="0"/>
              <w:adjustRightInd w:val="0"/>
              <w:jc w:val="right"/>
              <w:rPr>
                <w:rFonts w:asciiTheme="minorHAnsi" w:hAnsiTheme="minorHAnsi" w:cstheme="minorHAnsi"/>
                <w:b/>
                <w:bCs/>
                <w:color w:val="000000"/>
                <w:sz w:val="22"/>
                <w:szCs w:val="22"/>
              </w:rPr>
            </w:pPr>
          </w:p>
        </w:tc>
        <w:tc>
          <w:tcPr>
            <w:tcW w:w="544" w:type="pct"/>
            <w:tcBorders>
              <w:top w:val="single" w:sz="4" w:space="0" w:color="auto"/>
              <w:bottom w:val="single" w:sz="4" w:space="0" w:color="auto"/>
            </w:tcBorders>
            <w:shd w:val="clear" w:color="auto" w:fill="FFFF00"/>
          </w:tcPr>
          <w:p w:rsidR="000C0F4D" w:rsidRPr="00677316" w:rsidRDefault="00FF7BC2" w:rsidP="00BC5352">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1,034.3</w:t>
            </w:r>
          </w:p>
        </w:tc>
        <w:tc>
          <w:tcPr>
            <w:tcW w:w="539" w:type="pct"/>
            <w:tcBorders>
              <w:top w:val="single" w:sz="4" w:space="0" w:color="auto"/>
              <w:bottom w:val="single" w:sz="4" w:space="0" w:color="auto"/>
            </w:tcBorders>
          </w:tcPr>
          <w:p w:rsidR="000C0F4D" w:rsidRPr="00677316" w:rsidRDefault="00722370" w:rsidP="00643D21">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w:t>
            </w:r>
            <w:r w:rsidR="00121244">
              <w:rPr>
                <w:rFonts w:asciiTheme="minorHAnsi" w:hAnsiTheme="minorHAnsi" w:cstheme="minorHAnsi"/>
                <w:color w:val="000000"/>
                <w:sz w:val="22"/>
                <w:szCs w:val="22"/>
              </w:rPr>
              <w:t>033</w:t>
            </w:r>
            <w:r>
              <w:rPr>
                <w:rFonts w:asciiTheme="minorHAnsi" w:hAnsiTheme="minorHAnsi" w:cstheme="minorHAnsi"/>
                <w:color w:val="000000"/>
                <w:sz w:val="22"/>
                <w:szCs w:val="22"/>
              </w:rPr>
              <w:t>.</w:t>
            </w:r>
            <w:r w:rsidR="00121244">
              <w:rPr>
                <w:rFonts w:asciiTheme="minorHAnsi" w:hAnsiTheme="minorHAnsi" w:cstheme="minorHAnsi"/>
                <w:color w:val="000000"/>
                <w:sz w:val="22"/>
                <w:szCs w:val="22"/>
              </w:rPr>
              <w:t>2</w:t>
            </w:r>
          </w:p>
        </w:tc>
      </w:tr>
    </w:tbl>
    <w:p w:rsidR="00DE7410" w:rsidRDefault="00DE7410" w:rsidP="00DE7410">
      <w:pPr>
        <w:rPr>
          <w:rFonts w:asciiTheme="minorHAnsi" w:hAnsiTheme="minorHAnsi" w:cstheme="minorHAnsi"/>
          <w:sz w:val="22"/>
          <w:szCs w:val="22"/>
          <w:highlight w:val="yellow"/>
        </w:rPr>
      </w:pPr>
    </w:p>
    <w:p w:rsidR="00F95E9C" w:rsidRPr="00677316" w:rsidRDefault="00F95E9C" w:rsidP="00DE7410">
      <w:pPr>
        <w:rPr>
          <w:rFonts w:asciiTheme="minorHAnsi" w:hAnsiTheme="minorHAnsi" w:cstheme="minorHAnsi"/>
          <w:sz w:val="22"/>
          <w:szCs w:val="22"/>
          <w:highlight w:val="yellow"/>
        </w:rPr>
      </w:pPr>
    </w:p>
    <w:p w:rsidR="00DE7410" w:rsidRPr="00677316" w:rsidRDefault="00DE7410" w:rsidP="00DE7410">
      <w:pPr>
        <w:rPr>
          <w:rFonts w:asciiTheme="minorHAnsi" w:hAnsiTheme="minorHAnsi" w:cstheme="minorHAnsi"/>
          <w:sz w:val="22"/>
          <w:szCs w:val="22"/>
        </w:rPr>
      </w:pPr>
    </w:p>
    <w:p w:rsidR="000E553A" w:rsidRPr="00677316" w:rsidRDefault="000E553A" w:rsidP="00DE7410">
      <w:pPr>
        <w:rPr>
          <w:rFonts w:asciiTheme="minorHAnsi" w:hAnsiTheme="minorHAnsi" w:cstheme="minorHAnsi"/>
          <w:sz w:val="22"/>
          <w:szCs w:val="22"/>
        </w:rPr>
      </w:pPr>
    </w:p>
    <w:p w:rsidR="000C0F4D" w:rsidRPr="00677316" w:rsidRDefault="000C0F4D" w:rsidP="000C0F4D">
      <w:pPr>
        <w:autoSpaceDE w:val="0"/>
        <w:autoSpaceDN w:val="0"/>
        <w:adjustRightInd w:val="0"/>
        <w:ind w:left="-709" w:right="4"/>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t>Ryanair Holdings plc and Subsidiaries</w:t>
      </w:r>
    </w:p>
    <w:p w:rsidR="000C0F4D" w:rsidRPr="00677316" w:rsidRDefault="000C0F4D" w:rsidP="009A448F">
      <w:pPr>
        <w:tabs>
          <w:tab w:val="left" w:pos="7655"/>
        </w:tabs>
        <w:ind w:left="-709" w:right="4"/>
        <w:rPr>
          <w:rFonts w:asciiTheme="minorHAnsi" w:hAnsiTheme="minorHAnsi" w:cstheme="minorHAnsi"/>
          <w:b/>
          <w:bCs/>
          <w:i/>
          <w:iCs/>
          <w:color w:val="000000"/>
          <w:sz w:val="22"/>
          <w:szCs w:val="22"/>
        </w:rPr>
      </w:pPr>
      <w:r w:rsidRPr="00677316">
        <w:rPr>
          <w:rFonts w:asciiTheme="minorHAnsi" w:hAnsiTheme="minorHAnsi" w:cstheme="minorHAnsi"/>
          <w:b/>
          <w:bCs/>
          <w:i/>
          <w:iCs/>
          <w:color w:val="000000"/>
          <w:sz w:val="22"/>
          <w:szCs w:val="22"/>
        </w:rPr>
        <w:t>Condensed Consolidated</w:t>
      </w:r>
      <w:r w:rsidR="00795BB6">
        <w:rPr>
          <w:rFonts w:asciiTheme="minorHAnsi" w:hAnsiTheme="minorHAnsi" w:cstheme="minorHAnsi"/>
          <w:b/>
          <w:bCs/>
          <w:i/>
          <w:iCs/>
          <w:color w:val="000000"/>
          <w:sz w:val="22"/>
          <w:szCs w:val="22"/>
        </w:rPr>
        <w:t xml:space="preserve"> </w:t>
      </w:r>
      <w:r w:rsidR="00B13339">
        <w:rPr>
          <w:rFonts w:asciiTheme="minorHAnsi" w:hAnsiTheme="minorHAnsi" w:cstheme="minorHAnsi"/>
          <w:b/>
          <w:bCs/>
          <w:i/>
          <w:iCs/>
          <w:color w:val="000000"/>
          <w:sz w:val="22"/>
          <w:szCs w:val="22"/>
        </w:rPr>
        <w:t>Interim</w:t>
      </w:r>
      <w:r w:rsidR="00722370">
        <w:rPr>
          <w:rFonts w:asciiTheme="minorHAnsi" w:hAnsiTheme="minorHAnsi" w:cstheme="minorHAnsi"/>
          <w:b/>
          <w:bCs/>
          <w:i/>
          <w:iCs/>
          <w:color w:val="000000"/>
          <w:sz w:val="22"/>
          <w:szCs w:val="22"/>
        </w:rPr>
        <w:t xml:space="preserve"> </w:t>
      </w:r>
      <w:r w:rsidRPr="00677316">
        <w:rPr>
          <w:rFonts w:asciiTheme="minorHAnsi" w:hAnsiTheme="minorHAnsi" w:cstheme="minorHAnsi"/>
          <w:b/>
          <w:bCs/>
          <w:i/>
          <w:iCs/>
          <w:color w:val="000000"/>
          <w:sz w:val="22"/>
          <w:szCs w:val="22"/>
        </w:rPr>
        <w:t xml:space="preserve">Statement of Changes in Shareholders’ Equity for the </w:t>
      </w:r>
      <w:r w:rsidR="00B13339">
        <w:rPr>
          <w:rFonts w:asciiTheme="minorHAnsi" w:hAnsiTheme="minorHAnsi" w:cstheme="minorHAnsi"/>
          <w:b/>
          <w:bCs/>
          <w:i/>
          <w:iCs/>
          <w:color w:val="000000"/>
          <w:sz w:val="22"/>
          <w:szCs w:val="22"/>
        </w:rPr>
        <w:t>quarter</w:t>
      </w:r>
      <w:r w:rsidRPr="00677316">
        <w:rPr>
          <w:rFonts w:asciiTheme="minorHAnsi" w:hAnsiTheme="minorHAnsi" w:cstheme="minorHAnsi"/>
          <w:b/>
          <w:bCs/>
          <w:i/>
          <w:iCs/>
          <w:color w:val="000000"/>
          <w:sz w:val="22"/>
          <w:szCs w:val="22"/>
        </w:rPr>
        <w:t xml:space="preserve"> </w:t>
      </w:r>
      <w:r w:rsidR="00E25F44">
        <w:rPr>
          <w:rFonts w:asciiTheme="minorHAnsi" w:hAnsiTheme="minorHAnsi" w:cstheme="minorHAnsi"/>
          <w:b/>
          <w:bCs/>
          <w:i/>
          <w:iCs/>
          <w:color w:val="000000"/>
          <w:sz w:val="22"/>
          <w:szCs w:val="22"/>
        </w:rPr>
        <w:t>ended</w:t>
      </w:r>
      <w:r w:rsidR="00B13339">
        <w:rPr>
          <w:rFonts w:asciiTheme="minorHAnsi" w:hAnsiTheme="minorHAnsi" w:cstheme="minorHAnsi"/>
          <w:b/>
          <w:bCs/>
          <w:i/>
          <w:iCs/>
          <w:color w:val="000000"/>
          <w:sz w:val="22"/>
          <w:szCs w:val="22"/>
        </w:rPr>
        <w:t xml:space="preserve"> June </w:t>
      </w:r>
      <w:r w:rsidR="00E25F44">
        <w:rPr>
          <w:rFonts w:asciiTheme="minorHAnsi" w:hAnsiTheme="minorHAnsi" w:cstheme="minorHAnsi"/>
          <w:b/>
          <w:bCs/>
          <w:i/>
          <w:iCs/>
          <w:color w:val="000000"/>
          <w:sz w:val="22"/>
          <w:szCs w:val="22"/>
        </w:rPr>
        <w:t>3</w:t>
      </w:r>
      <w:r w:rsidR="00B13339">
        <w:rPr>
          <w:rFonts w:asciiTheme="minorHAnsi" w:hAnsiTheme="minorHAnsi" w:cstheme="minorHAnsi"/>
          <w:b/>
          <w:bCs/>
          <w:i/>
          <w:iCs/>
          <w:color w:val="000000"/>
          <w:sz w:val="22"/>
          <w:szCs w:val="22"/>
        </w:rPr>
        <w:t>0</w:t>
      </w:r>
      <w:r w:rsidR="009D5EA3" w:rsidRPr="00677316">
        <w:rPr>
          <w:rFonts w:asciiTheme="minorHAnsi" w:hAnsiTheme="minorHAnsi" w:cstheme="minorHAnsi"/>
          <w:b/>
          <w:bCs/>
          <w:i/>
          <w:iCs/>
          <w:color w:val="000000"/>
          <w:sz w:val="22"/>
          <w:szCs w:val="22"/>
        </w:rPr>
        <w:t>,</w:t>
      </w:r>
      <w:r w:rsidR="008A5986">
        <w:rPr>
          <w:rFonts w:asciiTheme="minorHAnsi" w:hAnsiTheme="minorHAnsi" w:cstheme="minorHAnsi"/>
          <w:b/>
          <w:bCs/>
          <w:i/>
          <w:iCs/>
          <w:color w:val="000000"/>
          <w:sz w:val="22"/>
          <w:szCs w:val="22"/>
        </w:rPr>
        <w:t xml:space="preserve"> 201</w:t>
      </w:r>
      <w:r w:rsidR="00722370">
        <w:rPr>
          <w:rFonts w:asciiTheme="minorHAnsi" w:hAnsiTheme="minorHAnsi" w:cstheme="minorHAnsi"/>
          <w:b/>
          <w:bCs/>
          <w:i/>
          <w:iCs/>
          <w:color w:val="000000"/>
          <w:sz w:val="22"/>
          <w:szCs w:val="22"/>
        </w:rPr>
        <w:t>7</w:t>
      </w:r>
      <w:r w:rsidR="00B7470E" w:rsidRPr="00677316">
        <w:rPr>
          <w:rFonts w:asciiTheme="minorHAnsi" w:hAnsiTheme="minorHAnsi" w:cstheme="minorHAnsi"/>
          <w:b/>
          <w:bCs/>
          <w:i/>
          <w:iCs/>
          <w:color w:val="000000"/>
          <w:sz w:val="22"/>
          <w:szCs w:val="22"/>
        </w:rPr>
        <w:t xml:space="preserve"> (unaudited)</w:t>
      </w:r>
    </w:p>
    <w:tbl>
      <w:tblPr>
        <w:tblW w:w="17010" w:type="dxa"/>
        <w:tblLayout w:type="fixed"/>
        <w:tblLook w:val="0000" w:firstRow="0" w:lastRow="0" w:firstColumn="0" w:lastColumn="0" w:noHBand="0" w:noVBand="0"/>
      </w:tblPr>
      <w:tblGrid>
        <w:gridCol w:w="4389"/>
        <w:gridCol w:w="1320"/>
        <w:gridCol w:w="1119"/>
        <w:gridCol w:w="1289"/>
        <w:gridCol w:w="1320"/>
        <w:gridCol w:w="1749"/>
        <w:gridCol w:w="1531"/>
        <w:gridCol w:w="1310"/>
        <w:gridCol w:w="1527"/>
        <w:gridCol w:w="1456"/>
      </w:tblGrid>
      <w:tr w:rsidR="00D64781" w:rsidRPr="00D64781" w:rsidTr="002A4AAD">
        <w:trPr>
          <w:trHeight w:val="247"/>
        </w:trPr>
        <w:tc>
          <w:tcPr>
            <w:tcW w:w="1290" w:type="pct"/>
            <w:shd w:val="solid" w:color="FFFFFF" w:fill="auto"/>
          </w:tcPr>
          <w:p w:rsidR="009A448F" w:rsidRPr="00D64781" w:rsidRDefault="009A448F" w:rsidP="000C0F4D">
            <w:pPr>
              <w:keepNext/>
              <w:autoSpaceDE w:val="0"/>
              <w:autoSpaceDN w:val="0"/>
              <w:adjustRightInd w:val="0"/>
              <w:jc w:val="right"/>
              <w:rPr>
                <w:rFonts w:asciiTheme="minorHAnsi" w:hAnsiTheme="minorHAnsi" w:cstheme="minorHAnsi"/>
                <w:color w:val="000000"/>
                <w:sz w:val="18"/>
                <w:szCs w:val="18"/>
                <w:highlight w:val="yellow"/>
              </w:rPr>
            </w:pPr>
          </w:p>
        </w:tc>
        <w:tc>
          <w:tcPr>
            <w:tcW w:w="388" w:type="pct"/>
            <w:tcBorders>
              <w:bottom w:val="single" w:sz="4" w:space="0" w:color="auto"/>
            </w:tcBorders>
          </w:tcPr>
          <w:p w:rsidR="009A448F" w:rsidRPr="00D64781" w:rsidRDefault="009A448F" w:rsidP="000C0F4D">
            <w:pPr>
              <w:keepNext/>
              <w:autoSpaceDE w:val="0"/>
              <w:autoSpaceDN w:val="0"/>
              <w:adjustRightInd w:val="0"/>
              <w:ind w:left="-109"/>
              <w:jc w:val="right"/>
              <w:rPr>
                <w:rFonts w:asciiTheme="minorHAnsi" w:hAnsiTheme="minorHAnsi" w:cstheme="minorHAnsi"/>
                <w:color w:val="000000"/>
                <w:sz w:val="18"/>
                <w:szCs w:val="18"/>
                <w:highlight w:val="yellow"/>
              </w:rPr>
            </w:pPr>
          </w:p>
        </w:tc>
        <w:tc>
          <w:tcPr>
            <w:tcW w:w="329" w:type="pct"/>
          </w:tcPr>
          <w:p w:rsidR="009A448F" w:rsidRPr="00D64781" w:rsidRDefault="009A448F" w:rsidP="000C0F4D">
            <w:pPr>
              <w:keepNext/>
              <w:autoSpaceDE w:val="0"/>
              <w:autoSpaceDN w:val="0"/>
              <w:adjustRightInd w:val="0"/>
              <w:ind w:left="-109"/>
              <w:jc w:val="center"/>
              <w:rPr>
                <w:rFonts w:asciiTheme="minorHAnsi" w:hAnsiTheme="minorHAnsi" w:cstheme="minorHAnsi"/>
                <w:b/>
                <w:color w:val="000000"/>
                <w:sz w:val="18"/>
                <w:szCs w:val="18"/>
              </w:rPr>
            </w:pPr>
          </w:p>
        </w:tc>
        <w:tc>
          <w:tcPr>
            <w:tcW w:w="379" w:type="pct"/>
            <w:shd w:val="solid" w:color="FFFFFF" w:fill="auto"/>
          </w:tcPr>
          <w:p w:rsidR="009A448F" w:rsidRPr="00D64781" w:rsidRDefault="009A448F" w:rsidP="000C0F4D">
            <w:pPr>
              <w:keepNext/>
              <w:autoSpaceDE w:val="0"/>
              <w:autoSpaceDN w:val="0"/>
              <w:adjustRightInd w:val="0"/>
              <w:ind w:left="-107"/>
              <w:jc w:val="right"/>
              <w:rPr>
                <w:rFonts w:asciiTheme="minorHAnsi" w:hAnsiTheme="minorHAnsi" w:cstheme="minorHAnsi"/>
                <w:b/>
                <w:bCs/>
                <w:color w:val="000000"/>
                <w:sz w:val="18"/>
                <w:szCs w:val="18"/>
              </w:rPr>
            </w:pPr>
          </w:p>
        </w:tc>
        <w:tc>
          <w:tcPr>
            <w:tcW w:w="388" w:type="pct"/>
          </w:tcPr>
          <w:p w:rsidR="009A448F" w:rsidRPr="00D64781" w:rsidRDefault="009A448F" w:rsidP="000C0F4D">
            <w:pPr>
              <w:keepNext/>
              <w:autoSpaceDE w:val="0"/>
              <w:autoSpaceDN w:val="0"/>
              <w:adjustRightInd w:val="0"/>
              <w:ind w:left="-109"/>
              <w:jc w:val="right"/>
              <w:rPr>
                <w:rFonts w:asciiTheme="minorHAnsi" w:hAnsiTheme="minorHAnsi" w:cstheme="minorHAnsi"/>
                <w:b/>
                <w:bCs/>
                <w:color w:val="000000"/>
                <w:sz w:val="18"/>
                <w:szCs w:val="18"/>
              </w:rPr>
            </w:pPr>
          </w:p>
        </w:tc>
        <w:tc>
          <w:tcPr>
            <w:tcW w:w="514" w:type="pct"/>
          </w:tcPr>
          <w:p w:rsidR="009A448F" w:rsidRPr="00D64781" w:rsidRDefault="009A448F" w:rsidP="000C0F4D">
            <w:pPr>
              <w:keepNext/>
              <w:tabs>
                <w:tab w:val="right" w:pos="1045"/>
              </w:tabs>
              <w:autoSpaceDE w:val="0"/>
              <w:autoSpaceDN w:val="0"/>
              <w:adjustRightInd w:val="0"/>
              <w:ind w:left="-155"/>
              <w:jc w:val="right"/>
              <w:rPr>
                <w:rFonts w:asciiTheme="minorHAnsi" w:hAnsiTheme="minorHAnsi" w:cstheme="minorHAnsi"/>
                <w:b/>
                <w:bCs/>
                <w:color w:val="000000"/>
                <w:sz w:val="18"/>
                <w:szCs w:val="18"/>
              </w:rPr>
            </w:pPr>
          </w:p>
        </w:tc>
        <w:tc>
          <w:tcPr>
            <w:tcW w:w="450" w:type="pct"/>
            <w:tcBorders>
              <w:bottom w:val="single" w:sz="4" w:space="0" w:color="auto"/>
            </w:tcBorders>
          </w:tcPr>
          <w:p w:rsidR="009A448F" w:rsidRPr="00D64781" w:rsidRDefault="009A448F" w:rsidP="000C3978">
            <w:pPr>
              <w:keepNext/>
              <w:autoSpaceDE w:val="0"/>
              <w:autoSpaceDN w:val="0"/>
              <w:adjustRightInd w:val="0"/>
              <w:rPr>
                <w:rFonts w:asciiTheme="minorHAnsi" w:hAnsiTheme="minorHAnsi" w:cstheme="minorHAnsi"/>
                <w:b/>
                <w:bCs/>
                <w:color w:val="000000"/>
                <w:sz w:val="18"/>
                <w:szCs w:val="18"/>
              </w:rPr>
            </w:pPr>
          </w:p>
        </w:tc>
        <w:tc>
          <w:tcPr>
            <w:tcW w:w="834" w:type="pct"/>
            <w:gridSpan w:val="2"/>
            <w:tcBorders>
              <w:bottom w:val="single" w:sz="4" w:space="0" w:color="auto"/>
            </w:tcBorders>
          </w:tcPr>
          <w:p w:rsidR="009A448F" w:rsidRPr="00D64781" w:rsidRDefault="009A448F" w:rsidP="000C3978">
            <w:pPr>
              <w:keepNext/>
              <w:autoSpaceDE w:val="0"/>
              <w:autoSpaceDN w:val="0"/>
              <w:adjustRightInd w:val="0"/>
              <w:ind w:left="-249" w:firstLine="249"/>
              <w:rPr>
                <w:rFonts w:asciiTheme="minorHAnsi" w:hAnsiTheme="minorHAnsi" w:cstheme="minorHAnsi"/>
                <w:color w:val="000000"/>
                <w:sz w:val="18"/>
                <w:szCs w:val="18"/>
              </w:rPr>
            </w:pPr>
            <w:r w:rsidRPr="00D64781">
              <w:rPr>
                <w:rFonts w:asciiTheme="minorHAnsi" w:hAnsiTheme="minorHAnsi" w:cstheme="minorHAnsi"/>
                <w:b/>
                <w:bCs/>
                <w:color w:val="000000"/>
                <w:sz w:val="18"/>
                <w:szCs w:val="18"/>
              </w:rPr>
              <w:t>Other Reserves</w:t>
            </w:r>
          </w:p>
        </w:tc>
        <w:tc>
          <w:tcPr>
            <w:tcW w:w="428" w:type="pct"/>
          </w:tcPr>
          <w:p w:rsidR="009A448F" w:rsidRPr="00D64781" w:rsidRDefault="009A448F" w:rsidP="000C0F4D">
            <w:pPr>
              <w:keepNext/>
              <w:autoSpaceDE w:val="0"/>
              <w:autoSpaceDN w:val="0"/>
              <w:adjustRightInd w:val="0"/>
              <w:ind w:left="-111"/>
              <w:jc w:val="right"/>
              <w:rPr>
                <w:rFonts w:asciiTheme="minorHAnsi" w:hAnsiTheme="minorHAnsi" w:cstheme="minorHAnsi"/>
                <w:color w:val="000000"/>
                <w:sz w:val="18"/>
                <w:szCs w:val="18"/>
              </w:rPr>
            </w:pPr>
          </w:p>
        </w:tc>
      </w:tr>
      <w:tr w:rsidR="00D64781" w:rsidRPr="00D64781" w:rsidTr="002A4AAD">
        <w:trPr>
          <w:trHeight w:val="247"/>
        </w:trPr>
        <w:tc>
          <w:tcPr>
            <w:tcW w:w="1290" w:type="pct"/>
            <w:tcBorders>
              <w:right w:val="single" w:sz="4" w:space="0" w:color="auto"/>
            </w:tcBorders>
            <w:shd w:val="solid" w:color="FFFFFF" w:fill="auto"/>
          </w:tcPr>
          <w:p w:rsidR="009A448F" w:rsidRPr="00D64781" w:rsidRDefault="009A448F" w:rsidP="000C0F4D">
            <w:pPr>
              <w:keepNext/>
              <w:autoSpaceDE w:val="0"/>
              <w:autoSpaceDN w:val="0"/>
              <w:adjustRightInd w:val="0"/>
              <w:jc w:val="right"/>
              <w:rPr>
                <w:rFonts w:asciiTheme="minorHAnsi" w:hAnsiTheme="minorHAnsi" w:cstheme="minorHAnsi"/>
                <w:color w:val="000000"/>
                <w:sz w:val="18"/>
                <w:szCs w:val="18"/>
                <w:highlight w:val="yellow"/>
              </w:rPr>
            </w:pPr>
          </w:p>
        </w:tc>
        <w:tc>
          <w:tcPr>
            <w:tcW w:w="388" w:type="pct"/>
            <w:tcBorders>
              <w:top w:val="single" w:sz="4" w:space="0" w:color="auto"/>
              <w:left w:val="single" w:sz="4" w:space="0" w:color="auto"/>
              <w:right w:val="single" w:sz="4" w:space="0" w:color="auto"/>
            </w:tcBorders>
          </w:tcPr>
          <w:p w:rsidR="009A448F" w:rsidRPr="00D64781" w:rsidRDefault="009A448F" w:rsidP="000C0F4D">
            <w:pPr>
              <w:keepNext/>
              <w:autoSpaceDE w:val="0"/>
              <w:autoSpaceDN w:val="0"/>
              <w:adjustRightInd w:val="0"/>
              <w:ind w:left="-109"/>
              <w:jc w:val="right"/>
              <w:rPr>
                <w:rFonts w:asciiTheme="minorHAnsi" w:hAnsiTheme="minorHAnsi" w:cstheme="minorHAnsi"/>
                <w:color w:val="000000"/>
                <w:sz w:val="18"/>
                <w:szCs w:val="18"/>
                <w:highlight w:val="yellow"/>
              </w:rPr>
            </w:pPr>
          </w:p>
        </w:tc>
        <w:tc>
          <w:tcPr>
            <w:tcW w:w="329" w:type="pct"/>
            <w:tcBorders>
              <w:left w:val="single" w:sz="4" w:space="0" w:color="auto"/>
            </w:tcBorders>
          </w:tcPr>
          <w:p w:rsidR="009A448F" w:rsidRPr="00D64781" w:rsidRDefault="009A448F" w:rsidP="000C0F4D">
            <w:pPr>
              <w:keepNext/>
              <w:autoSpaceDE w:val="0"/>
              <w:autoSpaceDN w:val="0"/>
              <w:adjustRightInd w:val="0"/>
              <w:ind w:left="-109"/>
              <w:jc w:val="center"/>
              <w:rPr>
                <w:rFonts w:asciiTheme="minorHAnsi" w:hAnsiTheme="minorHAnsi" w:cstheme="minorHAnsi"/>
                <w:b/>
                <w:color w:val="000000"/>
                <w:sz w:val="18"/>
                <w:szCs w:val="18"/>
              </w:rPr>
            </w:pPr>
          </w:p>
        </w:tc>
        <w:tc>
          <w:tcPr>
            <w:tcW w:w="379" w:type="pct"/>
            <w:shd w:val="solid" w:color="FFFFFF" w:fill="auto"/>
          </w:tcPr>
          <w:p w:rsidR="009A448F" w:rsidRPr="00D64781" w:rsidRDefault="009A448F" w:rsidP="000C0F4D">
            <w:pPr>
              <w:keepNext/>
              <w:autoSpaceDE w:val="0"/>
              <w:autoSpaceDN w:val="0"/>
              <w:adjustRightInd w:val="0"/>
              <w:ind w:left="-107"/>
              <w:jc w:val="right"/>
              <w:rPr>
                <w:rFonts w:asciiTheme="minorHAnsi" w:hAnsiTheme="minorHAnsi" w:cstheme="minorHAnsi"/>
                <w:b/>
                <w:bCs/>
                <w:color w:val="000000"/>
                <w:sz w:val="18"/>
                <w:szCs w:val="18"/>
              </w:rPr>
            </w:pPr>
          </w:p>
        </w:tc>
        <w:tc>
          <w:tcPr>
            <w:tcW w:w="388" w:type="pct"/>
          </w:tcPr>
          <w:p w:rsidR="009A448F" w:rsidRPr="00D64781" w:rsidRDefault="009A448F" w:rsidP="000C0F4D">
            <w:pPr>
              <w:keepNext/>
              <w:autoSpaceDE w:val="0"/>
              <w:autoSpaceDN w:val="0"/>
              <w:adjustRightInd w:val="0"/>
              <w:ind w:left="-109"/>
              <w:jc w:val="right"/>
              <w:rPr>
                <w:rFonts w:asciiTheme="minorHAnsi" w:hAnsiTheme="minorHAnsi" w:cstheme="minorHAnsi"/>
                <w:b/>
                <w:bCs/>
                <w:color w:val="000000"/>
                <w:sz w:val="18"/>
                <w:szCs w:val="18"/>
              </w:rPr>
            </w:pPr>
          </w:p>
        </w:tc>
        <w:tc>
          <w:tcPr>
            <w:tcW w:w="514" w:type="pct"/>
            <w:tcBorders>
              <w:right w:val="single" w:sz="4" w:space="0" w:color="auto"/>
            </w:tcBorders>
          </w:tcPr>
          <w:p w:rsidR="009A448F" w:rsidRPr="00D64781" w:rsidRDefault="009A448F" w:rsidP="000C0F4D">
            <w:pPr>
              <w:keepNext/>
              <w:tabs>
                <w:tab w:val="right" w:pos="1045"/>
              </w:tabs>
              <w:autoSpaceDE w:val="0"/>
              <w:autoSpaceDN w:val="0"/>
              <w:adjustRightInd w:val="0"/>
              <w:ind w:left="-155"/>
              <w:jc w:val="right"/>
              <w:rPr>
                <w:rFonts w:asciiTheme="minorHAnsi" w:hAnsiTheme="minorHAnsi" w:cstheme="minorHAnsi"/>
                <w:b/>
                <w:bCs/>
                <w:color w:val="000000"/>
                <w:sz w:val="18"/>
                <w:szCs w:val="18"/>
              </w:rPr>
            </w:pPr>
          </w:p>
        </w:tc>
        <w:tc>
          <w:tcPr>
            <w:tcW w:w="450" w:type="pct"/>
            <w:tcBorders>
              <w:top w:val="single" w:sz="4" w:space="0" w:color="auto"/>
              <w:left w:val="single" w:sz="4" w:space="0" w:color="auto"/>
            </w:tcBorders>
          </w:tcPr>
          <w:p w:rsidR="009A448F" w:rsidRPr="00D64781" w:rsidRDefault="009A448F" w:rsidP="000C0F4D">
            <w:pPr>
              <w:keepNext/>
              <w:autoSpaceDE w:val="0"/>
              <w:autoSpaceDN w:val="0"/>
              <w:adjustRightInd w:val="0"/>
              <w:jc w:val="right"/>
              <w:rPr>
                <w:rFonts w:asciiTheme="minorHAnsi" w:hAnsiTheme="minorHAnsi" w:cstheme="minorHAnsi"/>
                <w:b/>
                <w:bCs/>
                <w:color w:val="000000"/>
                <w:sz w:val="18"/>
                <w:szCs w:val="18"/>
              </w:rPr>
            </w:pPr>
          </w:p>
        </w:tc>
        <w:tc>
          <w:tcPr>
            <w:tcW w:w="385" w:type="pct"/>
            <w:tcBorders>
              <w:top w:val="single" w:sz="4" w:space="0" w:color="auto"/>
            </w:tcBorders>
          </w:tcPr>
          <w:p w:rsidR="009A448F" w:rsidRPr="00D64781" w:rsidRDefault="009A448F" w:rsidP="000C0F4D">
            <w:pPr>
              <w:keepNext/>
              <w:autoSpaceDE w:val="0"/>
              <w:autoSpaceDN w:val="0"/>
              <w:adjustRightInd w:val="0"/>
              <w:jc w:val="right"/>
              <w:rPr>
                <w:rFonts w:asciiTheme="minorHAnsi" w:hAnsiTheme="minorHAnsi" w:cstheme="minorHAnsi"/>
                <w:b/>
                <w:bCs/>
                <w:color w:val="000000"/>
                <w:sz w:val="18"/>
                <w:szCs w:val="18"/>
              </w:rPr>
            </w:pPr>
          </w:p>
        </w:tc>
        <w:tc>
          <w:tcPr>
            <w:tcW w:w="449" w:type="pct"/>
            <w:tcBorders>
              <w:top w:val="single" w:sz="4" w:space="0" w:color="auto"/>
              <w:right w:val="single" w:sz="4" w:space="0" w:color="auto"/>
            </w:tcBorders>
          </w:tcPr>
          <w:p w:rsidR="009A448F" w:rsidRPr="00D64781" w:rsidRDefault="009A448F" w:rsidP="000C0F4D">
            <w:pPr>
              <w:keepNext/>
              <w:autoSpaceDE w:val="0"/>
              <w:autoSpaceDN w:val="0"/>
              <w:adjustRightInd w:val="0"/>
              <w:jc w:val="right"/>
              <w:rPr>
                <w:rFonts w:asciiTheme="minorHAnsi" w:hAnsiTheme="minorHAnsi" w:cstheme="minorHAnsi"/>
                <w:color w:val="000000"/>
                <w:sz w:val="18"/>
                <w:szCs w:val="18"/>
              </w:rPr>
            </w:pPr>
          </w:p>
        </w:tc>
        <w:tc>
          <w:tcPr>
            <w:tcW w:w="428" w:type="pct"/>
            <w:tcBorders>
              <w:left w:val="single" w:sz="4" w:space="0" w:color="auto"/>
            </w:tcBorders>
          </w:tcPr>
          <w:p w:rsidR="009A448F" w:rsidRPr="00D64781" w:rsidRDefault="009A448F" w:rsidP="000C0F4D">
            <w:pPr>
              <w:keepNext/>
              <w:autoSpaceDE w:val="0"/>
              <w:autoSpaceDN w:val="0"/>
              <w:adjustRightInd w:val="0"/>
              <w:ind w:left="-111"/>
              <w:jc w:val="right"/>
              <w:rPr>
                <w:rFonts w:asciiTheme="minorHAnsi" w:hAnsiTheme="minorHAnsi" w:cstheme="minorHAnsi"/>
                <w:color w:val="000000"/>
                <w:sz w:val="18"/>
                <w:szCs w:val="18"/>
              </w:rPr>
            </w:pPr>
          </w:p>
        </w:tc>
      </w:tr>
      <w:tr w:rsidR="00D64781" w:rsidRPr="00D64781" w:rsidTr="002A4AAD">
        <w:trPr>
          <w:trHeight w:val="247"/>
        </w:trPr>
        <w:tc>
          <w:tcPr>
            <w:tcW w:w="1290" w:type="pct"/>
            <w:tcBorders>
              <w:right w:val="single" w:sz="4" w:space="0" w:color="auto"/>
            </w:tcBorders>
            <w:shd w:val="solid" w:color="FFFFFF" w:fill="auto"/>
          </w:tcPr>
          <w:p w:rsidR="009A448F" w:rsidRPr="00D64781" w:rsidRDefault="009A448F" w:rsidP="000C0F4D">
            <w:pPr>
              <w:keepNext/>
              <w:autoSpaceDE w:val="0"/>
              <w:autoSpaceDN w:val="0"/>
              <w:adjustRightInd w:val="0"/>
              <w:jc w:val="right"/>
              <w:rPr>
                <w:rFonts w:asciiTheme="minorHAnsi" w:hAnsiTheme="minorHAnsi" w:cstheme="minorHAnsi"/>
                <w:color w:val="000000"/>
                <w:sz w:val="18"/>
                <w:szCs w:val="18"/>
              </w:rPr>
            </w:pPr>
          </w:p>
        </w:tc>
        <w:tc>
          <w:tcPr>
            <w:tcW w:w="388" w:type="pct"/>
            <w:tcBorders>
              <w:left w:val="single" w:sz="4" w:space="0" w:color="auto"/>
              <w:right w:val="single" w:sz="4" w:space="0" w:color="auto"/>
            </w:tcBorders>
            <w:shd w:val="solid" w:color="FFFFFF" w:fill="auto"/>
          </w:tcPr>
          <w:p w:rsidR="000C3978" w:rsidRPr="00D64781" w:rsidRDefault="000C3978" w:rsidP="000C0F4D">
            <w:pPr>
              <w:keepNext/>
              <w:autoSpaceDE w:val="0"/>
              <w:autoSpaceDN w:val="0"/>
              <w:adjustRightInd w:val="0"/>
              <w:ind w:left="-109"/>
              <w:jc w:val="right"/>
              <w:rPr>
                <w:rFonts w:asciiTheme="minorHAnsi" w:hAnsiTheme="minorHAnsi" w:cstheme="minorHAnsi"/>
                <w:b/>
                <w:bCs/>
                <w:color w:val="000000"/>
                <w:sz w:val="18"/>
                <w:szCs w:val="18"/>
              </w:rPr>
            </w:pPr>
          </w:p>
          <w:p w:rsidR="009A448F" w:rsidRPr="00D64781" w:rsidRDefault="009A448F" w:rsidP="000C0F4D">
            <w:pPr>
              <w:keepNext/>
              <w:autoSpaceDE w:val="0"/>
              <w:autoSpaceDN w:val="0"/>
              <w:adjustRightInd w:val="0"/>
              <w:ind w:left="-109"/>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Ordinary</w:t>
            </w:r>
          </w:p>
        </w:tc>
        <w:tc>
          <w:tcPr>
            <w:tcW w:w="329" w:type="pct"/>
            <w:tcBorders>
              <w:left w:val="single" w:sz="4" w:space="0" w:color="auto"/>
            </w:tcBorders>
            <w:shd w:val="solid" w:color="FFFFFF" w:fill="auto"/>
          </w:tcPr>
          <w:p w:rsidR="000C3978" w:rsidRPr="00D64781" w:rsidRDefault="000C3978" w:rsidP="00A03D71">
            <w:pPr>
              <w:keepNext/>
              <w:autoSpaceDE w:val="0"/>
              <w:autoSpaceDN w:val="0"/>
              <w:adjustRightInd w:val="0"/>
              <w:ind w:left="-109"/>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Issued</w:t>
            </w:r>
          </w:p>
          <w:p w:rsidR="009A448F" w:rsidRPr="00D64781" w:rsidRDefault="009A448F" w:rsidP="00A03D71">
            <w:pPr>
              <w:keepNext/>
              <w:autoSpaceDE w:val="0"/>
              <w:autoSpaceDN w:val="0"/>
              <w:adjustRightInd w:val="0"/>
              <w:ind w:left="-109"/>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 xml:space="preserve">  Share </w:t>
            </w:r>
          </w:p>
        </w:tc>
        <w:tc>
          <w:tcPr>
            <w:tcW w:w="379" w:type="pct"/>
            <w:shd w:val="solid" w:color="FFFFFF" w:fill="auto"/>
          </w:tcPr>
          <w:p w:rsidR="000C3978" w:rsidRPr="00D64781" w:rsidRDefault="000C3978" w:rsidP="00A03D71">
            <w:pPr>
              <w:keepNext/>
              <w:autoSpaceDE w:val="0"/>
              <w:autoSpaceDN w:val="0"/>
              <w:adjustRightInd w:val="0"/>
              <w:ind w:left="-107"/>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Share</w:t>
            </w:r>
          </w:p>
          <w:p w:rsidR="009A448F" w:rsidRPr="00D64781" w:rsidRDefault="009A448F" w:rsidP="00A03D71">
            <w:pPr>
              <w:keepNext/>
              <w:autoSpaceDE w:val="0"/>
              <w:autoSpaceDN w:val="0"/>
              <w:adjustRightInd w:val="0"/>
              <w:ind w:left="-107"/>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Premium</w:t>
            </w:r>
          </w:p>
        </w:tc>
        <w:tc>
          <w:tcPr>
            <w:tcW w:w="388" w:type="pct"/>
          </w:tcPr>
          <w:p w:rsidR="000C3978" w:rsidRPr="00D64781" w:rsidRDefault="000C3978" w:rsidP="00A03D71">
            <w:pPr>
              <w:keepNext/>
              <w:autoSpaceDE w:val="0"/>
              <w:autoSpaceDN w:val="0"/>
              <w:adjustRightInd w:val="0"/>
              <w:ind w:left="-109"/>
              <w:jc w:val="right"/>
              <w:rPr>
                <w:rFonts w:asciiTheme="minorHAnsi" w:hAnsiTheme="minorHAnsi" w:cstheme="minorHAnsi"/>
                <w:b/>
                <w:bCs/>
                <w:color w:val="000000"/>
                <w:sz w:val="18"/>
                <w:szCs w:val="18"/>
              </w:rPr>
            </w:pPr>
          </w:p>
          <w:p w:rsidR="009A448F" w:rsidRPr="00D64781" w:rsidRDefault="009A448F" w:rsidP="00A03D71">
            <w:pPr>
              <w:keepNext/>
              <w:autoSpaceDE w:val="0"/>
              <w:autoSpaceDN w:val="0"/>
              <w:adjustRightInd w:val="0"/>
              <w:ind w:left="-109"/>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 xml:space="preserve">Retained </w:t>
            </w:r>
          </w:p>
        </w:tc>
        <w:tc>
          <w:tcPr>
            <w:tcW w:w="514" w:type="pct"/>
            <w:tcBorders>
              <w:right w:val="single" w:sz="4" w:space="0" w:color="auto"/>
            </w:tcBorders>
          </w:tcPr>
          <w:p w:rsidR="009A448F" w:rsidRPr="00D64781" w:rsidRDefault="00BB574E" w:rsidP="00A03D71">
            <w:pPr>
              <w:keepNext/>
              <w:autoSpaceDE w:val="0"/>
              <w:autoSpaceDN w:val="0"/>
              <w:adjustRightInd w:val="0"/>
              <w:ind w:left="-155"/>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Other</w:t>
            </w:r>
          </w:p>
          <w:p w:rsidR="000C3978" w:rsidRPr="00D64781" w:rsidRDefault="00BB574E" w:rsidP="00A03D71">
            <w:pPr>
              <w:keepNext/>
              <w:autoSpaceDE w:val="0"/>
              <w:autoSpaceDN w:val="0"/>
              <w:adjustRightInd w:val="0"/>
              <w:ind w:left="-155"/>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Undenominated</w:t>
            </w:r>
          </w:p>
        </w:tc>
        <w:tc>
          <w:tcPr>
            <w:tcW w:w="450" w:type="pct"/>
            <w:tcBorders>
              <w:left w:val="single" w:sz="4" w:space="0" w:color="auto"/>
            </w:tcBorders>
          </w:tcPr>
          <w:p w:rsidR="009A448F" w:rsidRPr="00D64781" w:rsidRDefault="009A448F" w:rsidP="00A03D71">
            <w:pPr>
              <w:keepNext/>
              <w:autoSpaceDE w:val="0"/>
              <w:autoSpaceDN w:val="0"/>
              <w:adjustRightInd w:val="0"/>
              <w:jc w:val="right"/>
              <w:rPr>
                <w:rFonts w:asciiTheme="minorHAnsi" w:hAnsiTheme="minorHAnsi" w:cstheme="minorHAnsi"/>
                <w:b/>
                <w:bCs/>
                <w:color w:val="000000"/>
                <w:sz w:val="18"/>
                <w:szCs w:val="18"/>
              </w:rPr>
            </w:pPr>
          </w:p>
        </w:tc>
        <w:tc>
          <w:tcPr>
            <w:tcW w:w="385" w:type="pct"/>
          </w:tcPr>
          <w:p w:rsidR="009A448F" w:rsidRPr="00D64781" w:rsidRDefault="009A448F" w:rsidP="00A03D71">
            <w:pPr>
              <w:keepNext/>
              <w:autoSpaceDE w:val="0"/>
              <w:autoSpaceDN w:val="0"/>
              <w:adjustRightInd w:val="0"/>
              <w:ind w:left="-154" w:firstLine="154"/>
              <w:jc w:val="right"/>
              <w:rPr>
                <w:rFonts w:asciiTheme="minorHAnsi" w:hAnsiTheme="minorHAnsi" w:cstheme="minorHAnsi"/>
                <w:b/>
                <w:bCs/>
                <w:color w:val="000000"/>
                <w:sz w:val="18"/>
                <w:szCs w:val="18"/>
              </w:rPr>
            </w:pPr>
          </w:p>
        </w:tc>
        <w:tc>
          <w:tcPr>
            <w:tcW w:w="449" w:type="pct"/>
            <w:tcBorders>
              <w:right w:val="single" w:sz="4" w:space="0" w:color="auto"/>
            </w:tcBorders>
          </w:tcPr>
          <w:p w:rsidR="009A448F" w:rsidRPr="00D64781" w:rsidRDefault="009A448F" w:rsidP="00A03D71">
            <w:pPr>
              <w:keepNext/>
              <w:autoSpaceDE w:val="0"/>
              <w:autoSpaceDN w:val="0"/>
              <w:adjustRightInd w:val="0"/>
              <w:jc w:val="right"/>
              <w:rPr>
                <w:rFonts w:asciiTheme="minorHAnsi" w:hAnsiTheme="minorHAnsi" w:cstheme="minorHAnsi"/>
                <w:b/>
                <w:bCs/>
                <w:color w:val="000000"/>
                <w:sz w:val="18"/>
                <w:szCs w:val="18"/>
              </w:rPr>
            </w:pPr>
          </w:p>
          <w:p w:rsidR="009A448F" w:rsidRPr="00D64781" w:rsidRDefault="009A448F" w:rsidP="00A03D71">
            <w:pPr>
              <w:keepNext/>
              <w:autoSpaceDE w:val="0"/>
              <w:autoSpaceDN w:val="0"/>
              <w:adjustRightInd w:val="0"/>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 xml:space="preserve">Other </w:t>
            </w:r>
          </w:p>
        </w:tc>
        <w:tc>
          <w:tcPr>
            <w:tcW w:w="428" w:type="pct"/>
            <w:tcBorders>
              <w:left w:val="single" w:sz="4" w:space="0" w:color="auto"/>
            </w:tcBorders>
          </w:tcPr>
          <w:p w:rsidR="009A448F" w:rsidRPr="00D64781" w:rsidRDefault="009A448F" w:rsidP="00A03D71">
            <w:pPr>
              <w:keepNext/>
              <w:autoSpaceDE w:val="0"/>
              <w:autoSpaceDN w:val="0"/>
              <w:adjustRightInd w:val="0"/>
              <w:ind w:left="-111"/>
              <w:jc w:val="right"/>
              <w:rPr>
                <w:rFonts w:asciiTheme="minorHAnsi" w:hAnsiTheme="minorHAnsi" w:cstheme="minorHAnsi"/>
                <w:color w:val="000000"/>
                <w:sz w:val="18"/>
                <w:szCs w:val="18"/>
              </w:rPr>
            </w:pPr>
          </w:p>
        </w:tc>
      </w:tr>
      <w:tr w:rsidR="00D64781" w:rsidRPr="00D64781" w:rsidTr="002A4AAD">
        <w:trPr>
          <w:trHeight w:val="247"/>
        </w:trPr>
        <w:tc>
          <w:tcPr>
            <w:tcW w:w="1290" w:type="pct"/>
            <w:tcBorders>
              <w:right w:val="single" w:sz="4" w:space="0" w:color="auto"/>
            </w:tcBorders>
            <w:shd w:val="solid" w:color="FFFFFF" w:fill="auto"/>
          </w:tcPr>
          <w:p w:rsidR="009A448F" w:rsidRPr="00D64781" w:rsidRDefault="009A448F" w:rsidP="000C0F4D">
            <w:pPr>
              <w:keepNext/>
              <w:autoSpaceDE w:val="0"/>
              <w:autoSpaceDN w:val="0"/>
              <w:adjustRightInd w:val="0"/>
              <w:jc w:val="right"/>
              <w:rPr>
                <w:rFonts w:asciiTheme="minorHAnsi" w:hAnsiTheme="minorHAnsi" w:cstheme="minorHAnsi"/>
                <w:color w:val="000000"/>
                <w:sz w:val="18"/>
                <w:szCs w:val="18"/>
              </w:rPr>
            </w:pPr>
          </w:p>
        </w:tc>
        <w:tc>
          <w:tcPr>
            <w:tcW w:w="388" w:type="pct"/>
            <w:tcBorders>
              <w:left w:val="single" w:sz="4" w:space="0" w:color="auto"/>
              <w:right w:val="single" w:sz="4" w:space="0" w:color="auto"/>
            </w:tcBorders>
            <w:shd w:val="solid" w:color="FFFFFF" w:fill="auto"/>
          </w:tcPr>
          <w:p w:rsidR="009A448F" w:rsidRPr="00D64781" w:rsidRDefault="009A448F" w:rsidP="000C0F4D">
            <w:pPr>
              <w:keepNext/>
              <w:autoSpaceDE w:val="0"/>
              <w:autoSpaceDN w:val="0"/>
              <w:adjustRightInd w:val="0"/>
              <w:ind w:left="-109"/>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Shares</w:t>
            </w:r>
          </w:p>
        </w:tc>
        <w:tc>
          <w:tcPr>
            <w:tcW w:w="329" w:type="pct"/>
            <w:tcBorders>
              <w:left w:val="single" w:sz="4" w:space="0" w:color="auto"/>
            </w:tcBorders>
            <w:shd w:val="solid" w:color="FFFFFF" w:fill="auto"/>
          </w:tcPr>
          <w:p w:rsidR="009A448F" w:rsidRPr="00D64781" w:rsidRDefault="009A448F" w:rsidP="000C0F4D">
            <w:pPr>
              <w:keepNext/>
              <w:autoSpaceDE w:val="0"/>
              <w:autoSpaceDN w:val="0"/>
              <w:adjustRightInd w:val="0"/>
              <w:ind w:left="-109"/>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Capital</w:t>
            </w:r>
          </w:p>
        </w:tc>
        <w:tc>
          <w:tcPr>
            <w:tcW w:w="379" w:type="pct"/>
            <w:shd w:val="solid" w:color="FFFFFF" w:fill="auto"/>
          </w:tcPr>
          <w:p w:rsidR="009A448F" w:rsidRPr="00D64781" w:rsidRDefault="009A448F" w:rsidP="000C0F4D">
            <w:pPr>
              <w:keepNext/>
              <w:autoSpaceDE w:val="0"/>
              <w:autoSpaceDN w:val="0"/>
              <w:adjustRightInd w:val="0"/>
              <w:ind w:left="-107"/>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Account</w:t>
            </w:r>
          </w:p>
        </w:tc>
        <w:tc>
          <w:tcPr>
            <w:tcW w:w="388" w:type="pct"/>
          </w:tcPr>
          <w:p w:rsidR="009A448F" w:rsidRPr="00D64781" w:rsidRDefault="009A448F" w:rsidP="000C0F4D">
            <w:pPr>
              <w:keepNext/>
              <w:autoSpaceDE w:val="0"/>
              <w:autoSpaceDN w:val="0"/>
              <w:adjustRightInd w:val="0"/>
              <w:ind w:left="-109"/>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Earnings</w:t>
            </w:r>
          </w:p>
        </w:tc>
        <w:tc>
          <w:tcPr>
            <w:tcW w:w="514" w:type="pct"/>
            <w:tcBorders>
              <w:right w:val="single" w:sz="4" w:space="0" w:color="auto"/>
            </w:tcBorders>
          </w:tcPr>
          <w:p w:rsidR="009A448F" w:rsidRPr="00D64781" w:rsidRDefault="00BB574E" w:rsidP="000C0F4D">
            <w:pPr>
              <w:keepNext/>
              <w:autoSpaceDE w:val="0"/>
              <w:autoSpaceDN w:val="0"/>
              <w:adjustRightInd w:val="0"/>
              <w:ind w:left="-155"/>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Capital</w:t>
            </w:r>
          </w:p>
        </w:tc>
        <w:tc>
          <w:tcPr>
            <w:tcW w:w="450" w:type="pct"/>
            <w:tcBorders>
              <w:left w:val="single" w:sz="4" w:space="0" w:color="auto"/>
            </w:tcBorders>
          </w:tcPr>
          <w:p w:rsidR="009A448F" w:rsidRPr="00D64781" w:rsidRDefault="000C3978" w:rsidP="00A03D71">
            <w:pPr>
              <w:keepNext/>
              <w:autoSpaceDE w:val="0"/>
              <w:autoSpaceDN w:val="0"/>
              <w:adjustRightInd w:val="0"/>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Treasury</w:t>
            </w:r>
          </w:p>
        </w:tc>
        <w:tc>
          <w:tcPr>
            <w:tcW w:w="385" w:type="pct"/>
          </w:tcPr>
          <w:p w:rsidR="009A448F" w:rsidRPr="00D64781" w:rsidRDefault="009A448F" w:rsidP="00A03D71">
            <w:pPr>
              <w:keepNext/>
              <w:autoSpaceDE w:val="0"/>
              <w:autoSpaceDN w:val="0"/>
              <w:adjustRightInd w:val="0"/>
              <w:ind w:left="-154" w:right="-108"/>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 xml:space="preserve">Hedging </w:t>
            </w:r>
          </w:p>
        </w:tc>
        <w:tc>
          <w:tcPr>
            <w:tcW w:w="449" w:type="pct"/>
            <w:tcBorders>
              <w:right w:val="single" w:sz="4" w:space="0" w:color="auto"/>
            </w:tcBorders>
            <w:shd w:val="solid" w:color="FFFFFF" w:fill="auto"/>
          </w:tcPr>
          <w:p w:rsidR="009A448F" w:rsidRPr="00D64781" w:rsidRDefault="009A448F" w:rsidP="000C0F4D">
            <w:pPr>
              <w:keepNext/>
              <w:autoSpaceDE w:val="0"/>
              <w:autoSpaceDN w:val="0"/>
              <w:adjustRightInd w:val="0"/>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Reserves</w:t>
            </w:r>
          </w:p>
        </w:tc>
        <w:tc>
          <w:tcPr>
            <w:tcW w:w="428" w:type="pct"/>
            <w:tcBorders>
              <w:left w:val="single" w:sz="4" w:space="0" w:color="auto"/>
            </w:tcBorders>
          </w:tcPr>
          <w:p w:rsidR="009A448F" w:rsidRPr="00D64781" w:rsidRDefault="009A448F" w:rsidP="000C0F4D">
            <w:pPr>
              <w:keepNext/>
              <w:autoSpaceDE w:val="0"/>
              <w:autoSpaceDN w:val="0"/>
              <w:adjustRightInd w:val="0"/>
              <w:ind w:left="-111"/>
              <w:jc w:val="right"/>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Total</w:t>
            </w:r>
          </w:p>
        </w:tc>
      </w:tr>
      <w:tr w:rsidR="00D64781" w:rsidRPr="00D64781" w:rsidTr="002A4AAD">
        <w:trPr>
          <w:trHeight w:val="247"/>
        </w:trPr>
        <w:tc>
          <w:tcPr>
            <w:tcW w:w="1290" w:type="pct"/>
            <w:tcBorders>
              <w:right w:val="single" w:sz="4" w:space="0" w:color="auto"/>
            </w:tcBorders>
            <w:shd w:val="solid" w:color="FFFFFF" w:fill="auto"/>
          </w:tcPr>
          <w:p w:rsidR="009A448F" w:rsidRPr="00D64781" w:rsidRDefault="009A448F" w:rsidP="000C0F4D">
            <w:pPr>
              <w:keepNext/>
              <w:autoSpaceDE w:val="0"/>
              <w:autoSpaceDN w:val="0"/>
              <w:adjustRightInd w:val="0"/>
              <w:jc w:val="right"/>
              <w:rPr>
                <w:rFonts w:asciiTheme="minorHAnsi" w:hAnsiTheme="minorHAnsi" w:cstheme="minorHAnsi"/>
                <w:color w:val="000000"/>
                <w:sz w:val="18"/>
                <w:szCs w:val="18"/>
              </w:rPr>
            </w:pPr>
          </w:p>
        </w:tc>
        <w:tc>
          <w:tcPr>
            <w:tcW w:w="388" w:type="pct"/>
            <w:tcBorders>
              <w:left w:val="single" w:sz="4" w:space="0" w:color="auto"/>
              <w:right w:val="single" w:sz="4" w:space="0" w:color="auto"/>
            </w:tcBorders>
            <w:shd w:val="solid" w:color="FFFFFF" w:fill="auto"/>
          </w:tcPr>
          <w:p w:rsidR="009A448F" w:rsidRPr="00D64781" w:rsidRDefault="00FE7CA2" w:rsidP="000C0F4D">
            <w:pPr>
              <w:keepNext/>
              <w:autoSpaceDE w:val="0"/>
              <w:autoSpaceDN w:val="0"/>
              <w:adjustRightInd w:val="0"/>
              <w:ind w:left="-109"/>
              <w:jc w:val="right"/>
              <w:rPr>
                <w:rFonts w:asciiTheme="minorHAnsi" w:hAnsiTheme="minorHAnsi" w:cstheme="minorHAnsi"/>
                <w:b/>
                <w:bCs/>
                <w:color w:val="000000"/>
                <w:sz w:val="18"/>
                <w:szCs w:val="18"/>
                <w:u w:val="single"/>
              </w:rPr>
            </w:pPr>
            <w:r>
              <w:rPr>
                <w:rFonts w:asciiTheme="minorHAnsi" w:hAnsiTheme="minorHAnsi" w:cstheme="minorHAnsi"/>
                <w:b/>
                <w:bCs/>
                <w:color w:val="000000"/>
                <w:sz w:val="18"/>
                <w:szCs w:val="18"/>
                <w:u w:val="single"/>
              </w:rPr>
              <w:t>M</w:t>
            </w:r>
          </w:p>
        </w:tc>
        <w:tc>
          <w:tcPr>
            <w:tcW w:w="329" w:type="pct"/>
            <w:tcBorders>
              <w:left w:val="single" w:sz="4" w:space="0" w:color="auto"/>
            </w:tcBorders>
            <w:shd w:val="solid" w:color="FFFFFF" w:fill="auto"/>
          </w:tcPr>
          <w:p w:rsidR="009A448F" w:rsidRPr="00D64781" w:rsidRDefault="009A448F" w:rsidP="00FE7CA2">
            <w:pPr>
              <w:keepNext/>
              <w:autoSpaceDE w:val="0"/>
              <w:autoSpaceDN w:val="0"/>
              <w:adjustRightInd w:val="0"/>
              <w:ind w:left="-109"/>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sidR="00FE7CA2">
              <w:rPr>
                <w:rFonts w:asciiTheme="minorHAnsi" w:hAnsiTheme="minorHAnsi" w:cstheme="minorHAnsi"/>
                <w:b/>
                <w:bCs/>
                <w:color w:val="000000"/>
                <w:sz w:val="18"/>
                <w:szCs w:val="18"/>
                <w:u w:val="single"/>
              </w:rPr>
              <w:t>M</w:t>
            </w:r>
          </w:p>
        </w:tc>
        <w:tc>
          <w:tcPr>
            <w:tcW w:w="379" w:type="pct"/>
            <w:shd w:val="solid" w:color="FFFFFF" w:fill="auto"/>
          </w:tcPr>
          <w:p w:rsidR="009A448F" w:rsidRPr="00D64781" w:rsidRDefault="009A448F" w:rsidP="00FE7CA2">
            <w:pPr>
              <w:keepNext/>
              <w:autoSpaceDE w:val="0"/>
              <w:autoSpaceDN w:val="0"/>
              <w:adjustRightInd w:val="0"/>
              <w:ind w:left="-107"/>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sidR="00FE7CA2">
              <w:rPr>
                <w:rFonts w:asciiTheme="minorHAnsi" w:hAnsiTheme="minorHAnsi" w:cstheme="minorHAnsi"/>
                <w:b/>
                <w:bCs/>
                <w:color w:val="000000"/>
                <w:sz w:val="18"/>
                <w:szCs w:val="18"/>
                <w:u w:val="single"/>
              </w:rPr>
              <w:t>M</w:t>
            </w:r>
          </w:p>
        </w:tc>
        <w:tc>
          <w:tcPr>
            <w:tcW w:w="388" w:type="pct"/>
          </w:tcPr>
          <w:p w:rsidR="009A448F" w:rsidRPr="00D64781" w:rsidRDefault="009A448F" w:rsidP="00FE7CA2">
            <w:pPr>
              <w:keepNext/>
              <w:autoSpaceDE w:val="0"/>
              <w:autoSpaceDN w:val="0"/>
              <w:adjustRightInd w:val="0"/>
              <w:ind w:left="-109"/>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sidR="00FE7CA2">
              <w:rPr>
                <w:rFonts w:asciiTheme="minorHAnsi" w:hAnsiTheme="minorHAnsi" w:cstheme="minorHAnsi"/>
                <w:b/>
                <w:bCs/>
                <w:color w:val="000000"/>
                <w:sz w:val="18"/>
                <w:szCs w:val="18"/>
                <w:u w:val="single"/>
              </w:rPr>
              <w:t>M</w:t>
            </w:r>
          </w:p>
        </w:tc>
        <w:tc>
          <w:tcPr>
            <w:tcW w:w="514" w:type="pct"/>
            <w:tcBorders>
              <w:right w:val="single" w:sz="4" w:space="0" w:color="auto"/>
            </w:tcBorders>
          </w:tcPr>
          <w:p w:rsidR="009A448F" w:rsidRPr="00D64781" w:rsidRDefault="009A448F" w:rsidP="00FE7CA2">
            <w:pPr>
              <w:keepNext/>
              <w:autoSpaceDE w:val="0"/>
              <w:autoSpaceDN w:val="0"/>
              <w:adjustRightInd w:val="0"/>
              <w:ind w:left="-155"/>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sidR="00FE7CA2">
              <w:rPr>
                <w:rFonts w:asciiTheme="minorHAnsi" w:hAnsiTheme="minorHAnsi" w:cstheme="minorHAnsi"/>
                <w:b/>
                <w:bCs/>
                <w:color w:val="000000"/>
                <w:sz w:val="18"/>
                <w:szCs w:val="18"/>
                <w:u w:val="single"/>
              </w:rPr>
              <w:t>M</w:t>
            </w:r>
          </w:p>
        </w:tc>
        <w:tc>
          <w:tcPr>
            <w:tcW w:w="450" w:type="pct"/>
            <w:tcBorders>
              <w:left w:val="single" w:sz="4" w:space="0" w:color="auto"/>
            </w:tcBorders>
          </w:tcPr>
          <w:p w:rsidR="009A448F" w:rsidRPr="00D64781" w:rsidRDefault="00EA6606" w:rsidP="00FE7CA2">
            <w:pPr>
              <w:keepNext/>
              <w:autoSpaceDE w:val="0"/>
              <w:autoSpaceDN w:val="0"/>
              <w:adjustRightInd w:val="0"/>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sidR="00FE7CA2">
              <w:rPr>
                <w:rFonts w:asciiTheme="minorHAnsi" w:hAnsiTheme="minorHAnsi" w:cstheme="minorHAnsi"/>
                <w:b/>
                <w:bCs/>
                <w:color w:val="000000"/>
                <w:sz w:val="18"/>
                <w:szCs w:val="18"/>
                <w:u w:val="single"/>
              </w:rPr>
              <w:t>M</w:t>
            </w:r>
          </w:p>
        </w:tc>
        <w:tc>
          <w:tcPr>
            <w:tcW w:w="385" w:type="pct"/>
          </w:tcPr>
          <w:p w:rsidR="009A448F" w:rsidRPr="00D64781" w:rsidRDefault="009A448F" w:rsidP="00FE7CA2">
            <w:pPr>
              <w:keepNext/>
              <w:autoSpaceDE w:val="0"/>
              <w:autoSpaceDN w:val="0"/>
              <w:adjustRightInd w:val="0"/>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sidR="00FE7CA2">
              <w:rPr>
                <w:rFonts w:asciiTheme="minorHAnsi" w:hAnsiTheme="minorHAnsi" w:cstheme="minorHAnsi"/>
                <w:b/>
                <w:bCs/>
                <w:color w:val="000000"/>
                <w:sz w:val="18"/>
                <w:szCs w:val="18"/>
                <w:u w:val="single"/>
              </w:rPr>
              <w:t>M</w:t>
            </w:r>
          </w:p>
        </w:tc>
        <w:tc>
          <w:tcPr>
            <w:tcW w:w="449" w:type="pct"/>
            <w:tcBorders>
              <w:right w:val="single" w:sz="4" w:space="0" w:color="auto"/>
            </w:tcBorders>
          </w:tcPr>
          <w:p w:rsidR="009A448F" w:rsidRPr="00D64781" w:rsidRDefault="009A448F" w:rsidP="00FE7CA2">
            <w:pPr>
              <w:keepNext/>
              <w:autoSpaceDE w:val="0"/>
              <w:autoSpaceDN w:val="0"/>
              <w:adjustRightInd w:val="0"/>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sidR="00FE7CA2">
              <w:rPr>
                <w:rFonts w:asciiTheme="minorHAnsi" w:hAnsiTheme="minorHAnsi" w:cstheme="minorHAnsi"/>
                <w:b/>
                <w:bCs/>
                <w:color w:val="000000"/>
                <w:sz w:val="18"/>
                <w:szCs w:val="18"/>
                <w:u w:val="single"/>
              </w:rPr>
              <w:t>M</w:t>
            </w:r>
          </w:p>
        </w:tc>
        <w:tc>
          <w:tcPr>
            <w:tcW w:w="428" w:type="pct"/>
            <w:tcBorders>
              <w:left w:val="single" w:sz="4" w:space="0" w:color="auto"/>
            </w:tcBorders>
          </w:tcPr>
          <w:p w:rsidR="009A448F" w:rsidRPr="00D64781" w:rsidRDefault="009A448F" w:rsidP="00FE7CA2">
            <w:pPr>
              <w:keepNext/>
              <w:autoSpaceDE w:val="0"/>
              <w:autoSpaceDN w:val="0"/>
              <w:adjustRightInd w:val="0"/>
              <w:ind w:left="-111"/>
              <w:jc w:val="right"/>
              <w:rPr>
                <w:rFonts w:asciiTheme="minorHAnsi" w:hAnsiTheme="minorHAnsi" w:cstheme="minorHAnsi"/>
                <w:b/>
                <w:bCs/>
                <w:color w:val="000000"/>
                <w:sz w:val="18"/>
                <w:szCs w:val="18"/>
                <w:u w:val="single"/>
              </w:rPr>
            </w:pPr>
            <w:r w:rsidRPr="00D64781">
              <w:rPr>
                <w:rFonts w:asciiTheme="minorHAnsi" w:hAnsiTheme="minorHAnsi" w:cstheme="minorHAnsi"/>
                <w:b/>
                <w:bCs/>
                <w:color w:val="000000"/>
                <w:sz w:val="18"/>
                <w:szCs w:val="18"/>
                <w:u w:val="single"/>
              </w:rPr>
              <w:t>€</w:t>
            </w:r>
            <w:r w:rsidR="00FE7CA2">
              <w:rPr>
                <w:rFonts w:asciiTheme="minorHAnsi" w:hAnsiTheme="minorHAnsi" w:cstheme="minorHAnsi"/>
                <w:b/>
                <w:bCs/>
                <w:color w:val="000000"/>
                <w:sz w:val="18"/>
                <w:szCs w:val="18"/>
                <w:u w:val="single"/>
              </w:rPr>
              <w:t>M</w:t>
            </w:r>
          </w:p>
        </w:tc>
      </w:tr>
      <w:tr w:rsidR="00D64781" w:rsidRPr="00D64781" w:rsidTr="002A4AAD">
        <w:trPr>
          <w:trHeight w:val="247"/>
        </w:trPr>
        <w:tc>
          <w:tcPr>
            <w:tcW w:w="1290" w:type="pct"/>
            <w:tcBorders>
              <w:right w:val="single" w:sz="4" w:space="0" w:color="auto"/>
            </w:tcBorders>
            <w:shd w:val="solid" w:color="FFFFFF" w:fill="auto"/>
          </w:tcPr>
          <w:p w:rsidR="009A448F" w:rsidRPr="00D64781" w:rsidRDefault="009A448F" w:rsidP="008A5986">
            <w:pPr>
              <w:keepNext/>
              <w:autoSpaceDE w:val="0"/>
              <w:autoSpaceDN w:val="0"/>
              <w:adjustRightInd w:val="0"/>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 xml:space="preserve">Balance at March </w:t>
            </w:r>
            <w:r w:rsidR="008A5986">
              <w:rPr>
                <w:rFonts w:asciiTheme="minorHAnsi" w:hAnsiTheme="minorHAnsi" w:cstheme="minorHAnsi"/>
                <w:b/>
                <w:bCs/>
                <w:color w:val="000000"/>
                <w:sz w:val="18"/>
                <w:szCs w:val="18"/>
              </w:rPr>
              <w:t>31</w:t>
            </w:r>
            <w:r w:rsidRPr="00D64781">
              <w:rPr>
                <w:rFonts w:asciiTheme="minorHAnsi" w:hAnsiTheme="minorHAnsi" w:cstheme="minorHAnsi"/>
                <w:b/>
                <w:bCs/>
                <w:color w:val="000000"/>
                <w:sz w:val="18"/>
                <w:szCs w:val="18"/>
              </w:rPr>
              <w:t xml:space="preserve">, </w:t>
            </w:r>
            <w:r w:rsidR="00E25F44">
              <w:rPr>
                <w:rFonts w:asciiTheme="minorHAnsi" w:hAnsiTheme="minorHAnsi" w:cstheme="minorHAnsi"/>
                <w:b/>
                <w:bCs/>
                <w:color w:val="000000"/>
                <w:sz w:val="18"/>
                <w:szCs w:val="18"/>
              </w:rPr>
              <w:t>201</w:t>
            </w:r>
            <w:r w:rsidR="00B13339">
              <w:rPr>
                <w:rFonts w:asciiTheme="minorHAnsi" w:hAnsiTheme="minorHAnsi" w:cstheme="minorHAnsi"/>
                <w:b/>
                <w:bCs/>
                <w:color w:val="000000"/>
                <w:sz w:val="18"/>
                <w:szCs w:val="18"/>
              </w:rPr>
              <w:t>6</w:t>
            </w:r>
          </w:p>
        </w:tc>
        <w:tc>
          <w:tcPr>
            <w:tcW w:w="388" w:type="pct"/>
            <w:tcBorders>
              <w:left w:val="single" w:sz="4" w:space="0" w:color="auto"/>
              <w:right w:val="single" w:sz="4" w:space="0" w:color="auto"/>
            </w:tcBorders>
          </w:tcPr>
          <w:p w:rsidR="009A448F" w:rsidRPr="00D64781" w:rsidRDefault="008A5986" w:rsidP="008A5986">
            <w:pPr>
              <w:keepNext/>
              <w:autoSpaceDE w:val="0"/>
              <w:autoSpaceDN w:val="0"/>
              <w:adjustRightInd w:val="0"/>
              <w:ind w:left="-252" w:firstLine="143"/>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1</w:t>
            </w:r>
            <w:r w:rsidR="009A448F" w:rsidRPr="00D64781">
              <w:rPr>
                <w:rFonts w:asciiTheme="minorHAnsi" w:hAnsiTheme="minorHAnsi" w:cstheme="minorHAnsi"/>
                <w:b/>
                <w:bCs/>
                <w:color w:val="000000"/>
                <w:sz w:val="18"/>
                <w:szCs w:val="18"/>
              </w:rPr>
              <w:t>,</w:t>
            </w:r>
            <w:r w:rsidR="00B13339">
              <w:rPr>
                <w:rFonts w:asciiTheme="minorHAnsi" w:hAnsiTheme="minorHAnsi" w:cstheme="minorHAnsi"/>
                <w:b/>
                <w:bCs/>
                <w:color w:val="000000"/>
                <w:sz w:val="18"/>
                <w:szCs w:val="18"/>
              </w:rPr>
              <w:t>290</w:t>
            </w:r>
            <w:r w:rsidR="00E25F44">
              <w:rPr>
                <w:rFonts w:asciiTheme="minorHAnsi" w:hAnsiTheme="minorHAnsi" w:cstheme="minorHAnsi"/>
                <w:b/>
                <w:bCs/>
                <w:color w:val="000000"/>
                <w:sz w:val="18"/>
                <w:szCs w:val="18"/>
              </w:rPr>
              <w:t>.7</w:t>
            </w:r>
          </w:p>
        </w:tc>
        <w:tc>
          <w:tcPr>
            <w:tcW w:w="329" w:type="pct"/>
            <w:tcBorders>
              <w:left w:val="single" w:sz="4" w:space="0" w:color="auto"/>
            </w:tcBorders>
          </w:tcPr>
          <w:p w:rsidR="009A448F" w:rsidRPr="00D64781" w:rsidRDefault="00B13339" w:rsidP="008A5986">
            <w:pPr>
              <w:keepNext/>
              <w:autoSpaceDE w:val="0"/>
              <w:autoSpaceDN w:val="0"/>
              <w:adjustRightInd w:val="0"/>
              <w:ind w:left="-109"/>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7</w:t>
            </w:r>
            <w:r w:rsidR="00E25F44">
              <w:rPr>
                <w:rFonts w:asciiTheme="minorHAnsi" w:hAnsiTheme="minorHAnsi" w:cstheme="minorHAnsi"/>
                <w:b/>
                <w:bCs/>
                <w:color w:val="000000"/>
                <w:sz w:val="18"/>
                <w:szCs w:val="18"/>
              </w:rPr>
              <w:t>.7</w:t>
            </w:r>
          </w:p>
        </w:tc>
        <w:tc>
          <w:tcPr>
            <w:tcW w:w="379" w:type="pct"/>
          </w:tcPr>
          <w:p w:rsidR="009A448F" w:rsidRPr="00D64781" w:rsidRDefault="00E25F44" w:rsidP="008A5986">
            <w:pPr>
              <w:keepNext/>
              <w:autoSpaceDE w:val="0"/>
              <w:autoSpaceDN w:val="0"/>
              <w:adjustRightInd w:val="0"/>
              <w:ind w:left="-107"/>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71</w:t>
            </w:r>
            <w:r w:rsidR="00B13339">
              <w:rPr>
                <w:rFonts w:asciiTheme="minorHAnsi" w:hAnsiTheme="minorHAnsi" w:cstheme="minorHAnsi"/>
                <w:b/>
                <w:bCs/>
                <w:color w:val="000000"/>
                <w:sz w:val="18"/>
                <w:szCs w:val="18"/>
              </w:rPr>
              <w:t>9</w:t>
            </w:r>
            <w:r>
              <w:rPr>
                <w:rFonts w:asciiTheme="minorHAnsi" w:hAnsiTheme="minorHAnsi" w:cstheme="minorHAnsi"/>
                <w:b/>
                <w:bCs/>
                <w:color w:val="000000"/>
                <w:sz w:val="18"/>
                <w:szCs w:val="18"/>
              </w:rPr>
              <w:t>.</w:t>
            </w:r>
            <w:r w:rsidR="00B13339">
              <w:rPr>
                <w:rFonts w:asciiTheme="minorHAnsi" w:hAnsiTheme="minorHAnsi" w:cstheme="minorHAnsi"/>
                <w:b/>
                <w:bCs/>
                <w:color w:val="000000"/>
                <w:sz w:val="18"/>
                <w:szCs w:val="18"/>
              </w:rPr>
              <w:t>4</w:t>
            </w:r>
          </w:p>
        </w:tc>
        <w:tc>
          <w:tcPr>
            <w:tcW w:w="388" w:type="pct"/>
          </w:tcPr>
          <w:p w:rsidR="009A448F" w:rsidRPr="00D64781" w:rsidRDefault="00B13339" w:rsidP="008A5986">
            <w:pPr>
              <w:keepNext/>
              <w:autoSpaceDE w:val="0"/>
              <w:autoSpaceDN w:val="0"/>
              <w:adjustRightInd w:val="0"/>
              <w:ind w:left="-109"/>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3</w:t>
            </w:r>
            <w:r w:rsidR="00E25F44">
              <w:rPr>
                <w:rFonts w:asciiTheme="minorHAnsi" w:hAnsiTheme="minorHAnsi" w:cstheme="minorHAnsi"/>
                <w:b/>
                <w:bCs/>
                <w:color w:val="000000"/>
                <w:sz w:val="18"/>
                <w:szCs w:val="18"/>
              </w:rPr>
              <w:t>,</w:t>
            </w:r>
            <w:r>
              <w:rPr>
                <w:rFonts w:asciiTheme="minorHAnsi" w:hAnsiTheme="minorHAnsi" w:cstheme="minorHAnsi"/>
                <w:b/>
                <w:bCs/>
                <w:color w:val="000000"/>
                <w:sz w:val="18"/>
                <w:szCs w:val="18"/>
              </w:rPr>
              <w:t>166</w:t>
            </w:r>
            <w:r w:rsidR="00E25F44">
              <w:rPr>
                <w:rFonts w:asciiTheme="minorHAnsi" w:hAnsiTheme="minorHAnsi" w:cstheme="minorHAnsi"/>
                <w:b/>
                <w:bCs/>
                <w:color w:val="000000"/>
                <w:sz w:val="18"/>
                <w:szCs w:val="18"/>
              </w:rPr>
              <w:t>.</w:t>
            </w:r>
            <w:r>
              <w:rPr>
                <w:rFonts w:asciiTheme="minorHAnsi" w:hAnsiTheme="minorHAnsi" w:cstheme="minorHAnsi"/>
                <w:b/>
                <w:bCs/>
                <w:color w:val="000000"/>
                <w:sz w:val="18"/>
                <w:szCs w:val="18"/>
              </w:rPr>
              <w:t>1</w:t>
            </w:r>
          </w:p>
        </w:tc>
        <w:tc>
          <w:tcPr>
            <w:tcW w:w="514" w:type="pct"/>
            <w:tcBorders>
              <w:right w:val="single" w:sz="4" w:space="0" w:color="auto"/>
            </w:tcBorders>
          </w:tcPr>
          <w:p w:rsidR="009A448F" w:rsidRPr="00D64781" w:rsidRDefault="00B13339" w:rsidP="008A5986">
            <w:pPr>
              <w:keepNext/>
              <w:autoSpaceDE w:val="0"/>
              <w:autoSpaceDN w:val="0"/>
              <w:adjustRightInd w:val="0"/>
              <w:ind w:left="-155"/>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2</w:t>
            </w:r>
            <w:r w:rsidR="00E25F44">
              <w:rPr>
                <w:rFonts w:asciiTheme="minorHAnsi" w:hAnsiTheme="minorHAnsi" w:cstheme="minorHAnsi"/>
                <w:b/>
                <w:bCs/>
                <w:color w:val="000000"/>
                <w:sz w:val="18"/>
                <w:szCs w:val="18"/>
              </w:rPr>
              <w:t>.3</w:t>
            </w:r>
          </w:p>
        </w:tc>
        <w:tc>
          <w:tcPr>
            <w:tcW w:w="450" w:type="pct"/>
            <w:tcBorders>
              <w:left w:val="single" w:sz="4" w:space="0" w:color="auto"/>
            </w:tcBorders>
          </w:tcPr>
          <w:p w:rsidR="009A448F" w:rsidRPr="00D64781" w:rsidRDefault="00E25F44" w:rsidP="000C0F4D">
            <w:pPr>
              <w:keepNext/>
              <w:autoSpaceDE w:val="0"/>
              <w:autoSpaceDN w:val="0"/>
              <w:adjustRightInd w:val="0"/>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w:t>
            </w:r>
            <w:r w:rsidR="00B13339">
              <w:rPr>
                <w:rFonts w:asciiTheme="minorHAnsi" w:hAnsiTheme="minorHAnsi" w:cstheme="minorHAnsi"/>
                <w:b/>
                <w:bCs/>
                <w:color w:val="000000"/>
                <w:sz w:val="18"/>
                <w:szCs w:val="18"/>
              </w:rPr>
              <w:t>7</w:t>
            </w:r>
            <w:r>
              <w:rPr>
                <w:rFonts w:asciiTheme="minorHAnsi" w:hAnsiTheme="minorHAnsi" w:cstheme="minorHAnsi"/>
                <w:b/>
                <w:bCs/>
                <w:color w:val="000000"/>
                <w:sz w:val="18"/>
                <w:szCs w:val="18"/>
              </w:rPr>
              <w:t>.</w:t>
            </w:r>
            <w:r w:rsidR="00B13339">
              <w:rPr>
                <w:rFonts w:asciiTheme="minorHAnsi" w:hAnsiTheme="minorHAnsi" w:cstheme="minorHAnsi"/>
                <w:b/>
                <w:bCs/>
                <w:color w:val="000000"/>
                <w:sz w:val="18"/>
                <w:szCs w:val="18"/>
              </w:rPr>
              <w:t>3</w:t>
            </w:r>
            <w:r>
              <w:rPr>
                <w:rFonts w:asciiTheme="minorHAnsi" w:hAnsiTheme="minorHAnsi" w:cstheme="minorHAnsi"/>
                <w:b/>
                <w:bCs/>
                <w:color w:val="000000"/>
                <w:sz w:val="18"/>
                <w:szCs w:val="18"/>
              </w:rPr>
              <w:t>)</w:t>
            </w:r>
          </w:p>
        </w:tc>
        <w:tc>
          <w:tcPr>
            <w:tcW w:w="385" w:type="pct"/>
          </w:tcPr>
          <w:p w:rsidR="009A448F" w:rsidRPr="00D64781" w:rsidRDefault="00B13339" w:rsidP="008A5986">
            <w:pPr>
              <w:keepNext/>
              <w:autoSpaceDE w:val="0"/>
              <w:autoSpaceDN w:val="0"/>
              <w:adjustRightInd w:val="0"/>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(300.6)</w:t>
            </w:r>
          </w:p>
        </w:tc>
        <w:tc>
          <w:tcPr>
            <w:tcW w:w="449" w:type="pct"/>
            <w:tcBorders>
              <w:right w:val="single" w:sz="4" w:space="0" w:color="auto"/>
            </w:tcBorders>
          </w:tcPr>
          <w:p w:rsidR="009A448F" w:rsidRPr="00D64781" w:rsidRDefault="00B13339" w:rsidP="008A5986">
            <w:pPr>
              <w:keepNext/>
              <w:autoSpaceDE w:val="0"/>
              <w:autoSpaceDN w:val="0"/>
              <w:adjustRightInd w:val="0"/>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9.2</w:t>
            </w:r>
          </w:p>
        </w:tc>
        <w:tc>
          <w:tcPr>
            <w:tcW w:w="428" w:type="pct"/>
            <w:tcBorders>
              <w:left w:val="single" w:sz="4" w:space="0" w:color="auto"/>
            </w:tcBorders>
          </w:tcPr>
          <w:p w:rsidR="009A448F" w:rsidRPr="00D64781" w:rsidRDefault="00B13339" w:rsidP="008A5986">
            <w:pPr>
              <w:keepNext/>
              <w:tabs>
                <w:tab w:val="left" w:pos="963"/>
              </w:tabs>
              <w:autoSpaceDE w:val="0"/>
              <w:autoSpaceDN w:val="0"/>
              <w:adjustRightInd w:val="0"/>
              <w:ind w:left="-111"/>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3</w:t>
            </w:r>
            <w:r w:rsidR="00E25F44">
              <w:rPr>
                <w:rFonts w:asciiTheme="minorHAnsi" w:hAnsiTheme="minorHAnsi" w:cstheme="minorHAnsi"/>
                <w:b/>
                <w:bCs/>
                <w:color w:val="000000"/>
                <w:sz w:val="18"/>
                <w:szCs w:val="18"/>
              </w:rPr>
              <w:t>,</w:t>
            </w:r>
            <w:r>
              <w:rPr>
                <w:rFonts w:asciiTheme="minorHAnsi" w:hAnsiTheme="minorHAnsi" w:cstheme="minorHAnsi"/>
                <w:b/>
                <w:bCs/>
                <w:color w:val="000000"/>
                <w:sz w:val="18"/>
                <w:szCs w:val="18"/>
              </w:rPr>
              <w:t>596</w:t>
            </w:r>
            <w:r w:rsidR="00E25F44">
              <w:rPr>
                <w:rFonts w:asciiTheme="minorHAnsi" w:hAnsiTheme="minorHAnsi" w:cstheme="minorHAnsi"/>
                <w:b/>
                <w:bCs/>
                <w:color w:val="000000"/>
                <w:sz w:val="18"/>
                <w:szCs w:val="18"/>
              </w:rPr>
              <w:t>.</w:t>
            </w:r>
            <w:r>
              <w:rPr>
                <w:rFonts w:asciiTheme="minorHAnsi" w:hAnsiTheme="minorHAnsi" w:cstheme="minorHAnsi"/>
                <w:b/>
                <w:bCs/>
                <w:color w:val="000000"/>
                <w:sz w:val="18"/>
                <w:szCs w:val="18"/>
              </w:rPr>
              <w:t>8</w:t>
            </w:r>
          </w:p>
        </w:tc>
      </w:tr>
      <w:tr w:rsidR="00D64781" w:rsidRPr="00D64781" w:rsidTr="002A4AAD">
        <w:trPr>
          <w:trHeight w:val="247"/>
        </w:trPr>
        <w:tc>
          <w:tcPr>
            <w:tcW w:w="1290" w:type="pct"/>
            <w:tcBorders>
              <w:right w:val="single" w:sz="4" w:space="0" w:color="auto"/>
            </w:tcBorders>
            <w:shd w:val="solid" w:color="FFFFFF" w:fill="auto"/>
          </w:tcPr>
          <w:p w:rsidR="009A448F" w:rsidRPr="00D64781" w:rsidRDefault="002769CA" w:rsidP="002A4AAD">
            <w:pPr>
              <w:keepNext/>
              <w:autoSpaceDE w:val="0"/>
              <w:autoSpaceDN w:val="0"/>
              <w:adjustRightInd w:val="0"/>
              <w:rPr>
                <w:rFonts w:asciiTheme="minorHAnsi" w:hAnsiTheme="minorHAnsi" w:cstheme="minorHAnsi"/>
                <w:color w:val="000000"/>
                <w:sz w:val="18"/>
                <w:szCs w:val="18"/>
              </w:rPr>
            </w:pPr>
            <w:r>
              <w:rPr>
                <w:rFonts w:asciiTheme="minorHAnsi" w:hAnsiTheme="minorHAnsi" w:cstheme="minorHAnsi"/>
                <w:color w:val="000000"/>
                <w:sz w:val="18"/>
                <w:szCs w:val="18"/>
              </w:rPr>
              <w:t>Profit for the</w:t>
            </w:r>
            <w:r w:rsidR="00C94FD5">
              <w:rPr>
                <w:rFonts w:asciiTheme="minorHAnsi" w:hAnsiTheme="minorHAnsi" w:cstheme="minorHAnsi"/>
                <w:color w:val="000000"/>
                <w:sz w:val="18"/>
                <w:szCs w:val="18"/>
              </w:rPr>
              <w:t xml:space="preserve"> </w:t>
            </w:r>
            <w:r w:rsidR="00722370">
              <w:rPr>
                <w:rFonts w:asciiTheme="minorHAnsi" w:hAnsiTheme="minorHAnsi" w:cstheme="minorHAnsi"/>
                <w:color w:val="000000"/>
                <w:sz w:val="18"/>
                <w:szCs w:val="18"/>
              </w:rPr>
              <w:t>year</w:t>
            </w:r>
          </w:p>
        </w:tc>
        <w:tc>
          <w:tcPr>
            <w:tcW w:w="388" w:type="pct"/>
            <w:tcBorders>
              <w:left w:val="single" w:sz="4" w:space="0" w:color="auto"/>
              <w:right w:val="single" w:sz="4" w:space="0" w:color="auto"/>
            </w:tcBorders>
          </w:tcPr>
          <w:p w:rsidR="009A448F" w:rsidRPr="00D64781" w:rsidRDefault="0047643B" w:rsidP="0047643B">
            <w:pPr>
              <w:keepNext/>
              <w:pBdr>
                <w:top w:val="single" w:sz="4" w:space="1" w:color="auto"/>
              </w:pBdr>
              <w:autoSpaceDE w:val="0"/>
              <w:autoSpaceDN w:val="0"/>
              <w:adjustRightInd w:val="0"/>
              <w:ind w:left="-198"/>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29" w:type="pct"/>
            <w:tcBorders>
              <w:left w:val="single" w:sz="4" w:space="0" w:color="auto"/>
            </w:tcBorders>
          </w:tcPr>
          <w:p w:rsidR="009A448F" w:rsidRPr="00D64781" w:rsidRDefault="0047643B" w:rsidP="0047643B">
            <w:pPr>
              <w:keepNext/>
              <w:pBdr>
                <w:top w:val="single" w:sz="4" w:space="1" w:color="auto"/>
              </w:pBdr>
              <w:autoSpaceDE w:val="0"/>
              <w:autoSpaceDN w:val="0"/>
              <w:adjustRightInd w:val="0"/>
              <w:ind w:left="-109"/>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79" w:type="pct"/>
          </w:tcPr>
          <w:p w:rsidR="009A448F" w:rsidRPr="00D64781" w:rsidRDefault="0047643B" w:rsidP="0047643B">
            <w:pPr>
              <w:keepNext/>
              <w:pBdr>
                <w:top w:val="single" w:sz="4" w:space="1" w:color="auto"/>
              </w:pBdr>
              <w:autoSpaceDE w:val="0"/>
              <w:autoSpaceDN w:val="0"/>
              <w:adjustRightInd w:val="0"/>
              <w:ind w:left="-107"/>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88" w:type="pct"/>
          </w:tcPr>
          <w:p w:rsidR="009A448F" w:rsidRPr="00D64781" w:rsidRDefault="00E25F44" w:rsidP="002A4AAD">
            <w:pPr>
              <w:keepNext/>
              <w:pBdr>
                <w:top w:val="single" w:sz="4" w:space="1" w:color="auto"/>
              </w:pBdr>
              <w:autoSpaceDE w:val="0"/>
              <w:autoSpaceDN w:val="0"/>
              <w:adjustRightInd w:val="0"/>
              <w:ind w:left="-109"/>
              <w:jc w:val="right"/>
              <w:rPr>
                <w:rFonts w:asciiTheme="minorHAnsi" w:hAnsiTheme="minorHAnsi" w:cstheme="minorHAnsi"/>
                <w:color w:val="000000"/>
                <w:sz w:val="18"/>
                <w:szCs w:val="18"/>
              </w:rPr>
            </w:pPr>
            <w:r>
              <w:rPr>
                <w:rFonts w:asciiTheme="minorHAnsi" w:hAnsiTheme="minorHAnsi" w:cstheme="minorHAnsi"/>
                <w:color w:val="000000"/>
                <w:sz w:val="18"/>
                <w:szCs w:val="18"/>
              </w:rPr>
              <w:t>1,</w:t>
            </w:r>
            <w:r w:rsidR="00B13339">
              <w:rPr>
                <w:rFonts w:asciiTheme="minorHAnsi" w:hAnsiTheme="minorHAnsi" w:cstheme="minorHAnsi"/>
                <w:color w:val="000000"/>
                <w:sz w:val="18"/>
                <w:szCs w:val="18"/>
              </w:rPr>
              <w:t>315</w:t>
            </w:r>
            <w:r>
              <w:rPr>
                <w:rFonts w:asciiTheme="minorHAnsi" w:hAnsiTheme="minorHAnsi" w:cstheme="minorHAnsi"/>
                <w:color w:val="000000"/>
                <w:sz w:val="18"/>
                <w:szCs w:val="18"/>
              </w:rPr>
              <w:t>.</w:t>
            </w:r>
            <w:r w:rsidR="00B13339">
              <w:rPr>
                <w:rFonts w:asciiTheme="minorHAnsi" w:hAnsiTheme="minorHAnsi" w:cstheme="minorHAnsi"/>
                <w:color w:val="000000"/>
                <w:sz w:val="18"/>
                <w:szCs w:val="18"/>
              </w:rPr>
              <w:t>9</w:t>
            </w:r>
          </w:p>
        </w:tc>
        <w:tc>
          <w:tcPr>
            <w:tcW w:w="514" w:type="pct"/>
            <w:tcBorders>
              <w:right w:val="single" w:sz="4" w:space="0" w:color="auto"/>
            </w:tcBorders>
          </w:tcPr>
          <w:p w:rsidR="009A448F" w:rsidRPr="00D64781" w:rsidRDefault="0047643B" w:rsidP="0047643B">
            <w:pPr>
              <w:keepNext/>
              <w:pBdr>
                <w:top w:val="single" w:sz="4" w:space="1" w:color="auto"/>
              </w:pBdr>
              <w:autoSpaceDE w:val="0"/>
              <w:autoSpaceDN w:val="0"/>
              <w:adjustRightInd w:val="0"/>
              <w:ind w:left="-155"/>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450" w:type="pct"/>
            <w:tcBorders>
              <w:left w:val="single" w:sz="4" w:space="0" w:color="auto"/>
            </w:tcBorders>
          </w:tcPr>
          <w:p w:rsidR="009A448F" w:rsidRPr="00D64781" w:rsidRDefault="0047643B" w:rsidP="0047643B">
            <w:pPr>
              <w:keepNext/>
              <w:pBdr>
                <w:top w:val="single" w:sz="4" w:space="1" w:color="auto"/>
              </w:pBdr>
              <w:autoSpaceDE w:val="0"/>
              <w:autoSpaceDN w:val="0"/>
              <w:adjustRightInd w:val="0"/>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85" w:type="pct"/>
          </w:tcPr>
          <w:p w:rsidR="009A448F" w:rsidRPr="00D64781" w:rsidRDefault="0047643B" w:rsidP="0047643B">
            <w:pPr>
              <w:keepNext/>
              <w:pBdr>
                <w:top w:val="single" w:sz="4" w:space="1" w:color="auto"/>
              </w:pBdr>
              <w:autoSpaceDE w:val="0"/>
              <w:autoSpaceDN w:val="0"/>
              <w:adjustRightInd w:val="0"/>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449" w:type="pct"/>
            <w:tcBorders>
              <w:right w:val="single" w:sz="4" w:space="0" w:color="auto"/>
            </w:tcBorders>
          </w:tcPr>
          <w:p w:rsidR="009A448F" w:rsidRPr="00D64781" w:rsidRDefault="0047643B" w:rsidP="0047643B">
            <w:pPr>
              <w:keepNext/>
              <w:pBdr>
                <w:top w:val="single" w:sz="4" w:space="1" w:color="auto"/>
              </w:pBdr>
              <w:autoSpaceDE w:val="0"/>
              <w:autoSpaceDN w:val="0"/>
              <w:adjustRightInd w:val="0"/>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428" w:type="pct"/>
            <w:tcBorders>
              <w:left w:val="single" w:sz="4" w:space="0" w:color="auto"/>
            </w:tcBorders>
          </w:tcPr>
          <w:p w:rsidR="009A448F" w:rsidRPr="00D64781" w:rsidRDefault="00E25F44" w:rsidP="002A4AAD">
            <w:pPr>
              <w:keepNext/>
              <w:pBdr>
                <w:top w:val="single" w:sz="4" w:space="1" w:color="auto"/>
              </w:pBdr>
              <w:autoSpaceDE w:val="0"/>
              <w:autoSpaceDN w:val="0"/>
              <w:adjustRightInd w:val="0"/>
              <w:ind w:left="-111"/>
              <w:jc w:val="right"/>
              <w:rPr>
                <w:rFonts w:asciiTheme="minorHAnsi" w:hAnsiTheme="minorHAnsi" w:cstheme="minorHAnsi"/>
                <w:color w:val="000000"/>
                <w:sz w:val="18"/>
                <w:szCs w:val="18"/>
              </w:rPr>
            </w:pPr>
            <w:r>
              <w:rPr>
                <w:rFonts w:asciiTheme="minorHAnsi" w:hAnsiTheme="minorHAnsi" w:cstheme="minorHAnsi"/>
                <w:color w:val="000000"/>
                <w:sz w:val="18"/>
                <w:szCs w:val="18"/>
              </w:rPr>
              <w:t>1,</w:t>
            </w:r>
            <w:r w:rsidR="00B13339">
              <w:rPr>
                <w:rFonts w:asciiTheme="minorHAnsi" w:hAnsiTheme="minorHAnsi" w:cstheme="minorHAnsi"/>
                <w:color w:val="000000"/>
                <w:sz w:val="18"/>
                <w:szCs w:val="18"/>
              </w:rPr>
              <w:t>315</w:t>
            </w:r>
            <w:r>
              <w:rPr>
                <w:rFonts w:asciiTheme="minorHAnsi" w:hAnsiTheme="minorHAnsi" w:cstheme="minorHAnsi"/>
                <w:color w:val="000000"/>
                <w:sz w:val="18"/>
                <w:szCs w:val="18"/>
              </w:rPr>
              <w:t>.</w:t>
            </w:r>
            <w:r w:rsidR="00B13339">
              <w:rPr>
                <w:rFonts w:asciiTheme="minorHAnsi" w:hAnsiTheme="minorHAnsi" w:cstheme="minorHAnsi"/>
                <w:color w:val="000000"/>
                <w:sz w:val="18"/>
                <w:szCs w:val="18"/>
              </w:rPr>
              <w:t>9</w:t>
            </w:r>
          </w:p>
        </w:tc>
      </w:tr>
      <w:tr w:rsidR="00D64781" w:rsidRPr="00D64781" w:rsidTr="002A4AAD">
        <w:trPr>
          <w:trHeight w:val="247"/>
        </w:trPr>
        <w:tc>
          <w:tcPr>
            <w:tcW w:w="1290" w:type="pct"/>
            <w:tcBorders>
              <w:right w:val="single" w:sz="4" w:space="0" w:color="auto"/>
            </w:tcBorders>
            <w:shd w:val="solid" w:color="FFFFFF" w:fill="auto"/>
          </w:tcPr>
          <w:p w:rsidR="009A448F" w:rsidRPr="00D64781" w:rsidRDefault="009A448F" w:rsidP="000C0F4D">
            <w:pPr>
              <w:keepNext/>
              <w:autoSpaceDE w:val="0"/>
              <w:autoSpaceDN w:val="0"/>
              <w:adjustRightInd w:val="0"/>
              <w:rPr>
                <w:rFonts w:asciiTheme="minorHAnsi" w:hAnsiTheme="minorHAnsi" w:cstheme="minorHAnsi"/>
                <w:i/>
                <w:color w:val="000000"/>
                <w:sz w:val="18"/>
                <w:szCs w:val="18"/>
              </w:rPr>
            </w:pPr>
            <w:r w:rsidRPr="00D64781">
              <w:rPr>
                <w:rFonts w:asciiTheme="minorHAnsi" w:hAnsiTheme="minorHAnsi" w:cstheme="minorHAnsi"/>
                <w:i/>
                <w:color w:val="000000"/>
                <w:sz w:val="18"/>
                <w:szCs w:val="18"/>
              </w:rPr>
              <w:t>Other comprehensive income</w:t>
            </w:r>
          </w:p>
        </w:tc>
        <w:tc>
          <w:tcPr>
            <w:tcW w:w="388" w:type="pct"/>
            <w:tcBorders>
              <w:left w:val="single" w:sz="4" w:space="0" w:color="auto"/>
            </w:tcBorders>
          </w:tcPr>
          <w:p w:rsidR="009A448F" w:rsidRPr="00D64781" w:rsidRDefault="009A448F" w:rsidP="000C0F4D">
            <w:pPr>
              <w:keepNext/>
              <w:autoSpaceDE w:val="0"/>
              <w:autoSpaceDN w:val="0"/>
              <w:adjustRightInd w:val="0"/>
              <w:ind w:left="-109"/>
              <w:jc w:val="right"/>
              <w:rPr>
                <w:rFonts w:asciiTheme="minorHAnsi" w:hAnsiTheme="minorHAnsi" w:cstheme="minorHAnsi"/>
                <w:color w:val="000000"/>
                <w:sz w:val="18"/>
                <w:szCs w:val="18"/>
              </w:rPr>
            </w:pPr>
          </w:p>
        </w:tc>
        <w:tc>
          <w:tcPr>
            <w:tcW w:w="329" w:type="pct"/>
            <w:tcBorders>
              <w:left w:val="single" w:sz="4" w:space="0" w:color="auto"/>
            </w:tcBorders>
          </w:tcPr>
          <w:p w:rsidR="009A448F" w:rsidRPr="00D64781" w:rsidRDefault="009A448F" w:rsidP="000C0F4D">
            <w:pPr>
              <w:keepNext/>
              <w:autoSpaceDE w:val="0"/>
              <w:autoSpaceDN w:val="0"/>
              <w:adjustRightInd w:val="0"/>
              <w:ind w:left="-109"/>
              <w:jc w:val="right"/>
              <w:rPr>
                <w:rFonts w:asciiTheme="minorHAnsi" w:hAnsiTheme="minorHAnsi" w:cstheme="minorHAnsi"/>
                <w:color w:val="000000"/>
                <w:sz w:val="18"/>
                <w:szCs w:val="18"/>
              </w:rPr>
            </w:pPr>
          </w:p>
        </w:tc>
        <w:tc>
          <w:tcPr>
            <w:tcW w:w="379" w:type="pct"/>
          </w:tcPr>
          <w:p w:rsidR="009A448F" w:rsidRPr="00D64781" w:rsidRDefault="009A448F" w:rsidP="000C0F4D">
            <w:pPr>
              <w:keepNext/>
              <w:autoSpaceDE w:val="0"/>
              <w:autoSpaceDN w:val="0"/>
              <w:adjustRightInd w:val="0"/>
              <w:ind w:left="-107"/>
              <w:jc w:val="right"/>
              <w:rPr>
                <w:rFonts w:asciiTheme="minorHAnsi" w:hAnsiTheme="minorHAnsi" w:cstheme="minorHAnsi"/>
                <w:color w:val="000000"/>
                <w:sz w:val="18"/>
                <w:szCs w:val="18"/>
              </w:rPr>
            </w:pPr>
          </w:p>
        </w:tc>
        <w:tc>
          <w:tcPr>
            <w:tcW w:w="388" w:type="pct"/>
          </w:tcPr>
          <w:p w:rsidR="009A448F" w:rsidRPr="00D64781" w:rsidRDefault="009A448F" w:rsidP="000C0F4D">
            <w:pPr>
              <w:keepNext/>
              <w:autoSpaceDE w:val="0"/>
              <w:autoSpaceDN w:val="0"/>
              <w:adjustRightInd w:val="0"/>
              <w:ind w:left="-109"/>
              <w:jc w:val="right"/>
              <w:rPr>
                <w:rFonts w:asciiTheme="minorHAnsi" w:hAnsiTheme="minorHAnsi" w:cstheme="minorHAnsi"/>
                <w:color w:val="000000"/>
                <w:sz w:val="18"/>
                <w:szCs w:val="18"/>
              </w:rPr>
            </w:pPr>
          </w:p>
        </w:tc>
        <w:tc>
          <w:tcPr>
            <w:tcW w:w="514" w:type="pct"/>
            <w:tcBorders>
              <w:right w:val="single" w:sz="4" w:space="0" w:color="auto"/>
            </w:tcBorders>
          </w:tcPr>
          <w:p w:rsidR="009A448F" w:rsidRPr="00D64781" w:rsidRDefault="009A448F" w:rsidP="000C0F4D">
            <w:pPr>
              <w:keepNext/>
              <w:autoSpaceDE w:val="0"/>
              <w:autoSpaceDN w:val="0"/>
              <w:adjustRightInd w:val="0"/>
              <w:ind w:left="-155"/>
              <w:jc w:val="right"/>
              <w:rPr>
                <w:rFonts w:asciiTheme="minorHAnsi" w:hAnsiTheme="minorHAnsi" w:cstheme="minorHAnsi"/>
                <w:color w:val="000000"/>
                <w:sz w:val="18"/>
                <w:szCs w:val="18"/>
              </w:rPr>
            </w:pPr>
          </w:p>
        </w:tc>
        <w:tc>
          <w:tcPr>
            <w:tcW w:w="450" w:type="pct"/>
            <w:tcBorders>
              <w:left w:val="single" w:sz="4" w:space="0" w:color="auto"/>
            </w:tcBorders>
          </w:tcPr>
          <w:p w:rsidR="009A448F" w:rsidRPr="00D64781" w:rsidRDefault="009A448F" w:rsidP="000C0F4D">
            <w:pPr>
              <w:keepNext/>
              <w:autoSpaceDE w:val="0"/>
              <w:autoSpaceDN w:val="0"/>
              <w:adjustRightInd w:val="0"/>
              <w:jc w:val="right"/>
              <w:rPr>
                <w:rFonts w:asciiTheme="minorHAnsi" w:hAnsiTheme="minorHAnsi" w:cstheme="minorHAnsi"/>
                <w:color w:val="000000"/>
                <w:sz w:val="18"/>
                <w:szCs w:val="18"/>
              </w:rPr>
            </w:pPr>
          </w:p>
        </w:tc>
        <w:tc>
          <w:tcPr>
            <w:tcW w:w="385" w:type="pct"/>
          </w:tcPr>
          <w:p w:rsidR="009A448F" w:rsidRPr="00D64781" w:rsidRDefault="009A448F" w:rsidP="000C0F4D">
            <w:pPr>
              <w:keepNext/>
              <w:autoSpaceDE w:val="0"/>
              <w:autoSpaceDN w:val="0"/>
              <w:adjustRightInd w:val="0"/>
              <w:jc w:val="right"/>
              <w:rPr>
                <w:rFonts w:asciiTheme="minorHAnsi" w:hAnsiTheme="minorHAnsi" w:cstheme="minorHAnsi"/>
                <w:color w:val="000000"/>
                <w:sz w:val="18"/>
                <w:szCs w:val="18"/>
              </w:rPr>
            </w:pPr>
          </w:p>
        </w:tc>
        <w:tc>
          <w:tcPr>
            <w:tcW w:w="449" w:type="pct"/>
            <w:tcBorders>
              <w:right w:val="single" w:sz="4" w:space="0" w:color="auto"/>
            </w:tcBorders>
          </w:tcPr>
          <w:p w:rsidR="009A448F" w:rsidRPr="00D64781" w:rsidRDefault="009A448F" w:rsidP="000C0F4D">
            <w:pPr>
              <w:keepNext/>
              <w:autoSpaceDE w:val="0"/>
              <w:autoSpaceDN w:val="0"/>
              <w:adjustRightInd w:val="0"/>
              <w:jc w:val="right"/>
              <w:rPr>
                <w:rFonts w:asciiTheme="minorHAnsi" w:hAnsiTheme="minorHAnsi" w:cstheme="minorHAnsi"/>
                <w:color w:val="000000"/>
                <w:sz w:val="18"/>
                <w:szCs w:val="18"/>
              </w:rPr>
            </w:pPr>
          </w:p>
        </w:tc>
        <w:tc>
          <w:tcPr>
            <w:tcW w:w="428" w:type="pct"/>
            <w:tcBorders>
              <w:left w:val="single" w:sz="4" w:space="0" w:color="auto"/>
            </w:tcBorders>
          </w:tcPr>
          <w:p w:rsidR="009A448F" w:rsidRPr="00D64781" w:rsidRDefault="009A448F" w:rsidP="000C0F4D">
            <w:pPr>
              <w:keepNext/>
              <w:autoSpaceDE w:val="0"/>
              <w:autoSpaceDN w:val="0"/>
              <w:adjustRightInd w:val="0"/>
              <w:ind w:left="-111"/>
              <w:jc w:val="right"/>
              <w:rPr>
                <w:rFonts w:asciiTheme="minorHAnsi" w:hAnsiTheme="minorHAnsi" w:cstheme="minorHAnsi"/>
                <w:color w:val="000000"/>
                <w:sz w:val="18"/>
                <w:szCs w:val="18"/>
              </w:rPr>
            </w:pPr>
          </w:p>
        </w:tc>
      </w:tr>
      <w:tr w:rsidR="00D64781" w:rsidRPr="00D64781" w:rsidTr="002A4AAD">
        <w:trPr>
          <w:trHeight w:val="247"/>
        </w:trPr>
        <w:tc>
          <w:tcPr>
            <w:tcW w:w="1290" w:type="pct"/>
            <w:tcBorders>
              <w:right w:val="single" w:sz="4" w:space="0" w:color="auto"/>
            </w:tcBorders>
            <w:shd w:val="solid" w:color="FFFFFF" w:fill="auto"/>
          </w:tcPr>
          <w:p w:rsidR="009A448F" w:rsidRPr="00D64781" w:rsidRDefault="00B13339" w:rsidP="000C0F4D">
            <w:pPr>
              <w:keepNext/>
              <w:autoSpaceDE w:val="0"/>
              <w:autoSpaceDN w:val="0"/>
              <w:adjustRightInd w:val="0"/>
              <w:ind w:left="34"/>
              <w:rPr>
                <w:rFonts w:asciiTheme="minorHAnsi" w:hAnsiTheme="minorHAnsi" w:cstheme="minorHAnsi"/>
                <w:color w:val="000000"/>
                <w:sz w:val="18"/>
                <w:szCs w:val="18"/>
              </w:rPr>
            </w:pPr>
            <w:r>
              <w:rPr>
                <w:rFonts w:asciiTheme="minorHAnsi" w:hAnsiTheme="minorHAnsi" w:cstheme="minorHAnsi"/>
                <w:color w:val="000000"/>
                <w:sz w:val="18"/>
                <w:szCs w:val="18"/>
              </w:rPr>
              <w:t>Net movements in cash flow reserve</w:t>
            </w:r>
          </w:p>
        </w:tc>
        <w:tc>
          <w:tcPr>
            <w:tcW w:w="388" w:type="pct"/>
            <w:tcBorders>
              <w:left w:val="single" w:sz="4" w:space="0" w:color="auto"/>
            </w:tcBorders>
          </w:tcPr>
          <w:p w:rsidR="009A448F" w:rsidRPr="00D64781" w:rsidRDefault="009A448F" w:rsidP="000C0F4D">
            <w:pPr>
              <w:keepNext/>
              <w:pBdr>
                <w:bottom w:val="single" w:sz="4" w:space="0" w:color="auto"/>
              </w:pBdr>
              <w:autoSpaceDE w:val="0"/>
              <w:autoSpaceDN w:val="0"/>
              <w:adjustRightInd w:val="0"/>
              <w:ind w:left="-109"/>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29" w:type="pct"/>
            <w:tcBorders>
              <w:left w:val="single" w:sz="4" w:space="0" w:color="auto"/>
            </w:tcBorders>
          </w:tcPr>
          <w:p w:rsidR="009A448F" w:rsidRPr="00D64781" w:rsidRDefault="009A448F" w:rsidP="000C0F4D">
            <w:pPr>
              <w:keepNext/>
              <w:pBdr>
                <w:bottom w:val="single" w:sz="4" w:space="0" w:color="auto"/>
              </w:pBdr>
              <w:autoSpaceDE w:val="0"/>
              <w:autoSpaceDN w:val="0"/>
              <w:adjustRightInd w:val="0"/>
              <w:ind w:left="-109"/>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79" w:type="pct"/>
          </w:tcPr>
          <w:p w:rsidR="009A448F" w:rsidRPr="00D64781" w:rsidRDefault="009A448F" w:rsidP="000C0F4D">
            <w:pPr>
              <w:keepNext/>
              <w:pBdr>
                <w:bottom w:val="single" w:sz="4" w:space="0" w:color="auto"/>
              </w:pBdr>
              <w:autoSpaceDE w:val="0"/>
              <w:autoSpaceDN w:val="0"/>
              <w:adjustRightInd w:val="0"/>
              <w:ind w:left="-107"/>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88" w:type="pct"/>
          </w:tcPr>
          <w:p w:rsidR="009A448F" w:rsidRPr="00D64781" w:rsidRDefault="009A448F" w:rsidP="000C0F4D">
            <w:pPr>
              <w:keepNext/>
              <w:pBdr>
                <w:bottom w:val="single" w:sz="4" w:space="0" w:color="auto"/>
              </w:pBdr>
              <w:autoSpaceDE w:val="0"/>
              <w:autoSpaceDN w:val="0"/>
              <w:adjustRightInd w:val="0"/>
              <w:ind w:left="-109"/>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514" w:type="pct"/>
            <w:tcBorders>
              <w:right w:val="single" w:sz="4" w:space="0" w:color="auto"/>
            </w:tcBorders>
          </w:tcPr>
          <w:p w:rsidR="009A448F" w:rsidRPr="00D64781" w:rsidRDefault="009A448F" w:rsidP="000C0F4D">
            <w:pPr>
              <w:keepNext/>
              <w:pBdr>
                <w:bottom w:val="single" w:sz="4" w:space="0" w:color="auto"/>
              </w:pBdr>
              <w:autoSpaceDE w:val="0"/>
              <w:autoSpaceDN w:val="0"/>
              <w:adjustRightInd w:val="0"/>
              <w:ind w:left="-155"/>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450" w:type="pct"/>
            <w:tcBorders>
              <w:left w:val="single" w:sz="4" w:space="0" w:color="auto"/>
            </w:tcBorders>
          </w:tcPr>
          <w:p w:rsidR="000C3978" w:rsidRPr="00D64781" w:rsidRDefault="000C3978" w:rsidP="000C3978">
            <w:pPr>
              <w:keepNext/>
              <w:pBdr>
                <w:bottom w:val="single" w:sz="4" w:space="1" w:color="auto"/>
              </w:pBdr>
              <w:autoSpaceDE w:val="0"/>
              <w:autoSpaceDN w:val="0"/>
              <w:adjustRightInd w:val="0"/>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85" w:type="pct"/>
          </w:tcPr>
          <w:p w:rsidR="009A448F" w:rsidRPr="00D64781" w:rsidRDefault="00B13339" w:rsidP="000C0F4D">
            <w:pPr>
              <w:keepNext/>
              <w:pBdr>
                <w:bottom w:val="single" w:sz="4" w:space="0" w:color="auto"/>
              </w:pBdr>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522.5</w:t>
            </w:r>
          </w:p>
        </w:tc>
        <w:tc>
          <w:tcPr>
            <w:tcW w:w="449" w:type="pct"/>
            <w:tcBorders>
              <w:right w:val="single" w:sz="4" w:space="0" w:color="auto"/>
            </w:tcBorders>
          </w:tcPr>
          <w:p w:rsidR="009A448F" w:rsidRPr="00D64781" w:rsidRDefault="00B13339" w:rsidP="002162AA">
            <w:pPr>
              <w:keepNext/>
              <w:pBdr>
                <w:bottom w:val="single" w:sz="4" w:space="0" w:color="auto"/>
              </w:pBdr>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428" w:type="pct"/>
            <w:tcBorders>
              <w:left w:val="single" w:sz="4" w:space="0" w:color="auto"/>
            </w:tcBorders>
          </w:tcPr>
          <w:p w:rsidR="009A448F" w:rsidRPr="00D64781" w:rsidRDefault="00B13339" w:rsidP="00F14C62">
            <w:pPr>
              <w:keepNext/>
              <w:pBdr>
                <w:bottom w:val="single" w:sz="4" w:space="0" w:color="auto"/>
              </w:pBdr>
              <w:autoSpaceDE w:val="0"/>
              <w:autoSpaceDN w:val="0"/>
              <w:adjustRightInd w:val="0"/>
              <w:ind w:left="-111"/>
              <w:jc w:val="right"/>
              <w:rPr>
                <w:rFonts w:asciiTheme="minorHAnsi" w:hAnsiTheme="minorHAnsi" w:cstheme="minorHAnsi"/>
                <w:color w:val="000000"/>
                <w:sz w:val="18"/>
                <w:szCs w:val="18"/>
              </w:rPr>
            </w:pPr>
            <w:r>
              <w:rPr>
                <w:rFonts w:asciiTheme="minorHAnsi" w:hAnsiTheme="minorHAnsi" w:cstheme="minorHAnsi"/>
                <w:color w:val="000000"/>
                <w:sz w:val="18"/>
                <w:szCs w:val="18"/>
              </w:rPr>
              <w:t>522</w:t>
            </w:r>
            <w:r w:rsidR="00E25F44">
              <w:rPr>
                <w:rFonts w:asciiTheme="minorHAnsi" w:hAnsiTheme="minorHAnsi" w:cstheme="minorHAnsi"/>
                <w:color w:val="000000"/>
                <w:sz w:val="18"/>
                <w:szCs w:val="18"/>
              </w:rPr>
              <w:t>.</w:t>
            </w:r>
            <w:r>
              <w:rPr>
                <w:rFonts w:asciiTheme="minorHAnsi" w:hAnsiTheme="minorHAnsi" w:cstheme="minorHAnsi"/>
                <w:color w:val="000000"/>
                <w:sz w:val="18"/>
                <w:szCs w:val="18"/>
              </w:rPr>
              <w:t>5</w:t>
            </w:r>
          </w:p>
        </w:tc>
      </w:tr>
      <w:tr w:rsidR="00D64781" w:rsidRPr="00D64781" w:rsidTr="002A4AAD">
        <w:trPr>
          <w:trHeight w:val="247"/>
        </w:trPr>
        <w:tc>
          <w:tcPr>
            <w:tcW w:w="1290" w:type="pct"/>
            <w:tcBorders>
              <w:right w:val="single" w:sz="4" w:space="0" w:color="auto"/>
            </w:tcBorders>
            <w:shd w:val="solid" w:color="FFFFFF" w:fill="auto"/>
          </w:tcPr>
          <w:p w:rsidR="009A448F" w:rsidRPr="00D64781" w:rsidRDefault="009A448F" w:rsidP="000C0F4D">
            <w:pPr>
              <w:keepNext/>
              <w:autoSpaceDE w:val="0"/>
              <w:autoSpaceDN w:val="0"/>
              <w:adjustRightInd w:val="0"/>
              <w:rPr>
                <w:rFonts w:asciiTheme="minorHAnsi" w:hAnsiTheme="minorHAnsi" w:cstheme="minorHAnsi"/>
                <w:color w:val="000000"/>
                <w:sz w:val="18"/>
                <w:szCs w:val="18"/>
              </w:rPr>
            </w:pPr>
            <w:r w:rsidRPr="00D64781">
              <w:rPr>
                <w:rFonts w:asciiTheme="minorHAnsi" w:hAnsiTheme="minorHAnsi" w:cstheme="minorHAnsi"/>
                <w:color w:val="000000"/>
                <w:sz w:val="18"/>
                <w:szCs w:val="18"/>
              </w:rPr>
              <w:t>Total other comprehensive income</w:t>
            </w:r>
          </w:p>
        </w:tc>
        <w:tc>
          <w:tcPr>
            <w:tcW w:w="388" w:type="pct"/>
            <w:tcBorders>
              <w:left w:val="single" w:sz="4" w:space="0" w:color="auto"/>
            </w:tcBorders>
          </w:tcPr>
          <w:p w:rsidR="009A448F" w:rsidRPr="00D64781" w:rsidRDefault="009A448F" w:rsidP="000C0F4D">
            <w:pPr>
              <w:keepNext/>
              <w:pBdr>
                <w:bottom w:val="single" w:sz="4" w:space="0" w:color="auto"/>
              </w:pBdr>
              <w:autoSpaceDE w:val="0"/>
              <w:autoSpaceDN w:val="0"/>
              <w:adjustRightInd w:val="0"/>
              <w:ind w:left="-109"/>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29" w:type="pct"/>
            <w:tcBorders>
              <w:left w:val="single" w:sz="4" w:space="0" w:color="auto"/>
            </w:tcBorders>
          </w:tcPr>
          <w:p w:rsidR="009A448F" w:rsidRPr="00D64781" w:rsidRDefault="009A448F" w:rsidP="000C0F4D">
            <w:pPr>
              <w:keepNext/>
              <w:pBdr>
                <w:bottom w:val="single" w:sz="4" w:space="0" w:color="auto"/>
              </w:pBdr>
              <w:autoSpaceDE w:val="0"/>
              <w:autoSpaceDN w:val="0"/>
              <w:adjustRightInd w:val="0"/>
              <w:ind w:left="-109"/>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79" w:type="pct"/>
          </w:tcPr>
          <w:p w:rsidR="009A448F" w:rsidRPr="00D64781" w:rsidRDefault="009A448F" w:rsidP="000C0F4D">
            <w:pPr>
              <w:keepNext/>
              <w:pBdr>
                <w:bottom w:val="single" w:sz="4" w:space="0" w:color="auto"/>
              </w:pBdr>
              <w:autoSpaceDE w:val="0"/>
              <w:autoSpaceDN w:val="0"/>
              <w:adjustRightInd w:val="0"/>
              <w:ind w:left="-107"/>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88" w:type="pct"/>
          </w:tcPr>
          <w:p w:rsidR="009A448F" w:rsidRPr="00D64781" w:rsidRDefault="00B13339" w:rsidP="008B058C">
            <w:pPr>
              <w:keepNext/>
              <w:pBdr>
                <w:bottom w:val="single" w:sz="4" w:space="0" w:color="auto"/>
              </w:pBdr>
              <w:autoSpaceDE w:val="0"/>
              <w:autoSpaceDN w:val="0"/>
              <w:adjustRightInd w:val="0"/>
              <w:ind w:left="-109"/>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514" w:type="pct"/>
            <w:tcBorders>
              <w:right w:val="single" w:sz="4" w:space="0" w:color="auto"/>
            </w:tcBorders>
          </w:tcPr>
          <w:p w:rsidR="009A448F" w:rsidRPr="00D64781" w:rsidRDefault="009A448F" w:rsidP="000C0F4D">
            <w:pPr>
              <w:keepNext/>
              <w:pBdr>
                <w:bottom w:val="single" w:sz="4" w:space="0" w:color="auto"/>
              </w:pBdr>
              <w:autoSpaceDE w:val="0"/>
              <w:autoSpaceDN w:val="0"/>
              <w:adjustRightInd w:val="0"/>
              <w:ind w:left="-155"/>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450" w:type="pct"/>
            <w:tcBorders>
              <w:left w:val="single" w:sz="4" w:space="0" w:color="auto"/>
            </w:tcBorders>
          </w:tcPr>
          <w:p w:rsidR="009A448F" w:rsidRPr="00D64781" w:rsidRDefault="000C3978" w:rsidP="00EA1564">
            <w:pPr>
              <w:keepNext/>
              <w:pBdr>
                <w:bottom w:val="single" w:sz="4" w:space="0" w:color="auto"/>
              </w:pBdr>
              <w:autoSpaceDE w:val="0"/>
              <w:autoSpaceDN w:val="0"/>
              <w:adjustRightInd w:val="0"/>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85" w:type="pct"/>
          </w:tcPr>
          <w:p w:rsidR="009A448F" w:rsidRPr="00D64781" w:rsidRDefault="00B13339" w:rsidP="00F76B40">
            <w:pPr>
              <w:keepNext/>
              <w:pBdr>
                <w:bottom w:val="single" w:sz="4" w:space="0" w:color="auto"/>
              </w:pBdr>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522.5</w:t>
            </w:r>
          </w:p>
        </w:tc>
        <w:tc>
          <w:tcPr>
            <w:tcW w:w="449" w:type="pct"/>
            <w:tcBorders>
              <w:right w:val="single" w:sz="4" w:space="0" w:color="auto"/>
            </w:tcBorders>
          </w:tcPr>
          <w:p w:rsidR="009A448F" w:rsidRPr="00D64781" w:rsidRDefault="00B13339" w:rsidP="00F14C62">
            <w:pPr>
              <w:keepNext/>
              <w:pBdr>
                <w:bottom w:val="single" w:sz="4" w:space="0" w:color="auto"/>
              </w:pBdr>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428" w:type="pct"/>
            <w:tcBorders>
              <w:left w:val="single" w:sz="4" w:space="0" w:color="auto"/>
            </w:tcBorders>
          </w:tcPr>
          <w:p w:rsidR="009A448F" w:rsidRPr="00D64781" w:rsidRDefault="00B13339" w:rsidP="002A4AAD">
            <w:pPr>
              <w:keepNext/>
              <w:pBdr>
                <w:bottom w:val="single" w:sz="4" w:space="0" w:color="auto"/>
              </w:pBdr>
              <w:autoSpaceDE w:val="0"/>
              <w:autoSpaceDN w:val="0"/>
              <w:adjustRightInd w:val="0"/>
              <w:ind w:left="-111"/>
              <w:jc w:val="right"/>
              <w:rPr>
                <w:rFonts w:asciiTheme="minorHAnsi" w:hAnsiTheme="minorHAnsi" w:cstheme="minorHAnsi"/>
                <w:color w:val="000000"/>
                <w:sz w:val="18"/>
                <w:szCs w:val="18"/>
              </w:rPr>
            </w:pPr>
            <w:r>
              <w:rPr>
                <w:rFonts w:asciiTheme="minorHAnsi" w:hAnsiTheme="minorHAnsi" w:cstheme="minorHAnsi"/>
                <w:color w:val="000000"/>
                <w:sz w:val="18"/>
                <w:szCs w:val="18"/>
              </w:rPr>
              <w:t>522.5</w:t>
            </w:r>
          </w:p>
        </w:tc>
      </w:tr>
      <w:tr w:rsidR="00D64781" w:rsidRPr="00D64781" w:rsidTr="002A4AAD">
        <w:trPr>
          <w:trHeight w:val="247"/>
        </w:trPr>
        <w:tc>
          <w:tcPr>
            <w:tcW w:w="1290" w:type="pct"/>
            <w:tcBorders>
              <w:right w:val="single" w:sz="4" w:space="0" w:color="auto"/>
            </w:tcBorders>
            <w:shd w:val="solid" w:color="FFFFFF" w:fill="auto"/>
          </w:tcPr>
          <w:p w:rsidR="009A448F" w:rsidRPr="00D64781" w:rsidRDefault="009A448F" w:rsidP="000C0F4D">
            <w:pPr>
              <w:keepNext/>
              <w:autoSpaceDE w:val="0"/>
              <w:autoSpaceDN w:val="0"/>
              <w:adjustRightInd w:val="0"/>
              <w:rPr>
                <w:rFonts w:asciiTheme="minorHAnsi" w:hAnsiTheme="minorHAnsi" w:cstheme="minorHAnsi"/>
                <w:color w:val="000000"/>
                <w:sz w:val="18"/>
                <w:szCs w:val="18"/>
              </w:rPr>
            </w:pPr>
            <w:r w:rsidRPr="00D64781">
              <w:rPr>
                <w:rFonts w:asciiTheme="minorHAnsi" w:hAnsiTheme="minorHAnsi" w:cstheme="minorHAnsi"/>
                <w:color w:val="000000"/>
                <w:sz w:val="18"/>
                <w:szCs w:val="18"/>
              </w:rPr>
              <w:t>Total comprehensive income</w:t>
            </w:r>
          </w:p>
        </w:tc>
        <w:tc>
          <w:tcPr>
            <w:tcW w:w="388" w:type="pct"/>
            <w:tcBorders>
              <w:left w:val="single" w:sz="4" w:space="0" w:color="auto"/>
              <w:bottom w:val="single" w:sz="4" w:space="0" w:color="auto"/>
            </w:tcBorders>
          </w:tcPr>
          <w:p w:rsidR="009A448F" w:rsidRPr="00D64781" w:rsidRDefault="009A448F" w:rsidP="000C0F4D">
            <w:pPr>
              <w:keepNext/>
              <w:autoSpaceDE w:val="0"/>
              <w:autoSpaceDN w:val="0"/>
              <w:adjustRightInd w:val="0"/>
              <w:ind w:left="-109"/>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29" w:type="pct"/>
            <w:tcBorders>
              <w:left w:val="single" w:sz="4" w:space="0" w:color="auto"/>
              <w:bottom w:val="single" w:sz="4" w:space="0" w:color="auto"/>
            </w:tcBorders>
          </w:tcPr>
          <w:p w:rsidR="009A448F" w:rsidRPr="00D64781" w:rsidRDefault="009A448F" w:rsidP="000C0F4D">
            <w:pPr>
              <w:keepNext/>
              <w:autoSpaceDE w:val="0"/>
              <w:autoSpaceDN w:val="0"/>
              <w:adjustRightInd w:val="0"/>
              <w:ind w:left="-109"/>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79" w:type="pct"/>
            <w:tcBorders>
              <w:bottom w:val="single" w:sz="4" w:space="0" w:color="auto"/>
            </w:tcBorders>
          </w:tcPr>
          <w:p w:rsidR="009A448F" w:rsidRPr="00D64781" w:rsidRDefault="009A448F" w:rsidP="000C0F4D">
            <w:pPr>
              <w:keepNext/>
              <w:autoSpaceDE w:val="0"/>
              <w:autoSpaceDN w:val="0"/>
              <w:adjustRightInd w:val="0"/>
              <w:ind w:left="-107"/>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88" w:type="pct"/>
            <w:tcBorders>
              <w:bottom w:val="single" w:sz="4" w:space="0" w:color="auto"/>
            </w:tcBorders>
          </w:tcPr>
          <w:p w:rsidR="009A448F" w:rsidRPr="00D64781" w:rsidRDefault="00007070" w:rsidP="002A4AAD">
            <w:pPr>
              <w:keepNext/>
              <w:autoSpaceDE w:val="0"/>
              <w:autoSpaceDN w:val="0"/>
              <w:adjustRightInd w:val="0"/>
              <w:ind w:left="-109"/>
              <w:jc w:val="right"/>
              <w:rPr>
                <w:rFonts w:asciiTheme="minorHAnsi" w:hAnsiTheme="minorHAnsi" w:cstheme="minorHAnsi"/>
                <w:color w:val="000000"/>
                <w:sz w:val="18"/>
                <w:szCs w:val="18"/>
              </w:rPr>
            </w:pPr>
            <w:r>
              <w:rPr>
                <w:rFonts w:asciiTheme="minorHAnsi" w:hAnsiTheme="minorHAnsi" w:cstheme="minorHAnsi"/>
                <w:color w:val="000000"/>
                <w:sz w:val="18"/>
                <w:szCs w:val="18"/>
              </w:rPr>
              <w:t>1,</w:t>
            </w:r>
            <w:r w:rsidR="00B13339">
              <w:rPr>
                <w:rFonts w:asciiTheme="minorHAnsi" w:hAnsiTheme="minorHAnsi" w:cstheme="minorHAnsi"/>
                <w:color w:val="000000"/>
                <w:sz w:val="18"/>
                <w:szCs w:val="18"/>
              </w:rPr>
              <w:t>315</w:t>
            </w:r>
            <w:r>
              <w:rPr>
                <w:rFonts w:asciiTheme="minorHAnsi" w:hAnsiTheme="minorHAnsi" w:cstheme="minorHAnsi"/>
                <w:color w:val="000000"/>
                <w:sz w:val="18"/>
                <w:szCs w:val="18"/>
              </w:rPr>
              <w:t>.</w:t>
            </w:r>
            <w:r w:rsidR="00B13339">
              <w:rPr>
                <w:rFonts w:asciiTheme="minorHAnsi" w:hAnsiTheme="minorHAnsi" w:cstheme="minorHAnsi"/>
                <w:color w:val="000000"/>
                <w:sz w:val="18"/>
                <w:szCs w:val="18"/>
              </w:rPr>
              <w:t>9</w:t>
            </w:r>
          </w:p>
        </w:tc>
        <w:tc>
          <w:tcPr>
            <w:tcW w:w="514" w:type="pct"/>
            <w:tcBorders>
              <w:bottom w:val="single" w:sz="4" w:space="0" w:color="auto"/>
              <w:right w:val="single" w:sz="4" w:space="0" w:color="auto"/>
            </w:tcBorders>
          </w:tcPr>
          <w:p w:rsidR="009A448F" w:rsidRPr="00D64781" w:rsidRDefault="009A448F" w:rsidP="000C0F4D">
            <w:pPr>
              <w:keepNext/>
              <w:autoSpaceDE w:val="0"/>
              <w:autoSpaceDN w:val="0"/>
              <w:adjustRightInd w:val="0"/>
              <w:ind w:left="-155"/>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450" w:type="pct"/>
            <w:tcBorders>
              <w:left w:val="single" w:sz="4" w:space="0" w:color="auto"/>
              <w:bottom w:val="single" w:sz="4" w:space="0" w:color="auto"/>
            </w:tcBorders>
          </w:tcPr>
          <w:p w:rsidR="009A448F" w:rsidRPr="00D64781" w:rsidRDefault="000C3978" w:rsidP="00EA1564">
            <w:pPr>
              <w:keepNext/>
              <w:autoSpaceDE w:val="0"/>
              <w:autoSpaceDN w:val="0"/>
              <w:adjustRightInd w:val="0"/>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85" w:type="pct"/>
            <w:tcBorders>
              <w:bottom w:val="single" w:sz="4" w:space="0" w:color="auto"/>
            </w:tcBorders>
          </w:tcPr>
          <w:p w:rsidR="009A448F" w:rsidRPr="00D64781" w:rsidRDefault="00B13339" w:rsidP="002A4AAD">
            <w:pPr>
              <w:keepNext/>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522.5</w:t>
            </w:r>
          </w:p>
        </w:tc>
        <w:tc>
          <w:tcPr>
            <w:tcW w:w="449" w:type="pct"/>
            <w:tcBorders>
              <w:bottom w:val="single" w:sz="4" w:space="0" w:color="auto"/>
              <w:right w:val="single" w:sz="4" w:space="0" w:color="auto"/>
            </w:tcBorders>
          </w:tcPr>
          <w:p w:rsidR="009A448F" w:rsidRPr="00D64781" w:rsidRDefault="00B13339" w:rsidP="00F14C62">
            <w:pPr>
              <w:keepNext/>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428" w:type="pct"/>
            <w:tcBorders>
              <w:left w:val="single" w:sz="4" w:space="0" w:color="auto"/>
              <w:bottom w:val="single" w:sz="4" w:space="0" w:color="auto"/>
            </w:tcBorders>
          </w:tcPr>
          <w:p w:rsidR="009A448F" w:rsidRPr="00D64781" w:rsidRDefault="00B13339" w:rsidP="002A4AAD">
            <w:pPr>
              <w:keepNext/>
              <w:autoSpaceDE w:val="0"/>
              <w:autoSpaceDN w:val="0"/>
              <w:adjustRightInd w:val="0"/>
              <w:ind w:left="-111"/>
              <w:jc w:val="right"/>
              <w:rPr>
                <w:rFonts w:asciiTheme="minorHAnsi" w:hAnsiTheme="minorHAnsi" w:cstheme="minorHAnsi"/>
                <w:color w:val="000000"/>
                <w:sz w:val="18"/>
                <w:szCs w:val="18"/>
              </w:rPr>
            </w:pPr>
            <w:r>
              <w:rPr>
                <w:rFonts w:asciiTheme="minorHAnsi" w:hAnsiTheme="minorHAnsi" w:cstheme="minorHAnsi"/>
                <w:color w:val="000000"/>
                <w:sz w:val="18"/>
                <w:szCs w:val="18"/>
              </w:rPr>
              <w:t>1,838.4</w:t>
            </w:r>
          </w:p>
        </w:tc>
      </w:tr>
      <w:tr w:rsidR="00D64781" w:rsidRPr="00D64781" w:rsidTr="002A4AAD">
        <w:trPr>
          <w:trHeight w:val="247"/>
        </w:trPr>
        <w:tc>
          <w:tcPr>
            <w:tcW w:w="1290" w:type="pct"/>
            <w:tcBorders>
              <w:right w:val="single" w:sz="4" w:space="0" w:color="auto"/>
            </w:tcBorders>
            <w:shd w:val="solid" w:color="FFFFFF" w:fill="auto"/>
          </w:tcPr>
          <w:p w:rsidR="009A448F" w:rsidRPr="00D64781" w:rsidRDefault="009A448F" w:rsidP="000C0F4D">
            <w:pPr>
              <w:keepNext/>
              <w:autoSpaceDE w:val="0"/>
              <w:autoSpaceDN w:val="0"/>
              <w:adjustRightInd w:val="0"/>
              <w:rPr>
                <w:rFonts w:asciiTheme="minorHAnsi" w:hAnsiTheme="minorHAnsi" w:cstheme="minorHAnsi"/>
                <w:color w:val="000000"/>
                <w:sz w:val="18"/>
                <w:szCs w:val="18"/>
              </w:rPr>
            </w:pPr>
            <w:r w:rsidRPr="00D64781">
              <w:rPr>
                <w:rFonts w:asciiTheme="minorHAnsi" w:hAnsiTheme="minorHAnsi" w:cstheme="minorHAnsi"/>
                <w:i/>
                <w:color w:val="000000"/>
                <w:sz w:val="18"/>
                <w:szCs w:val="18"/>
              </w:rPr>
              <w:t>Transactions with owners of the Company recognised directly in equity</w:t>
            </w:r>
          </w:p>
        </w:tc>
        <w:tc>
          <w:tcPr>
            <w:tcW w:w="388" w:type="pct"/>
            <w:tcBorders>
              <w:top w:val="single" w:sz="4" w:space="0" w:color="auto"/>
              <w:left w:val="single" w:sz="4" w:space="0" w:color="auto"/>
              <w:right w:val="single" w:sz="4" w:space="0" w:color="auto"/>
            </w:tcBorders>
            <w:shd w:val="solid" w:color="FFFFFF" w:fill="auto"/>
          </w:tcPr>
          <w:p w:rsidR="009A448F" w:rsidRPr="00D64781" w:rsidRDefault="009A448F" w:rsidP="000C0F4D">
            <w:pPr>
              <w:keepNext/>
              <w:autoSpaceDE w:val="0"/>
              <w:autoSpaceDN w:val="0"/>
              <w:adjustRightInd w:val="0"/>
              <w:ind w:left="-109"/>
              <w:jc w:val="right"/>
              <w:rPr>
                <w:rFonts w:asciiTheme="minorHAnsi" w:hAnsiTheme="minorHAnsi" w:cstheme="minorHAnsi"/>
                <w:color w:val="000000"/>
                <w:sz w:val="18"/>
                <w:szCs w:val="18"/>
              </w:rPr>
            </w:pPr>
          </w:p>
        </w:tc>
        <w:tc>
          <w:tcPr>
            <w:tcW w:w="329" w:type="pct"/>
            <w:tcBorders>
              <w:top w:val="single" w:sz="4" w:space="0" w:color="auto"/>
              <w:left w:val="single" w:sz="4" w:space="0" w:color="auto"/>
            </w:tcBorders>
            <w:shd w:val="solid" w:color="FFFFFF" w:fill="auto"/>
          </w:tcPr>
          <w:p w:rsidR="009A448F" w:rsidRPr="00D64781" w:rsidRDefault="009A448F" w:rsidP="000C0F4D">
            <w:pPr>
              <w:keepNext/>
              <w:autoSpaceDE w:val="0"/>
              <w:autoSpaceDN w:val="0"/>
              <w:adjustRightInd w:val="0"/>
              <w:ind w:left="-109"/>
              <w:jc w:val="right"/>
              <w:rPr>
                <w:rFonts w:asciiTheme="minorHAnsi" w:hAnsiTheme="minorHAnsi" w:cstheme="minorHAnsi"/>
                <w:color w:val="000000"/>
                <w:sz w:val="18"/>
                <w:szCs w:val="18"/>
              </w:rPr>
            </w:pPr>
          </w:p>
        </w:tc>
        <w:tc>
          <w:tcPr>
            <w:tcW w:w="379" w:type="pct"/>
            <w:tcBorders>
              <w:top w:val="single" w:sz="4" w:space="0" w:color="auto"/>
            </w:tcBorders>
            <w:shd w:val="solid" w:color="FFFFFF" w:fill="auto"/>
          </w:tcPr>
          <w:p w:rsidR="009A448F" w:rsidRPr="00D64781" w:rsidRDefault="009A448F" w:rsidP="000C0F4D">
            <w:pPr>
              <w:keepNext/>
              <w:autoSpaceDE w:val="0"/>
              <w:autoSpaceDN w:val="0"/>
              <w:adjustRightInd w:val="0"/>
              <w:ind w:left="-107"/>
              <w:jc w:val="right"/>
              <w:rPr>
                <w:rFonts w:asciiTheme="minorHAnsi" w:hAnsiTheme="minorHAnsi" w:cstheme="minorHAnsi"/>
                <w:color w:val="000000"/>
                <w:sz w:val="18"/>
                <w:szCs w:val="18"/>
              </w:rPr>
            </w:pPr>
          </w:p>
        </w:tc>
        <w:tc>
          <w:tcPr>
            <w:tcW w:w="388" w:type="pct"/>
            <w:tcBorders>
              <w:top w:val="single" w:sz="4" w:space="0" w:color="auto"/>
            </w:tcBorders>
          </w:tcPr>
          <w:p w:rsidR="009A448F" w:rsidRPr="00D64781" w:rsidRDefault="009A448F" w:rsidP="000C0F4D">
            <w:pPr>
              <w:keepNext/>
              <w:autoSpaceDE w:val="0"/>
              <w:autoSpaceDN w:val="0"/>
              <w:adjustRightInd w:val="0"/>
              <w:ind w:left="-109"/>
              <w:jc w:val="right"/>
              <w:rPr>
                <w:rFonts w:asciiTheme="minorHAnsi" w:hAnsiTheme="minorHAnsi" w:cstheme="minorHAnsi"/>
                <w:color w:val="000000"/>
                <w:sz w:val="18"/>
                <w:szCs w:val="18"/>
              </w:rPr>
            </w:pPr>
          </w:p>
        </w:tc>
        <w:tc>
          <w:tcPr>
            <w:tcW w:w="514" w:type="pct"/>
            <w:tcBorders>
              <w:top w:val="single" w:sz="4" w:space="0" w:color="auto"/>
              <w:right w:val="single" w:sz="4" w:space="0" w:color="auto"/>
            </w:tcBorders>
          </w:tcPr>
          <w:p w:rsidR="009A448F" w:rsidRPr="00D64781" w:rsidRDefault="009A448F" w:rsidP="000C0F4D">
            <w:pPr>
              <w:keepNext/>
              <w:autoSpaceDE w:val="0"/>
              <w:autoSpaceDN w:val="0"/>
              <w:adjustRightInd w:val="0"/>
              <w:ind w:left="-155"/>
              <w:jc w:val="right"/>
              <w:rPr>
                <w:rFonts w:asciiTheme="minorHAnsi" w:hAnsiTheme="minorHAnsi" w:cstheme="minorHAnsi"/>
                <w:color w:val="000000"/>
                <w:sz w:val="18"/>
                <w:szCs w:val="18"/>
              </w:rPr>
            </w:pPr>
          </w:p>
        </w:tc>
        <w:tc>
          <w:tcPr>
            <w:tcW w:w="450" w:type="pct"/>
            <w:tcBorders>
              <w:top w:val="single" w:sz="4" w:space="0" w:color="auto"/>
              <w:left w:val="single" w:sz="4" w:space="0" w:color="auto"/>
            </w:tcBorders>
          </w:tcPr>
          <w:p w:rsidR="009A448F" w:rsidRPr="00D64781" w:rsidRDefault="009A448F" w:rsidP="000C0F4D">
            <w:pPr>
              <w:keepNext/>
              <w:autoSpaceDE w:val="0"/>
              <w:autoSpaceDN w:val="0"/>
              <w:adjustRightInd w:val="0"/>
              <w:jc w:val="right"/>
              <w:rPr>
                <w:rFonts w:asciiTheme="minorHAnsi" w:hAnsiTheme="minorHAnsi" w:cstheme="minorHAnsi"/>
                <w:color w:val="000000"/>
                <w:sz w:val="18"/>
                <w:szCs w:val="18"/>
              </w:rPr>
            </w:pPr>
          </w:p>
        </w:tc>
        <w:tc>
          <w:tcPr>
            <w:tcW w:w="385" w:type="pct"/>
            <w:tcBorders>
              <w:top w:val="single" w:sz="4" w:space="0" w:color="auto"/>
            </w:tcBorders>
          </w:tcPr>
          <w:p w:rsidR="009A448F" w:rsidRPr="00D64781" w:rsidRDefault="009A448F" w:rsidP="000C0F4D">
            <w:pPr>
              <w:keepNext/>
              <w:autoSpaceDE w:val="0"/>
              <w:autoSpaceDN w:val="0"/>
              <w:adjustRightInd w:val="0"/>
              <w:jc w:val="right"/>
              <w:rPr>
                <w:rFonts w:asciiTheme="minorHAnsi" w:hAnsiTheme="minorHAnsi" w:cstheme="minorHAnsi"/>
                <w:color w:val="000000"/>
                <w:sz w:val="18"/>
                <w:szCs w:val="18"/>
              </w:rPr>
            </w:pPr>
          </w:p>
        </w:tc>
        <w:tc>
          <w:tcPr>
            <w:tcW w:w="449" w:type="pct"/>
            <w:tcBorders>
              <w:top w:val="single" w:sz="4" w:space="0" w:color="auto"/>
              <w:right w:val="single" w:sz="4" w:space="0" w:color="auto"/>
            </w:tcBorders>
            <w:shd w:val="solid" w:color="FFFFFF" w:fill="auto"/>
          </w:tcPr>
          <w:p w:rsidR="009A448F" w:rsidRPr="00D64781" w:rsidRDefault="009A448F" w:rsidP="000C0F4D">
            <w:pPr>
              <w:keepNext/>
              <w:autoSpaceDE w:val="0"/>
              <w:autoSpaceDN w:val="0"/>
              <w:adjustRightInd w:val="0"/>
              <w:jc w:val="right"/>
              <w:rPr>
                <w:rFonts w:asciiTheme="minorHAnsi" w:hAnsiTheme="minorHAnsi" w:cstheme="minorHAnsi"/>
                <w:color w:val="000000"/>
                <w:sz w:val="18"/>
                <w:szCs w:val="18"/>
              </w:rPr>
            </w:pPr>
          </w:p>
        </w:tc>
        <w:tc>
          <w:tcPr>
            <w:tcW w:w="428" w:type="pct"/>
            <w:tcBorders>
              <w:top w:val="single" w:sz="4" w:space="0" w:color="auto"/>
              <w:left w:val="single" w:sz="4" w:space="0" w:color="auto"/>
            </w:tcBorders>
          </w:tcPr>
          <w:p w:rsidR="009A448F" w:rsidRPr="00D64781" w:rsidRDefault="009A448F" w:rsidP="000C0F4D">
            <w:pPr>
              <w:keepNext/>
              <w:autoSpaceDE w:val="0"/>
              <w:autoSpaceDN w:val="0"/>
              <w:adjustRightInd w:val="0"/>
              <w:ind w:left="-111"/>
              <w:jc w:val="right"/>
              <w:rPr>
                <w:rFonts w:asciiTheme="minorHAnsi" w:hAnsiTheme="minorHAnsi" w:cstheme="minorHAnsi"/>
                <w:color w:val="000000"/>
                <w:sz w:val="18"/>
                <w:szCs w:val="18"/>
              </w:rPr>
            </w:pPr>
          </w:p>
        </w:tc>
      </w:tr>
      <w:tr w:rsidR="00D64781" w:rsidRPr="00D64781" w:rsidTr="002A4AAD">
        <w:trPr>
          <w:trHeight w:val="247"/>
        </w:trPr>
        <w:tc>
          <w:tcPr>
            <w:tcW w:w="1290" w:type="pct"/>
            <w:tcBorders>
              <w:right w:val="single" w:sz="4" w:space="0" w:color="auto"/>
            </w:tcBorders>
            <w:shd w:val="solid" w:color="FFFFFF" w:fill="auto"/>
          </w:tcPr>
          <w:p w:rsidR="009A448F" w:rsidRPr="00D64781" w:rsidRDefault="009A448F" w:rsidP="00EA1564">
            <w:pPr>
              <w:keepNext/>
              <w:autoSpaceDE w:val="0"/>
              <w:autoSpaceDN w:val="0"/>
              <w:adjustRightInd w:val="0"/>
              <w:rPr>
                <w:rFonts w:asciiTheme="minorHAnsi" w:hAnsiTheme="minorHAnsi" w:cstheme="minorHAnsi"/>
                <w:color w:val="000000"/>
                <w:sz w:val="18"/>
                <w:szCs w:val="18"/>
              </w:rPr>
            </w:pPr>
            <w:r w:rsidRPr="00D64781">
              <w:rPr>
                <w:rFonts w:asciiTheme="minorHAnsi" w:hAnsiTheme="minorHAnsi" w:cstheme="minorHAnsi"/>
                <w:color w:val="000000"/>
                <w:sz w:val="18"/>
                <w:szCs w:val="18"/>
              </w:rPr>
              <w:t xml:space="preserve">Share-based payments </w:t>
            </w:r>
          </w:p>
        </w:tc>
        <w:tc>
          <w:tcPr>
            <w:tcW w:w="388" w:type="pct"/>
            <w:tcBorders>
              <w:left w:val="single" w:sz="4" w:space="0" w:color="auto"/>
              <w:right w:val="single" w:sz="4" w:space="0" w:color="auto"/>
            </w:tcBorders>
            <w:shd w:val="solid" w:color="FFFFFF" w:fill="auto"/>
          </w:tcPr>
          <w:p w:rsidR="009A448F" w:rsidRPr="00D64781" w:rsidRDefault="009A448F" w:rsidP="000C0F4D">
            <w:pPr>
              <w:keepNext/>
              <w:autoSpaceDE w:val="0"/>
              <w:autoSpaceDN w:val="0"/>
              <w:adjustRightInd w:val="0"/>
              <w:ind w:left="-109"/>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29" w:type="pct"/>
            <w:tcBorders>
              <w:left w:val="single" w:sz="4" w:space="0" w:color="auto"/>
            </w:tcBorders>
            <w:shd w:val="solid" w:color="FFFFFF" w:fill="auto"/>
          </w:tcPr>
          <w:p w:rsidR="009A448F" w:rsidRPr="00D64781" w:rsidRDefault="009A448F" w:rsidP="000C0F4D">
            <w:pPr>
              <w:keepNext/>
              <w:autoSpaceDE w:val="0"/>
              <w:autoSpaceDN w:val="0"/>
              <w:adjustRightInd w:val="0"/>
              <w:ind w:left="-109"/>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79" w:type="pct"/>
            <w:shd w:val="solid" w:color="FFFFFF" w:fill="auto"/>
          </w:tcPr>
          <w:p w:rsidR="009A448F" w:rsidRPr="00D64781" w:rsidRDefault="009A448F" w:rsidP="000C0F4D">
            <w:pPr>
              <w:keepNext/>
              <w:autoSpaceDE w:val="0"/>
              <w:autoSpaceDN w:val="0"/>
              <w:adjustRightInd w:val="0"/>
              <w:ind w:left="-107"/>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88" w:type="pct"/>
          </w:tcPr>
          <w:p w:rsidR="009A448F" w:rsidRPr="00D64781" w:rsidRDefault="009A448F" w:rsidP="000C0F4D">
            <w:pPr>
              <w:keepNext/>
              <w:autoSpaceDE w:val="0"/>
              <w:autoSpaceDN w:val="0"/>
              <w:adjustRightInd w:val="0"/>
              <w:ind w:left="-109"/>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514" w:type="pct"/>
            <w:tcBorders>
              <w:right w:val="single" w:sz="4" w:space="0" w:color="auto"/>
            </w:tcBorders>
          </w:tcPr>
          <w:p w:rsidR="009A448F" w:rsidRPr="00D64781" w:rsidRDefault="009A448F" w:rsidP="000C0F4D">
            <w:pPr>
              <w:keepNext/>
              <w:autoSpaceDE w:val="0"/>
              <w:autoSpaceDN w:val="0"/>
              <w:adjustRightInd w:val="0"/>
              <w:ind w:left="-155"/>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450" w:type="pct"/>
            <w:tcBorders>
              <w:left w:val="single" w:sz="4" w:space="0" w:color="auto"/>
            </w:tcBorders>
          </w:tcPr>
          <w:p w:rsidR="009A448F" w:rsidRPr="00D64781" w:rsidRDefault="000C3978" w:rsidP="000C0F4D">
            <w:pPr>
              <w:keepNext/>
              <w:autoSpaceDE w:val="0"/>
              <w:autoSpaceDN w:val="0"/>
              <w:adjustRightInd w:val="0"/>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85" w:type="pct"/>
          </w:tcPr>
          <w:p w:rsidR="009A448F" w:rsidRPr="00D64781" w:rsidRDefault="009A448F" w:rsidP="000C0F4D">
            <w:pPr>
              <w:keepNext/>
              <w:autoSpaceDE w:val="0"/>
              <w:autoSpaceDN w:val="0"/>
              <w:adjustRightInd w:val="0"/>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449" w:type="pct"/>
            <w:tcBorders>
              <w:right w:val="single" w:sz="4" w:space="0" w:color="auto"/>
            </w:tcBorders>
            <w:shd w:val="solid" w:color="FFFFFF" w:fill="auto"/>
          </w:tcPr>
          <w:p w:rsidR="009A448F" w:rsidRPr="00D64781" w:rsidRDefault="001A1E94" w:rsidP="00F76B40">
            <w:pPr>
              <w:keepNext/>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5</w:t>
            </w:r>
            <w:r w:rsidR="00007070">
              <w:rPr>
                <w:rFonts w:asciiTheme="minorHAnsi" w:hAnsiTheme="minorHAnsi" w:cstheme="minorHAnsi"/>
                <w:color w:val="000000"/>
                <w:sz w:val="18"/>
                <w:szCs w:val="18"/>
              </w:rPr>
              <w:t>.</w:t>
            </w:r>
            <w:r w:rsidR="00B13339">
              <w:rPr>
                <w:rFonts w:asciiTheme="minorHAnsi" w:hAnsiTheme="minorHAnsi" w:cstheme="minorHAnsi"/>
                <w:color w:val="000000"/>
                <w:sz w:val="18"/>
                <w:szCs w:val="18"/>
              </w:rPr>
              <w:t>7</w:t>
            </w:r>
          </w:p>
        </w:tc>
        <w:tc>
          <w:tcPr>
            <w:tcW w:w="428" w:type="pct"/>
            <w:tcBorders>
              <w:left w:val="single" w:sz="4" w:space="0" w:color="auto"/>
            </w:tcBorders>
          </w:tcPr>
          <w:p w:rsidR="009A448F" w:rsidRPr="00D64781" w:rsidRDefault="001A1E94" w:rsidP="00F76B40">
            <w:pPr>
              <w:keepNext/>
              <w:autoSpaceDE w:val="0"/>
              <w:autoSpaceDN w:val="0"/>
              <w:adjustRightInd w:val="0"/>
              <w:ind w:left="-111"/>
              <w:jc w:val="right"/>
              <w:rPr>
                <w:rFonts w:asciiTheme="minorHAnsi" w:hAnsiTheme="minorHAnsi" w:cstheme="minorHAnsi"/>
                <w:color w:val="000000"/>
                <w:sz w:val="18"/>
                <w:szCs w:val="18"/>
              </w:rPr>
            </w:pPr>
            <w:r>
              <w:rPr>
                <w:rFonts w:asciiTheme="minorHAnsi" w:hAnsiTheme="minorHAnsi" w:cstheme="minorHAnsi"/>
                <w:color w:val="000000"/>
                <w:sz w:val="18"/>
                <w:szCs w:val="18"/>
              </w:rPr>
              <w:t>5</w:t>
            </w:r>
            <w:r w:rsidR="00007070">
              <w:rPr>
                <w:rFonts w:asciiTheme="minorHAnsi" w:hAnsiTheme="minorHAnsi" w:cstheme="minorHAnsi"/>
                <w:color w:val="000000"/>
                <w:sz w:val="18"/>
                <w:szCs w:val="18"/>
              </w:rPr>
              <w:t>.</w:t>
            </w:r>
            <w:r w:rsidR="00B13339">
              <w:rPr>
                <w:rFonts w:asciiTheme="minorHAnsi" w:hAnsiTheme="minorHAnsi" w:cstheme="minorHAnsi"/>
                <w:color w:val="000000"/>
                <w:sz w:val="18"/>
                <w:szCs w:val="18"/>
              </w:rPr>
              <w:t>7</w:t>
            </w:r>
          </w:p>
        </w:tc>
      </w:tr>
      <w:tr w:rsidR="001A1E94" w:rsidRPr="00D64781" w:rsidTr="001A1E94">
        <w:trPr>
          <w:trHeight w:val="247"/>
        </w:trPr>
        <w:tc>
          <w:tcPr>
            <w:tcW w:w="1290" w:type="pct"/>
            <w:tcBorders>
              <w:right w:val="single" w:sz="4" w:space="0" w:color="auto"/>
            </w:tcBorders>
            <w:shd w:val="solid" w:color="FFFFFF" w:fill="auto"/>
          </w:tcPr>
          <w:p w:rsidR="001A1E94" w:rsidRPr="00D64781" w:rsidRDefault="001A1E94" w:rsidP="001A1E94">
            <w:pPr>
              <w:keepNext/>
              <w:autoSpaceDE w:val="0"/>
              <w:autoSpaceDN w:val="0"/>
              <w:adjustRightInd w:val="0"/>
              <w:rPr>
                <w:rFonts w:asciiTheme="minorHAnsi" w:hAnsiTheme="minorHAnsi" w:cstheme="minorHAnsi"/>
                <w:color w:val="000000"/>
                <w:sz w:val="18"/>
                <w:szCs w:val="18"/>
              </w:rPr>
            </w:pPr>
            <w:r>
              <w:rPr>
                <w:rFonts w:asciiTheme="minorHAnsi" w:hAnsiTheme="minorHAnsi" w:cstheme="minorHAnsi"/>
                <w:color w:val="000000"/>
                <w:sz w:val="18"/>
                <w:szCs w:val="18"/>
              </w:rPr>
              <w:t>Repurchase of ordinary equity shares</w:t>
            </w:r>
          </w:p>
        </w:tc>
        <w:tc>
          <w:tcPr>
            <w:tcW w:w="388" w:type="pct"/>
            <w:tcBorders>
              <w:left w:val="single" w:sz="4" w:space="0" w:color="auto"/>
              <w:right w:val="single" w:sz="4" w:space="0" w:color="auto"/>
            </w:tcBorders>
            <w:shd w:val="solid" w:color="FFFFFF" w:fill="auto"/>
          </w:tcPr>
          <w:p w:rsidR="001A1E94" w:rsidRPr="00D64781" w:rsidRDefault="001A1E94" w:rsidP="001A1E94">
            <w:pPr>
              <w:keepNext/>
              <w:autoSpaceDE w:val="0"/>
              <w:autoSpaceDN w:val="0"/>
              <w:adjustRightInd w:val="0"/>
              <w:ind w:left="-109"/>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329" w:type="pct"/>
            <w:tcBorders>
              <w:left w:val="single" w:sz="4" w:space="0" w:color="auto"/>
            </w:tcBorders>
            <w:shd w:val="solid" w:color="FFFFFF" w:fill="auto"/>
          </w:tcPr>
          <w:p w:rsidR="001A1E94" w:rsidRPr="00D64781" w:rsidRDefault="001A1E94" w:rsidP="001A1E94">
            <w:pPr>
              <w:keepNext/>
              <w:autoSpaceDE w:val="0"/>
              <w:autoSpaceDN w:val="0"/>
              <w:adjustRightInd w:val="0"/>
              <w:ind w:left="-109"/>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379" w:type="pct"/>
            <w:shd w:val="solid" w:color="FFFFFF" w:fill="auto"/>
          </w:tcPr>
          <w:p w:rsidR="001A1E94" w:rsidRPr="00D64781" w:rsidRDefault="001A1E94" w:rsidP="001A1E94">
            <w:pPr>
              <w:keepNext/>
              <w:autoSpaceDE w:val="0"/>
              <w:autoSpaceDN w:val="0"/>
              <w:adjustRightInd w:val="0"/>
              <w:ind w:left="-107"/>
              <w:jc w:val="right"/>
              <w:rPr>
                <w:rFonts w:asciiTheme="minorHAnsi" w:hAnsiTheme="minorHAnsi" w:cstheme="minorHAnsi"/>
                <w:color w:val="000000"/>
                <w:sz w:val="18"/>
                <w:szCs w:val="18"/>
              </w:rPr>
            </w:pPr>
          </w:p>
        </w:tc>
        <w:tc>
          <w:tcPr>
            <w:tcW w:w="388" w:type="pct"/>
          </w:tcPr>
          <w:p w:rsidR="001A1E94" w:rsidRDefault="001A1E94" w:rsidP="001A1E94">
            <w:pPr>
              <w:keepNext/>
              <w:autoSpaceDE w:val="0"/>
              <w:autoSpaceDN w:val="0"/>
              <w:adjustRightInd w:val="0"/>
              <w:ind w:left="-109"/>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B13339">
              <w:rPr>
                <w:rFonts w:asciiTheme="minorHAnsi" w:hAnsiTheme="minorHAnsi" w:cstheme="minorHAnsi"/>
                <w:color w:val="000000"/>
                <w:sz w:val="18"/>
                <w:szCs w:val="18"/>
              </w:rPr>
              <w:t>1,017.9</w:t>
            </w:r>
            <w:r>
              <w:rPr>
                <w:rFonts w:asciiTheme="minorHAnsi" w:hAnsiTheme="minorHAnsi" w:cstheme="minorHAnsi"/>
                <w:color w:val="000000"/>
                <w:sz w:val="18"/>
                <w:szCs w:val="18"/>
              </w:rPr>
              <w:t>)</w:t>
            </w:r>
          </w:p>
        </w:tc>
        <w:tc>
          <w:tcPr>
            <w:tcW w:w="514" w:type="pct"/>
            <w:tcBorders>
              <w:right w:val="single" w:sz="4" w:space="0" w:color="auto"/>
            </w:tcBorders>
          </w:tcPr>
          <w:p w:rsidR="001A1E94" w:rsidRPr="00D64781" w:rsidRDefault="001A1E94" w:rsidP="001A1E94">
            <w:pPr>
              <w:keepNext/>
              <w:autoSpaceDE w:val="0"/>
              <w:autoSpaceDN w:val="0"/>
              <w:adjustRightInd w:val="0"/>
              <w:ind w:left="-155"/>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450" w:type="pct"/>
            <w:tcBorders>
              <w:left w:val="single" w:sz="4" w:space="0" w:color="auto"/>
            </w:tcBorders>
          </w:tcPr>
          <w:p w:rsidR="001A1E94" w:rsidRPr="00D64781" w:rsidRDefault="00B13339" w:rsidP="001A1E94">
            <w:pPr>
              <w:keepNext/>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385" w:type="pct"/>
          </w:tcPr>
          <w:p w:rsidR="001A1E94" w:rsidRPr="00D64781" w:rsidRDefault="001A1E94" w:rsidP="001A1E94">
            <w:pPr>
              <w:keepNext/>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449" w:type="pct"/>
            <w:tcBorders>
              <w:right w:val="single" w:sz="4" w:space="0" w:color="auto"/>
            </w:tcBorders>
            <w:shd w:val="solid" w:color="FFFFFF" w:fill="auto"/>
          </w:tcPr>
          <w:p w:rsidR="001A1E94" w:rsidRPr="00D64781" w:rsidRDefault="001A1E94" w:rsidP="001A1E94">
            <w:pPr>
              <w:keepNext/>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428" w:type="pct"/>
            <w:tcBorders>
              <w:left w:val="single" w:sz="4" w:space="0" w:color="auto"/>
            </w:tcBorders>
          </w:tcPr>
          <w:p w:rsidR="001A1E94" w:rsidRPr="00D64781" w:rsidRDefault="001A1E94" w:rsidP="001A1E94">
            <w:pPr>
              <w:keepNext/>
              <w:autoSpaceDE w:val="0"/>
              <w:autoSpaceDN w:val="0"/>
              <w:adjustRightInd w:val="0"/>
              <w:ind w:left="-111"/>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B13339">
              <w:rPr>
                <w:rFonts w:asciiTheme="minorHAnsi" w:hAnsiTheme="minorHAnsi" w:cstheme="minorHAnsi"/>
                <w:color w:val="000000"/>
                <w:sz w:val="18"/>
                <w:szCs w:val="18"/>
              </w:rPr>
              <w:t>1,017</w:t>
            </w:r>
            <w:r>
              <w:rPr>
                <w:rFonts w:asciiTheme="minorHAnsi" w:hAnsiTheme="minorHAnsi" w:cstheme="minorHAnsi"/>
                <w:color w:val="000000"/>
                <w:sz w:val="18"/>
                <w:szCs w:val="18"/>
              </w:rPr>
              <w:t>.</w:t>
            </w:r>
            <w:r w:rsidR="00B13339">
              <w:rPr>
                <w:rFonts w:asciiTheme="minorHAnsi" w:hAnsiTheme="minorHAnsi" w:cstheme="minorHAnsi"/>
                <w:color w:val="000000"/>
                <w:sz w:val="18"/>
                <w:szCs w:val="18"/>
              </w:rPr>
              <w:t>9</w:t>
            </w:r>
            <w:r>
              <w:rPr>
                <w:rFonts w:asciiTheme="minorHAnsi" w:hAnsiTheme="minorHAnsi" w:cstheme="minorHAnsi"/>
                <w:color w:val="000000"/>
                <w:sz w:val="18"/>
                <w:szCs w:val="18"/>
              </w:rPr>
              <w:t>)</w:t>
            </w:r>
          </w:p>
        </w:tc>
      </w:tr>
      <w:tr w:rsidR="001A1E94" w:rsidRPr="00D64781" w:rsidTr="001A1E94">
        <w:trPr>
          <w:trHeight w:val="247"/>
        </w:trPr>
        <w:tc>
          <w:tcPr>
            <w:tcW w:w="1290" w:type="pct"/>
            <w:tcBorders>
              <w:right w:val="single" w:sz="4" w:space="0" w:color="auto"/>
            </w:tcBorders>
            <w:shd w:val="solid" w:color="FFFFFF" w:fill="auto"/>
          </w:tcPr>
          <w:p w:rsidR="001A1E94" w:rsidRPr="00D64781" w:rsidRDefault="001A1E94" w:rsidP="001A1E94">
            <w:pPr>
              <w:keepNext/>
              <w:autoSpaceDE w:val="0"/>
              <w:autoSpaceDN w:val="0"/>
              <w:adjustRightInd w:val="0"/>
              <w:rPr>
                <w:rFonts w:asciiTheme="minorHAnsi" w:hAnsiTheme="minorHAnsi" w:cstheme="minorHAnsi"/>
                <w:color w:val="000000"/>
                <w:sz w:val="18"/>
                <w:szCs w:val="18"/>
              </w:rPr>
            </w:pPr>
            <w:r>
              <w:rPr>
                <w:rFonts w:asciiTheme="minorHAnsi" w:hAnsiTheme="minorHAnsi" w:cstheme="minorHAnsi"/>
                <w:color w:val="000000"/>
                <w:sz w:val="18"/>
                <w:szCs w:val="18"/>
              </w:rPr>
              <w:t>Cancellation of repurchased ordinary shares</w:t>
            </w:r>
          </w:p>
        </w:tc>
        <w:tc>
          <w:tcPr>
            <w:tcW w:w="388" w:type="pct"/>
            <w:tcBorders>
              <w:left w:val="single" w:sz="4" w:space="0" w:color="auto"/>
              <w:right w:val="single" w:sz="4" w:space="0" w:color="auto"/>
            </w:tcBorders>
            <w:shd w:val="solid" w:color="FFFFFF" w:fill="auto"/>
          </w:tcPr>
          <w:p w:rsidR="001A1E94" w:rsidRPr="00D64781" w:rsidRDefault="001A1E94" w:rsidP="001A1E94">
            <w:pPr>
              <w:keepNext/>
              <w:autoSpaceDE w:val="0"/>
              <w:autoSpaceDN w:val="0"/>
              <w:adjustRightInd w:val="0"/>
              <w:ind w:left="-109"/>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B13339">
              <w:rPr>
                <w:rFonts w:asciiTheme="minorHAnsi" w:hAnsiTheme="minorHAnsi" w:cstheme="minorHAnsi"/>
                <w:color w:val="000000"/>
                <w:sz w:val="18"/>
                <w:szCs w:val="18"/>
              </w:rPr>
              <w:t>72</w:t>
            </w:r>
            <w:r>
              <w:rPr>
                <w:rFonts w:asciiTheme="minorHAnsi" w:hAnsiTheme="minorHAnsi" w:cstheme="minorHAnsi"/>
                <w:color w:val="000000"/>
                <w:sz w:val="18"/>
                <w:szCs w:val="18"/>
              </w:rPr>
              <w:t>.</w:t>
            </w:r>
            <w:r w:rsidR="00B13339">
              <w:rPr>
                <w:rFonts w:asciiTheme="minorHAnsi" w:hAnsiTheme="minorHAnsi" w:cstheme="minorHAnsi"/>
                <w:color w:val="000000"/>
                <w:sz w:val="18"/>
                <w:szCs w:val="18"/>
              </w:rPr>
              <w:t>3</w:t>
            </w:r>
            <w:r>
              <w:rPr>
                <w:rFonts w:asciiTheme="minorHAnsi" w:hAnsiTheme="minorHAnsi" w:cstheme="minorHAnsi"/>
                <w:color w:val="000000"/>
                <w:sz w:val="18"/>
                <w:szCs w:val="18"/>
              </w:rPr>
              <w:t>)</w:t>
            </w:r>
          </w:p>
        </w:tc>
        <w:tc>
          <w:tcPr>
            <w:tcW w:w="329" w:type="pct"/>
            <w:tcBorders>
              <w:left w:val="single" w:sz="4" w:space="0" w:color="auto"/>
            </w:tcBorders>
            <w:shd w:val="solid" w:color="FFFFFF" w:fill="auto"/>
          </w:tcPr>
          <w:p w:rsidR="001A1E94" w:rsidRPr="00D64781" w:rsidRDefault="001A1E94" w:rsidP="001A1E94">
            <w:pPr>
              <w:keepNext/>
              <w:autoSpaceDE w:val="0"/>
              <w:autoSpaceDN w:val="0"/>
              <w:adjustRightInd w:val="0"/>
              <w:ind w:left="-109"/>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00B13339">
              <w:rPr>
                <w:rFonts w:asciiTheme="minorHAnsi" w:hAnsiTheme="minorHAnsi" w:cstheme="minorHAnsi"/>
                <w:color w:val="000000"/>
                <w:sz w:val="18"/>
                <w:szCs w:val="18"/>
              </w:rPr>
              <w:t>4</w:t>
            </w:r>
            <w:r>
              <w:rPr>
                <w:rFonts w:asciiTheme="minorHAnsi" w:hAnsiTheme="minorHAnsi" w:cstheme="minorHAnsi"/>
                <w:color w:val="000000"/>
                <w:sz w:val="18"/>
                <w:szCs w:val="18"/>
              </w:rPr>
              <w:t>)</w:t>
            </w:r>
          </w:p>
        </w:tc>
        <w:tc>
          <w:tcPr>
            <w:tcW w:w="379" w:type="pct"/>
            <w:shd w:val="solid" w:color="FFFFFF" w:fill="auto"/>
          </w:tcPr>
          <w:p w:rsidR="001A1E94" w:rsidRPr="00D64781" w:rsidRDefault="001A1E94" w:rsidP="001A1E94">
            <w:pPr>
              <w:keepNext/>
              <w:autoSpaceDE w:val="0"/>
              <w:autoSpaceDN w:val="0"/>
              <w:adjustRightInd w:val="0"/>
              <w:ind w:left="-107"/>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388" w:type="pct"/>
          </w:tcPr>
          <w:p w:rsidR="001A1E94" w:rsidRDefault="001A1E94" w:rsidP="001A1E94">
            <w:pPr>
              <w:keepNext/>
              <w:autoSpaceDE w:val="0"/>
              <w:autoSpaceDN w:val="0"/>
              <w:adjustRightInd w:val="0"/>
              <w:ind w:left="-109"/>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514" w:type="pct"/>
            <w:tcBorders>
              <w:right w:val="single" w:sz="4" w:space="0" w:color="auto"/>
            </w:tcBorders>
          </w:tcPr>
          <w:p w:rsidR="001A1E94" w:rsidRPr="00D64781" w:rsidRDefault="001A1E94" w:rsidP="001A1E94">
            <w:pPr>
              <w:keepNext/>
              <w:autoSpaceDE w:val="0"/>
              <w:autoSpaceDN w:val="0"/>
              <w:adjustRightInd w:val="0"/>
              <w:ind w:left="-155"/>
              <w:jc w:val="right"/>
              <w:rPr>
                <w:rFonts w:asciiTheme="minorHAnsi" w:hAnsiTheme="minorHAnsi" w:cstheme="minorHAnsi"/>
                <w:color w:val="000000"/>
                <w:sz w:val="18"/>
                <w:szCs w:val="18"/>
              </w:rPr>
            </w:pPr>
            <w:r>
              <w:rPr>
                <w:rFonts w:asciiTheme="minorHAnsi" w:hAnsiTheme="minorHAnsi" w:cstheme="minorHAnsi"/>
                <w:color w:val="000000"/>
                <w:sz w:val="18"/>
                <w:szCs w:val="18"/>
              </w:rPr>
              <w:t>0.</w:t>
            </w:r>
            <w:r w:rsidR="00B13339">
              <w:rPr>
                <w:rFonts w:asciiTheme="minorHAnsi" w:hAnsiTheme="minorHAnsi" w:cstheme="minorHAnsi"/>
                <w:color w:val="000000"/>
                <w:sz w:val="18"/>
                <w:szCs w:val="18"/>
              </w:rPr>
              <w:t>4</w:t>
            </w:r>
          </w:p>
        </w:tc>
        <w:tc>
          <w:tcPr>
            <w:tcW w:w="450" w:type="pct"/>
            <w:tcBorders>
              <w:left w:val="single" w:sz="4" w:space="0" w:color="auto"/>
            </w:tcBorders>
          </w:tcPr>
          <w:p w:rsidR="001A1E94" w:rsidRPr="00D64781" w:rsidRDefault="001A1E94" w:rsidP="001A1E94">
            <w:pPr>
              <w:keepNext/>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385" w:type="pct"/>
          </w:tcPr>
          <w:p w:rsidR="001A1E94" w:rsidRPr="00D64781" w:rsidRDefault="001A1E94" w:rsidP="001A1E94">
            <w:pPr>
              <w:keepNext/>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449" w:type="pct"/>
            <w:tcBorders>
              <w:right w:val="single" w:sz="4" w:space="0" w:color="auto"/>
            </w:tcBorders>
            <w:shd w:val="solid" w:color="FFFFFF" w:fill="auto"/>
          </w:tcPr>
          <w:p w:rsidR="001A1E94" w:rsidRPr="00D64781" w:rsidRDefault="001A1E94" w:rsidP="001A1E94">
            <w:pPr>
              <w:keepNext/>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428" w:type="pct"/>
            <w:tcBorders>
              <w:left w:val="single" w:sz="4" w:space="0" w:color="auto"/>
            </w:tcBorders>
          </w:tcPr>
          <w:p w:rsidR="001A1E94" w:rsidRPr="00D64781" w:rsidRDefault="001A1E94" w:rsidP="001A1E94">
            <w:pPr>
              <w:keepNext/>
              <w:autoSpaceDE w:val="0"/>
              <w:autoSpaceDN w:val="0"/>
              <w:adjustRightInd w:val="0"/>
              <w:ind w:left="-111"/>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r>
      <w:tr w:rsidR="00D64781" w:rsidRPr="00D64781" w:rsidTr="002A4AAD">
        <w:trPr>
          <w:trHeight w:val="247"/>
        </w:trPr>
        <w:tc>
          <w:tcPr>
            <w:tcW w:w="1290" w:type="pct"/>
            <w:tcBorders>
              <w:right w:val="single" w:sz="4" w:space="0" w:color="auto"/>
            </w:tcBorders>
            <w:shd w:val="solid" w:color="FFFFFF" w:fill="auto"/>
          </w:tcPr>
          <w:p w:rsidR="009A448F" w:rsidRPr="00D64781" w:rsidRDefault="00B13339" w:rsidP="000C0F4D">
            <w:pPr>
              <w:keepNext/>
              <w:autoSpaceDE w:val="0"/>
              <w:autoSpaceDN w:val="0"/>
              <w:adjustRightInd w:val="0"/>
              <w:rPr>
                <w:rFonts w:asciiTheme="minorHAnsi" w:hAnsiTheme="minorHAnsi" w:cstheme="minorHAnsi"/>
                <w:color w:val="000000"/>
                <w:sz w:val="18"/>
                <w:szCs w:val="18"/>
              </w:rPr>
            </w:pPr>
            <w:r>
              <w:rPr>
                <w:rFonts w:asciiTheme="minorHAnsi" w:hAnsiTheme="minorHAnsi" w:cstheme="minorHAnsi"/>
                <w:color w:val="000000"/>
                <w:sz w:val="18"/>
                <w:szCs w:val="18"/>
              </w:rPr>
              <w:t>Treasury shares cancelled</w:t>
            </w:r>
          </w:p>
        </w:tc>
        <w:tc>
          <w:tcPr>
            <w:tcW w:w="388" w:type="pct"/>
            <w:tcBorders>
              <w:left w:val="single" w:sz="4" w:space="0" w:color="auto"/>
              <w:right w:val="single" w:sz="4" w:space="0" w:color="auto"/>
            </w:tcBorders>
            <w:shd w:val="solid" w:color="FFFFFF" w:fill="auto"/>
          </w:tcPr>
          <w:p w:rsidR="009A448F" w:rsidRPr="00D64781" w:rsidRDefault="00B13339" w:rsidP="000C0F4D">
            <w:pPr>
              <w:keepNext/>
              <w:pBdr>
                <w:bottom w:val="single" w:sz="4" w:space="0" w:color="auto"/>
              </w:pBdr>
              <w:autoSpaceDE w:val="0"/>
              <w:autoSpaceDN w:val="0"/>
              <w:adjustRightInd w:val="0"/>
              <w:ind w:left="-109"/>
              <w:jc w:val="right"/>
              <w:rPr>
                <w:rFonts w:asciiTheme="minorHAnsi" w:hAnsiTheme="minorHAnsi" w:cstheme="minorHAnsi"/>
                <w:color w:val="000000"/>
                <w:sz w:val="18"/>
                <w:szCs w:val="18"/>
              </w:rPr>
            </w:pPr>
            <w:r>
              <w:rPr>
                <w:rFonts w:asciiTheme="minorHAnsi" w:hAnsiTheme="minorHAnsi" w:cstheme="minorHAnsi"/>
                <w:color w:val="000000"/>
                <w:sz w:val="18"/>
                <w:szCs w:val="18"/>
              </w:rPr>
              <w:t>(0.5)</w:t>
            </w:r>
          </w:p>
        </w:tc>
        <w:tc>
          <w:tcPr>
            <w:tcW w:w="329" w:type="pct"/>
            <w:tcBorders>
              <w:left w:val="single" w:sz="4" w:space="0" w:color="auto"/>
            </w:tcBorders>
            <w:shd w:val="solid" w:color="FFFFFF" w:fill="auto"/>
          </w:tcPr>
          <w:p w:rsidR="009A448F" w:rsidRPr="00D64781" w:rsidRDefault="009A448F" w:rsidP="000C0F4D">
            <w:pPr>
              <w:keepNext/>
              <w:pBdr>
                <w:bottom w:val="single" w:sz="4" w:space="0" w:color="auto"/>
              </w:pBdr>
              <w:autoSpaceDE w:val="0"/>
              <w:autoSpaceDN w:val="0"/>
              <w:adjustRightInd w:val="0"/>
              <w:ind w:left="-109"/>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79" w:type="pct"/>
            <w:shd w:val="solid" w:color="FFFFFF" w:fill="auto"/>
          </w:tcPr>
          <w:p w:rsidR="009A448F" w:rsidRPr="00D64781" w:rsidRDefault="009A448F" w:rsidP="000C0F4D">
            <w:pPr>
              <w:keepNext/>
              <w:pBdr>
                <w:bottom w:val="single" w:sz="4" w:space="0" w:color="auto"/>
              </w:pBdr>
              <w:autoSpaceDE w:val="0"/>
              <w:autoSpaceDN w:val="0"/>
              <w:adjustRightInd w:val="0"/>
              <w:ind w:left="-107"/>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388" w:type="pct"/>
          </w:tcPr>
          <w:p w:rsidR="009A448F" w:rsidRPr="00D64781" w:rsidRDefault="00B13339" w:rsidP="003F3D26">
            <w:pPr>
              <w:keepNext/>
              <w:pBdr>
                <w:bottom w:val="single" w:sz="4" w:space="0" w:color="auto"/>
              </w:pBdr>
              <w:autoSpaceDE w:val="0"/>
              <w:autoSpaceDN w:val="0"/>
              <w:adjustRightInd w:val="0"/>
              <w:ind w:left="-109"/>
              <w:jc w:val="right"/>
              <w:rPr>
                <w:rFonts w:asciiTheme="minorHAnsi" w:hAnsiTheme="minorHAnsi" w:cstheme="minorHAnsi"/>
                <w:color w:val="000000"/>
                <w:sz w:val="18"/>
                <w:szCs w:val="18"/>
              </w:rPr>
            </w:pPr>
            <w:r>
              <w:rPr>
                <w:rFonts w:asciiTheme="minorHAnsi" w:hAnsiTheme="minorHAnsi" w:cstheme="minorHAnsi"/>
                <w:color w:val="000000"/>
                <w:sz w:val="18"/>
                <w:szCs w:val="18"/>
              </w:rPr>
              <w:t>(7.3)</w:t>
            </w:r>
          </w:p>
        </w:tc>
        <w:tc>
          <w:tcPr>
            <w:tcW w:w="514" w:type="pct"/>
            <w:tcBorders>
              <w:right w:val="single" w:sz="4" w:space="0" w:color="auto"/>
            </w:tcBorders>
          </w:tcPr>
          <w:p w:rsidR="009A448F" w:rsidRPr="00D64781" w:rsidRDefault="00B13339" w:rsidP="000C0F4D">
            <w:pPr>
              <w:keepNext/>
              <w:pBdr>
                <w:bottom w:val="single" w:sz="4" w:space="0" w:color="auto"/>
              </w:pBdr>
              <w:autoSpaceDE w:val="0"/>
              <w:autoSpaceDN w:val="0"/>
              <w:adjustRightInd w:val="0"/>
              <w:ind w:left="-155"/>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450" w:type="pct"/>
            <w:tcBorders>
              <w:left w:val="single" w:sz="4" w:space="0" w:color="auto"/>
            </w:tcBorders>
          </w:tcPr>
          <w:p w:rsidR="000C3978" w:rsidRPr="00D64781" w:rsidRDefault="00B13339" w:rsidP="000C0F4D">
            <w:pPr>
              <w:keepNext/>
              <w:pBdr>
                <w:bottom w:val="single" w:sz="4" w:space="0" w:color="auto"/>
              </w:pBdr>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7.3</w:t>
            </w:r>
          </w:p>
        </w:tc>
        <w:tc>
          <w:tcPr>
            <w:tcW w:w="385" w:type="pct"/>
          </w:tcPr>
          <w:p w:rsidR="009A448F" w:rsidRPr="00D64781" w:rsidRDefault="009A448F" w:rsidP="000C0F4D">
            <w:pPr>
              <w:keepNext/>
              <w:pBdr>
                <w:bottom w:val="single" w:sz="4" w:space="0" w:color="auto"/>
              </w:pBdr>
              <w:autoSpaceDE w:val="0"/>
              <w:autoSpaceDN w:val="0"/>
              <w:adjustRightInd w:val="0"/>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c>
          <w:tcPr>
            <w:tcW w:w="449" w:type="pct"/>
            <w:tcBorders>
              <w:right w:val="single" w:sz="4" w:space="0" w:color="auto"/>
            </w:tcBorders>
            <w:shd w:val="solid" w:color="FFFFFF" w:fill="auto"/>
          </w:tcPr>
          <w:p w:rsidR="009A448F" w:rsidRPr="00D64781" w:rsidRDefault="00B13339" w:rsidP="003F3D26">
            <w:pPr>
              <w:keepNext/>
              <w:pBdr>
                <w:bottom w:val="single" w:sz="4" w:space="0" w:color="auto"/>
              </w:pBdr>
              <w:autoSpaceDE w:val="0"/>
              <w:autoSpaceDN w:val="0"/>
              <w:adjustRightInd w:val="0"/>
              <w:jc w:val="right"/>
              <w:rPr>
                <w:rFonts w:asciiTheme="minorHAnsi" w:hAnsiTheme="minorHAnsi" w:cstheme="minorHAnsi"/>
                <w:color w:val="000000"/>
                <w:sz w:val="18"/>
                <w:szCs w:val="18"/>
              </w:rPr>
            </w:pPr>
            <w:r>
              <w:rPr>
                <w:rFonts w:asciiTheme="minorHAnsi" w:hAnsiTheme="minorHAnsi" w:cstheme="minorHAnsi"/>
                <w:color w:val="000000"/>
                <w:sz w:val="18"/>
                <w:szCs w:val="18"/>
              </w:rPr>
              <w:t>-</w:t>
            </w:r>
          </w:p>
        </w:tc>
        <w:tc>
          <w:tcPr>
            <w:tcW w:w="428" w:type="pct"/>
            <w:tcBorders>
              <w:left w:val="single" w:sz="4" w:space="0" w:color="auto"/>
            </w:tcBorders>
          </w:tcPr>
          <w:p w:rsidR="009A448F" w:rsidRPr="00D64781" w:rsidRDefault="009A448F" w:rsidP="000C0F4D">
            <w:pPr>
              <w:keepNext/>
              <w:pBdr>
                <w:bottom w:val="single" w:sz="4" w:space="0" w:color="auto"/>
              </w:pBdr>
              <w:autoSpaceDE w:val="0"/>
              <w:autoSpaceDN w:val="0"/>
              <w:adjustRightInd w:val="0"/>
              <w:ind w:left="-111"/>
              <w:jc w:val="right"/>
              <w:rPr>
                <w:rFonts w:asciiTheme="minorHAnsi" w:hAnsiTheme="minorHAnsi" w:cstheme="minorHAnsi"/>
                <w:color w:val="000000"/>
                <w:sz w:val="18"/>
                <w:szCs w:val="18"/>
              </w:rPr>
            </w:pPr>
            <w:r w:rsidRPr="00D64781">
              <w:rPr>
                <w:rFonts w:asciiTheme="minorHAnsi" w:hAnsiTheme="minorHAnsi" w:cstheme="minorHAnsi"/>
                <w:color w:val="000000"/>
                <w:sz w:val="18"/>
                <w:szCs w:val="18"/>
              </w:rPr>
              <w:t>-</w:t>
            </w:r>
          </w:p>
        </w:tc>
      </w:tr>
      <w:tr w:rsidR="001B6321" w:rsidRPr="00D64781" w:rsidTr="001A1E94">
        <w:trPr>
          <w:trHeight w:val="247"/>
        </w:trPr>
        <w:tc>
          <w:tcPr>
            <w:tcW w:w="1290" w:type="pct"/>
            <w:tcBorders>
              <w:right w:val="single" w:sz="4" w:space="0" w:color="auto"/>
            </w:tcBorders>
            <w:shd w:val="clear" w:color="auto" w:fill="FFFF00"/>
          </w:tcPr>
          <w:p w:rsidR="001B6321" w:rsidRPr="00D64781" w:rsidRDefault="001B6321" w:rsidP="001B6321">
            <w:pPr>
              <w:keepNext/>
              <w:autoSpaceDE w:val="0"/>
              <w:autoSpaceDN w:val="0"/>
              <w:adjustRightInd w:val="0"/>
              <w:rPr>
                <w:rFonts w:asciiTheme="minorHAnsi" w:hAnsiTheme="minorHAnsi" w:cstheme="minorHAnsi"/>
                <w:b/>
                <w:bCs/>
                <w:color w:val="000000"/>
                <w:sz w:val="18"/>
                <w:szCs w:val="18"/>
              </w:rPr>
            </w:pPr>
            <w:r w:rsidRPr="00D64781">
              <w:rPr>
                <w:rFonts w:asciiTheme="minorHAnsi" w:hAnsiTheme="minorHAnsi" w:cstheme="minorHAnsi"/>
                <w:b/>
                <w:bCs/>
                <w:color w:val="000000"/>
                <w:sz w:val="18"/>
                <w:szCs w:val="18"/>
              </w:rPr>
              <w:t xml:space="preserve">Balance at </w:t>
            </w:r>
            <w:r>
              <w:rPr>
                <w:rFonts w:asciiTheme="minorHAnsi" w:hAnsiTheme="minorHAnsi" w:cstheme="minorHAnsi"/>
                <w:b/>
                <w:bCs/>
                <w:color w:val="000000"/>
                <w:sz w:val="18"/>
                <w:szCs w:val="18"/>
              </w:rPr>
              <w:t>March 31</w:t>
            </w:r>
            <w:r w:rsidRPr="00D64781">
              <w:rPr>
                <w:rFonts w:asciiTheme="minorHAnsi" w:hAnsiTheme="minorHAnsi" w:cstheme="minorHAnsi"/>
                <w:b/>
                <w:bCs/>
                <w:color w:val="000000"/>
                <w:sz w:val="18"/>
                <w:szCs w:val="18"/>
              </w:rPr>
              <w:t xml:space="preserve">, </w:t>
            </w:r>
            <w:r>
              <w:rPr>
                <w:rFonts w:asciiTheme="minorHAnsi" w:hAnsiTheme="minorHAnsi" w:cstheme="minorHAnsi"/>
                <w:b/>
                <w:bCs/>
                <w:color w:val="000000"/>
                <w:sz w:val="18"/>
                <w:szCs w:val="18"/>
              </w:rPr>
              <w:t>201</w:t>
            </w:r>
            <w:r w:rsidR="00B13339">
              <w:rPr>
                <w:rFonts w:asciiTheme="minorHAnsi" w:hAnsiTheme="minorHAnsi" w:cstheme="minorHAnsi"/>
                <w:b/>
                <w:bCs/>
                <w:color w:val="000000"/>
                <w:sz w:val="18"/>
                <w:szCs w:val="18"/>
              </w:rPr>
              <w:t>7</w:t>
            </w:r>
          </w:p>
        </w:tc>
        <w:tc>
          <w:tcPr>
            <w:tcW w:w="388" w:type="pct"/>
            <w:tcBorders>
              <w:left w:val="single" w:sz="4" w:space="0" w:color="auto"/>
              <w:right w:val="single" w:sz="4" w:space="0" w:color="auto"/>
            </w:tcBorders>
            <w:shd w:val="clear" w:color="auto" w:fill="FFFF00"/>
          </w:tcPr>
          <w:p w:rsidR="001B6321" w:rsidRPr="00D64781" w:rsidRDefault="001B6321" w:rsidP="004A357A">
            <w:pPr>
              <w:keepNext/>
              <w:pBdr>
                <w:bottom w:val="single" w:sz="4" w:space="1" w:color="auto"/>
              </w:pBdr>
              <w:autoSpaceDE w:val="0"/>
              <w:autoSpaceDN w:val="0"/>
              <w:adjustRightInd w:val="0"/>
              <w:ind w:left="-109"/>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1,</w:t>
            </w:r>
            <w:r w:rsidR="00B13339">
              <w:rPr>
                <w:rFonts w:asciiTheme="minorHAnsi" w:hAnsiTheme="minorHAnsi" w:cstheme="minorHAnsi"/>
                <w:b/>
                <w:bCs/>
                <w:color w:val="000000"/>
                <w:sz w:val="18"/>
                <w:szCs w:val="18"/>
              </w:rPr>
              <w:t>217</w:t>
            </w:r>
            <w:r>
              <w:rPr>
                <w:rFonts w:asciiTheme="minorHAnsi" w:hAnsiTheme="minorHAnsi" w:cstheme="minorHAnsi"/>
                <w:b/>
                <w:bCs/>
                <w:color w:val="000000"/>
                <w:sz w:val="18"/>
                <w:szCs w:val="18"/>
              </w:rPr>
              <w:t>.</w:t>
            </w:r>
            <w:r w:rsidR="00B13339">
              <w:rPr>
                <w:rFonts w:asciiTheme="minorHAnsi" w:hAnsiTheme="minorHAnsi" w:cstheme="minorHAnsi"/>
                <w:b/>
                <w:bCs/>
                <w:color w:val="000000"/>
                <w:sz w:val="18"/>
                <w:szCs w:val="18"/>
              </w:rPr>
              <w:t>9</w:t>
            </w:r>
          </w:p>
        </w:tc>
        <w:tc>
          <w:tcPr>
            <w:tcW w:w="329" w:type="pct"/>
            <w:tcBorders>
              <w:left w:val="single" w:sz="4" w:space="0" w:color="auto"/>
            </w:tcBorders>
            <w:shd w:val="clear" w:color="auto" w:fill="FFFF00"/>
          </w:tcPr>
          <w:p w:rsidR="001B6321" w:rsidRPr="00D64781" w:rsidRDefault="001B6321" w:rsidP="004A357A">
            <w:pPr>
              <w:keepNext/>
              <w:pBdr>
                <w:bottom w:val="single" w:sz="4" w:space="1" w:color="auto"/>
              </w:pBdr>
              <w:autoSpaceDE w:val="0"/>
              <w:autoSpaceDN w:val="0"/>
              <w:adjustRightInd w:val="0"/>
              <w:ind w:left="-109"/>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7.</w:t>
            </w:r>
            <w:r w:rsidR="00B13339">
              <w:rPr>
                <w:rFonts w:asciiTheme="minorHAnsi" w:hAnsiTheme="minorHAnsi" w:cstheme="minorHAnsi"/>
                <w:b/>
                <w:bCs/>
                <w:color w:val="000000"/>
                <w:sz w:val="18"/>
                <w:szCs w:val="18"/>
              </w:rPr>
              <w:t>3</w:t>
            </w:r>
          </w:p>
        </w:tc>
        <w:tc>
          <w:tcPr>
            <w:tcW w:w="379" w:type="pct"/>
            <w:shd w:val="clear" w:color="auto" w:fill="FFFF00"/>
          </w:tcPr>
          <w:p w:rsidR="001B6321" w:rsidRPr="00D64781" w:rsidRDefault="001B6321" w:rsidP="004A357A">
            <w:pPr>
              <w:keepNext/>
              <w:pBdr>
                <w:bottom w:val="single" w:sz="4" w:space="1" w:color="auto"/>
              </w:pBdr>
              <w:autoSpaceDE w:val="0"/>
              <w:autoSpaceDN w:val="0"/>
              <w:adjustRightInd w:val="0"/>
              <w:ind w:left="-107"/>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719.4</w:t>
            </w:r>
          </w:p>
        </w:tc>
        <w:tc>
          <w:tcPr>
            <w:tcW w:w="388" w:type="pct"/>
            <w:shd w:val="clear" w:color="auto" w:fill="FFFF00"/>
          </w:tcPr>
          <w:p w:rsidR="001B6321" w:rsidRPr="00D64781" w:rsidRDefault="001B6321" w:rsidP="004A357A">
            <w:pPr>
              <w:keepNext/>
              <w:pBdr>
                <w:bottom w:val="single" w:sz="4" w:space="1" w:color="auto"/>
              </w:pBdr>
              <w:autoSpaceDE w:val="0"/>
              <w:autoSpaceDN w:val="0"/>
              <w:adjustRightInd w:val="0"/>
              <w:ind w:left="-109"/>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3,</w:t>
            </w:r>
            <w:r w:rsidR="00B13339">
              <w:rPr>
                <w:rFonts w:asciiTheme="minorHAnsi" w:hAnsiTheme="minorHAnsi" w:cstheme="minorHAnsi"/>
                <w:b/>
                <w:bCs/>
                <w:color w:val="000000"/>
                <w:sz w:val="18"/>
                <w:szCs w:val="18"/>
              </w:rPr>
              <w:t>45</w:t>
            </w:r>
            <w:r>
              <w:rPr>
                <w:rFonts w:asciiTheme="minorHAnsi" w:hAnsiTheme="minorHAnsi" w:cstheme="minorHAnsi"/>
                <w:b/>
                <w:bCs/>
                <w:color w:val="000000"/>
                <w:sz w:val="18"/>
                <w:szCs w:val="18"/>
              </w:rPr>
              <w:t>6.</w:t>
            </w:r>
            <w:r w:rsidR="00B13339">
              <w:rPr>
                <w:rFonts w:asciiTheme="minorHAnsi" w:hAnsiTheme="minorHAnsi" w:cstheme="minorHAnsi"/>
                <w:b/>
                <w:bCs/>
                <w:color w:val="000000"/>
                <w:sz w:val="18"/>
                <w:szCs w:val="18"/>
              </w:rPr>
              <w:t>8</w:t>
            </w:r>
          </w:p>
        </w:tc>
        <w:tc>
          <w:tcPr>
            <w:tcW w:w="514" w:type="pct"/>
            <w:tcBorders>
              <w:right w:val="single" w:sz="4" w:space="0" w:color="auto"/>
            </w:tcBorders>
            <w:shd w:val="clear" w:color="auto" w:fill="FFFF00"/>
          </w:tcPr>
          <w:p w:rsidR="001B6321" w:rsidRPr="00D64781" w:rsidRDefault="001B6321" w:rsidP="004A357A">
            <w:pPr>
              <w:keepNext/>
              <w:pBdr>
                <w:bottom w:val="single" w:sz="4" w:space="1" w:color="auto"/>
              </w:pBdr>
              <w:autoSpaceDE w:val="0"/>
              <w:autoSpaceDN w:val="0"/>
              <w:adjustRightInd w:val="0"/>
              <w:ind w:left="-155"/>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2.</w:t>
            </w:r>
            <w:r w:rsidR="00B13339">
              <w:rPr>
                <w:rFonts w:asciiTheme="minorHAnsi" w:hAnsiTheme="minorHAnsi" w:cstheme="minorHAnsi"/>
                <w:b/>
                <w:bCs/>
                <w:color w:val="000000"/>
                <w:sz w:val="18"/>
                <w:szCs w:val="18"/>
              </w:rPr>
              <w:t>7</w:t>
            </w:r>
          </w:p>
        </w:tc>
        <w:tc>
          <w:tcPr>
            <w:tcW w:w="450" w:type="pct"/>
            <w:tcBorders>
              <w:left w:val="single" w:sz="4" w:space="0" w:color="auto"/>
            </w:tcBorders>
            <w:shd w:val="clear" w:color="auto" w:fill="FFFF00"/>
          </w:tcPr>
          <w:p w:rsidR="001B6321" w:rsidRPr="00D64781" w:rsidRDefault="00B13339" w:rsidP="004A357A">
            <w:pPr>
              <w:keepNext/>
              <w:pBdr>
                <w:bottom w:val="single" w:sz="4" w:space="1" w:color="auto"/>
              </w:pBdr>
              <w:autoSpaceDE w:val="0"/>
              <w:autoSpaceDN w:val="0"/>
              <w:adjustRightInd w:val="0"/>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w:t>
            </w:r>
          </w:p>
        </w:tc>
        <w:tc>
          <w:tcPr>
            <w:tcW w:w="385" w:type="pct"/>
            <w:shd w:val="clear" w:color="auto" w:fill="FFFF00"/>
          </w:tcPr>
          <w:p w:rsidR="001B6321" w:rsidRPr="00D64781" w:rsidRDefault="00B13339" w:rsidP="004A357A">
            <w:pPr>
              <w:keepNext/>
              <w:pBdr>
                <w:bottom w:val="single" w:sz="4" w:space="1" w:color="auto"/>
              </w:pBdr>
              <w:autoSpaceDE w:val="0"/>
              <w:autoSpaceDN w:val="0"/>
              <w:adjustRightInd w:val="0"/>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221.9</w:t>
            </w:r>
          </w:p>
        </w:tc>
        <w:tc>
          <w:tcPr>
            <w:tcW w:w="449" w:type="pct"/>
            <w:tcBorders>
              <w:right w:val="single" w:sz="4" w:space="0" w:color="auto"/>
            </w:tcBorders>
            <w:shd w:val="clear" w:color="auto" w:fill="FFFF00"/>
          </w:tcPr>
          <w:p w:rsidR="001B6321" w:rsidRPr="00D64781" w:rsidRDefault="00B13339" w:rsidP="004A357A">
            <w:pPr>
              <w:keepNext/>
              <w:pBdr>
                <w:bottom w:val="single" w:sz="4" w:space="1" w:color="auto"/>
              </w:pBdr>
              <w:autoSpaceDE w:val="0"/>
              <w:autoSpaceDN w:val="0"/>
              <w:adjustRightInd w:val="0"/>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14.9</w:t>
            </w:r>
          </w:p>
        </w:tc>
        <w:tc>
          <w:tcPr>
            <w:tcW w:w="428" w:type="pct"/>
            <w:tcBorders>
              <w:left w:val="single" w:sz="4" w:space="0" w:color="auto"/>
            </w:tcBorders>
            <w:shd w:val="clear" w:color="auto" w:fill="FFFF00"/>
          </w:tcPr>
          <w:p w:rsidR="001B6321" w:rsidRPr="00D64781" w:rsidRDefault="00B13339" w:rsidP="004A357A">
            <w:pPr>
              <w:keepNext/>
              <w:pBdr>
                <w:bottom w:val="single" w:sz="4" w:space="1" w:color="auto"/>
              </w:pBdr>
              <w:tabs>
                <w:tab w:val="left" w:pos="963"/>
              </w:tabs>
              <w:autoSpaceDE w:val="0"/>
              <w:autoSpaceDN w:val="0"/>
              <w:adjustRightInd w:val="0"/>
              <w:ind w:left="-111"/>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4,423.0</w:t>
            </w:r>
          </w:p>
        </w:tc>
      </w:tr>
      <w:tr w:rsidR="00D64781" w:rsidRPr="00D64781" w:rsidTr="002A4AAD">
        <w:trPr>
          <w:trHeight w:val="247"/>
        </w:trPr>
        <w:tc>
          <w:tcPr>
            <w:tcW w:w="1290" w:type="pct"/>
            <w:tcBorders>
              <w:right w:val="single" w:sz="4" w:space="0" w:color="auto"/>
            </w:tcBorders>
            <w:shd w:val="clear" w:color="auto" w:fill="FFFF00"/>
          </w:tcPr>
          <w:p w:rsidR="009A448F" w:rsidRPr="00B71B9A" w:rsidRDefault="009A448F" w:rsidP="00C94FD5">
            <w:pPr>
              <w:keepNext/>
              <w:autoSpaceDE w:val="0"/>
              <w:autoSpaceDN w:val="0"/>
              <w:adjustRightInd w:val="0"/>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 xml:space="preserve">Profit for the </w:t>
            </w:r>
            <w:r w:rsidR="00B13339">
              <w:rPr>
                <w:rFonts w:asciiTheme="minorHAnsi" w:hAnsiTheme="minorHAnsi" w:cstheme="minorHAnsi"/>
                <w:bCs/>
                <w:color w:val="000000"/>
                <w:sz w:val="18"/>
                <w:szCs w:val="18"/>
                <w:highlight w:val="yellow"/>
              </w:rPr>
              <w:t>quarter</w:t>
            </w:r>
          </w:p>
        </w:tc>
        <w:tc>
          <w:tcPr>
            <w:tcW w:w="388" w:type="pct"/>
            <w:tcBorders>
              <w:left w:val="single" w:sz="4" w:space="0" w:color="auto"/>
              <w:right w:val="single" w:sz="4" w:space="0" w:color="auto"/>
            </w:tcBorders>
            <w:shd w:val="clear" w:color="auto" w:fill="FFFF00"/>
          </w:tcPr>
          <w:p w:rsidR="009A448F" w:rsidRPr="00B71B9A" w:rsidRDefault="009A448F" w:rsidP="00C94FD5">
            <w:pPr>
              <w:keepNext/>
              <w:autoSpaceDE w:val="0"/>
              <w:autoSpaceDN w:val="0"/>
              <w:adjustRightInd w:val="0"/>
              <w:ind w:left="-109"/>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29" w:type="pct"/>
            <w:tcBorders>
              <w:left w:val="single" w:sz="4" w:space="0" w:color="auto"/>
            </w:tcBorders>
            <w:shd w:val="clear" w:color="auto" w:fill="FFFF00"/>
          </w:tcPr>
          <w:p w:rsidR="009A448F" w:rsidRPr="00B71B9A" w:rsidRDefault="009A448F" w:rsidP="00C94FD5">
            <w:pPr>
              <w:keepNext/>
              <w:autoSpaceDE w:val="0"/>
              <w:autoSpaceDN w:val="0"/>
              <w:adjustRightInd w:val="0"/>
              <w:ind w:left="-109"/>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79" w:type="pct"/>
            <w:shd w:val="clear" w:color="auto" w:fill="FFFF00"/>
          </w:tcPr>
          <w:p w:rsidR="009A448F" w:rsidRPr="00B71B9A" w:rsidRDefault="009A448F" w:rsidP="00C94FD5">
            <w:pPr>
              <w:keepNext/>
              <w:autoSpaceDE w:val="0"/>
              <w:autoSpaceDN w:val="0"/>
              <w:adjustRightInd w:val="0"/>
              <w:ind w:left="-107"/>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88" w:type="pct"/>
            <w:shd w:val="clear" w:color="auto" w:fill="FFFF00"/>
          </w:tcPr>
          <w:p w:rsidR="009A448F" w:rsidRPr="00B71B9A" w:rsidRDefault="00FA6972" w:rsidP="002A4AAD">
            <w:pPr>
              <w:keepNext/>
              <w:autoSpaceDE w:val="0"/>
              <w:autoSpaceDN w:val="0"/>
              <w:adjustRightInd w:val="0"/>
              <w:ind w:left="-109"/>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397.1</w:t>
            </w:r>
          </w:p>
        </w:tc>
        <w:tc>
          <w:tcPr>
            <w:tcW w:w="514" w:type="pct"/>
            <w:tcBorders>
              <w:right w:val="single" w:sz="4" w:space="0" w:color="auto"/>
            </w:tcBorders>
            <w:shd w:val="clear" w:color="auto" w:fill="FFFF00"/>
          </w:tcPr>
          <w:p w:rsidR="009A448F" w:rsidRPr="00B71B9A" w:rsidRDefault="009A448F" w:rsidP="00C94FD5">
            <w:pPr>
              <w:keepNext/>
              <w:autoSpaceDE w:val="0"/>
              <w:autoSpaceDN w:val="0"/>
              <w:adjustRightInd w:val="0"/>
              <w:ind w:left="-155"/>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450" w:type="pct"/>
            <w:tcBorders>
              <w:left w:val="single" w:sz="4" w:space="0" w:color="auto"/>
            </w:tcBorders>
            <w:shd w:val="clear" w:color="auto" w:fill="FFFF00"/>
          </w:tcPr>
          <w:p w:rsidR="009A448F" w:rsidRPr="00B71B9A" w:rsidRDefault="000C3978" w:rsidP="00C94FD5">
            <w:pPr>
              <w:keepNext/>
              <w:autoSpaceDE w:val="0"/>
              <w:autoSpaceDN w:val="0"/>
              <w:adjustRightInd w:val="0"/>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85" w:type="pct"/>
            <w:shd w:val="clear" w:color="auto" w:fill="FFFF00"/>
          </w:tcPr>
          <w:p w:rsidR="009A448F" w:rsidRPr="00B71B9A" w:rsidRDefault="009A448F" w:rsidP="00C94FD5">
            <w:pPr>
              <w:keepNext/>
              <w:autoSpaceDE w:val="0"/>
              <w:autoSpaceDN w:val="0"/>
              <w:adjustRightInd w:val="0"/>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449" w:type="pct"/>
            <w:tcBorders>
              <w:right w:val="single" w:sz="4" w:space="0" w:color="auto"/>
            </w:tcBorders>
            <w:shd w:val="clear" w:color="auto" w:fill="FFFF00"/>
          </w:tcPr>
          <w:p w:rsidR="009A448F" w:rsidRPr="00B71B9A" w:rsidRDefault="009A448F" w:rsidP="00C94FD5">
            <w:pPr>
              <w:keepNext/>
              <w:autoSpaceDE w:val="0"/>
              <w:autoSpaceDN w:val="0"/>
              <w:adjustRightInd w:val="0"/>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428" w:type="pct"/>
            <w:tcBorders>
              <w:left w:val="single" w:sz="4" w:space="0" w:color="auto"/>
            </w:tcBorders>
            <w:shd w:val="clear" w:color="auto" w:fill="FFFF00"/>
          </w:tcPr>
          <w:p w:rsidR="009A448F" w:rsidRPr="00B71B9A" w:rsidRDefault="00FA6972" w:rsidP="002A4AAD">
            <w:pPr>
              <w:keepNext/>
              <w:tabs>
                <w:tab w:val="left" w:pos="963"/>
              </w:tabs>
              <w:autoSpaceDE w:val="0"/>
              <w:autoSpaceDN w:val="0"/>
              <w:adjustRightInd w:val="0"/>
              <w:ind w:left="-111"/>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397.1</w:t>
            </w:r>
          </w:p>
        </w:tc>
      </w:tr>
      <w:tr w:rsidR="00D64781" w:rsidRPr="00D64781" w:rsidTr="002A4AAD">
        <w:trPr>
          <w:trHeight w:val="247"/>
        </w:trPr>
        <w:tc>
          <w:tcPr>
            <w:tcW w:w="1290" w:type="pct"/>
            <w:tcBorders>
              <w:right w:val="single" w:sz="4" w:space="0" w:color="auto"/>
            </w:tcBorders>
            <w:shd w:val="clear" w:color="auto" w:fill="FFFF00"/>
          </w:tcPr>
          <w:p w:rsidR="009A448F" w:rsidRPr="00B71B9A" w:rsidRDefault="009A448F" w:rsidP="000C0F4D">
            <w:pPr>
              <w:keepNext/>
              <w:autoSpaceDE w:val="0"/>
              <w:autoSpaceDN w:val="0"/>
              <w:adjustRightInd w:val="0"/>
              <w:rPr>
                <w:rFonts w:asciiTheme="minorHAnsi" w:hAnsiTheme="minorHAnsi" w:cstheme="minorHAnsi"/>
                <w:bCs/>
                <w:i/>
                <w:color w:val="000000"/>
                <w:sz w:val="18"/>
                <w:szCs w:val="18"/>
                <w:highlight w:val="yellow"/>
              </w:rPr>
            </w:pPr>
            <w:r w:rsidRPr="00B71B9A">
              <w:rPr>
                <w:rFonts w:asciiTheme="minorHAnsi" w:hAnsiTheme="minorHAnsi" w:cstheme="minorHAnsi"/>
                <w:bCs/>
                <w:i/>
                <w:color w:val="000000"/>
                <w:sz w:val="18"/>
                <w:szCs w:val="18"/>
                <w:highlight w:val="yellow"/>
              </w:rPr>
              <w:t>Other comprehensive income</w:t>
            </w:r>
          </w:p>
        </w:tc>
        <w:tc>
          <w:tcPr>
            <w:tcW w:w="388" w:type="pct"/>
            <w:tcBorders>
              <w:left w:val="single" w:sz="4" w:space="0" w:color="auto"/>
            </w:tcBorders>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p>
        </w:tc>
        <w:tc>
          <w:tcPr>
            <w:tcW w:w="329" w:type="pct"/>
            <w:tcBorders>
              <w:left w:val="single" w:sz="4" w:space="0" w:color="auto"/>
            </w:tcBorders>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p>
        </w:tc>
        <w:tc>
          <w:tcPr>
            <w:tcW w:w="379" w:type="pct"/>
            <w:shd w:val="clear" w:color="auto" w:fill="FFFF00"/>
          </w:tcPr>
          <w:p w:rsidR="009A448F" w:rsidRPr="00B71B9A" w:rsidRDefault="009A448F" w:rsidP="00146123">
            <w:pPr>
              <w:keepNext/>
              <w:autoSpaceDE w:val="0"/>
              <w:autoSpaceDN w:val="0"/>
              <w:adjustRightInd w:val="0"/>
              <w:ind w:left="-107"/>
              <w:jc w:val="center"/>
              <w:rPr>
                <w:rFonts w:asciiTheme="minorHAnsi" w:hAnsiTheme="minorHAnsi" w:cstheme="minorHAnsi"/>
                <w:bCs/>
                <w:color w:val="000000"/>
                <w:sz w:val="18"/>
                <w:szCs w:val="18"/>
                <w:highlight w:val="yellow"/>
              </w:rPr>
            </w:pPr>
          </w:p>
        </w:tc>
        <w:tc>
          <w:tcPr>
            <w:tcW w:w="388" w:type="pct"/>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p>
        </w:tc>
        <w:tc>
          <w:tcPr>
            <w:tcW w:w="514" w:type="pct"/>
            <w:tcBorders>
              <w:right w:val="single" w:sz="4" w:space="0" w:color="auto"/>
            </w:tcBorders>
            <w:shd w:val="clear" w:color="auto" w:fill="FFFF00"/>
          </w:tcPr>
          <w:p w:rsidR="009A448F" w:rsidRPr="00B71B9A" w:rsidRDefault="009A448F" w:rsidP="000C0F4D">
            <w:pPr>
              <w:keepNext/>
              <w:autoSpaceDE w:val="0"/>
              <w:autoSpaceDN w:val="0"/>
              <w:adjustRightInd w:val="0"/>
              <w:ind w:left="-155"/>
              <w:jc w:val="right"/>
              <w:rPr>
                <w:rFonts w:asciiTheme="minorHAnsi" w:hAnsiTheme="minorHAnsi" w:cstheme="minorHAnsi"/>
                <w:bCs/>
                <w:color w:val="000000"/>
                <w:sz w:val="18"/>
                <w:szCs w:val="18"/>
                <w:highlight w:val="yellow"/>
              </w:rPr>
            </w:pPr>
          </w:p>
        </w:tc>
        <w:tc>
          <w:tcPr>
            <w:tcW w:w="450" w:type="pct"/>
            <w:tcBorders>
              <w:left w:val="single" w:sz="4" w:space="0" w:color="auto"/>
            </w:tcBorders>
            <w:shd w:val="clear" w:color="auto" w:fill="FFFF00"/>
          </w:tcPr>
          <w:p w:rsidR="009A448F" w:rsidRPr="00B71B9A" w:rsidRDefault="009A448F" w:rsidP="000C0F4D">
            <w:pPr>
              <w:keepNext/>
              <w:autoSpaceDE w:val="0"/>
              <w:autoSpaceDN w:val="0"/>
              <w:adjustRightInd w:val="0"/>
              <w:jc w:val="right"/>
              <w:rPr>
                <w:rFonts w:asciiTheme="minorHAnsi" w:hAnsiTheme="minorHAnsi" w:cstheme="minorHAnsi"/>
                <w:bCs/>
                <w:color w:val="000000"/>
                <w:sz w:val="18"/>
                <w:szCs w:val="18"/>
                <w:highlight w:val="yellow"/>
              </w:rPr>
            </w:pPr>
          </w:p>
        </w:tc>
        <w:tc>
          <w:tcPr>
            <w:tcW w:w="385" w:type="pct"/>
            <w:shd w:val="clear" w:color="auto" w:fill="FFFF00"/>
          </w:tcPr>
          <w:p w:rsidR="009A448F" w:rsidRPr="00B71B9A" w:rsidRDefault="009A448F" w:rsidP="000C0F4D">
            <w:pPr>
              <w:keepNext/>
              <w:autoSpaceDE w:val="0"/>
              <w:autoSpaceDN w:val="0"/>
              <w:adjustRightInd w:val="0"/>
              <w:jc w:val="right"/>
              <w:rPr>
                <w:rFonts w:asciiTheme="minorHAnsi" w:hAnsiTheme="minorHAnsi" w:cstheme="minorHAnsi"/>
                <w:bCs/>
                <w:color w:val="000000"/>
                <w:sz w:val="18"/>
                <w:szCs w:val="18"/>
                <w:highlight w:val="yellow"/>
              </w:rPr>
            </w:pPr>
          </w:p>
        </w:tc>
        <w:tc>
          <w:tcPr>
            <w:tcW w:w="449" w:type="pct"/>
            <w:tcBorders>
              <w:right w:val="single" w:sz="4" w:space="0" w:color="auto"/>
            </w:tcBorders>
            <w:shd w:val="clear" w:color="auto" w:fill="FFFF00"/>
          </w:tcPr>
          <w:p w:rsidR="009A448F" w:rsidRPr="00B71B9A" w:rsidRDefault="009A448F" w:rsidP="000C0F4D">
            <w:pPr>
              <w:keepNext/>
              <w:autoSpaceDE w:val="0"/>
              <w:autoSpaceDN w:val="0"/>
              <w:adjustRightInd w:val="0"/>
              <w:jc w:val="right"/>
              <w:rPr>
                <w:rFonts w:asciiTheme="minorHAnsi" w:hAnsiTheme="minorHAnsi" w:cstheme="minorHAnsi"/>
                <w:bCs/>
                <w:color w:val="000000"/>
                <w:sz w:val="18"/>
                <w:szCs w:val="18"/>
                <w:highlight w:val="yellow"/>
              </w:rPr>
            </w:pPr>
          </w:p>
        </w:tc>
        <w:tc>
          <w:tcPr>
            <w:tcW w:w="428" w:type="pct"/>
            <w:tcBorders>
              <w:left w:val="single" w:sz="4" w:space="0" w:color="auto"/>
            </w:tcBorders>
            <w:shd w:val="clear" w:color="auto" w:fill="FFFF00"/>
          </w:tcPr>
          <w:p w:rsidR="009A448F" w:rsidRPr="00B71B9A" w:rsidRDefault="009A448F" w:rsidP="000C0F4D">
            <w:pPr>
              <w:keepNext/>
              <w:tabs>
                <w:tab w:val="left" w:pos="963"/>
              </w:tabs>
              <w:autoSpaceDE w:val="0"/>
              <w:autoSpaceDN w:val="0"/>
              <w:adjustRightInd w:val="0"/>
              <w:ind w:left="-111"/>
              <w:jc w:val="right"/>
              <w:rPr>
                <w:rFonts w:asciiTheme="minorHAnsi" w:hAnsiTheme="minorHAnsi" w:cstheme="minorHAnsi"/>
                <w:bCs/>
                <w:color w:val="000000"/>
                <w:sz w:val="18"/>
                <w:szCs w:val="18"/>
                <w:highlight w:val="yellow"/>
              </w:rPr>
            </w:pPr>
          </w:p>
        </w:tc>
      </w:tr>
      <w:tr w:rsidR="00D64781" w:rsidRPr="00D64781" w:rsidTr="002A4AAD">
        <w:trPr>
          <w:trHeight w:val="247"/>
        </w:trPr>
        <w:tc>
          <w:tcPr>
            <w:tcW w:w="1290" w:type="pct"/>
            <w:tcBorders>
              <w:right w:val="single" w:sz="4" w:space="0" w:color="auto"/>
            </w:tcBorders>
            <w:shd w:val="clear" w:color="auto" w:fill="FFFF00"/>
          </w:tcPr>
          <w:p w:rsidR="009A448F" w:rsidRPr="00B71B9A" w:rsidRDefault="009A448F" w:rsidP="000C0F4D">
            <w:pPr>
              <w:keepNext/>
              <w:autoSpaceDE w:val="0"/>
              <w:autoSpaceDN w:val="0"/>
              <w:adjustRightInd w:val="0"/>
              <w:ind w:left="34"/>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Net movements in cash flow reserve</w:t>
            </w:r>
          </w:p>
        </w:tc>
        <w:tc>
          <w:tcPr>
            <w:tcW w:w="388" w:type="pct"/>
            <w:tcBorders>
              <w:left w:val="single" w:sz="4" w:space="0" w:color="auto"/>
            </w:tcBorders>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29" w:type="pct"/>
            <w:tcBorders>
              <w:left w:val="single" w:sz="4" w:space="0" w:color="auto"/>
            </w:tcBorders>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79" w:type="pct"/>
            <w:shd w:val="clear" w:color="auto" w:fill="FFFF00"/>
          </w:tcPr>
          <w:p w:rsidR="009A448F" w:rsidRPr="00B71B9A" w:rsidRDefault="009A448F" w:rsidP="000C0F4D">
            <w:pPr>
              <w:keepNext/>
              <w:autoSpaceDE w:val="0"/>
              <w:autoSpaceDN w:val="0"/>
              <w:adjustRightInd w:val="0"/>
              <w:ind w:left="-107"/>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88" w:type="pct"/>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p>
        </w:tc>
        <w:tc>
          <w:tcPr>
            <w:tcW w:w="514" w:type="pct"/>
            <w:tcBorders>
              <w:right w:val="single" w:sz="4" w:space="0" w:color="auto"/>
            </w:tcBorders>
            <w:shd w:val="clear" w:color="auto" w:fill="FFFF00"/>
          </w:tcPr>
          <w:p w:rsidR="009A448F" w:rsidRPr="00B71B9A" w:rsidRDefault="009A448F" w:rsidP="000C0F4D">
            <w:pPr>
              <w:keepNext/>
              <w:autoSpaceDE w:val="0"/>
              <w:autoSpaceDN w:val="0"/>
              <w:adjustRightInd w:val="0"/>
              <w:ind w:left="-155"/>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450" w:type="pct"/>
            <w:tcBorders>
              <w:left w:val="single" w:sz="4" w:space="0" w:color="auto"/>
            </w:tcBorders>
            <w:shd w:val="clear" w:color="auto" w:fill="FFFF00"/>
          </w:tcPr>
          <w:p w:rsidR="009A448F" w:rsidRPr="00B71B9A" w:rsidRDefault="000C3978" w:rsidP="000C0F4D">
            <w:pPr>
              <w:keepNext/>
              <w:autoSpaceDE w:val="0"/>
              <w:autoSpaceDN w:val="0"/>
              <w:adjustRightInd w:val="0"/>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85" w:type="pct"/>
            <w:shd w:val="clear" w:color="auto" w:fill="FFFF00"/>
          </w:tcPr>
          <w:p w:rsidR="009A448F" w:rsidRPr="00B71B9A" w:rsidRDefault="00FA6972" w:rsidP="002A4AAD">
            <w:pPr>
              <w:keepNext/>
              <w:autoSpaceDE w:val="0"/>
              <w:autoSpaceDN w:val="0"/>
              <w:adjustRightInd w:val="0"/>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(349.6)</w:t>
            </w:r>
          </w:p>
        </w:tc>
        <w:tc>
          <w:tcPr>
            <w:tcW w:w="449" w:type="pct"/>
            <w:tcBorders>
              <w:right w:val="single" w:sz="4" w:space="0" w:color="auto"/>
            </w:tcBorders>
            <w:shd w:val="clear" w:color="auto" w:fill="FFFF00"/>
          </w:tcPr>
          <w:p w:rsidR="009A448F" w:rsidRPr="00B71B9A" w:rsidRDefault="009A448F" w:rsidP="000C0F4D">
            <w:pPr>
              <w:keepNext/>
              <w:autoSpaceDE w:val="0"/>
              <w:autoSpaceDN w:val="0"/>
              <w:adjustRightInd w:val="0"/>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428" w:type="pct"/>
            <w:tcBorders>
              <w:left w:val="single" w:sz="4" w:space="0" w:color="auto"/>
            </w:tcBorders>
            <w:shd w:val="clear" w:color="auto" w:fill="FFFF00"/>
          </w:tcPr>
          <w:p w:rsidR="009A448F" w:rsidRPr="00B71B9A" w:rsidRDefault="00FA6972" w:rsidP="002A4AAD">
            <w:pPr>
              <w:keepNext/>
              <w:tabs>
                <w:tab w:val="left" w:pos="963"/>
              </w:tabs>
              <w:autoSpaceDE w:val="0"/>
              <w:autoSpaceDN w:val="0"/>
              <w:adjustRightInd w:val="0"/>
              <w:ind w:left="-111"/>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(349.6)</w:t>
            </w:r>
          </w:p>
        </w:tc>
      </w:tr>
      <w:tr w:rsidR="00D64781" w:rsidRPr="00D64781" w:rsidTr="002A4AAD">
        <w:trPr>
          <w:trHeight w:val="247"/>
        </w:trPr>
        <w:tc>
          <w:tcPr>
            <w:tcW w:w="1290" w:type="pct"/>
            <w:tcBorders>
              <w:right w:val="single" w:sz="4" w:space="0" w:color="auto"/>
            </w:tcBorders>
            <w:shd w:val="clear" w:color="auto" w:fill="FFFF00"/>
          </w:tcPr>
          <w:p w:rsidR="009A448F" w:rsidRPr="00B71B9A" w:rsidRDefault="009A448F" w:rsidP="000C0F4D">
            <w:pPr>
              <w:keepNext/>
              <w:autoSpaceDE w:val="0"/>
              <w:autoSpaceDN w:val="0"/>
              <w:adjustRightInd w:val="0"/>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Total other comprehensive income</w:t>
            </w:r>
          </w:p>
        </w:tc>
        <w:tc>
          <w:tcPr>
            <w:tcW w:w="388" w:type="pct"/>
            <w:tcBorders>
              <w:left w:val="single" w:sz="4" w:space="0" w:color="auto"/>
              <w:right w:val="single" w:sz="4" w:space="0" w:color="auto"/>
            </w:tcBorders>
            <w:shd w:val="clear" w:color="auto" w:fill="FFFF00"/>
          </w:tcPr>
          <w:p w:rsidR="009A448F" w:rsidRPr="00B71B9A" w:rsidRDefault="009A448F" w:rsidP="00210205">
            <w:pPr>
              <w:keepNext/>
              <w:pBdr>
                <w:top w:val="single" w:sz="4" w:space="1" w:color="auto"/>
                <w:bottom w:val="single" w:sz="4" w:space="1" w:color="auto"/>
              </w:pBdr>
              <w:autoSpaceDE w:val="0"/>
              <w:autoSpaceDN w:val="0"/>
              <w:adjustRightInd w:val="0"/>
              <w:ind w:left="-109"/>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29" w:type="pct"/>
            <w:tcBorders>
              <w:left w:val="single" w:sz="4" w:space="0" w:color="auto"/>
            </w:tcBorders>
            <w:shd w:val="clear" w:color="auto" w:fill="FFFF00"/>
          </w:tcPr>
          <w:p w:rsidR="009A448F" w:rsidRPr="00B71B9A" w:rsidRDefault="009A448F" w:rsidP="00210205">
            <w:pPr>
              <w:keepNext/>
              <w:pBdr>
                <w:top w:val="single" w:sz="4" w:space="1" w:color="auto"/>
                <w:bottom w:val="single" w:sz="4" w:space="1" w:color="auto"/>
              </w:pBdr>
              <w:autoSpaceDE w:val="0"/>
              <w:autoSpaceDN w:val="0"/>
              <w:adjustRightInd w:val="0"/>
              <w:ind w:left="-109"/>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79" w:type="pct"/>
            <w:shd w:val="clear" w:color="auto" w:fill="FFFF00"/>
          </w:tcPr>
          <w:p w:rsidR="009A448F" w:rsidRPr="00B71B9A" w:rsidRDefault="009A448F" w:rsidP="00210205">
            <w:pPr>
              <w:keepNext/>
              <w:pBdr>
                <w:top w:val="single" w:sz="4" w:space="1" w:color="auto"/>
                <w:bottom w:val="single" w:sz="4" w:space="1" w:color="auto"/>
              </w:pBdr>
              <w:autoSpaceDE w:val="0"/>
              <w:autoSpaceDN w:val="0"/>
              <w:adjustRightInd w:val="0"/>
              <w:ind w:left="-107"/>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88" w:type="pct"/>
            <w:shd w:val="clear" w:color="auto" w:fill="FFFF00"/>
          </w:tcPr>
          <w:p w:rsidR="009A448F" w:rsidRPr="00B71B9A" w:rsidRDefault="009A448F" w:rsidP="00B17AD3">
            <w:pPr>
              <w:keepNext/>
              <w:pBdr>
                <w:top w:val="single" w:sz="4" w:space="1" w:color="auto"/>
                <w:bottom w:val="single" w:sz="4" w:space="1" w:color="auto"/>
              </w:pBdr>
              <w:autoSpaceDE w:val="0"/>
              <w:autoSpaceDN w:val="0"/>
              <w:adjustRightInd w:val="0"/>
              <w:ind w:left="-109"/>
              <w:jc w:val="right"/>
              <w:rPr>
                <w:rFonts w:asciiTheme="minorHAnsi" w:hAnsiTheme="minorHAnsi" w:cstheme="minorHAnsi"/>
                <w:bCs/>
                <w:color w:val="000000"/>
                <w:sz w:val="18"/>
                <w:szCs w:val="18"/>
                <w:highlight w:val="yellow"/>
              </w:rPr>
            </w:pPr>
          </w:p>
        </w:tc>
        <w:tc>
          <w:tcPr>
            <w:tcW w:w="514" w:type="pct"/>
            <w:tcBorders>
              <w:right w:val="single" w:sz="4" w:space="0" w:color="auto"/>
            </w:tcBorders>
            <w:shd w:val="clear" w:color="auto" w:fill="FFFF00"/>
          </w:tcPr>
          <w:p w:rsidR="009A448F" w:rsidRPr="00B71B9A" w:rsidRDefault="009A448F" w:rsidP="00210205">
            <w:pPr>
              <w:keepNext/>
              <w:pBdr>
                <w:top w:val="single" w:sz="4" w:space="1" w:color="auto"/>
                <w:bottom w:val="single" w:sz="4" w:space="1" w:color="auto"/>
              </w:pBdr>
              <w:autoSpaceDE w:val="0"/>
              <w:autoSpaceDN w:val="0"/>
              <w:adjustRightInd w:val="0"/>
              <w:ind w:left="-155"/>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450" w:type="pct"/>
            <w:tcBorders>
              <w:left w:val="single" w:sz="4" w:space="0" w:color="auto"/>
            </w:tcBorders>
            <w:shd w:val="clear" w:color="auto" w:fill="FFFF00"/>
          </w:tcPr>
          <w:p w:rsidR="009A448F" w:rsidRPr="00B71B9A" w:rsidRDefault="000C3978" w:rsidP="00210205">
            <w:pPr>
              <w:keepNext/>
              <w:pBdr>
                <w:top w:val="single" w:sz="4" w:space="1" w:color="auto"/>
                <w:bottom w:val="single" w:sz="4" w:space="1" w:color="auto"/>
              </w:pBdr>
              <w:autoSpaceDE w:val="0"/>
              <w:autoSpaceDN w:val="0"/>
              <w:adjustRightInd w:val="0"/>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85" w:type="pct"/>
            <w:shd w:val="clear" w:color="auto" w:fill="FFFF00"/>
          </w:tcPr>
          <w:p w:rsidR="009A448F" w:rsidRPr="00B71B9A" w:rsidRDefault="00FA6972" w:rsidP="002A4AAD">
            <w:pPr>
              <w:keepNext/>
              <w:pBdr>
                <w:top w:val="single" w:sz="4" w:space="1" w:color="auto"/>
                <w:bottom w:val="single" w:sz="4" w:space="1" w:color="auto"/>
              </w:pBdr>
              <w:autoSpaceDE w:val="0"/>
              <w:autoSpaceDN w:val="0"/>
              <w:adjustRightInd w:val="0"/>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(349.6)</w:t>
            </w:r>
          </w:p>
        </w:tc>
        <w:tc>
          <w:tcPr>
            <w:tcW w:w="449" w:type="pct"/>
            <w:tcBorders>
              <w:right w:val="single" w:sz="4" w:space="0" w:color="auto"/>
            </w:tcBorders>
            <w:shd w:val="clear" w:color="auto" w:fill="FFFF00"/>
          </w:tcPr>
          <w:p w:rsidR="009A448F" w:rsidRPr="00B71B9A" w:rsidRDefault="00007070" w:rsidP="002162AA">
            <w:pPr>
              <w:keepNext/>
              <w:pBdr>
                <w:top w:val="single" w:sz="4" w:space="1" w:color="auto"/>
                <w:bottom w:val="single" w:sz="4" w:space="1" w:color="auto"/>
              </w:pBdr>
              <w:autoSpaceDE w:val="0"/>
              <w:autoSpaceDN w:val="0"/>
              <w:adjustRightInd w:val="0"/>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w:t>
            </w:r>
          </w:p>
        </w:tc>
        <w:tc>
          <w:tcPr>
            <w:tcW w:w="428" w:type="pct"/>
            <w:tcBorders>
              <w:left w:val="single" w:sz="4" w:space="0" w:color="auto"/>
            </w:tcBorders>
            <w:shd w:val="clear" w:color="auto" w:fill="FFFF00"/>
          </w:tcPr>
          <w:p w:rsidR="009A448F" w:rsidRPr="00B71B9A" w:rsidRDefault="001A1E94" w:rsidP="002A4AAD">
            <w:pPr>
              <w:keepNext/>
              <w:pBdr>
                <w:top w:val="single" w:sz="4" w:space="1" w:color="auto"/>
                <w:bottom w:val="single" w:sz="4" w:space="1" w:color="auto"/>
              </w:pBdr>
              <w:tabs>
                <w:tab w:val="left" w:pos="963"/>
              </w:tabs>
              <w:autoSpaceDE w:val="0"/>
              <w:autoSpaceDN w:val="0"/>
              <w:adjustRightInd w:val="0"/>
              <w:ind w:left="-111"/>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522</w:t>
            </w:r>
            <w:r w:rsidR="00007070">
              <w:rPr>
                <w:rFonts w:asciiTheme="minorHAnsi" w:hAnsiTheme="minorHAnsi" w:cstheme="minorHAnsi"/>
                <w:bCs/>
                <w:color w:val="000000"/>
                <w:sz w:val="18"/>
                <w:szCs w:val="18"/>
                <w:highlight w:val="yellow"/>
              </w:rPr>
              <w:t>.</w:t>
            </w:r>
            <w:r>
              <w:rPr>
                <w:rFonts w:asciiTheme="minorHAnsi" w:hAnsiTheme="minorHAnsi" w:cstheme="minorHAnsi"/>
                <w:bCs/>
                <w:color w:val="000000"/>
                <w:sz w:val="18"/>
                <w:szCs w:val="18"/>
                <w:highlight w:val="yellow"/>
              </w:rPr>
              <w:t>5</w:t>
            </w:r>
          </w:p>
        </w:tc>
      </w:tr>
      <w:tr w:rsidR="00D64781" w:rsidRPr="00D64781" w:rsidTr="002A4AAD">
        <w:trPr>
          <w:trHeight w:val="247"/>
        </w:trPr>
        <w:tc>
          <w:tcPr>
            <w:tcW w:w="1290" w:type="pct"/>
            <w:tcBorders>
              <w:right w:val="single" w:sz="4" w:space="0" w:color="auto"/>
            </w:tcBorders>
            <w:shd w:val="clear" w:color="auto" w:fill="FFFF00"/>
          </w:tcPr>
          <w:p w:rsidR="009A448F" w:rsidRPr="00B71B9A" w:rsidRDefault="009A448F" w:rsidP="002841DD">
            <w:pPr>
              <w:keepNext/>
              <w:autoSpaceDE w:val="0"/>
              <w:autoSpaceDN w:val="0"/>
              <w:adjustRightInd w:val="0"/>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Total comprehensive income</w:t>
            </w:r>
          </w:p>
        </w:tc>
        <w:tc>
          <w:tcPr>
            <w:tcW w:w="388" w:type="pct"/>
            <w:tcBorders>
              <w:left w:val="single" w:sz="4" w:space="0" w:color="auto"/>
              <w:bottom w:val="single" w:sz="4" w:space="0" w:color="auto"/>
            </w:tcBorders>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29" w:type="pct"/>
            <w:tcBorders>
              <w:left w:val="single" w:sz="4" w:space="0" w:color="auto"/>
              <w:bottom w:val="single" w:sz="4" w:space="0" w:color="auto"/>
            </w:tcBorders>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79" w:type="pct"/>
            <w:tcBorders>
              <w:bottom w:val="single" w:sz="4" w:space="0" w:color="auto"/>
            </w:tcBorders>
            <w:shd w:val="clear" w:color="auto" w:fill="FFFF00"/>
          </w:tcPr>
          <w:p w:rsidR="009A448F" w:rsidRPr="00B71B9A" w:rsidRDefault="009A448F" w:rsidP="000C0F4D">
            <w:pPr>
              <w:keepNext/>
              <w:autoSpaceDE w:val="0"/>
              <w:autoSpaceDN w:val="0"/>
              <w:adjustRightInd w:val="0"/>
              <w:ind w:left="-107"/>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88" w:type="pct"/>
            <w:tcBorders>
              <w:bottom w:val="single" w:sz="4" w:space="0" w:color="auto"/>
            </w:tcBorders>
            <w:shd w:val="clear" w:color="auto" w:fill="FFFF00"/>
          </w:tcPr>
          <w:p w:rsidR="00B17AD3" w:rsidRPr="00B71B9A" w:rsidRDefault="00FA6972" w:rsidP="002A4AAD">
            <w:pPr>
              <w:keepNext/>
              <w:autoSpaceDE w:val="0"/>
              <w:autoSpaceDN w:val="0"/>
              <w:adjustRightInd w:val="0"/>
              <w:ind w:left="-109"/>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397.1</w:t>
            </w:r>
          </w:p>
        </w:tc>
        <w:tc>
          <w:tcPr>
            <w:tcW w:w="514" w:type="pct"/>
            <w:tcBorders>
              <w:bottom w:val="single" w:sz="4" w:space="0" w:color="auto"/>
              <w:right w:val="single" w:sz="4" w:space="0" w:color="auto"/>
            </w:tcBorders>
            <w:shd w:val="clear" w:color="auto" w:fill="FFFF00"/>
          </w:tcPr>
          <w:p w:rsidR="009A448F" w:rsidRPr="00B71B9A" w:rsidRDefault="009A448F" w:rsidP="000C0F4D">
            <w:pPr>
              <w:keepNext/>
              <w:autoSpaceDE w:val="0"/>
              <w:autoSpaceDN w:val="0"/>
              <w:adjustRightInd w:val="0"/>
              <w:ind w:left="-155"/>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450" w:type="pct"/>
            <w:tcBorders>
              <w:left w:val="single" w:sz="4" w:space="0" w:color="auto"/>
              <w:bottom w:val="single" w:sz="4" w:space="0" w:color="auto"/>
            </w:tcBorders>
            <w:shd w:val="clear" w:color="auto" w:fill="FFFF00"/>
          </w:tcPr>
          <w:p w:rsidR="000C3978" w:rsidRPr="00B71B9A" w:rsidRDefault="000C3978" w:rsidP="000C0F4D">
            <w:pPr>
              <w:keepNext/>
              <w:autoSpaceDE w:val="0"/>
              <w:autoSpaceDN w:val="0"/>
              <w:adjustRightInd w:val="0"/>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85" w:type="pct"/>
            <w:tcBorders>
              <w:bottom w:val="single" w:sz="4" w:space="0" w:color="auto"/>
            </w:tcBorders>
            <w:shd w:val="clear" w:color="auto" w:fill="FFFF00"/>
          </w:tcPr>
          <w:p w:rsidR="009A448F" w:rsidRPr="00B71B9A" w:rsidRDefault="00FA6972" w:rsidP="002A4AAD">
            <w:pPr>
              <w:keepNext/>
              <w:autoSpaceDE w:val="0"/>
              <w:autoSpaceDN w:val="0"/>
              <w:adjustRightInd w:val="0"/>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(349.6)</w:t>
            </w:r>
          </w:p>
        </w:tc>
        <w:tc>
          <w:tcPr>
            <w:tcW w:w="449" w:type="pct"/>
            <w:tcBorders>
              <w:bottom w:val="single" w:sz="4" w:space="0" w:color="auto"/>
              <w:right w:val="single" w:sz="4" w:space="0" w:color="auto"/>
            </w:tcBorders>
            <w:shd w:val="clear" w:color="auto" w:fill="FFFF00"/>
          </w:tcPr>
          <w:p w:rsidR="009A448F" w:rsidRPr="00B71B9A" w:rsidRDefault="00007070" w:rsidP="002162AA">
            <w:pPr>
              <w:keepNext/>
              <w:autoSpaceDE w:val="0"/>
              <w:autoSpaceDN w:val="0"/>
              <w:adjustRightInd w:val="0"/>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w:t>
            </w:r>
          </w:p>
        </w:tc>
        <w:tc>
          <w:tcPr>
            <w:tcW w:w="428" w:type="pct"/>
            <w:tcBorders>
              <w:left w:val="single" w:sz="4" w:space="0" w:color="auto"/>
              <w:bottom w:val="single" w:sz="4" w:space="0" w:color="auto"/>
            </w:tcBorders>
            <w:shd w:val="clear" w:color="auto" w:fill="FFFF00"/>
          </w:tcPr>
          <w:p w:rsidR="009A448F" w:rsidRPr="00B71B9A" w:rsidRDefault="00FA6972" w:rsidP="002A4AAD">
            <w:pPr>
              <w:keepNext/>
              <w:tabs>
                <w:tab w:val="left" w:pos="963"/>
              </w:tabs>
              <w:autoSpaceDE w:val="0"/>
              <w:autoSpaceDN w:val="0"/>
              <w:adjustRightInd w:val="0"/>
              <w:ind w:left="-111"/>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47.5</w:t>
            </w:r>
          </w:p>
        </w:tc>
      </w:tr>
      <w:tr w:rsidR="00D64781" w:rsidRPr="00D64781" w:rsidTr="002A4AAD">
        <w:trPr>
          <w:trHeight w:val="247"/>
        </w:trPr>
        <w:tc>
          <w:tcPr>
            <w:tcW w:w="1290" w:type="pct"/>
            <w:tcBorders>
              <w:right w:val="single" w:sz="4" w:space="0" w:color="auto"/>
            </w:tcBorders>
            <w:shd w:val="clear" w:color="auto" w:fill="FFFF00"/>
          </w:tcPr>
          <w:p w:rsidR="009A448F" w:rsidRPr="00B71B9A" w:rsidRDefault="009A448F" w:rsidP="000C0F4D">
            <w:pPr>
              <w:keepNext/>
              <w:autoSpaceDE w:val="0"/>
              <w:autoSpaceDN w:val="0"/>
              <w:adjustRightInd w:val="0"/>
              <w:rPr>
                <w:rFonts w:asciiTheme="minorHAnsi" w:hAnsiTheme="minorHAnsi" w:cstheme="minorHAnsi"/>
                <w:bCs/>
                <w:i/>
                <w:color w:val="000000"/>
                <w:sz w:val="18"/>
                <w:szCs w:val="18"/>
                <w:highlight w:val="yellow"/>
              </w:rPr>
            </w:pPr>
            <w:r w:rsidRPr="00B71B9A">
              <w:rPr>
                <w:rFonts w:asciiTheme="minorHAnsi" w:hAnsiTheme="minorHAnsi" w:cstheme="minorHAnsi"/>
                <w:bCs/>
                <w:i/>
                <w:color w:val="000000"/>
                <w:sz w:val="18"/>
                <w:szCs w:val="18"/>
                <w:highlight w:val="yellow"/>
              </w:rPr>
              <w:t>Transactions with owners of the Company recognised directly in equity</w:t>
            </w:r>
          </w:p>
        </w:tc>
        <w:tc>
          <w:tcPr>
            <w:tcW w:w="388" w:type="pct"/>
            <w:tcBorders>
              <w:top w:val="single" w:sz="4" w:space="0" w:color="auto"/>
              <w:left w:val="single" w:sz="4" w:space="0" w:color="auto"/>
              <w:right w:val="single" w:sz="4" w:space="0" w:color="auto"/>
            </w:tcBorders>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p>
        </w:tc>
        <w:tc>
          <w:tcPr>
            <w:tcW w:w="329" w:type="pct"/>
            <w:tcBorders>
              <w:top w:val="single" w:sz="4" w:space="0" w:color="auto"/>
              <w:left w:val="single" w:sz="4" w:space="0" w:color="auto"/>
            </w:tcBorders>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p>
        </w:tc>
        <w:tc>
          <w:tcPr>
            <w:tcW w:w="379" w:type="pct"/>
            <w:tcBorders>
              <w:top w:val="single" w:sz="4" w:space="0" w:color="auto"/>
            </w:tcBorders>
            <w:shd w:val="clear" w:color="auto" w:fill="FFFF00"/>
          </w:tcPr>
          <w:p w:rsidR="009A448F" w:rsidRPr="00B71B9A" w:rsidRDefault="009A448F" w:rsidP="000C0F4D">
            <w:pPr>
              <w:keepNext/>
              <w:autoSpaceDE w:val="0"/>
              <w:autoSpaceDN w:val="0"/>
              <w:adjustRightInd w:val="0"/>
              <w:ind w:left="-107"/>
              <w:jc w:val="right"/>
              <w:rPr>
                <w:rFonts w:asciiTheme="minorHAnsi" w:hAnsiTheme="minorHAnsi" w:cstheme="minorHAnsi"/>
                <w:bCs/>
                <w:color w:val="000000"/>
                <w:sz w:val="18"/>
                <w:szCs w:val="18"/>
                <w:highlight w:val="yellow"/>
              </w:rPr>
            </w:pPr>
          </w:p>
        </w:tc>
        <w:tc>
          <w:tcPr>
            <w:tcW w:w="388" w:type="pct"/>
            <w:tcBorders>
              <w:top w:val="single" w:sz="4" w:space="0" w:color="auto"/>
            </w:tcBorders>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p>
        </w:tc>
        <w:tc>
          <w:tcPr>
            <w:tcW w:w="514" w:type="pct"/>
            <w:tcBorders>
              <w:top w:val="single" w:sz="4" w:space="0" w:color="auto"/>
              <w:right w:val="single" w:sz="4" w:space="0" w:color="auto"/>
            </w:tcBorders>
            <w:shd w:val="clear" w:color="auto" w:fill="FFFF00"/>
          </w:tcPr>
          <w:p w:rsidR="009A448F" w:rsidRPr="00B71B9A" w:rsidRDefault="009A448F" w:rsidP="000C0F4D">
            <w:pPr>
              <w:keepNext/>
              <w:autoSpaceDE w:val="0"/>
              <w:autoSpaceDN w:val="0"/>
              <w:adjustRightInd w:val="0"/>
              <w:ind w:left="-155"/>
              <w:jc w:val="right"/>
              <w:rPr>
                <w:rFonts w:asciiTheme="minorHAnsi" w:hAnsiTheme="minorHAnsi" w:cstheme="minorHAnsi"/>
                <w:bCs/>
                <w:color w:val="000000"/>
                <w:sz w:val="18"/>
                <w:szCs w:val="18"/>
                <w:highlight w:val="yellow"/>
              </w:rPr>
            </w:pPr>
          </w:p>
        </w:tc>
        <w:tc>
          <w:tcPr>
            <w:tcW w:w="450" w:type="pct"/>
            <w:tcBorders>
              <w:top w:val="single" w:sz="4" w:space="0" w:color="auto"/>
              <w:left w:val="single" w:sz="4" w:space="0" w:color="auto"/>
            </w:tcBorders>
            <w:shd w:val="clear" w:color="auto" w:fill="FFFF00"/>
          </w:tcPr>
          <w:p w:rsidR="009A448F" w:rsidRPr="00B71B9A" w:rsidRDefault="009A448F" w:rsidP="000C0F4D">
            <w:pPr>
              <w:keepNext/>
              <w:autoSpaceDE w:val="0"/>
              <w:autoSpaceDN w:val="0"/>
              <w:adjustRightInd w:val="0"/>
              <w:jc w:val="right"/>
              <w:rPr>
                <w:rFonts w:asciiTheme="minorHAnsi" w:hAnsiTheme="minorHAnsi" w:cstheme="minorHAnsi"/>
                <w:bCs/>
                <w:color w:val="000000"/>
                <w:sz w:val="18"/>
                <w:szCs w:val="18"/>
                <w:highlight w:val="yellow"/>
              </w:rPr>
            </w:pPr>
          </w:p>
        </w:tc>
        <w:tc>
          <w:tcPr>
            <w:tcW w:w="385" w:type="pct"/>
            <w:tcBorders>
              <w:top w:val="single" w:sz="4" w:space="0" w:color="auto"/>
            </w:tcBorders>
            <w:shd w:val="clear" w:color="auto" w:fill="FFFF00"/>
          </w:tcPr>
          <w:p w:rsidR="009A448F" w:rsidRPr="00B71B9A" w:rsidRDefault="009A448F" w:rsidP="000C0F4D">
            <w:pPr>
              <w:keepNext/>
              <w:autoSpaceDE w:val="0"/>
              <w:autoSpaceDN w:val="0"/>
              <w:adjustRightInd w:val="0"/>
              <w:jc w:val="right"/>
              <w:rPr>
                <w:rFonts w:asciiTheme="minorHAnsi" w:hAnsiTheme="minorHAnsi" w:cstheme="minorHAnsi"/>
                <w:bCs/>
                <w:color w:val="000000"/>
                <w:sz w:val="18"/>
                <w:szCs w:val="18"/>
                <w:highlight w:val="yellow"/>
              </w:rPr>
            </w:pPr>
          </w:p>
        </w:tc>
        <w:tc>
          <w:tcPr>
            <w:tcW w:w="449" w:type="pct"/>
            <w:tcBorders>
              <w:top w:val="single" w:sz="4" w:space="0" w:color="auto"/>
              <w:right w:val="single" w:sz="4" w:space="0" w:color="auto"/>
            </w:tcBorders>
            <w:shd w:val="clear" w:color="auto" w:fill="FFFF00"/>
          </w:tcPr>
          <w:p w:rsidR="009A448F" w:rsidRPr="00B71B9A" w:rsidRDefault="009A448F" w:rsidP="000C0F4D">
            <w:pPr>
              <w:keepNext/>
              <w:autoSpaceDE w:val="0"/>
              <w:autoSpaceDN w:val="0"/>
              <w:adjustRightInd w:val="0"/>
              <w:jc w:val="right"/>
              <w:rPr>
                <w:rFonts w:asciiTheme="minorHAnsi" w:hAnsiTheme="minorHAnsi" w:cstheme="minorHAnsi"/>
                <w:bCs/>
                <w:color w:val="000000"/>
                <w:sz w:val="18"/>
                <w:szCs w:val="18"/>
                <w:highlight w:val="yellow"/>
              </w:rPr>
            </w:pPr>
          </w:p>
        </w:tc>
        <w:tc>
          <w:tcPr>
            <w:tcW w:w="428" w:type="pct"/>
            <w:tcBorders>
              <w:top w:val="single" w:sz="4" w:space="0" w:color="auto"/>
              <w:left w:val="single" w:sz="4" w:space="0" w:color="auto"/>
            </w:tcBorders>
            <w:shd w:val="clear" w:color="auto" w:fill="FFFF00"/>
          </w:tcPr>
          <w:p w:rsidR="009A448F" w:rsidRPr="00B71B9A" w:rsidRDefault="009A448F" w:rsidP="000C0F4D">
            <w:pPr>
              <w:keepNext/>
              <w:tabs>
                <w:tab w:val="left" w:pos="963"/>
              </w:tabs>
              <w:autoSpaceDE w:val="0"/>
              <w:autoSpaceDN w:val="0"/>
              <w:adjustRightInd w:val="0"/>
              <w:ind w:left="-111"/>
              <w:jc w:val="right"/>
              <w:rPr>
                <w:rFonts w:asciiTheme="minorHAnsi" w:hAnsiTheme="minorHAnsi" w:cstheme="minorHAnsi"/>
                <w:bCs/>
                <w:color w:val="000000"/>
                <w:sz w:val="18"/>
                <w:szCs w:val="18"/>
                <w:highlight w:val="yellow"/>
              </w:rPr>
            </w:pPr>
          </w:p>
        </w:tc>
      </w:tr>
      <w:tr w:rsidR="00D64781" w:rsidRPr="00D64781" w:rsidTr="002A4AAD">
        <w:trPr>
          <w:trHeight w:val="247"/>
        </w:trPr>
        <w:tc>
          <w:tcPr>
            <w:tcW w:w="1290" w:type="pct"/>
            <w:tcBorders>
              <w:right w:val="single" w:sz="4" w:space="0" w:color="auto"/>
            </w:tcBorders>
            <w:shd w:val="clear" w:color="auto" w:fill="FFFF00"/>
          </w:tcPr>
          <w:p w:rsidR="009A448F" w:rsidRPr="00B71B9A" w:rsidRDefault="009A448F" w:rsidP="000C0F4D">
            <w:pPr>
              <w:keepNext/>
              <w:autoSpaceDE w:val="0"/>
              <w:autoSpaceDN w:val="0"/>
              <w:adjustRightInd w:val="0"/>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Share-based payments</w:t>
            </w:r>
          </w:p>
        </w:tc>
        <w:tc>
          <w:tcPr>
            <w:tcW w:w="388" w:type="pct"/>
            <w:tcBorders>
              <w:left w:val="single" w:sz="4" w:space="0" w:color="auto"/>
              <w:right w:val="single" w:sz="4" w:space="0" w:color="auto"/>
            </w:tcBorders>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29" w:type="pct"/>
            <w:tcBorders>
              <w:left w:val="single" w:sz="4" w:space="0" w:color="auto"/>
            </w:tcBorders>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79" w:type="pct"/>
            <w:shd w:val="clear" w:color="auto" w:fill="FFFF00"/>
          </w:tcPr>
          <w:p w:rsidR="009A448F" w:rsidRPr="00B71B9A" w:rsidRDefault="009A448F" w:rsidP="000C0F4D">
            <w:pPr>
              <w:keepNext/>
              <w:autoSpaceDE w:val="0"/>
              <w:autoSpaceDN w:val="0"/>
              <w:adjustRightInd w:val="0"/>
              <w:ind w:left="-107"/>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88" w:type="pct"/>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p>
        </w:tc>
        <w:tc>
          <w:tcPr>
            <w:tcW w:w="514" w:type="pct"/>
            <w:tcBorders>
              <w:right w:val="single" w:sz="4" w:space="0" w:color="auto"/>
            </w:tcBorders>
            <w:shd w:val="clear" w:color="auto" w:fill="FFFF00"/>
          </w:tcPr>
          <w:p w:rsidR="009A448F" w:rsidRPr="00B71B9A" w:rsidRDefault="009A448F" w:rsidP="000C0F4D">
            <w:pPr>
              <w:keepNext/>
              <w:autoSpaceDE w:val="0"/>
              <w:autoSpaceDN w:val="0"/>
              <w:adjustRightInd w:val="0"/>
              <w:ind w:left="-155"/>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450" w:type="pct"/>
            <w:tcBorders>
              <w:left w:val="single" w:sz="4" w:space="0" w:color="auto"/>
            </w:tcBorders>
            <w:shd w:val="clear" w:color="auto" w:fill="FFFF00"/>
          </w:tcPr>
          <w:p w:rsidR="009A448F" w:rsidRPr="00B71B9A" w:rsidRDefault="000C3978" w:rsidP="000C0F4D">
            <w:pPr>
              <w:keepNext/>
              <w:autoSpaceDE w:val="0"/>
              <w:autoSpaceDN w:val="0"/>
              <w:adjustRightInd w:val="0"/>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85" w:type="pct"/>
            <w:shd w:val="clear" w:color="auto" w:fill="FFFF00"/>
          </w:tcPr>
          <w:p w:rsidR="009A448F" w:rsidRPr="00B71B9A" w:rsidRDefault="009A448F" w:rsidP="000C0F4D">
            <w:pPr>
              <w:keepNext/>
              <w:autoSpaceDE w:val="0"/>
              <w:autoSpaceDN w:val="0"/>
              <w:adjustRightInd w:val="0"/>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449" w:type="pct"/>
            <w:tcBorders>
              <w:right w:val="single" w:sz="4" w:space="0" w:color="auto"/>
            </w:tcBorders>
            <w:shd w:val="clear" w:color="auto" w:fill="FFFF00"/>
          </w:tcPr>
          <w:p w:rsidR="009A448F" w:rsidRPr="00B71B9A" w:rsidRDefault="00FA6972" w:rsidP="002A4AAD">
            <w:pPr>
              <w:keepNext/>
              <w:autoSpaceDE w:val="0"/>
              <w:autoSpaceDN w:val="0"/>
              <w:adjustRightInd w:val="0"/>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1.5</w:t>
            </w:r>
          </w:p>
        </w:tc>
        <w:tc>
          <w:tcPr>
            <w:tcW w:w="428" w:type="pct"/>
            <w:tcBorders>
              <w:left w:val="single" w:sz="4" w:space="0" w:color="auto"/>
            </w:tcBorders>
            <w:shd w:val="clear" w:color="auto" w:fill="FFFF00"/>
          </w:tcPr>
          <w:p w:rsidR="009A448F" w:rsidRPr="00B71B9A" w:rsidRDefault="00FA6972" w:rsidP="002A4AAD">
            <w:pPr>
              <w:keepNext/>
              <w:tabs>
                <w:tab w:val="left" w:pos="963"/>
              </w:tabs>
              <w:autoSpaceDE w:val="0"/>
              <w:autoSpaceDN w:val="0"/>
              <w:adjustRightInd w:val="0"/>
              <w:ind w:left="-111"/>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1.5</w:t>
            </w:r>
          </w:p>
        </w:tc>
      </w:tr>
      <w:tr w:rsidR="00D64781" w:rsidRPr="00D64781" w:rsidTr="002A4AAD">
        <w:trPr>
          <w:trHeight w:val="247"/>
        </w:trPr>
        <w:tc>
          <w:tcPr>
            <w:tcW w:w="1290" w:type="pct"/>
            <w:tcBorders>
              <w:right w:val="single" w:sz="4" w:space="0" w:color="auto"/>
            </w:tcBorders>
            <w:shd w:val="clear" w:color="auto" w:fill="FFFF00"/>
          </w:tcPr>
          <w:p w:rsidR="009A448F" w:rsidRPr="00B71B9A" w:rsidRDefault="009A448F" w:rsidP="000C0F4D">
            <w:pPr>
              <w:keepNext/>
              <w:autoSpaceDE w:val="0"/>
              <w:autoSpaceDN w:val="0"/>
              <w:adjustRightInd w:val="0"/>
              <w:rPr>
                <w:rFonts w:asciiTheme="minorHAnsi" w:hAnsiTheme="minorHAnsi" w:cstheme="minorHAnsi"/>
                <w:color w:val="000000"/>
                <w:sz w:val="18"/>
                <w:szCs w:val="18"/>
                <w:highlight w:val="yellow"/>
              </w:rPr>
            </w:pPr>
            <w:r w:rsidRPr="00B71B9A">
              <w:rPr>
                <w:rFonts w:asciiTheme="minorHAnsi" w:hAnsiTheme="minorHAnsi" w:cstheme="minorHAnsi"/>
                <w:color w:val="000000"/>
                <w:sz w:val="18"/>
                <w:szCs w:val="18"/>
                <w:highlight w:val="yellow"/>
              </w:rPr>
              <w:t>Repurchase of ordinary equity shares</w:t>
            </w:r>
          </w:p>
        </w:tc>
        <w:tc>
          <w:tcPr>
            <w:tcW w:w="388" w:type="pct"/>
            <w:tcBorders>
              <w:left w:val="single" w:sz="4" w:space="0" w:color="auto"/>
              <w:right w:val="single" w:sz="4" w:space="0" w:color="auto"/>
            </w:tcBorders>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29" w:type="pct"/>
            <w:tcBorders>
              <w:left w:val="single" w:sz="4" w:space="0" w:color="auto"/>
            </w:tcBorders>
            <w:shd w:val="clear" w:color="auto" w:fill="FFFF00"/>
          </w:tcPr>
          <w:p w:rsidR="009A448F" w:rsidRPr="00B71B9A" w:rsidRDefault="009A448F" w:rsidP="000C0F4D">
            <w:pPr>
              <w:keepNext/>
              <w:autoSpaceDE w:val="0"/>
              <w:autoSpaceDN w:val="0"/>
              <w:adjustRightInd w:val="0"/>
              <w:ind w:left="-109"/>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79" w:type="pct"/>
            <w:shd w:val="clear" w:color="auto" w:fill="FFFF00"/>
          </w:tcPr>
          <w:p w:rsidR="009A448F" w:rsidRPr="00B71B9A" w:rsidRDefault="009A448F" w:rsidP="000C0F4D">
            <w:pPr>
              <w:keepNext/>
              <w:autoSpaceDE w:val="0"/>
              <w:autoSpaceDN w:val="0"/>
              <w:adjustRightInd w:val="0"/>
              <w:ind w:left="-107"/>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88" w:type="pct"/>
            <w:shd w:val="clear" w:color="auto" w:fill="FFFF00"/>
          </w:tcPr>
          <w:p w:rsidR="009A448F" w:rsidRPr="00B71B9A" w:rsidRDefault="00FA6972" w:rsidP="002A4AAD">
            <w:pPr>
              <w:keepNext/>
              <w:autoSpaceDE w:val="0"/>
              <w:autoSpaceDN w:val="0"/>
              <w:adjustRightInd w:val="0"/>
              <w:ind w:left="-109"/>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(204.1)</w:t>
            </w:r>
          </w:p>
        </w:tc>
        <w:tc>
          <w:tcPr>
            <w:tcW w:w="514" w:type="pct"/>
            <w:tcBorders>
              <w:right w:val="single" w:sz="4" w:space="0" w:color="auto"/>
            </w:tcBorders>
            <w:shd w:val="clear" w:color="auto" w:fill="FFFF00"/>
          </w:tcPr>
          <w:p w:rsidR="009A448F" w:rsidRPr="00B71B9A" w:rsidRDefault="009A448F" w:rsidP="000C0F4D">
            <w:pPr>
              <w:keepNext/>
              <w:autoSpaceDE w:val="0"/>
              <w:autoSpaceDN w:val="0"/>
              <w:adjustRightInd w:val="0"/>
              <w:ind w:left="-155"/>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450" w:type="pct"/>
            <w:tcBorders>
              <w:left w:val="single" w:sz="4" w:space="0" w:color="auto"/>
            </w:tcBorders>
            <w:shd w:val="clear" w:color="auto" w:fill="FFFF00"/>
          </w:tcPr>
          <w:p w:rsidR="009A448F" w:rsidRPr="00B71B9A" w:rsidRDefault="004A357A" w:rsidP="000D3BA7">
            <w:pPr>
              <w:keepNext/>
              <w:autoSpaceDE w:val="0"/>
              <w:autoSpaceDN w:val="0"/>
              <w:adjustRightInd w:val="0"/>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w:t>
            </w:r>
          </w:p>
        </w:tc>
        <w:tc>
          <w:tcPr>
            <w:tcW w:w="385" w:type="pct"/>
            <w:shd w:val="clear" w:color="auto" w:fill="FFFF00"/>
          </w:tcPr>
          <w:p w:rsidR="009A448F" w:rsidRPr="00B71B9A" w:rsidRDefault="009A448F" w:rsidP="000C0F4D">
            <w:pPr>
              <w:keepNext/>
              <w:autoSpaceDE w:val="0"/>
              <w:autoSpaceDN w:val="0"/>
              <w:adjustRightInd w:val="0"/>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449" w:type="pct"/>
            <w:tcBorders>
              <w:right w:val="single" w:sz="4" w:space="0" w:color="auto"/>
            </w:tcBorders>
            <w:shd w:val="clear" w:color="auto" w:fill="FFFF00"/>
          </w:tcPr>
          <w:p w:rsidR="009A448F" w:rsidRPr="00B71B9A" w:rsidRDefault="009A448F" w:rsidP="000C0F4D">
            <w:pPr>
              <w:keepNext/>
              <w:autoSpaceDE w:val="0"/>
              <w:autoSpaceDN w:val="0"/>
              <w:adjustRightInd w:val="0"/>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428" w:type="pct"/>
            <w:tcBorders>
              <w:left w:val="single" w:sz="4" w:space="0" w:color="auto"/>
            </w:tcBorders>
            <w:shd w:val="clear" w:color="auto" w:fill="FFFF00"/>
          </w:tcPr>
          <w:p w:rsidR="009A448F" w:rsidRPr="00B71B9A" w:rsidRDefault="00007070" w:rsidP="002A4AAD">
            <w:pPr>
              <w:keepNext/>
              <w:tabs>
                <w:tab w:val="left" w:pos="963"/>
              </w:tabs>
              <w:autoSpaceDE w:val="0"/>
              <w:autoSpaceDN w:val="0"/>
              <w:adjustRightInd w:val="0"/>
              <w:ind w:left="-111"/>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w:t>
            </w:r>
            <w:r w:rsidR="00FA6972">
              <w:rPr>
                <w:rFonts w:asciiTheme="minorHAnsi" w:hAnsiTheme="minorHAnsi" w:cstheme="minorHAnsi"/>
                <w:bCs/>
                <w:color w:val="000000"/>
                <w:sz w:val="18"/>
                <w:szCs w:val="18"/>
                <w:highlight w:val="yellow"/>
              </w:rPr>
              <w:t>204.1</w:t>
            </w:r>
            <w:r>
              <w:rPr>
                <w:rFonts w:asciiTheme="minorHAnsi" w:hAnsiTheme="minorHAnsi" w:cstheme="minorHAnsi"/>
                <w:bCs/>
                <w:color w:val="000000"/>
                <w:sz w:val="18"/>
                <w:szCs w:val="18"/>
                <w:highlight w:val="yellow"/>
              </w:rPr>
              <w:t>)</w:t>
            </w:r>
          </w:p>
        </w:tc>
      </w:tr>
      <w:tr w:rsidR="000D3BA7" w:rsidRPr="00D64781" w:rsidTr="002A4AAD">
        <w:trPr>
          <w:trHeight w:val="247"/>
        </w:trPr>
        <w:tc>
          <w:tcPr>
            <w:tcW w:w="1290" w:type="pct"/>
            <w:tcBorders>
              <w:right w:val="single" w:sz="4" w:space="0" w:color="auto"/>
            </w:tcBorders>
            <w:shd w:val="clear" w:color="auto" w:fill="FFFF00"/>
          </w:tcPr>
          <w:p w:rsidR="000D3BA7" w:rsidRPr="00B71B9A" w:rsidRDefault="00B13339" w:rsidP="00317F0C">
            <w:pPr>
              <w:keepNext/>
              <w:autoSpaceDE w:val="0"/>
              <w:autoSpaceDN w:val="0"/>
              <w:adjustRightInd w:val="0"/>
              <w:rPr>
                <w:rFonts w:asciiTheme="minorHAnsi" w:hAnsiTheme="minorHAnsi" w:cstheme="minorHAnsi"/>
                <w:color w:val="000000"/>
                <w:sz w:val="18"/>
                <w:szCs w:val="18"/>
                <w:highlight w:val="yellow"/>
              </w:rPr>
            </w:pPr>
            <w:r>
              <w:rPr>
                <w:rFonts w:asciiTheme="minorHAnsi" w:hAnsiTheme="minorHAnsi" w:cstheme="minorHAnsi"/>
                <w:color w:val="000000"/>
                <w:sz w:val="18"/>
                <w:szCs w:val="18"/>
                <w:highlight w:val="yellow"/>
              </w:rPr>
              <w:t>Cancellation of repurchased ordinary shares</w:t>
            </w:r>
          </w:p>
        </w:tc>
        <w:tc>
          <w:tcPr>
            <w:tcW w:w="388" w:type="pct"/>
            <w:tcBorders>
              <w:left w:val="single" w:sz="4" w:space="0" w:color="auto"/>
              <w:right w:val="single" w:sz="4" w:space="0" w:color="auto"/>
            </w:tcBorders>
            <w:shd w:val="clear" w:color="auto" w:fill="FFFF00"/>
          </w:tcPr>
          <w:p w:rsidR="000D3BA7" w:rsidRPr="00B71B9A" w:rsidRDefault="00007070" w:rsidP="00B17AD3">
            <w:pPr>
              <w:keepNext/>
              <w:autoSpaceDE w:val="0"/>
              <w:autoSpaceDN w:val="0"/>
              <w:adjustRightInd w:val="0"/>
              <w:ind w:left="-109"/>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w:t>
            </w:r>
            <w:r w:rsidR="007831AE">
              <w:rPr>
                <w:rFonts w:asciiTheme="minorHAnsi" w:hAnsiTheme="minorHAnsi" w:cstheme="minorHAnsi"/>
                <w:bCs/>
                <w:color w:val="000000"/>
                <w:sz w:val="18"/>
                <w:szCs w:val="18"/>
                <w:highlight w:val="yellow"/>
              </w:rPr>
              <w:t>10.9</w:t>
            </w:r>
            <w:r>
              <w:rPr>
                <w:rFonts w:asciiTheme="minorHAnsi" w:hAnsiTheme="minorHAnsi" w:cstheme="minorHAnsi"/>
                <w:bCs/>
                <w:color w:val="000000"/>
                <w:sz w:val="18"/>
                <w:szCs w:val="18"/>
                <w:highlight w:val="yellow"/>
              </w:rPr>
              <w:t>)</w:t>
            </w:r>
          </w:p>
        </w:tc>
        <w:tc>
          <w:tcPr>
            <w:tcW w:w="329" w:type="pct"/>
            <w:tcBorders>
              <w:left w:val="single" w:sz="4" w:space="0" w:color="auto"/>
            </w:tcBorders>
            <w:shd w:val="clear" w:color="auto" w:fill="FFFF00"/>
          </w:tcPr>
          <w:p w:rsidR="000D3BA7" w:rsidRPr="00B71B9A" w:rsidRDefault="00B13339" w:rsidP="00B17AD3">
            <w:pPr>
              <w:keepNext/>
              <w:autoSpaceDE w:val="0"/>
              <w:autoSpaceDN w:val="0"/>
              <w:adjustRightInd w:val="0"/>
              <w:ind w:left="-109"/>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(0.</w:t>
            </w:r>
            <w:r w:rsidR="007831AE">
              <w:rPr>
                <w:rFonts w:asciiTheme="minorHAnsi" w:hAnsiTheme="minorHAnsi" w:cstheme="minorHAnsi"/>
                <w:bCs/>
                <w:color w:val="000000"/>
                <w:sz w:val="18"/>
                <w:szCs w:val="18"/>
                <w:highlight w:val="yellow"/>
              </w:rPr>
              <w:t>1</w:t>
            </w:r>
            <w:r>
              <w:rPr>
                <w:rFonts w:asciiTheme="minorHAnsi" w:hAnsiTheme="minorHAnsi" w:cstheme="minorHAnsi"/>
                <w:bCs/>
                <w:color w:val="000000"/>
                <w:sz w:val="18"/>
                <w:szCs w:val="18"/>
                <w:highlight w:val="yellow"/>
              </w:rPr>
              <w:t>)</w:t>
            </w:r>
          </w:p>
        </w:tc>
        <w:tc>
          <w:tcPr>
            <w:tcW w:w="379" w:type="pct"/>
            <w:shd w:val="clear" w:color="auto" w:fill="FFFF00"/>
          </w:tcPr>
          <w:p w:rsidR="000D3BA7" w:rsidRPr="00B71B9A" w:rsidRDefault="000D3BA7" w:rsidP="000C0F4D">
            <w:pPr>
              <w:keepNext/>
              <w:autoSpaceDE w:val="0"/>
              <w:autoSpaceDN w:val="0"/>
              <w:adjustRightInd w:val="0"/>
              <w:ind w:left="-107"/>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388" w:type="pct"/>
            <w:shd w:val="clear" w:color="auto" w:fill="FFFF00"/>
          </w:tcPr>
          <w:p w:rsidR="000D3BA7" w:rsidRPr="00B71B9A" w:rsidRDefault="00B13339" w:rsidP="00B17AD3">
            <w:pPr>
              <w:keepNext/>
              <w:autoSpaceDE w:val="0"/>
              <w:autoSpaceDN w:val="0"/>
              <w:adjustRightInd w:val="0"/>
              <w:ind w:left="-109"/>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w:t>
            </w:r>
          </w:p>
        </w:tc>
        <w:tc>
          <w:tcPr>
            <w:tcW w:w="514" w:type="pct"/>
            <w:tcBorders>
              <w:right w:val="single" w:sz="4" w:space="0" w:color="auto"/>
            </w:tcBorders>
            <w:shd w:val="clear" w:color="auto" w:fill="FFFF00"/>
          </w:tcPr>
          <w:p w:rsidR="000D3BA7" w:rsidRPr="00B71B9A" w:rsidRDefault="00B13339" w:rsidP="00B17AD3">
            <w:pPr>
              <w:keepNext/>
              <w:autoSpaceDE w:val="0"/>
              <w:autoSpaceDN w:val="0"/>
              <w:adjustRightInd w:val="0"/>
              <w:ind w:left="-155"/>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0.4</w:t>
            </w:r>
          </w:p>
        </w:tc>
        <w:tc>
          <w:tcPr>
            <w:tcW w:w="450" w:type="pct"/>
            <w:tcBorders>
              <w:left w:val="single" w:sz="4" w:space="0" w:color="auto"/>
            </w:tcBorders>
            <w:shd w:val="clear" w:color="auto" w:fill="FFFF00"/>
          </w:tcPr>
          <w:p w:rsidR="000D3BA7" w:rsidRPr="00B71B9A" w:rsidRDefault="00B13339" w:rsidP="000C3978">
            <w:pPr>
              <w:keepNext/>
              <w:autoSpaceDE w:val="0"/>
              <w:autoSpaceDN w:val="0"/>
              <w:adjustRightInd w:val="0"/>
              <w:jc w:val="right"/>
              <w:rPr>
                <w:rFonts w:asciiTheme="minorHAnsi" w:hAnsiTheme="minorHAnsi" w:cstheme="minorHAnsi"/>
                <w:bCs/>
                <w:color w:val="000000"/>
                <w:sz w:val="18"/>
                <w:szCs w:val="18"/>
                <w:highlight w:val="yellow"/>
              </w:rPr>
            </w:pPr>
            <w:r>
              <w:rPr>
                <w:rFonts w:asciiTheme="minorHAnsi" w:hAnsiTheme="minorHAnsi" w:cstheme="minorHAnsi"/>
                <w:bCs/>
                <w:color w:val="000000"/>
                <w:sz w:val="18"/>
                <w:szCs w:val="18"/>
                <w:highlight w:val="yellow"/>
              </w:rPr>
              <w:t>-</w:t>
            </w:r>
          </w:p>
        </w:tc>
        <w:tc>
          <w:tcPr>
            <w:tcW w:w="385" w:type="pct"/>
            <w:shd w:val="clear" w:color="auto" w:fill="FFFF00"/>
          </w:tcPr>
          <w:p w:rsidR="000D3BA7" w:rsidRPr="00B71B9A" w:rsidRDefault="000D3BA7" w:rsidP="000C0F4D">
            <w:pPr>
              <w:keepNext/>
              <w:autoSpaceDE w:val="0"/>
              <w:autoSpaceDN w:val="0"/>
              <w:adjustRightInd w:val="0"/>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449" w:type="pct"/>
            <w:tcBorders>
              <w:right w:val="single" w:sz="4" w:space="0" w:color="auto"/>
            </w:tcBorders>
            <w:shd w:val="clear" w:color="auto" w:fill="FFFF00"/>
          </w:tcPr>
          <w:p w:rsidR="000D3BA7" w:rsidRPr="00B71B9A" w:rsidRDefault="000D3BA7" w:rsidP="000C0F4D">
            <w:pPr>
              <w:keepNext/>
              <w:autoSpaceDE w:val="0"/>
              <w:autoSpaceDN w:val="0"/>
              <w:adjustRightInd w:val="0"/>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c>
          <w:tcPr>
            <w:tcW w:w="428" w:type="pct"/>
            <w:tcBorders>
              <w:left w:val="single" w:sz="4" w:space="0" w:color="auto"/>
            </w:tcBorders>
            <w:shd w:val="clear" w:color="auto" w:fill="FFFF00"/>
          </w:tcPr>
          <w:p w:rsidR="000D3BA7" w:rsidRPr="00B71B9A" w:rsidRDefault="000D3BA7" w:rsidP="000C0F4D">
            <w:pPr>
              <w:keepNext/>
              <w:tabs>
                <w:tab w:val="left" w:pos="963"/>
              </w:tabs>
              <w:autoSpaceDE w:val="0"/>
              <w:autoSpaceDN w:val="0"/>
              <w:adjustRightInd w:val="0"/>
              <w:ind w:left="-111"/>
              <w:jc w:val="right"/>
              <w:rPr>
                <w:rFonts w:asciiTheme="minorHAnsi" w:hAnsiTheme="minorHAnsi" w:cstheme="minorHAnsi"/>
                <w:bCs/>
                <w:color w:val="000000"/>
                <w:sz w:val="18"/>
                <w:szCs w:val="18"/>
                <w:highlight w:val="yellow"/>
              </w:rPr>
            </w:pPr>
            <w:r w:rsidRPr="00B71B9A">
              <w:rPr>
                <w:rFonts w:asciiTheme="minorHAnsi" w:hAnsiTheme="minorHAnsi" w:cstheme="minorHAnsi"/>
                <w:bCs/>
                <w:color w:val="000000"/>
                <w:sz w:val="18"/>
                <w:szCs w:val="18"/>
                <w:highlight w:val="yellow"/>
              </w:rPr>
              <w:t>-</w:t>
            </w:r>
          </w:p>
        </w:tc>
      </w:tr>
      <w:tr w:rsidR="00D64781" w:rsidRPr="00D64781" w:rsidTr="002A4AAD">
        <w:trPr>
          <w:trHeight w:val="247"/>
        </w:trPr>
        <w:tc>
          <w:tcPr>
            <w:tcW w:w="1290" w:type="pct"/>
            <w:tcBorders>
              <w:right w:val="single" w:sz="4" w:space="0" w:color="auto"/>
            </w:tcBorders>
            <w:shd w:val="clear" w:color="auto" w:fill="FFFF00"/>
          </w:tcPr>
          <w:p w:rsidR="009A448F" w:rsidRPr="00B71B9A" w:rsidRDefault="009A448F" w:rsidP="002A4AAD">
            <w:pPr>
              <w:keepNext/>
              <w:autoSpaceDE w:val="0"/>
              <w:autoSpaceDN w:val="0"/>
              <w:adjustRightInd w:val="0"/>
              <w:rPr>
                <w:rFonts w:asciiTheme="minorHAnsi" w:hAnsiTheme="minorHAnsi" w:cstheme="minorHAnsi"/>
                <w:b/>
                <w:bCs/>
                <w:color w:val="000000"/>
                <w:sz w:val="18"/>
                <w:szCs w:val="18"/>
                <w:highlight w:val="yellow"/>
              </w:rPr>
            </w:pPr>
            <w:r w:rsidRPr="00B71B9A">
              <w:rPr>
                <w:rFonts w:asciiTheme="minorHAnsi" w:hAnsiTheme="minorHAnsi" w:cstheme="minorHAnsi"/>
                <w:b/>
                <w:bCs/>
                <w:color w:val="000000"/>
                <w:sz w:val="18"/>
                <w:szCs w:val="18"/>
                <w:highlight w:val="yellow"/>
              </w:rPr>
              <w:t xml:space="preserve">Balance at </w:t>
            </w:r>
            <w:r w:rsidR="00B13339">
              <w:rPr>
                <w:rFonts w:asciiTheme="minorHAnsi" w:hAnsiTheme="minorHAnsi" w:cstheme="minorHAnsi"/>
                <w:b/>
                <w:bCs/>
                <w:color w:val="000000"/>
                <w:sz w:val="18"/>
                <w:szCs w:val="18"/>
                <w:highlight w:val="yellow"/>
              </w:rPr>
              <w:t>June</w:t>
            </w:r>
            <w:r w:rsidRPr="00B71B9A">
              <w:rPr>
                <w:rFonts w:asciiTheme="minorHAnsi" w:hAnsiTheme="minorHAnsi" w:cstheme="minorHAnsi"/>
                <w:b/>
                <w:bCs/>
                <w:color w:val="000000"/>
                <w:sz w:val="18"/>
                <w:szCs w:val="18"/>
                <w:highlight w:val="yellow"/>
              </w:rPr>
              <w:t xml:space="preserve"> </w:t>
            </w:r>
            <w:r w:rsidR="00007070">
              <w:rPr>
                <w:rFonts w:asciiTheme="minorHAnsi" w:hAnsiTheme="minorHAnsi" w:cstheme="minorHAnsi"/>
                <w:b/>
                <w:bCs/>
                <w:color w:val="000000"/>
                <w:sz w:val="18"/>
                <w:szCs w:val="18"/>
                <w:highlight w:val="yellow"/>
              </w:rPr>
              <w:t>3</w:t>
            </w:r>
            <w:r w:rsidR="00B13339">
              <w:rPr>
                <w:rFonts w:asciiTheme="minorHAnsi" w:hAnsiTheme="minorHAnsi" w:cstheme="minorHAnsi"/>
                <w:b/>
                <w:bCs/>
                <w:color w:val="000000"/>
                <w:sz w:val="18"/>
                <w:szCs w:val="18"/>
                <w:highlight w:val="yellow"/>
              </w:rPr>
              <w:t>0</w:t>
            </w:r>
            <w:r w:rsidR="00F72093" w:rsidRPr="00B71B9A">
              <w:rPr>
                <w:rFonts w:asciiTheme="minorHAnsi" w:hAnsiTheme="minorHAnsi" w:cstheme="minorHAnsi"/>
                <w:b/>
                <w:bCs/>
                <w:color w:val="000000"/>
                <w:sz w:val="18"/>
                <w:szCs w:val="18"/>
                <w:highlight w:val="yellow"/>
              </w:rPr>
              <w:t>,</w:t>
            </w:r>
            <w:r w:rsidRPr="00B71B9A">
              <w:rPr>
                <w:rFonts w:asciiTheme="minorHAnsi" w:hAnsiTheme="minorHAnsi" w:cstheme="minorHAnsi"/>
                <w:b/>
                <w:bCs/>
                <w:color w:val="000000"/>
                <w:sz w:val="18"/>
                <w:szCs w:val="18"/>
                <w:highlight w:val="yellow"/>
              </w:rPr>
              <w:t xml:space="preserve"> </w:t>
            </w:r>
            <w:r w:rsidR="00B71B9A" w:rsidRPr="00B71B9A">
              <w:rPr>
                <w:rFonts w:asciiTheme="minorHAnsi" w:hAnsiTheme="minorHAnsi" w:cstheme="minorHAnsi"/>
                <w:b/>
                <w:bCs/>
                <w:color w:val="000000"/>
                <w:sz w:val="18"/>
                <w:szCs w:val="18"/>
                <w:highlight w:val="yellow"/>
              </w:rPr>
              <w:t>201</w:t>
            </w:r>
            <w:r w:rsidR="007357F8">
              <w:rPr>
                <w:rFonts w:asciiTheme="minorHAnsi" w:hAnsiTheme="minorHAnsi" w:cstheme="minorHAnsi"/>
                <w:b/>
                <w:bCs/>
                <w:color w:val="000000"/>
                <w:sz w:val="18"/>
                <w:szCs w:val="18"/>
                <w:highlight w:val="yellow"/>
              </w:rPr>
              <w:t>7</w:t>
            </w:r>
          </w:p>
        </w:tc>
        <w:tc>
          <w:tcPr>
            <w:tcW w:w="388" w:type="pct"/>
            <w:tcBorders>
              <w:left w:val="single" w:sz="4" w:space="0" w:color="auto"/>
              <w:right w:val="single" w:sz="4" w:space="0" w:color="auto"/>
            </w:tcBorders>
            <w:shd w:val="clear" w:color="auto" w:fill="FFFF00"/>
          </w:tcPr>
          <w:p w:rsidR="009A448F" w:rsidRPr="00B71B9A" w:rsidRDefault="00007070" w:rsidP="00F76B40">
            <w:pPr>
              <w:keepNext/>
              <w:pBdr>
                <w:top w:val="single" w:sz="4" w:space="1" w:color="auto"/>
                <w:bottom w:val="single" w:sz="4" w:space="1" w:color="auto"/>
              </w:pBdr>
              <w:autoSpaceDE w:val="0"/>
              <w:autoSpaceDN w:val="0"/>
              <w:adjustRightInd w:val="0"/>
              <w:ind w:left="-109"/>
              <w:jc w:val="right"/>
              <w:rPr>
                <w:rFonts w:asciiTheme="minorHAnsi" w:hAnsiTheme="minorHAnsi" w:cstheme="minorHAnsi"/>
                <w:b/>
                <w:bCs/>
                <w:color w:val="000000"/>
                <w:sz w:val="18"/>
                <w:szCs w:val="18"/>
                <w:highlight w:val="yellow"/>
              </w:rPr>
            </w:pPr>
            <w:r>
              <w:rPr>
                <w:rFonts w:asciiTheme="minorHAnsi" w:hAnsiTheme="minorHAnsi" w:cstheme="minorHAnsi"/>
                <w:b/>
                <w:bCs/>
                <w:color w:val="000000"/>
                <w:sz w:val="18"/>
                <w:szCs w:val="18"/>
                <w:highlight w:val="yellow"/>
              </w:rPr>
              <w:t>1,2</w:t>
            </w:r>
            <w:r w:rsidR="007831AE">
              <w:rPr>
                <w:rFonts w:asciiTheme="minorHAnsi" w:hAnsiTheme="minorHAnsi" w:cstheme="minorHAnsi"/>
                <w:b/>
                <w:bCs/>
                <w:color w:val="000000"/>
                <w:sz w:val="18"/>
                <w:szCs w:val="18"/>
                <w:highlight w:val="yellow"/>
              </w:rPr>
              <w:t>0</w:t>
            </w:r>
            <w:r w:rsidR="001A1E94">
              <w:rPr>
                <w:rFonts w:asciiTheme="minorHAnsi" w:hAnsiTheme="minorHAnsi" w:cstheme="minorHAnsi"/>
                <w:b/>
                <w:bCs/>
                <w:color w:val="000000"/>
                <w:sz w:val="18"/>
                <w:szCs w:val="18"/>
                <w:highlight w:val="yellow"/>
              </w:rPr>
              <w:t>7</w:t>
            </w:r>
            <w:r>
              <w:rPr>
                <w:rFonts w:asciiTheme="minorHAnsi" w:hAnsiTheme="minorHAnsi" w:cstheme="minorHAnsi"/>
                <w:b/>
                <w:bCs/>
                <w:color w:val="000000"/>
                <w:sz w:val="18"/>
                <w:szCs w:val="18"/>
                <w:highlight w:val="yellow"/>
              </w:rPr>
              <w:t>.</w:t>
            </w:r>
            <w:r w:rsidR="007831AE">
              <w:rPr>
                <w:rFonts w:asciiTheme="minorHAnsi" w:hAnsiTheme="minorHAnsi" w:cstheme="minorHAnsi"/>
                <w:b/>
                <w:bCs/>
                <w:color w:val="000000"/>
                <w:sz w:val="18"/>
                <w:szCs w:val="18"/>
                <w:highlight w:val="yellow"/>
              </w:rPr>
              <w:t>0</w:t>
            </w:r>
          </w:p>
        </w:tc>
        <w:tc>
          <w:tcPr>
            <w:tcW w:w="329" w:type="pct"/>
            <w:tcBorders>
              <w:left w:val="single" w:sz="4" w:space="0" w:color="auto"/>
            </w:tcBorders>
            <w:shd w:val="clear" w:color="auto" w:fill="FFFF00"/>
          </w:tcPr>
          <w:p w:rsidR="009A448F" w:rsidRPr="00B71B9A" w:rsidRDefault="00007070" w:rsidP="00F76B40">
            <w:pPr>
              <w:keepNext/>
              <w:pBdr>
                <w:top w:val="single" w:sz="4" w:space="1" w:color="auto"/>
                <w:bottom w:val="single" w:sz="4" w:space="1" w:color="auto"/>
              </w:pBdr>
              <w:autoSpaceDE w:val="0"/>
              <w:autoSpaceDN w:val="0"/>
              <w:adjustRightInd w:val="0"/>
              <w:ind w:left="-109"/>
              <w:jc w:val="right"/>
              <w:rPr>
                <w:rFonts w:asciiTheme="minorHAnsi" w:hAnsiTheme="minorHAnsi" w:cstheme="minorHAnsi"/>
                <w:b/>
                <w:bCs/>
                <w:color w:val="000000"/>
                <w:sz w:val="18"/>
                <w:szCs w:val="18"/>
                <w:highlight w:val="yellow"/>
              </w:rPr>
            </w:pPr>
            <w:r>
              <w:rPr>
                <w:rFonts w:asciiTheme="minorHAnsi" w:hAnsiTheme="minorHAnsi" w:cstheme="minorHAnsi"/>
                <w:b/>
                <w:bCs/>
                <w:color w:val="000000"/>
                <w:sz w:val="18"/>
                <w:szCs w:val="18"/>
                <w:highlight w:val="yellow"/>
              </w:rPr>
              <w:t>7.</w:t>
            </w:r>
            <w:r w:rsidR="007831AE">
              <w:rPr>
                <w:rFonts w:asciiTheme="minorHAnsi" w:hAnsiTheme="minorHAnsi" w:cstheme="minorHAnsi"/>
                <w:b/>
                <w:bCs/>
                <w:color w:val="000000"/>
                <w:sz w:val="18"/>
                <w:szCs w:val="18"/>
                <w:highlight w:val="yellow"/>
              </w:rPr>
              <w:t>2</w:t>
            </w:r>
          </w:p>
        </w:tc>
        <w:tc>
          <w:tcPr>
            <w:tcW w:w="379" w:type="pct"/>
            <w:shd w:val="clear" w:color="auto" w:fill="FFFF00"/>
          </w:tcPr>
          <w:p w:rsidR="009A448F" w:rsidRPr="00B71B9A" w:rsidRDefault="00B17AD3" w:rsidP="000D3BA7">
            <w:pPr>
              <w:keepNext/>
              <w:pBdr>
                <w:top w:val="single" w:sz="4" w:space="1" w:color="auto"/>
                <w:bottom w:val="single" w:sz="4" w:space="1" w:color="auto"/>
              </w:pBdr>
              <w:autoSpaceDE w:val="0"/>
              <w:autoSpaceDN w:val="0"/>
              <w:adjustRightInd w:val="0"/>
              <w:ind w:left="-107"/>
              <w:jc w:val="right"/>
              <w:rPr>
                <w:rFonts w:asciiTheme="minorHAnsi" w:hAnsiTheme="minorHAnsi" w:cstheme="minorHAnsi"/>
                <w:b/>
                <w:bCs/>
                <w:color w:val="000000"/>
                <w:sz w:val="18"/>
                <w:szCs w:val="18"/>
                <w:highlight w:val="yellow"/>
              </w:rPr>
            </w:pPr>
            <w:r w:rsidRPr="00B71B9A">
              <w:rPr>
                <w:rFonts w:asciiTheme="minorHAnsi" w:hAnsiTheme="minorHAnsi" w:cstheme="minorHAnsi"/>
                <w:b/>
                <w:bCs/>
                <w:color w:val="000000"/>
                <w:sz w:val="18"/>
                <w:szCs w:val="18"/>
                <w:highlight w:val="yellow"/>
              </w:rPr>
              <w:t>71</w:t>
            </w:r>
            <w:r w:rsidR="000D3BA7" w:rsidRPr="00B71B9A">
              <w:rPr>
                <w:rFonts w:asciiTheme="minorHAnsi" w:hAnsiTheme="minorHAnsi" w:cstheme="minorHAnsi"/>
                <w:b/>
                <w:bCs/>
                <w:color w:val="000000"/>
                <w:sz w:val="18"/>
                <w:szCs w:val="18"/>
                <w:highlight w:val="yellow"/>
              </w:rPr>
              <w:t>9</w:t>
            </w:r>
            <w:r w:rsidR="009A448F" w:rsidRPr="00B71B9A">
              <w:rPr>
                <w:rFonts w:asciiTheme="minorHAnsi" w:hAnsiTheme="minorHAnsi" w:cstheme="minorHAnsi"/>
                <w:b/>
                <w:bCs/>
                <w:color w:val="000000"/>
                <w:sz w:val="18"/>
                <w:szCs w:val="18"/>
                <w:highlight w:val="yellow"/>
              </w:rPr>
              <w:t>.</w:t>
            </w:r>
            <w:r w:rsidR="000D3BA7" w:rsidRPr="00B71B9A">
              <w:rPr>
                <w:rFonts w:asciiTheme="minorHAnsi" w:hAnsiTheme="minorHAnsi" w:cstheme="minorHAnsi"/>
                <w:b/>
                <w:bCs/>
                <w:color w:val="000000"/>
                <w:sz w:val="18"/>
                <w:szCs w:val="18"/>
                <w:highlight w:val="yellow"/>
              </w:rPr>
              <w:t>4</w:t>
            </w:r>
          </w:p>
        </w:tc>
        <w:tc>
          <w:tcPr>
            <w:tcW w:w="388" w:type="pct"/>
            <w:shd w:val="clear" w:color="auto" w:fill="FFFF00"/>
          </w:tcPr>
          <w:p w:rsidR="009A448F" w:rsidRPr="00B71B9A" w:rsidRDefault="004A357A" w:rsidP="00F76B40">
            <w:pPr>
              <w:keepNext/>
              <w:pBdr>
                <w:top w:val="single" w:sz="4" w:space="1" w:color="auto"/>
                <w:bottom w:val="single" w:sz="4" w:space="1" w:color="auto"/>
              </w:pBdr>
              <w:autoSpaceDE w:val="0"/>
              <w:autoSpaceDN w:val="0"/>
              <w:adjustRightInd w:val="0"/>
              <w:ind w:left="-109"/>
              <w:jc w:val="right"/>
              <w:rPr>
                <w:rFonts w:asciiTheme="minorHAnsi" w:hAnsiTheme="minorHAnsi" w:cstheme="minorHAnsi"/>
                <w:b/>
                <w:bCs/>
                <w:color w:val="000000"/>
                <w:sz w:val="18"/>
                <w:szCs w:val="18"/>
                <w:highlight w:val="yellow"/>
              </w:rPr>
            </w:pPr>
            <w:r>
              <w:rPr>
                <w:rFonts w:asciiTheme="minorHAnsi" w:hAnsiTheme="minorHAnsi" w:cstheme="minorHAnsi"/>
                <w:b/>
                <w:bCs/>
                <w:color w:val="000000"/>
                <w:sz w:val="18"/>
                <w:szCs w:val="18"/>
                <w:highlight w:val="yellow"/>
              </w:rPr>
              <w:t>3</w:t>
            </w:r>
            <w:r w:rsidR="00007070">
              <w:rPr>
                <w:rFonts w:asciiTheme="minorHAnsi" w:hAnsiTheme="minorHAnsi" w:cstheme="minorHAnsi"/>
                <w:b/>
                <w:bCs/>
                <w:color w:val="000000"/>
                <w:sz w:val="18"/>
                <w:szCs w:val="18"/>
                <w:highlight w:val="yellow"/>
              </w:rPr>
              <w:t>,</w:t>
            </w:r>
            <w:r w:rsidR="00FA6972">
              <w:rPr>
                <w:rFonts w:asciiTheme="minorHAnsi" w:hAnsiTheme="minorHAnsi" w:cstheme="minorHAnsi"/>
                <w:b/>
                <w:bCs/>
                <w:color w:val="000000"/>
                <w:sz w:val="18"/>
                <w:szCs w:val="18"/>
                <w:highlight w:val="yellow"/>
              </w:rPr>
              <w:t>649.8</w:t>
            </w:r>
          </w:p>
        </w:tc>
        <w:tc>
          <w:tcPr>
            <w:tcW w:w="514" w:type="pct"/>
            <w:tcBorders>
              <w:right w:val="single" w:sz="4" w:space="0" w:color="auto"/>
            </w:tcBorders>
            <w:shd w:val="clear" w:color="auto" w:fill="FFFF00"/>
          </w:tcPr>
          <w:p w:rsidR="009A448F" w:rsidRPr="00B71B9A" w:rsidRDefault="00007070" w:rsidP="00F76B40">
            <w:pPr>
              <w:keepNext/>
              <w:pBdr>
                <w:top w:val="single" w:sz="4" w:space="1" w:color="auto"/>
                <w:bottom w:val="single" w:sz="4" w:space="1" w:color="auto"/>
              </w:pBdr>
              <w:autoSpaceDE w:val="0"/>
              <w:autoSpaceDN w:val="0"/>
              <w:adjustRightInd w:val="0"/>
              <w:ind w:left="-155"/>
              <w:jc w:val="right"/>
              <w:rPr>
                <w:rFonts w:asciiTheme="minorHAnsi" w:hAnsiTheme="minorHAnsi" w:cstheme="minorHAnsi"/>
                <w:b/>
                <w:bCs/>
                <w:color w:val="000000"/>
                <w:sz w:val="18"/>
                <w:szCs w:val="18"/>
                <w:highlight w:val="yellow"/>
              </w:rPr>
            </w:pPr>
            <w:r>
              <w:rPr>
                <w:rFonts w:asciiTheme="minorHAnsi" w:hAnsiTheme="minorHAnsi" w:cstheme="minorHAnsi"/>
                <w:b/>
                <w:bCs/>
                <w:color w:val="000000"/>
                <w:sz w:val="18"/>
                <w:szCs w:val="18"/>
                <w:highlight w:val="yellow"/>
              </w:rPr>
              <w:t>2.</w:t>
            </w:r>
            <w:r w:rsidR="001A1E94">
              <w:rPr>
                <w:rFonts w:asciiTheme="minorHAnsi" w:hAnsiTheme="minorHAnsi" w:cstheme="minorHAnsi"/>
                <w:b/>
                <w:bCs/>
                <w:color w:val="000000"/>
                <w:sz w:val="18"/>
                <w:szCs w:val="18"/>
                <w:highlight w:val="yellow"/>
              </w:rPr>
              <w:t>7</w:t>
            </w:r>
          </w:p>
        </w:tc>
        <w:tc>
          <w:tcPr>
            <w:tcW w:w="450" w:type="pct"/>
            <w:tcBorders>
              <w:left w:val="single" w:sz="4" w:space="0" w:color="auto"/>
            </w:tcBorders>
            <w:shd w:val="clear" w:color="auto" w:fill="FFFF00"/>
          </w:tcPr>
          <w:p w:rsidR="009A448F" w:rsidRPr="00B71B9A" w:rsidRDefault="004A357A" w:rsidP="000D3BA7">
            <w:pPr>
              <w:keepNext/>
              <w:pBdr>
                <w:top w:val="single" w:sz="4" w:space="1" w:color="auto"/>
                <w:left w:val="single" w:sz="4" w:space="4" w:color="auto"/>
                <w:bottom w:val="single" w:sz="4" w:space="1" w:color="auto"/>
              </w:pBdr>
              <w:autoSpaceDE w:val="0"/>
              <w:autoSpaceDN w:val="0"/>
              <w:adjustRightInd w:val="0"/>
              <w:jc w:val="right"/>
              <w:rPr>
                <w:rFonts w:asciiTheme="minorHAnsi" w:hAnsiTheme="minorHAnsi" w:cstheme="minorHAnsi"/>
                <w:b/>
                <w:bCs/>
                <w:color w:val="000000"/>
                <w:sz w:val="18"/>
                <w:szCs w:val="18"/>
                <w:highlight w:val="yellow"/>
              </w:rPr>
            </w:pPr>
            <w:r>
              <w:rPr>
                <w:rFonts w:asciiTheme="minorHAnsi" w:hAnsiTheme="minorHAnsi" w:cstheme="minorHAnsi"/>
                <w:b/>
                <w:bCs/>
                <w:color w:val="000000"/>
                <w:sz w:val="18"/>
                <w:szCs w:val="18"/>
                <w:highlight w:val="yellow"/>
              </w:rPr>
              <w:t>-</w:t>
            </w:r>
          </w:p>
        </w:tc>
        <w:tc>
          <w:tcPr>
            <w:tcW w:w="385" w:type="pct"/>
            <w:shd w:val="clear" w:color="auto" w:fill="FFFF00"/>
          </w:tcPr>
          <w:p w:rsidR="009A448F" w:rsidRPr="00B71B9A" w:rsidRDefault="00FA6972" w:rsidP="00F76B40">
            <w:pPr>
              <w:keepNext/>
              <w:pBdr>
                <w:top w:val="single" w:sz="4" w:space="1" w:color="auto"/>
                <w:bottom w:val="single" w:sz="4" w:space="1" w:color="auto"/>
              </w:pBdr>
              <w:autoSpaceDE w:val="0"/>
              <w:autoSpaceDN w:val="0"/>
              <w:adjustRightInd w:val="0"/>
              <w:jc w:val="right"/>
              <w:rPr>
                <w:rFonts w:asciiTheme="minorHAnsi" w:hAnsiTheme="minorHAnsi" w:cstheme="minorHAnsi"/>
                <w:b/>
                <w:bCs/>
                <w:color w:val="000000"/>
                <w:sz w:val="18"/>
                <w:szCs w:val="18"/>
                <w:highlight w:val="yellow"/>
              </w:rPr>
            </w:pPr>
            <w:r>
              <w:rPr>
                <w:rFonts w:asciiTheme="minorHAnsi" w:hAnsiTheme="minorHAnsi" w:cstheme="minorHAnsi"/>
                <w:b/>
                <w:bCs/>
                <w:color w:val="000000"/>
                <w:sz w:val="18"/>
                <w:szCs w:val="18"/>
                <w:highlight w:val="yellow"/>
              </w:rPr>
              <w:t>(127.7)</w:t>
            </w:r>
          </w:p>
        </w:tc>
        <w:tc>
          <w:tcPr>
            <w:tcW w:w="449" w:type="pct"/>
            <w:tcBorders>
              <w:right w:val="single" w:sz="4" w:space="0" w:color="auto"/>
            </w:tcBorders>
            <w:shd w:val="clear" w:color="auto" w:fill="FFFF00"/>
          </w:tcPr>
          <w:p w:rsidR="009A448F" w:rsidRPr="00B71B9A" w:rsidRDefault="00FA6972" w:rsidP="00F76B40">
            <w:pPr>
              <w:keepNext/>
              <w:pBdr>
                <w:top w:val="single" w:sz="4" w:space="1" w:color="auto"/>
                <w:bottom w:val="single" w:sz="4" w:space="1" w:color="auto"/>
                <w:right w:val="single" w:sz="4" w:space="4" w:color="auto"/>
              </w:pBdr>
              <w:autoSpaceDE w:val="0"/>
              <w:autoSpaceDN w:val="0"/>
              <w:adjustRightInd w:val="0"/>
              <w:jc w:val="right"/>
              <w:rPr>
                <w:rFonts w:asciiTheme="minorHAnsi" w:hAnsiTheme="minorHAnsi" w:cstheme="minorHAnsi"/>
                <w:b/>
                <w:bCs/>
                <w:color w:val="000000"/>
                <w:sz w:val="18"/>
                <w:szCs w:val="18"/>
                <w:highlight w:val="yellow"/>
              </w:rPr>
            </w:pPr>
            <w:r>
              <w:rPr>
                <w:rFonts w:asciiTheme="minorHAnsi" w:hAnsiTheme="minorHAnsi" w:cstheme="minorHAnsi"/>
                <w:b/>
                <w:bCs/>
                <w:color w:val="000000"/>
                <w:sz w:val="18"/>
                <w:szCs w:val="18"/>
                <w:highlight w:val="yellow"/>
              </w:rPr>
              <w:t>16.4</w:t>
            </w:r>
          </w:p>
        </w:tc>
        <w:tc>
          <w:tcPr>
            <w:tcW w:w="428" w:type="pct"/>
            <w:tcBorders>
              <w:left w:val="single" w:sz="4" w:space="0" w:color="auto"/>
            </w:tcBorders>
            <w:shd w:val="clear" w:color="auto" w:fill="FFFF00"/>
          </w:tcPr>
          <w:p w:rsidR="009A448F" w:rsidRPr="00B71B9A" w:rsidRDefault="00FA6972" w:rsidP="00F76B40">
            <w:pPr>
              <w:keepNext/>
              <w:pBdr>
                <w:top w:val="single" w:sz="4" w:space="1" w:color="auto"/>
                <w:left w:val="single" w:sz="4" w:space="4" w:color="auto"/>
                <w:bottom w:val="single" w:sz="4" w:space="1" w:color="auto"/>
              </w:pBdr>
              <w:shd w:val="clear" w:color="auto" w:fill="FFFF00"/>
              <w:tabs>
                <w:tab w:val="left" w:pos="963"/>
              </w:tabs>
              <w:autoSpaceDE w:val="0"/>
              <w:autoSpaceDN w:val="0"/>
              <w:adjustRightInd w:val="0"/>
              <w:ind w:left="-111"/>
              <w:jc w:val="right"/>
              <w:rPr>
                <w:rFonts w:asciiTheme="minorHAnsi" w:hAnsiTheme="minorHAnsi" w:cstheme="minorHAnsi"/>
                <w:b/>
                <w:bCs/>
                <w:color w:val="000000"/>
                <w:sz w:val="18"/>
                <w:szCs w:val="18"/>
                <w:highlight w:val="yellow"/>
              </w:rPr>
            </w:pPr>
            <w:r>
              <w:rPr>
                <w:rFonts w:asciiTheme="minorHAnsi" w:hAnsiTheme="minorHAnsi" w:cstheme="minorHAnsi"/>
                <w:b/>
                <w:bCs/>
                <w:color w:val="000000"/>
                <w:sz w:val="18"/>
                <w:szCs w:val="18"/>
                <w:highlight w:val="yellow"/>
              </w:rPr>
              <w:t>4,267.8</w:t>
            </w:r>
          </w:p>
        </w:tc>
      </w:tr>
    </w:tbl>
    <w:p w:rsidR="000C0F4D" w:rsidRDefault="000C0F4D" w:rsidP="000C0F4D">
      <w:pPr>
        <w:rPr>
          <w:rFonts w:asciiTheme="minorHAnsi" w:hAnsiTheme="minorHAnsi" w:cstheme="minorHAnsi"/>
          <w:b/>
          <w:bCs/>
          <w:color w:val="000000"/>
          <w:sz w:val="22"/>
          <w:szCs w:val="22"/>
        </w:rPr>
      </w:pPr>
      <w:r w:rsidRPr="00677316">
        <w:rPr>
          <w:rFonts w:asciiTheme="minorHAnsi" w:hAnsiTheme="minorHAnsi" w:cstheme="minorHAnsi"/>
          <w:b/>
          <w:bCs/>
          <w:color w:val="000000"/>
          <w:sz w:val="22"/>
          <w:szCs w:val="22"/>
        </w:rPr>
        <w:br w:type="page"/>
      </w:r>
    </w:p>
    <w:p w:rsidR="002769CA" w:rsidRDefault="002769CA" w:rsidP="00677316">
      <w:pPr>
        <w:rPr>
          <w:rFonts w:asciiTheme="minorHAnsi" w:hAnsiTheme="minorHAnsi" w:cstheme="minorHAnsi"/>
          <w:b/>
        </w:rPr>
      </w:pPr>
    </w:p>
    <w:p w:rsidR="007357F8" w:rsidRDefault="007357F8" w:rsidP="007357F8">
      <w:pPr>
        <w:jc w:val="both"/>
        <w:rPr>
          <w:rFonts w:asciiTheme="minorHAnsi" w:hAnsiTheme="minorHAnsi" w:cstheme="minorHAnsi"/>
          <w:b/>
        </w:rPr>
      </w:pPr>
      <w:r w:rsidRPr="00677316">
        <w:rPr>
          <w:rFonts w:asciiTheme="minorHAnsi" w:hAnsiTheme="minorHAnsi" w:cstheme="minorHAnsi"/>
          <w:b/>
        </w:rPr>
        <w:t>Ryanair Holdings plc</w:t>
      </w:r>
      <w:r w:rsidRPr="00677316">
        <w:rPr>
          <w:rFonts w:asciiTheme="minorHAnsi" w:hAnsiTheme="minorHAnsi" w:cstheme="minorHAnsi"/>
          <w:b/>
        </w:rPr>
        <w:tab/>
      </w:r>
      <w:r>
        <w:rPr>
          <w:rFonts w:asciiTheme="minorHAnsi" w:hAnsiTheme="minorHAnsi" w:cstheme="minorHAnsi"/>
          <w:b/>
        </w:rPr>
        <w:t>and Subsidiaries</w:t>
      </w:r>
    </w:p>
    <w:p w:rsidR="007357F8" w:rsidRDefault="007357F8" w:rsidP="007357F8">
      <w:pPr>
        <w:rPr>
          <w:rFonts w:asciiTheme="minorHAnsi" w:hAnsiTheme="minorHAnsi" w:cstheme="minorHAnsi"/>
          <w:b/>
        </w:rPr>
      </w:pPr>
    </w:p>
    <w:p w:rsidR="007357F8" w:rsidRDefault="007357F8" w:rsidP="007357F8">
      <w:pPr>
        <w:rPr>
          <w:rFonts w:asciiTheme="minorHAnsi" w:hAnsiTheme="minorHAnsi" w:cstheme="minorHAnsi"/>
          <w:b/>
        </w:rPr>
      </w:pPr>
    </w:p>
    <w:p w:rsidR="007357F8" w:rsidRDefault="007357F8" w:rsidP="007357F8">
      <w:pPr>
        <w:rPr>
          <w:rFonts w:asciiTheme="minorHAnsi" w:hAnsiTheme="minorHAnsi" w:cstheme="minorHAnsi"/>
          <w:b/>
        </w:rPr>
      </w:pPr>
      <w:r>
        <w:rPr>
          <w:rFonts w:asciiTheme="minorHAnsi" w:hAnsiTheme="minorHAnsi" w:cstheme="minorHAnsi"/>
          <w:b/>
        </w:rPr>
        <w:t>MD&amp;A</w:t>
      </w:r>
      <w:r w:rsidRPr="00B6197F">
        <w:rPr>
          <w:rFonts w:asciiTheme="minorHAnsi" w:hAnsiTheme="minorHAnsi" w:cstheme="minorHAnsi"/>
          <w:b/>
        </w:rPr>
        <w:t xml:space="preserve"> </w:t>
      </w:r>
      <w:r w:rsidR="00B13339">
        <w:rPr>
          <w:rFonts w:asciiTheme="minorHAnsi" w:hAnsiTheme="minorHAnsi" w:cstheme="minorHAnsi"/>
          <w:b/>
        </w:rPr>
        <w:t>Quarter</w:t>
      </w:r>
      <w:r w:rsidRPr="00B6197F">
        <w:rPr>
          <w:rFonts w:asciiTheme="minorHAnsi" w:hAnsiTheme="minorHAnsi" w:cstheme="minorHAnsi"/>
          <w:b/>
        </w:rPr>
        <w:t xml:space="preserve"> End</w:t>
      </w:r>
      <w:r>
        <w:rPr>
          <w:rFonts w:asciiTheme="minorHAnsi" w:hAnsiTheme="minorHAnsi" w:cstheme="minorHAnsi"/>
          <w:b/>
        </w:rPr>
        <w:t>ed</w:t>
      </w:r>
      <w:r w:rsidRPr="00B6197F">
        <w:rPr>
          <w:rFonts w:asciiTheme="minorHAnsi" w:hAnsiTheme="minorHAnsi" w:cstheme="minorHAnsi"/>
          <w:b/>
        </w:rPr>
        <w:t xml:space="preserve"> </w:t>
      </w:r>
      <w:r w:rsidR="00B13339">
        <w:rPr>
          <w:rFonts w:asciiTheme="minorHAnsi" w:hAnsiTheme="minorHAnsi" w:cstheme="minorHAnsi"/>
          <w:b/>
        </w:rPr>
        <w:t>June</w:t>
      </w:r>
      <w:r>
        <w:rPr>
          <w:rFonts w:asciiTheme="minorHAnsi" w:hAnsiTheme="minorHAnsi" w:cstheme="minorHAnsi"/>
          <w:b/>
        </w:rPr>
        <w:t xml:space="preserve"> 3</w:t>
      </w:r>
      <w:r w:rsidR="00B13339">
        <w:rPr>
          <w:rFonts w:asciiTheme="minorHAnsi" w:hAnsiTheme="minorHAnsi" w:cstheme="minorHAnsi"/>
          <w:b/>
        </w:rPr>
        <w:t>0</w:t>
      </w:r>
      <w:r>
        <w:rPr>
          <w:rFonts w:asciiTheme="minorHAnsi" w:hAnsiTheme="minorHAnsi" w:cstheme="minorHAnsi"/>
          <w:b/>
        </w:rPr>
        <w:t>, 2017</w:t>
      </w:r>
    </w:p>
    <w:p w:rsidR="007357F8" w:rsidRDefault="007357F8" w:rsidP="007357F8">
      <w:pPr>
        <w:rPr>
          <w:rFonts w:asciiTheme="minorHAnsi" w:hAnsiTheme="minorHAnsi" w:cstheme="minorHAnsi"/>
          <w:b/>
        </w:rPr>
      </w:pPr>
    </w:p>
    <w:p w:rsidR="007357F8" w:rsidRPr="00677316" w:rsidRDefault="007357F8" w:rsidP="007357F8">
      <w:pPr>
        <w:rPr>
          <w:rFonts w:asciiTheme="minorHAnsi" w:hAnsiTheme="minorHAnsi" w:cstheme="minorHAnsi"/>
          <w:sz w:val="22"/>
          <w:szCs w:val="22"/>
        </w:rPr>
      </w:pPr>
    </w:p>
    <w:p w:rsidR="00920642" w:rsidRPr="00DB22BA" w:rsidRDefault="00920642" w:rsidP="00920642">
      <w:pPr>
        <w:rPr>
          <w:rFonts w:ascii="Calibri" w:hAnsi="Calibri" w:cs="Calibri"/>
          <w:b/>
          <w:sz w:val="22"/>
          <w:szCs w:val="22"/>
          <w:u w:val="single"/>
        </w:rPr>
      </w:pPr>
      <w:r w:rsidRPr="00DB22BA">
        <w:rPr>
          <w:rFonts w:ascii="Calibri" w:hAnsi="Calibri" w:cs="Calibri"/>
          <w:b/>
          <w:sz w:val="22"/>
          <w:szCs w:val="22"/>
          <w:u w:val="single"/>
        </w:rPr>
        <w:t>Income Statement</w:t>
      </w:r>
    </w:p>
    <w:p w:rsidR="00920642" w:rsidRPr="00DB22BA" w:rsidRDefault="00920642" w:rsidP="00920642">
      <w:pPr>
        <w:rPr>
          <w:rFonts w:ascii="Calibri" w:hAnsi="Calibri" w:cs="Calibri"/>
          <w:b/>
          <w:sz w:val="22"/>
          <w:szCs w:val="22"/>
        </w:rPr>
      </w:pPr>
    </w:p>
    <w:p w:rsidR="00920642" w:rsidRPr="00DB22BA" w:rsidRDefault="00920642" w:rsidP="00920642">
      <w:pPr>
        <w:keepNext/>
        <w:jc w:val="both"/>
        <w:rPr>
          <w:rFonts w:ascii="Calibri" w:hAnsi="Calibri" w:cs="Calibri"/>
          <w:b/>
          <w:sz w:val="22"/>
          <w:szCs w:val="22"/>
        </w:rPr>
      </w:pPr>
      <w:r w:rsidRPr="00DB22BA">
        <w:rPr>
          <w:rFonts w:ascii="Calibri" w:hAnsi="Calibri" w:cs="Calibri"/>
          <w:b/>
          <w:sz w:val="22"/>
          <w:szCs w:val="22"/>
        </w:rPr>
        <w:t>Scheduled revenues:</w:t>
      </w:r>
      <w:r w:rsidRPr="00DB22BA">
        <w:rPr>
          <w:rFonts w:ascii="Calibri" w:hAnsi="Calibri" w:cs="Calibri"/>
          <w:b/>
          <w:sz w:val="22"/>
          <w:szCs w:val="22"/>
        </w:rPr>
        <w:tab/>
      </w:r>
    </w:p>
    <w:p w:rsidR="00920642" w:rsidRPr="00920642" w:rsidRDefault="00920642" w:rsidP="00920642">
      <w:pPr>
        <w:keepNext/>
        <w:jc w:val="both"/>
        <w:rPr>
          <w:rFonts w:asciiTheme="minorHAnsi" w:hAnsiTheme="minorHAnsi" w:cs="Calibri"/>
          <w:sz w:val="22"/>
          <w:szCs w:val="22"/>
        </w:rPr>
      </w:pPr>
      <w:r w:rsidRPr="00920642">
        <w:rPr>
          <w:rFonts w:asciiTheme="minorHAnsi" w:hAnsiTheme="minorHAnsi" w:cs="Calibri"/>
          <w:sz w:val="22"/>
          <w:szCs w:val="22"/>
        </w:rPr>
        <w:t>Scheduled revenues are up by</w:t>
      </w:r>
      <w:r w:rsidRPr="00920642">
        <w:rPr>
          <w:rFonts w:asciiTheme="minorHAnsi" w:hAnsiTheme="minorHAnsi" w:cs="Calibri"/>
          <w:b/>
          <w:sz w:val="22"/>
          <w:szCs w:val="22"/>
        </w:rPr>
        <w:t xml:space="preserve"> 13% to €</w:t>
      </w:r>
      <w:proofErr w:type="gramStart"/>
      <w:r w:rsidRPr="00920642">
        <w:rPr>
          <w:rFonts w:asciiTheme="minorHAnsi" w:hAnsiTheme="minorHAnsi" w:cs="Calibri"/>
          <w:b/>
          <w:sz w:val="22"/>
          <w:szCs w:val="22"/>
        </w:rPr>
        <w:t>1,409.3M</w:t>
      </w:r>
      <w:proofErr w:type="gramEnd"/>
      <w:r w:rsidRPr="00920642">
        <w:rPr>
          <w:rFonts w:asciiTheme="minorHAnsi" w:hAnsiTheme="minorHAnsi" w:cs="Calibri"/>
          <w:sz w:val="22"/>
          <w:szCs w:val="22"/>
        </w:rPr>
        <w:t xml:space="preserve"> due to 12% traffic growth (to 35M) and a 1% increase in average fare to over €40. </w:t>
      </w:r>
    </w:p>
    <w:p w:rsidR="00920642" w:rsidRPr="00DB22BA" w:rsidRDefault="00920642" w:rsidP="00920642">
      <w:pPr>
        <w:keepNext/>
        <w:ind w:left="720"/>
        <w:jc w:val="both"/>
        <w:rPr>
          <w:rFonts w:ascii="Calibri" w:hAnsi="Calibri" w:cs="Calibri"/>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 xml:space="preserve">Ancillary revenues: </w:t>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t xml:space="preserve">      </w:t>
      </w:r>
    </w:p>
    <w:p w:rsidR="00920642" w:rsidRPr="00920642" w:rsidRDefault="00920642" w:rsidP="00920642">
      <w:pPr>
        <w:contextualSpacing/>
        <w:jc w:val="both"/>
        <w:rPr>
          <w:rFonts w:asciiTheme="minorHAnsi" w:hAnsiTheme="minorHAnsi" w:cs="Calibri"/>
          <w:sz w:val="22"/>
          <w:szCs w:val="22"/>
        </w:rPr>
      </w:pPr>
      <w:r w:rsidRPr="00920642">
        <w:rPr>
          <w:rFonts w:asciiTheme="minorHAnsi" w:hAnsiTheme="minorHAnsi" w:cs="Calibri"/>
          <w:sz w:val="22"/>
          <w:szCs w:val="22"/>
        </w:rPr>
        <w:t xml:space="preserve">Ancillary revenues increased by </w:t>
      </w:r>
      <w:r w:rsidRPr="00920642">
        <w:rPr>
          <w:rFonts w:asciiTheme="minorHAnsi" w:hAnsiTheme="minorHAnsi" w:cs="Calibri"/>
          <w:b/>
          <w:sz w:val="22"/>
          <w:szCs w:val="22"/>
        </w:rPr>
        <w:t>13% to €501.0M</w:t>
      </w:r>
      <w:r w:rsidRPr="00920642">
        <w:rPr>
          <w:rFonts w:asciiTheme="minorHAnsi" w:hAnsiTheme="minorHAnsi" w:cs="Calibri"/>
          <w:sz w:val="22"/>
          <w:szCs w:val="22"/>
        </w:rPr>
        <w:t xml:space="preserve"> as reserved seating, priority boarding and car hire continue to improve offset by lower travel insurance and hotel penetration.</w:t>
      </w:r>
    </w:p>
    <w:p w:rsidR="00920642" w:rsidRPr="00DB22BA" w:rsidRDefault="00920642" w:rsidP="00920642">
      <w:pPr>
        <w:spacing w:line="360" w:lineRule="auto"/>
        <w:jc w:val="both"/>
        <w:rPr>
          <w:rFonts w:ascii="Calibri" w:hAnsi="Calibri" w:cs="Calibri"/>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Operating Expenses:</w:t>
      </w:r>
    </w:p>
    <w:p w:rsidR="00920642" w:rsidRPr="00DB22BA" w:rsidRDefault="00920642" w:rsidP="00920642">
      <w:pPr>
        <w:jc w:val="both"/>
        <w:rPr>
          <w:rFonts w:ascii="Calibri" w:hAnsi="Calibri" w:cs="Calibri"/>
          <w:b/>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 xml:space="preserve">Fuel and oil: </w:t>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t xml:space="preserve">       </w:t>
      </w:r>
    </w:p>
    <w:p w:rsidR="00920642" w:rsidRPr="00920642" w:rsidRDefault="00920642" w:rsidP="00920642">
      <w:pPr>
        <w:jc w:val="both"/>
        <w:rPr>
          <w:rFonts w:asciiTheme="minorHAnsi" w:hAnsiTheme="minorHAnsi" w:cs="Calibri"/>
          <w:sz w:val="22"/>
          <w:szCs w:val="22"/>
        </w:rPr>
      </w:pPr>
      <w:r w:rsidRPr="00920642">
        <w:rPr>
          <w:rFonts w:asciiTheme="minorHAnsi" w:hAnsiTheme="minorHAnsi" w:cs="Calibri"/>
          <w:sz w:val="22"/>
          <w:szCs w:val="22"/>
        </w:rPr>
        <w:t xml:space="preserve">Fuel and oil fell by </w:t>
      </w:r>
      <w:r w:rsidRPr="00920642">
        <w:rPr>
          <w:rFonts w:asciiTheme="minorHAnsi" w:hAnsiTheme="minorHAnsi" w:cs="Calibri"/>
          <w:b/>
          <w:sz w:val="22"/>
          <w:szCs w:val="22"/>
        </w:rPr>
        <w:t xml:space="preserve">1% to €513.0M </w:t>
      </w:r>
      <w:r w:rsidRPr="00920642">
        <w:rPr>
          <w:rFonts w:asciiTheme="minorHAnsi" w:hAnsiTheme="minorHAnsi" w:cs="Calibri"/>
          <w:sz w:val="22"/>
          <w:szCs w:val="22"/>
        </w:rPr>
        <w:t>due to lower hedged fuel prices offset by a 12% increase in block hours and a higher load factor (up 2 points to 96%).</w:t>
      </w:r>
    </w:p>
    <w:p w:rsidR="00920642" w:rsidRPr="00DB22BA" w:rsidRDefault="00920642" w:rsidP="00920642">
      <w:pPr>
        <w:jc w:val="both"/>
        <w:rPr>
          <w:rFonts w:ascii="Calibri" w:hAnsi="Calibri" w:cs="Calibri"/>
          <w:b/>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 xml:space="preserve">Airport and handling charges: </w:t>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t xml:space="preserve">                   </w:t>
      </w:r>
    </w:p>
    <w:p w:rsidR="00920642" w:rsidRPr="00920642" w:rsidRDefault="00920642" w:rsidP="00920642">
      <w:pPr>
        <w:jc w:val="both"/>
        <w:rPr>
          <w:rFonts w:asciiTheme="minorHAnsi" w:hAnsiTheme="minorHAnsi" w:cs="Calibri"/>
          <w:sz w:val="22"/>
          <w:szCs w:val="22"/>
        </w:rPr>
      </w:pPr>
      <w:r w:rsidRPr="00920642">
        <w:rPr>
          <w:rFonts w:asciiTheme="minorHAnsi" w:hAnsiTheme="minorHAnsi" w:cs="Calibri"/>
          <w:sz w:val="22"/>
          <w:szCs w:val="22"/>
        </w:rPr>
        <w:t xml:space="preserve">Airport and handling charges are up by </w:t>
      </w:r>
      <w:r w:rsidRPr="00920642">
        <w:rPr>
          <w:rFonts w:asciiTheme="minorHAnsi" w:hAnsiTheme="minorHAnsi" w:cs="Calibri"/>
          <w:b/>
          <w:sz w:val="22"/>
          <w:szCs w:val="22"/>
        </w:rPr>
        <w:t>11% to €267.0M</w:t>
      </w:r>
      <w:r w:rsidRPr="00920642">
        <w:rPr>
          <w:rFonts w:asciiTheme="minorHAnsi" w:hAnsiTheme="minorHAnsi" w:cs="Calibri"/>
          <w:sz w:val="22"/>
          <w:szCs w:val="22"/>
        </w:rPr>
        <w:t xml:space="preserve"> due to 12% traffic growth offset by more competitive airport deals and weaker sterling against the euro. </w:t>
      </w:r>
    </w:p>
    <w:p w:rsidR="00920642" w:rsidRPr="00DB22BA" w:rsidRDefault="00920642" w:rsidP="00920642">
      <w:pPr>
        <w:jc w:val="both"/>
        <w:rPr>
          <w:rFonts w:ascii="Calibri" w:hAnsi="Calibri" w:cs="Calibri"/>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Route charges:</w:t>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t xml:space="preserve">                   </w:t>
      </w:r>
    </w:p>
    <w:p w:rsidR="00920642" w:rsidRPr="00920642" w:rsidRDefault="00920642" w:rsidP="00920642">
      <w:pPr>
        <w:jc w:val="both"/>
        <w:rPr>
          <w:rFonts w:asciiTheme="minorHAnsi" w:hAnsiTheme="minorHAnsi" w:cs="Calibri"/>
          <w:sz w:val="22"/>
          <w:szCs w:val="22"/>
        </w:rPr>
      </w:pPr>
      <w:r w:rsidRPr="00920642">
        <w:rPr>
          <w:rFonts w:asciiTheme="minorHAnsi" w:hAnsiTheme="minorHAnsi" w:cs="Calibri"/>
          <w:sz w:val="22"/>
          <w:szCs w:val="22"/>
        </w:rPr>
        <w:t xml:space="preserve">Route charges rose </w:t>
      </w:r>
      <w:r w:rsidRPr="00920642">
        <w:rPr>
          <w:rFonts w:asciiTheme="minorHAnsi" w:hAnsiTheme="minorHAnsi" w:cs="Calibri"/>
          <w:b/>
          <w:sz w:val="22"/>
          <w:szCs w:val="22"/>
        </w:rPr>
        <w:t>7% to €191.0M</w:t>
      </w:r>
      <w:r w:rsidRPr="00920642">
        <w:rPr>
          <w:rFonts w:asciiTheme="minorHAnsi" w:hAnsiTheme="minorHAnsi" w:cs="Calibri"/>
          <w:sz w:val="22"/>
          <w:szCs w:val="22"/>
        </w:rPr>
        <w:t xml:space="preserve"> due to a 10% increase in sectors offset by Eurocontrol price reductions in France, Germany and the UK (aided by weaker sterling).</w:t>
      </w:r>
    </w:p>
    <w:p w:rsidR="00920642" w:rsidRPr="00DB22BA" w:rsidRDefault="00920642" w:rsidP="00920642">
      <w:pPr>
        <w:jc w:val="both"/>
        <w:rPr>
          <w:rFonts w:ascii="Calibri" w:hAnsi="Calibri" w:cs="Calibri"/>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Staff costs:</w:t>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t xml:space="preserve">                                   </w:t>
      </w:r>
    </w:p>
    <w:p w:rsidR="00920642" w:rsidRPr="00920642" w:rsidRDefault="00920642" w:rsidP="00920642">
      <w:pPr>
        <w:jc w:val="both"/>
        <w:rPr>
          <w:rFonts w:asciiTheme="minorHAnsi" w:hAnsiTheme="minorHAnsi" w:cs="Calibri"/>
          <w:sz w:val="22"/>
          <w:szCs w:val="22"/>
        </w:rPr>
      </w:pPr>
      <w:r w:rsidRPr="00920642">
        <w:rPr>
          <w:rFonts w:asciiTheme="minorHAnsi" w:hAnsiTheme="minorHAnsi" w:cs="Calibri"/>
          <w:sz w:val="22"/>
          <w:szCs w:val="22"/>
        </w:rPr>
        <w:t xml:space="preserve">Staff costs increased by </w:t>
      </w:r>
      <w:r w:rsidRPr="00920642">
        <w:rPr>
          <w:rFonts w:asciiTheme="minorHAnsi" w:hAnsiTheme="minorHAnsi" w:cs="Calibri"/>
          <w:b/>
          <w:sz w:val="22"/>
          <w:szCs w:val="22"/>
        </w:rPr>
        <w:t xml:space="preserve">10% to €182.4M, </w:t>
      </w:r>
      <w:r w:rsidRPr="00920642">
        <w:rPr>
          <w:rFonts w:asciiTheme="minorHAnsi" w:hAnsiTheme="minorHAnsi" w:cs="Calibri"/>
          <w:sz w:val="22"/>
          <w:szCs w:val="22"/>
        </w:rPr>
        <w:t>lower than the 12% increase in traffic, due to 10% more sectors and the impact of a 2% pay increase in April 2017 offset by weaker sterling against the euro.</w:t>
      </w:r>
    </w:p>
    <w:p w:rsidR="00920642" w:rsidRPr="00DB22BA" w:rsidRDefault="00920642" w:rsidP="00920642">
      <w:pPr>
        <w:jc w:val="both"/>
        <w:rPr>
          <w:rFonts w:ascii="Calibri" w:hAnsi="Calibri" w:cs="Calibri"/>
          <w:b/>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 xml:space="preserve">Depreciation: </w:t>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t xml:space="preserve">                  </w:t>
      </w:r>
    </w:p>
    <w:p w:rsidR="00920642" w:rsidRPr="00920642" w:rsidRDefault="00920642" w:rsidP="00920642">
      <w:pPr>
        <w:jc w:val="both"/>
        <w:rPr>
          <w:rFonts w:asciiTheme="minorHAnsi" w:hAnsiTheme="minorHAnsi" w:cs="Calibri"/>
          <w:sz w:val="22"/>
          <w:szCs w:val="22"/>
        </w:rPr>
      </w:pPr>
      <w:r w:rsidRPr="00920642">
        <w:rPr>
          <w:rFonts w:asciiTheme="minorHAnsi" w:hAnsiTheme="minorHAnsi" w:cs="Calibri"/>
          <w:sz w:val="22"/>
          <w:szCs w:val="22"/>
        </w:rPr>
        <w:t xml:space="preserve">Depreciation is </w:t>
      </w:r>
      <w:r w:rsidRPr="00920642">
        <w:rPr>
          <w:rFonts w:asciiTheme="minorHAnsi" w:hAnsiTheme="minorHAnsi" w:cs="Calibri"/>
          <w:b/>
          <w:sz w:val="22"/>
          <w:szCs w:val="22"/>
        </w:rPr>
        <w:t>11% higher at €139.0M</w:t>
      </w:r>
      <w:r w:rsidRPr="00920642">
        <w:rPr>
          <w:rFonts w:asciiTheme="minorHAnsi" w:hAnsiTheme="minorHAnsi" w:cs="Calibri"/>
          <w:sz w:val="22"/>
          <w:szCs w:val="22"/>
        </w:rPr>
        <w:t xml:space="preserve"> due to 50 (+16%) additional owned aircraft in the fleet at period end (364 at June 30, 2017 compared to 314 at June 30, 2016). </w:t>
      </w:r>
    </w:p>
    <w:p w:rsidR="00920642" w:rsidRPr="00DB22BA" w:rsidRDefault="00920642" w:rsidP="00920642">
      <w:pPr>
        <w:jc w:val="both"/>
        <w:rPr>
          <w:rFonts w:ascii="Calibri" w:hAnsi="Calibri" w:cs="Calibri"/>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 xml:space="preserve">Marketing, distribution and other: </w:t>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t xml:space="preserve">                        </w:t>
      </w:r>
    </w:p>
    <w:p w:rsidR="00920642" w:rsidRPr="00920642" w:rsidRDefault="00920642" w:rsidP="00920642">
      <w:pPr>
        <w:jc w:val="both"/>
        <w:rPr>
          <w:rFonts w:asciiTheme="minorHAnsi" w:hAnsiTheme="minorHAnsi" w:cs="Calibri"/>
          <w:sz w:val="22"/>
          <w:szCs w:val="22"/>
        </w:rPr>
      </w:pPr>
      <w:r w:rsidRPr="00920642">
        <w:rPr>
          <w:rFonts w:asciiTheme="minorHAnsi" w:hAnsiTheme="minorHAnsi" w:cs="Calibri"/>
          <w:sz w:val="22"/>
          <w:szCs w:val="22"/>
        </w:rPr>
        <w:t xml:space="preserve">Marketing, distribution and other are up by </w:t>
      </w:r>
      <w:r w:rsidRPr="00920642">
        <w:rPr>
          <w:rFonts w:asciiTheme="minorHAnsi" w:hAnsiTheme="minorHAnsi" w:cs="Calibri"/>
          <w:b/>
          <w:sz w:val="22"/>
          <w:szCs w:val="22"/>
        </w:rPr>
        <w:t>15% to €100.6M</w:t>
      </w:r>
      <w:r w:rsidRPr="00920642">
        <w:rPr>
          <w:rFonts w:asciiTheme="minorHAnsi" w:hAnsiTheme="minorHAnsi" w:cs="Calibri"/>
          <w:sz w:val="22"/>
          <w:szCs w:val="22"/>
        </w:rPr>
        <w:t xml:space="preserve">, due to increased distribution costs related to stronger on-board sales and higher EU261 passenger compensation claims. </w:t>
      </w:r>
    </w:p>
    <w:p w:rsidR="00920642" w:rsidRPr="00DB22BA" w:rsidRDefault="00920642" w:rsidP="00920642">
      <w:pPr>
        <w:jc w:val="both"/>
        <w:rPr>
          <w:rFonts w:ascii="Calibri" w:hAnsi="Calibri" w:cs="Calibri"/>
          <w:b/>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 xml:space="preserve">Maintenance, materials and repairs: </w:t>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t xml:space="preserve">                     </w:t>
      </w:r>
    </w:p>
    <w:p w:rsidR="00920642" w:rsidRPr="00920642" w:rsidRDefault="00920642" w:rsidP="00920642">
      <w:pPr>
        <w:jc w:val="both"/>
        <w:rPr>
          <w:rFonts w:asciiTheme="minorHAnsi" w:hAnsiTheme="minorHAnsi" w:cs="Calibri"/>
          <w:sz w:val="22"/>
          <w:szCs w:val="22"/>
        </w:rPr>
      </w:pPr>
      <w:r w:rsidRPr="00920642">
        <w:rPr>
          <w:rFonts w:asciiTheme="minorHAnsi" w:hAnsiTheme="minorHAnsi" w:cs="Calibri"/>
          <w:sz w:val="22"/>
          <w:szCs w:val="22"/>
        </w:rPr>
        <w:t>Maintenance, materials and repairs fell by</w:t>
      </w:r>
      <w:r w:rsidRPr="00920642">
        <w:rPr>
          <w:rFonts w:asciiTheme="minorHAnsi" w:hAnsiTheme="minorHAnsi" w:cs="Calibri"/>
          <w:b/>
          <w:sz w:val="22"/>
          <w:szCs w:val="22"/>
        </w:rPr>
        <w:t xml:space="preserve"> 13% to €35.9M</w:t>
      </w:r>
      <w:r w:rsidRPr="00920642">
        <w:rPr>
          <w:rFonts w:asciiTheme="minorHAnsi" w:hAnsiTheme="minorHAnsi" w:cs="Calibri"/>
          <w:sz w:val="22"/>
          <w:szCs w:val="22"/>
        </w:rPr>
        <w:t xml:space="preserve"> due to 8 lease handbacks over the past year offset by the stronger US dollar against the euro.</w:t>
      </w:r>
    </w:p>
    <w:p w:rsidR="00920642" w:rsidRPr="00DB22BA" w:rsidRDefault="00920642" w:rsidP="00920642">
      <w:pPr>
        <w:jc w:val="both"/>
        <w:rPr>
          <w:rFonts w:ascii="Calibri" w:hAnsi="Calibri" w:cs="Calibri"/>
          <w:b/>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 xml:space="preserve">Aircraft rentals:  </w:t>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p>
    <w:p w:rsidR="00920642" w:rsidRPr="00920642" w:rsidRDefault="00920642" w:rsidP="00920642">
      <w:pPr>
        <w:jc w:val="both"/>
        <w:rPr>
          <w:rFonts w:asciiTheme="minorHAnsi" w:hAnsiTheme="minorHAnsi" w:cs="Calibri"/>
          <w:sz w:val="22"/>
          <w:szCs w:val="22"/>
        </w:rPr>
      </w:pPr>
      <w:r w:rsidRPr="00920642">
        <w:rPr>
          <w:rFonts w:asciiTheme="minorHAnsi" w:hAnsiTheme="minorHAnsi" w:cs="Calibri"/>
          <w:sz w:val="22"/>
          <w:szCs w:val="22"/>
        </w:rPr>
        <w:t xml:space="preserve">Aircraft rentals fell by </w:t>
      </w:r>
      <w:r w:rsidRPr="00920642">
        <w:rPr>
          <w:rFonts w:asciiTheme="minorHAnsi" w:hAnsiTheme="minorHAnsi" w:cs="Calibri"/>
          <w:b/>
          <w:sz w:val="22"/>
          <w:szCs w:val="22"/>
        </w:rPr>
        <w:t>6% to €21.2M</w:t>
      </w:r>
      <w:r w:rsidRPr="00920642">
        <w:rPr>
          <w:rFonts w:asciiTheme="minorHAnsi" w:hAnsiTheme="minorHAnsi" w:cs="Calibri"/>
          <w:sz w:val="22"/>
          <w:szCs w:val="22"/>
        </w:rPr>
        <w:t xml:space="preserve"> due to the handback of 8 leased aircraft over the past year. </w:t>
      </w:r>
    </w:p>
    <w:p w:rsidR="00920642" w:rsidRPr="00DB22BA" w:rsidRDefault="00920642" w:rsidP="00920642">
      <w:pPr>
        <w:jc w:val="both"/>
        <w:rPr>
          <w:rFonts w:ascii="Calibri" w:hAnsi="Calibri" w:cs="Calibri"/>
          <w:sz w:val="22"/>
          <w:szCs w:val="22"/>
        </w:rPr>
      </w:pPr>
    </w:p>
    <w:p w:rsidR="00920642" w:rsidRPr="00DB22BA" w:rsidRDefault="00920642" w:rsidP="00920642">
      <w:pPr>
        <w:jc w:val="both"/>
        <w:rPr>
          <w:rFonts w:ascii="Calibri" w:hAnsi="Calibri" w:cs="Calibri"/>
          <w:sz w:val="22"/>
          <w:szCs w:val="22"/>
        </w:rPr>
      </w:pPr>
    </w:p>
    <w:p w:rsidR="00920642" w:rsidRPr="00DB22BA" w:rsidRDefault="00920642" w:rsidP="00920642">
      <w:pPr>
        <w:jc w:val="both"/>
        <w:rPr>
          <w:rFonts w:ascii="Calibri" w:hAnsi="Calibri" w:cs="Calibri"/>
          <w:sz w:val="22"/>
          <w:szCs w:val="22"/>
        </w:rPr>
      </w:pPr>
    </w:p>
    <w:p w:rsidR="00920642" w:rsidRPr="00DB22BA" w:rsidRDefault="00920642" w:rsidP="00920642">
      <w:pPr>
        <w:jc w:val="both"/>
        <w:rPr>
          <w:rFonts w:ascii="Calibri" w:hAnsi="Calibri" w:cs="Calibri"/>
          <w:sz w:val="22"/>
          <w:szCs w:val="22"/>
        </w:rPr>
      </w:pPr>
    </w:p>
    <w:p w:rsidR="00920642" w:rsidRPr="00DB22BA" w:rsidRDefault="00920642" w:rsidP="00920642">
      <w:pPr>
        <w:jc w:val="both"/>
        <w:rPr>
          <w:rFonts w:ascii="Calibri" w:hAnsi="Calibri" w:cs="Calibri"/>
          <w:sz w:val="22"/>
          <w:szCs w:val="22"/>
        </w:rPr>
      </w:pPr>
    </w:p>
    <w:p w:rsidR="00920642" w:rsidRPr="00DB22BA" w:rsidRDefault="00920642" w:rsidP="00920642">
      <w:pPr>
        <w:jc w:val="both"/>
        <w:rPr>
          <w:rFonts w:ascii="Calibri" w:hAnsi="Calibri" w:cs="Calibri"/>
          <w:sz w:val="22"/>
          <w:szCs w:val="22"/>
        </w:rPr>
      </w:pPr>
    </w:p>
    <w:p w:rsidR="00920642" w:rsidRPr="00DB22BA" w:rsidRDefault="00920642" w:rsidP="00920642">
      <w:pPr>
        <w:spacing w:line="300" w:lineRule="exact"/>
        <w:jc w:val="both"/>
        <w:rPr>
          <w:rFonts w:ascii="Calibri" w:hAnsi="Calibri" w:cs="Calibri"/>
          <w:b/>
          <w:sz w:val="22"/>
          <w:szCs w:val="22"/>
        </w:rPr>
      </w:pPr>
      <w:r w:rsidRPr="00DB22BA">
        <w:rPr>
          <w:rFonts w:ascii="Calibri" w:hAnsi="Calibri" w:cs="Calibri"/>
          <w:b/>
          <w:sz w:val="22"/>
          <w:szCs w:val="22"/>
        </w:rPr>
        <w:t>Ownership and maintenance:</w:t>
      </w:r>
    </w:p>
    <w:p w:rsidR="00920642" w:rsidRPr="00920642" w:rsidRDefault="00920642" w:rsidP="00920642">
      <w:pPr>
        <w:spacing w:line="300" w:lineRule="exact"/>
        <w:jc w:val="both"/>
        <w:rPr>
          <w:rFonts w:asciiTheme="minorHAnsi" w:hAnsiTheme="minorHAnsi" w:cs="Calibri"/>
          <w:sz w:val="22"/>
          <w:szCs w:val="22"/>
        </w:rPr>
      </w:pPr>
      <w:r w:rsidRPr="00920642">
        <w:rPr>
          <w:rFonts w:asciiTheme="minorHAnsi" w:hAnsiTheme="minorHAnsi" w:cs="Calibri"/>
          <w:sz w:val="22"/>
          <w:szCs w:val="22"/>
        </w:rPr>
        <w:t xml:space="preserve">During the quarter ended June 30, 2017 ownership and maintenance costs (depreciation, maintenance, aircraft rentals and financing costs) increased by </w:t>
      </w:r>
      <w:r w:rsidRPr="00920642">
        <w:rPr>
          <w:rFonts w:asciiTheme="minorHAnsi" w:hAnsiTheme="minorHAnsi" w:cs="Calibri"/>
          <w:b/>
          <w:sz w:val="22"/>
          <w:szCs w:val="22"/>
        </w:rPr>
        <w:t>2% to €213.8M</w:t>
      </w:r>
      <w:r w:rsidRPr="00920642">
        <w:rPr>
          <w:rFonts w:asciiTheme="minorHAnsi" w:hAnsiTheme="minorHAnsi" w:cs="Calibri"/>
          <w:sz w:val="22"/>
          <w:szCs w:val="22"/>
        </w:rPr>
        <w:t>, which is significantly lower than the 12% increase in passenger numbers.</w:t>
      </w:r>
    </w:p>
    <w:p w:rsidR="00920642" w:rsidRPr="00DB22BA" w:rsidRDefault="00920642" w:rsidP="00920642">
      <w:pPr>
        <w:jc w:val="both"/>
        <w:rPr>
          <w:rFonts w:ascii="Calibri" w:hAnsi="Calibri" w:cs="Calibri"/>
          <w:b/>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 xml:space="preserve">Unit costs fell by 6%, excluding fuel they were down 3%, </w:t>
      </w:r>
      <w:r w:rsidRPr="00920642">
        <w:rPr>
          <w:rFonts w:asciiTheme="minorHAnsi" w:hAnsiTheme="minorHAnsi" w:cs="Calibri"/>
          <w:sz w:val="22"/>
          <w:szCs w:val="22"/>
        </w:rPr>
        <w:t>which compares favourably to the 12% increase in traffic in the quarter</w:t>
      </w:r>
      <w:r w:rsidRPr="00920642">
        <w:rPr>
          <w:rFonts w:asciiTheme="minorHAnsi" w:hAnsiTheme="minorHAnsi" w:cs="Calibri"/>
          <w:b/>
          <w:sz w:val="22"/>
          <w:szCs w:val="22"/>
        </w:rPr>
        <w:t>.</w:t>
      </w:r>
    </w:p>
    <w:p w:rsidR="00920642" w:rsidRPr="00DB22BA" w:rsidRDefault="00920642" w:rsidP="00920642">
      <w:pPr>
        <w:jc w:val="both"/>
        <w:rPr>
          <w:rFonts w:ascii="Calibri" w:hAnsi="Calibri" w:cs="Calibri"/>
          <w:b/>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Other income/(expense):</w:t>
      </w:r>
    </w:p>
    <w:p w:rsidR="00920642" w:rsidRPr="00DB22BA" w:rsidRDefault="00920642" w:rsidP="00920642">
      <w:pPr>
        <w:jc w:val="both"/>
        <w:rPr>
          <w:rFonts w:ascii="Calibri" w:hAnsi="Calibri" w:cs="Calibri"/>
          <w:b/>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Finance expense:</w:t>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t xml:space="preserve">         </w:t>
      </w:r>
    </w:p>
    <w:p w:rsidR="00920642" w:rsidRPr="00920642" w:rsidRDefault="00920642" w:rsidP="00920642">
      <w:pPr>
        <w:jc w:val="both"/>
        <w:rPr>
          <w:rFonts w:asciiTheme="minorHAnsi" w:hAnsiTheme="minorHAnsi" w:cs="Calibri"/>
          <w:sz w:val="22"/>
          <w:szCs w:val="22"/>
        </w:rPr>
      </w:pPr>
      <w:r w:rsidRPr="00920642">
        <w:rPr>
          <w:rFonts w:asciiTheme="minorHAnsi" w:hAnsiTheme="minorHAnsi" w:cs="Calibri"/>
          <w:sz w:val="22"/>
          <w:szCs w:val="22"/>
        </w:rPr>
        <w:t xml:space="preserve">Finance expense decreased by </w:t>
      </w:r>
      <w:r w:rsidRPr="00920642">
        <w:rPr>
          <w:rFonts w:asciiTheme="minorHAnsi" w:hAnsiTheme="minorHAnsi" w:cs="Calibri"/>
          <w:b/>
          <w:sz w:val="22"/>
          <w:szCs w:val="22"/>
        </w:rPr>
        <w:t xml:space="preserve">15% to €17.8M </w:t>
      </w:r>
      <w:r w:rsidRPr="00920642">
        <w:rPr>
          <w:rFonts w:asciiTheme="minorHAnsi" w:hAnsiTheme="minorHAnsi" w:cs="Calibri"/>
          <w:sz w:val="22"/>
          <w:szCs w:val="22"/>
        </w:rPr>
        <w:t>primarily due to lower interest rates.</w:t>
      </w:r>
    </w:p>
    <w:p w:rsidR="00920642" w:rsidRPr="00DB22BA" w:rsidRDefault="00920642" w:rsidP="00920642">
      <w:pPr>
        <w:jc w:val="both"/>
        <w:rPr>
          <w:rFonts w:ascii="Calibri" w:hAnsi="Calibri" w:cs="Calibri"/>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Finance income:</w:t>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t xml:space="preserve">         </w:t>
      </w:r>
    </w:p>
    <w:p w:rsidR="00920642" w:rsidRPr="00920642" w:rsidRDefault="00920642" w:rsidP="00920642">
      <w:pPr>
        <w:spacing w:line="300" w:lineRule="exact"/>
        <w:jc w:val="both"/>
        <w:rPr>
          <w:rFonts w:asciiTheme="minorHAnsi" w:hAnsiTheme="minorHAnsi" w:cs="Calibri"/>
          <w:sz w:val="22"/>
          <w:szCs w:val="22"/>
        </w:rPr>
      </w:pPr>
      <w:r w:rsidRPr="00920642">
        <w:rPr>
          <w:rFonts w:asciiTheme="minorHAnsi" w:hAnsiTheme="minorHAnsi" w:cs="Calibri"/>
          <w:sz w:val="22"/>
          <w:szCs w:val="22"/>
        </w:rPr>
        <w:t xml:space="preserve">Finance income fell by </w:t>
      </w:r>
      <w:r w:rsidRPr="00920642">
        <w:rPr>
          <w:rFonts w:asciiTheme="minorHAnsi" w:hAnsiTheme="minorHAnsi" w:cs="Calibri"/>
          <w:b/>
          <w:sz w:val="22"/>
          <w:szCs w:val="22"/>
        </w:rPr>
        <w:t xml:space="preserve">€0.7M </w:t>
      </w:r>
      <w:r w:rsidRPr="00920642">
        <w:rPr>
          <w:rFonts w:asciiTheme="minorHAnsi" w:hAnsiTheme="minorHAnsi" w:cs="Calibri"/>
          <w:sz w:val="22"/>
          <w:szCs w:val="22"/>
        </w:rPr>
        <w:t>due to significantly lower deposit interest rates.</w:t>
      </w:r>
    </w:p>
    <w:p w:rsidR="00920642" w:rsidRPr="00DB22BA" w:rsidRDefault="00920642" w:rsidP="00920642">
      <w:pPr>
        <w:spacing w:line="300" w:lineRule="exact"/>
        <w:jc w:val="both"/>
        <w:rPr>
          <w:rFonts w:ascii="Calibri" w:hAnsi="Calibri" w:cs="Calibri"/>
          <w:sz w:val="22"/>
          <w:szCs w:val="22"/>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Balance sheet:</w:t>
      </w:r>
    </w:p>
    <w:p w:rsidR="00920642" w:rsidRPr="00920642" w:rsidRDefault="00920642" w:rsidP="00920642">
      <w:pPr>
        <w:jc w:val="both"/>
        <w:rPr>
          <w:rFonts w:asciiTheme="minorHAnsi" w:hAnsiTheme="minorHAnsi" w:cs="Calibri"/>
          <w:sz w:val="22"/>
          <w:szCs w:val="22"/>
        </w:rPr>
      </w:pPr>
      <w:r w:rsidRPr="00920642">
        <w:rPr>
          <w:rFonts w:asciiTheme="minorHAnsi" w:hAnsiTheme="minorHAnsi" w:cs="Calibri"/>
          <w:sz w:val="22"/>
          <w:szCs w:val="22"/>
        </w:rPr>
        <w:t xml:space="preserve">Gross cash rose by €46.4M to €4,186.7M at June 30, 2017. </w:t>
      </w:r>
    </w:p>
    <w:p w:rsidR="00920642" w:rsidRPr="00920642" w:rsidRDefault="00920642" w:rsidP="00920642">
      <w:pPr>
        <w:jc w:val="both"/>
        <w:rPr>
          <w:rFonts w:asciiTheme="minorHAnsi" w:hAnsiTheme="minorHAnsi" w:cs="Calibri"/>
          <w:sz w:val="22"/>
          <w:szCs w:val="22"/>
        </w:rPr>
      </w:pPr>
      <w:r w:rsidRPr="00920642">
        <w:rPr>
          <w:rFonts w:asciiTheme="minorHAnsi" w:hAnsiTheme="minorHAnsi" w:cs="Calibri"/>
          <w:sz w:val="22"/>
          <w:szCs w:val="22"/>
        </w:rPr>
        <w:t xml:space="preserve">Gross debt fell by €103.6M to €4,280.9M due to debt repayments. </w:t>
      </w:r>
    </w:p>
    <w:p w:rsidR="00920642" w:rsidRPr="00920642" w:rsidRDefault="00920642" w:rsidP="00920642">
      <w:pPr>
        <w:jc w:val="both"/>
        <w:rPr>
          <w:rFonts w:asciiTheme="minorHAnsi" w:hAnsiTheme="minorHAnsi" w:cs="Calibri"/>
          <w:sz w:val="22"/>
          <w:szCs w:val="22"/>
        </w:rPr>
      </w:pPr>
      <w:r w:rsidRPr="00920642">
        <w:rPr>
          <w:rFonts w:asciiTheme="minorHAnsi" w:hAnsiTheme="minorHAnsi" w:cs="Calibri"/>
          <w:sz w:val="22"/>
          <w:szCs w:val="22"/>
        </w:rPr>
        <w:t xml:space="preserve">€726.1M </w:t>
      </w:r>
      <w:r w:rsidR="00EE553C">
        <w:rPr>
          <w:rFonts w:asciiTheme="minorHAnsi" w:hAnsiTheme="minorHAnsi" w:cs="Calibri"/>
          <w:sz w:val="22"/>
          <w:szCs w:val="22"/>
        </w:rPr>
        <w:t xml:space="preserve">net cash </w:t>
      </w:r>
      <w:r w:rsidRPr="00920642">
        <w:rPr>
          <w:rFonts w:asciiTheme="minorHAnsi" w:hAnsiTheme="minorHAnsi" w:cs="Calibri"/>
          <w:sz w:val="22"/>
          <w:szCs w:val="22"/>
        </w:rPr>
        <w:t xml:space="preserve">was generated by operating activities.  Net capital expenditure was €392.6M, shareholder returns and debt repayments amounted to €204.1M and €83.0M respectively.  </w:t>
      </w:r>
    </w:p>
    <w:p w:rsidR="00920642" w:rsidRPr="00920642" w:rsidRDefault="00920642" w:rsidP="00920642">
      <w:pPr>
        <w:jc w:val="both"/>
        <w:rPr>
          <w:rFonts w:asciiTheme="minorHAnsi" w:hAnsiTheme="minorHAnsi" w:cs="Calibri"/>
          <w:sz w:val="22"/>
          <w:szCs w:val="22"/>
        </w:rPr>
      </w:pPr>
      <w:r w:rsidRPr="00920642">
        <w:rPr>
          <w:rFonts w:asciiTheme="minorHAnsi" w:hAnsiTheme="minorHAnsi" w:cs="Calibri"/>
          <w:sz w:val="22"/>
          <w:szCs w:val="22"/>
        </w:rPr>
        <w:t>Net debt was €94.2M at period end.  (March 31, 2017: Net debt €244.2M).</w:t>
      </w:r>
    </w:p>
    <w:p w:rsidR="00920642" w:rsidRPr="00DB22BA" w:rsidRDefault="00920642" w:rsidP="00920642">
      <w:pPr>
        <w:jc w:val="both"/>
        <w:rPr>
          <w:rFonts w:ascii="Calibri" w:hAnsi="Calibri" w:cs="Calibri"/>
          <w:sz w:val="22"/>
          <w:szCs w:val="22"/>
          <w:highlight w:val="yellow"/>
        </w:rPr>
      </w:pPr>
    </w:p>
    <w:p w:rsidR="00920642" w:rsidRPr="00DB22BA" w:rsidRDefault="00920642" w:rsidP="00920642">
      <w:pPr>
        <w:jc w:val="both"/>
        <w:rPr>
          <w:rFonts w:ascii="Calibri" w:hAnsi="Calibri" w:cs="Calibri"/>
          <w:b/>
          <w:sz w:val="22"/>
          <w:szCs w:val="22"/>
        </w:rPr>
      </w:pPr>
      <w:r w:rsidRPr="00DB22BA">
        <w:rPr>
          <w:rFonts w:ascii="Calibri" w:hAnsi="Calibri" w:cs="Calibri"/>
          <w:b/>
          <w:sz w:val="22"/>
          <w:szCs w:val="22"/>
        </w:rPr>
        <w:t>Shareholders’ equity:</w:t>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r>
      <w:r w:rsidRPr="00DB22BA">
        <w:rPr>
          <w:rFonts w:ascii="Calibri" w:hAnsi="Calibri" w:cs="Calibri"/>
          <w:b/>
          <w:sz w:val="22"/>
          <w:szCs w:val="22"/>
        </w:rPr>
        <w:tab/>
        <w:t xml:space="preserve">    </w:t>
      </w:r>
    </w:p>
    <w:p w:rsidR="00920642" w:rsidRPr="00920642" w:rsidRDefault="00920642" w:rsidP="00920642">
      <w:pPr>
        <w:jc w:val="both"/>
        <w:rPr>
          <w:rFonts w:asciiTheme="minorHAnsi" w:hAnsiTheme="minorHAnsi" w:cs="Calibri"/>
          <w:sz w:val="22"/>
          <w:szCs w:val="22"/>
        </w:rPr>
      </w:pPr>
      <w:r w:rsidRPr="00920642">
        <w:rPr>
          <w:rFonts w:asciiTheme="minorHAnsi" w:hAnsiTheme="minorHAnsi" w:cs="Calibri"/>
          <w:sz w:val="22"/>
          <w:szCs w:val="22"/>
        </w:rPr>
        <w:t>Shareholders’ equity decreased by €155.2M to €4,267.8M in the quarter due to IFRS hedge accounting treatment for derivatives of €349.6M and €204.1M of shareholder returns, offset by net profit after tax of €397.1M in the quarter.</w:t>
      </w:r>
    </w:p>
    <w:p w:rsidR="007357F8" w:rsidRDefault="007357F8" w:rsidP="007357F8">
      <w:pPr>
        <w:rPr>
          <w:rFonts w:asciiTheme="minorHAnsi" w:hAnsiTheme="minorHAnsi" w:cstheme="minorHAnsi"/>
          <w:sz w:val="22"/>
          <w:szCs w:val="22"/>
        </w:rPr>
      </w:pPr>
    </w:p>
    <w:p w:rsidR="007357F8" w:rsidRDefault="007357F8" w:rsidP="007357F8">
      <w:pPr>
        <w:rPr>
          <w:rFonts w:asciiTheme="minorHAnsi" w:hAnsiTheme="minorHAnsi" w:cstheme="minorHAnsi"/>
          <w:sz w:val="22"/>
          <w:szCs w:val="22"/>
        </w:rPr>
      </w:pPr>
    </w:p>
    <w:p w:rsidR="007357F8" w:rsidRDefault="007357F8" w:rsidP="007357F8">
      <w:pPr>
        <w:pStyle w:val="CG-Title-Center-Bold"/>
        <w:keepNext w:val="0"/>
        <w:tabs>
          <w:tab w:val="left" w:pos="-600"/>
          <w:tab w:val="left" w:pos="6120"/>
          <w:tab w:val="left" w:pos="6360"/>
          <w:tab w:val="left" w:pos="7800"/>
        </w:tabs>
        <w:spacing w:after="0"/>
        <w:ind w:left="-601" w:right="-352"/>
        <w:rPr>
          <w:rFonts w:asciiTheme="minorHAnsi" w:hAnsiTheme="minorHAnsi" w:cstheme="minorHAnsi"/>
          <w:sz w:val="24"/>
          <w:szCs w:val="24"/>
        </w:rPr>
      </w:pPr>
    </w:p>
    <w:p w:rsidR="007357F8" w:rsidRDefault="007357F8" w:rsidP="007357F8">
      <w:pPr>
        <w:rPr>
          <w:lang w:val="en-US"/>
        </w:rPr>
      </w:pPr>
    </w:p>
    <w:p w:rsidR="007357F8" w:rsidRDefault="007357F8" w:rsidP="007357F8">
      <w:pPr>
        <w:rPr>
          <w:lang w:val="en-US"/>
        </w:rPr>
      </w:pPr>
    </w:p>
    <w:p w:rsidR="007357F8" w:rsidRDefault="007357F8" w:rsidP="007357F8">
      <w:pPr>
        <w:rPr>
          <w:lang w:val="en-US"/>
        </w:rPr>
      </w:pPr>
    </w:p>
    <w:p w:rsidR="007357F8" w:rsidRDefault="007357F8" w:rsidP="007357F8">
      <w:pPr>
        <w:rPr>
          <w:lang w:val="en-US"/>
        </w:rPr>
      </w:pPr>
    </w:p>
    <w:p w:rsidR="007357F8" w:rsidRDefault="007357F8" w:rsidP="007357F8">
      <w:pPr>
        <w:rPr>
          <w:lang w:val="en-US"/>
        </w:rPr>
      </w:pPr>
    </w:p>
    <w:p w:rsidR="007357F8" w:rsidRDefault="007357F8" w:rsidP="007357F8">
      <w:pPr>
        <w:rPr>
          <w:lang w:val="en-US"/>
        </w:rPr>
      </w:pPr>
    </w:p>
    <w:p w:rsidR="007357F8" w:rsidRDefault="007357F8" w:rsidP="007357F8">
      <w:pPr>
        <w:rPr>
          <w:lang w:val="en-US"/>
        </w:rPr>
      </w:pPr>
    </w:p>
    <w:p w:rsidR="007357F8" w:rsidRDefault="007357F8" w:rsidP="007357F8">
      <w:pPr>
        <w:rPr>
          <w:lang w:val="en-US"/>
        </w:rPr>
      </w:pPr>
    </w:p>
    <w:p w:rsidR="007357F8" w:rsidRDefault="007357F8" w:rsidP="007357F8">
      <w:pPr>
        <w:rPr>
          <w:lang w:val="en-US"/>
        </w:rPr>
      </w:pPr>
    </w:p>
    <w:p w:rsidR="007357F8" w:rsidRDefault="007357F8" w:rsidP="007357F8">
      <w:pPr>
        <w:rPr>
          <w:lang w:val="en-US"/>
        </w:rPr>
      </w:pPr>
    </w:p>
    <w:p w:rsidR="007357F8" w:rsidRDefault="007357F8" w:rsidP="007357F8">
      <w:pPr>
        <w:rPr>
          <w:lang w:val="en-US"/>
        </w:rPr>
      </w:pPr>
    </w:p>
    <w:p w:rsidR="007357F8" w:rsidRPr="008801C6" w:rsidRDefault="007357F8" w:rsidP="007357F8">
      <w:pPr>
        <w:rPr>
          <w:lang w:val="en-US"/>
        </w:rPr>
      </w:pPr>
    </w:p>
    <w:p w:rsidR="007357F8" w:rsidRDefault="007357F8" w:rsidP="007357F8">
      <w:pPr>
        <w:rPr>
          <w:lang w:val="en-US"/>
        </w:rPr>
      </w:pPr>
    </w:p>
    <w:p w:rsidR="007357F8" w:rsidRPr="00DE3741" w:rsidRDefault="007357F8" w:rsidP="007357F8">
      <w:pPr>
        <w:pStyle w:val="CG-Title-Center-Bold"/>
        <w:keepNext w:val="0"/>
        <w:tabs>
          <w:tab w:val="left" w:pos="-600"/>
          <w:tab w:val="left" w:pos="6120"/>
          <w:tab w:val="left" w:pos="6360"/>
          <w:tab w:val="left" w:pos="7800"/>
        </w:tabs>
        <w:spacing w:after="0"/>
        <w:ind w:left="-120" w:right="-595"/>
      </w:pPr>
      <w:r w:rsidRPr="00505482">
        <w:rPr>
          <w:rFonts w:asciiTheme="minorHAnsi" w:hAnsiTheme="minorHAnsi" w:cstheme="minorHAnsi"/>
          <w:sz w:val="24"/>
          <w:szCs w:val="24"/>
        </w:rPr>
        <w:t>Ryanair Holdings plc</w:t>
      </w:r>
      <w:r>
        <w:rPr>
          <w:rFonts w:asciiTheme="minorHAnsi" w:hAnsiTheme="minorHAnsi" w:cstheme="minorHAnsi"/>
          <w:sz w:val="24"/>
          <w:szCs w:val="24"/>
        </w:rPr>
        <w:t xml:space="preserve"> and Subsidiaries</w:t>
      </w:r>
    </w:p>
    <w:p w:rsidR="007357F8" w:rsidRPr="00505482" w:rsidRDefault="007357F8" w:rsidP="007357F8">
      <w:pPr>
        <w:pStyle w:val="CG-Title-Center-Bold"/>
        <w:keepNext w:val="0"/>
        <w:tabs>
          <w:tab w:val="left" w:pos="-600"/>
          <w:tab w:val="left" w:pos="6120"/>
          <w:tab w:val="left" w:pos="6360"/>
          <w:tab w:val="left" w:pos="7800"/>
        </w:tabs>
        <w:spacing w:after="0"/>
        <w:ind w:left="-839" w:right="-595"/>
        <w:rPr>
          <w:rFonts w:asciiTheme="minorHAnsi" w:hAnsiTheme="minorHAnsi" w:cstheme="minorHAnsi"/>
          <w:sz w:val="24"/>
          <w:szCs w:val="24"/>
        </w:rPr>
      </w:pPr>
      <w:r w:rsidRPr="00505482">
        <w:rPr>
          <w:rFonts w:asciiTheme="minorHAnsi" w:hAnsiTheme="minorHAnsi" w:cstheme="minorHAnsi"/>
          <w:sz w:val="24"/>
          <w:szCs w:val="24"/>
        </w:rPr>
        <w:t>Notes forming Part of the Condensed Consolidated</w:t>
      </w:r>
    </w:p>
    <w:p w:rsidR="007357F8" w:rsidRPr="00505482" w:rsidRDefault="00EE553C" w:rsidP="007357F8">
      <w:pPr>
        <w:jc w:val="center"/>
        <w:rPr>
          <w:rFonts w:asciiTheme="minorHAnsi" w:hAnsiTheme="minorHAnsi" w:cstheme="minorHAnsi"/>
          <w:b/>
          <w:lang w:val="en-US"/>
        </w:rPr>
      </w:pPr>
      <w:r>
        <w:rPr>
          <w:rFonts w:asciiTheme="minorHAnsi" w:hAnsiTheme="minorHAnsi" w:cstheme="minorHAnsi"/>
          <w:b/>
          <w:lang w:val="en-US"/>
        </w:rPr>
        <w:lastRenderedPageBreak/>
        <w:t>Interim</w:t>
      </w:r>
      <w:r w:rsidR="007357F8">
        <w:rPr>
          <w:rFonts w:asciiTheme="minorHAnsi" w:hAnsiTheme="minorHAnsi" w:cstheme="minorHAnsi"/>
          <w:b/>
          <w:lang w:val="en-US"/>
        </w:rPr>
        <w:t xml:space="preserve"> </w:t>
      </w:r>
      <w:r w:rsidR="007357F8" w:rsidRPr="00505482">
        <w:rPr>
          <w:rFonts w:asciiTheme="minorHAnsi" w:hAnsiTheme="minorHAnsi" w:cstheme="minorHAnsi"/>
          <w:b/>
          <w:lang w:val="en-US"/>
        </w:rPr>
        <w:t>Financial Statements</w:t>
      </w:r>
    </w:p>
    <w:p w:rsidR="007357F8" w:rsidRPr="000C5767" w:rsidRDefault="007357F8" w:rsidP="007357F8">
      <w:pPr>
        <w:jc w:val="center"/>
        <w:rPr>
          <w:b/>
          <w:sz w:val="28"/>
          <w:szCs w:val="28"/>
          <w:lang w:val="en-US"/>
        </w:rPr>
      </w:pPr>
    </w:p>
    <w:p w:rsidR="007357F8" w:rsidRPr="00505482" w:rsidRDefault="007357F8" w:rsidP="007357F8">
      <w:pPr>
        <w:pStyle w:val="Outline3L1"/>
        <w:tabs>
          <w:tab w:val="clear" w:pos="720"/>
          <w:tab w:val="num" w:pos="0"/>
        </w:tabs>
        <w:rPr>
          <w:rFonts w:asciiTheme="minorHAnsi" w:hAnsiTheme="minorHAnsi" w:cstheme="minorHAnsi"/>
          <w:b/>
          <w:bCs/>
          <w:sz w:val="22"/>
          <w:szCs w:val="22"/>
        </w:rPr>
      </w:pPr>
      <w:r w:rsidRPr="00505482">
        <w:rPr>
          <w:rFonts w:asciiTheme="minorHAnsi" w:hAnsiTheme="minorHAnsi" w:cstheme="minorHAnsi"/>
          <w:b/>
          <w:sz w:val="22"/>
          <w:szCs w:val="22"/>
        </w:rPr>
        <w:t>Basis of preparation and significant accounting policies</w:t>
      </w:r>
    </w:p>
    <w:p w:rsidR="00920642" w:rsidRPr="00920642" w:rsidRDefault="00920642" w:rsidP="00920642">
      <w:pPr>
        <w:pStyle w:val="Outline3L1"/>
        <w:numPr>
          <w:ilvl w:val="0"/>
          <w:numId w:val="0"/>
        </w:numPr>
        <w:tabs>
          <w:tab w:val="num" w:pos="0"/>
        </w:tabs>
        <w:jc w:val="both"/>
        <w:rPr>
          <w:rFonts w:asciiTheme="minorHAnsi" w:hAnsiTheme="minorHAnsi" w:cs="Calibri"/>
          <w:sz w:val="22"/>
          <w:szCs w:val="22"/>
        </w:rPr>
      </w:pPr>
      <w:r w:rsidRPr="00920642">
        <w:rPr>
          <w:rFonts w:asciiTheme="minorHAnsi" w:hAnsiTheme="minorHAnsi" w:cs="Calibri"/>
          <w:sz w:val="22"/>
          <w:szCs w:val="22"/>
        </w:rPr>
        <w:t xml:space="preserve">Ryanair Holdings plc (the “Company”) is a company domiciled in Ireland. The unaudited condensed consolidated preliminary financial statements of the Company for the quarter ended June 30, 2017 comprise the Company and its subsidiaries (together referred to as the “Group”). </w:t>
      </w:r>
    </w:p>
    <w:p w:rsidR="00920642" w:rsidRPr="00920642" w:rsidRDefault="00920642" w:rsidP="00920642">
      <w:pPr>
        <w:pStyle w:val="Outline3L1"/>
        <w:numPr>
          <w:ilvl w:val="0"/>
          <w:numId w:val="0"/>
        </w:numPr>
        <w:tabs>
          <w:tab w:val="num" w:pos="0"/>
        </w:tabs>
        <w:jc w:val="both"/>
        <w:rPr>
          <w:rFonts w:asciiTheme="minorHAnsi" w:hAnsiTheme="minorHAnsi" w:cs="Calibri"/>
          <w:sz w:val="22"/>
          <w:szCs w:val="22"/>
        </w:rPr>
      </w:pPr>
      <w:r w:rsidRPr="00920642">
        <w:rPr>
          <w:rFonts w:asciiTheme="minorHAnsi" w:hAnsiTheme="minorHAnsi" w:cs="Calibri"/>
          <w:sz w:val="22"/>
          <w:szCs w:val="22"/>
        </w:rPr>
        <w:t>These unaudited condensed consolidated interim financial statements (“the interim financial statements”), which should be read in conjunction with our 2016 Annual Report for the year ended March 31, 2016, have been prepared in accordance with International Accounting Standard No. 34 “</w:t>
      </w:r>
      <w:r w:rsidRPr="00920642">
        <w:rPr>
          <w:rFonts w:asciiTheme="minorHAnsi" w:hAnsiTheme="minorHAnsi" w:cs="Calibri"/>
          <w:i/>
          <w:sz w:val="22"/>
          <w:szCs w:val="22"/>
        </w:rPr>
        <w:t>Interim Financial Reporting</w:t>
      </w:r>
      <w:r w:rsidRPr="00920642">
        <w:rPr>
          <w:rFonts w:asciiTheme="minorHAnsi" w:hAnsiTheme="minorHAnsi" w:cs="Calibri"/>
          <w:sz w:val="22"/>
          <w:szCs w:val="22"/>
        </w:rPr>
        <w:t xml:space="preserve">” as adopted by the EU (“IAS 34”).  They do not include </w:t>
      </w:r>
      <w:proofErr w:type="gramStart"/>
      <w:r w:rsidRPr="00920642">
        <w:rPr>
          <w:rFonts w:asciiTheme="minorHAnsi" w:hAnsiTheme="minorHAnsi" w:cs="Calibri"/>
          <w:sz w:val="22"/>
          <w:szCs w:val="22"/>
        </w:rPr>
        <w:t>all of</w:t>
      </w:r>
      <w:proofErr w:type="gramEnd"/>
      <w:r w:rsidRPr="00920642">
        <w:rPr>
          <w:rFonts w:asciiTheme="minorHAnsi" w:hAnsiTheme="minorHAnsi" w:cs="Calibri"/>
          <w:sz w:val="22"/>
          <w:szCs w:val="22"/>
        </w:rPr>
        <w:t xml:space="preserve"> the information required for full annual financial statements, and should be read in conjunction with the most recent published consolidated financial statements of the Group. The consolidated financial statements of the Group as at and for the year ended March 31, 2017, are available at </w:t>
      </w:r>
      <w:hyperlink r:id="rId9" w:history="1">
        <w:r w:rsidRPr="00920642">
          <w:rPr>
            <w:rStyle w:val="Hyperlink"/>
            <w:rFonts w:asciiTheme="minorHAnsi" w:hAnsiTheme="minorHAnsi" w:cs="Calibri"/>
            <w:sz w:val="22"/>
            <w:szCs w:val="22"/>
          </w:rPr>
          <w:t>http://investor.ryanair.com/</w:t>
        </w:r>
      </w:hyperlink>
      <w:r w:rsidRPr="00920642">
        <w:rPr>
          <w:rFonts w:asciiTheme="minorHAnsi" w:hAnsiTheme="minorHAnsi" w:cs="Calibri"/>
          <w:color w:val="1F497D"/>
          <w:sz w:val="22"/>
          <w:szCs w:val="22"/>
          <w:u w:val="single"/>
        </w:rPr>
        <w:t>.</w:t>
      </w:r>
    </w:p>
    <w:p w:rsidR="00920642" w:rsidRPr="00920642" w:rsidRDefault="00920642" w:rsidP="00920642">
      <w:pPr>
        <w:pStyle w:val="Outline3L1"/>
        <w:numPr>
          <w:ilvl w:val="0"/>
          <w:numId w:val="0"/>
        </w:numPr>
        <w:tabs>
          <w:tab w:val="num" w:pos="0"/>
        </w:tabs>
        <w:jc w:val="both"/>
        <w:rPr>
          <w:rFonts w:asciiTheme="minorHAnsi" w:hAnsiTheme="minorHAnsi" w:cs="Calibri"/>
          <w:sz w:val="22"/>
          <w:szCs w:val="22"/>
        </w:rPr>
      </w:pPr>
      <w:r w:rsidRPr="00920642">
        <w:rPr>
          <w:rFonts w:asciiTheme="minorHAnsi" w:hAnsiTheme="minorHAnsi" w:cs="Calibri"/>
          <w:sz w:val="22"/>
          <w:szCs w:val="22"/>
        </w:rPr>
        <w:t>The June 30, 2017 figures and the June 30, 2016 comparative figures do not constitute statutory financial statements of the Group within the meaning of the Companies Act, 2014. The consolidated financial statements of the Group for the year ended March 31, 2016, together with the independent auditor’s report thereon, were filed with the Irish Registrar of Companies following the Company’s Annual General Meeting and are also available on the Company’s Website. The auditor’s report on those financial statements was unqualified.  The consolidated financial statements of the Group for the year ended March 31, 2017 will be filed with the Irish Registrar of Companies following the Company’s Annual General Meeting and will be available to shareholders in due course.</w:t>
      </w:r>
    </w:p>
    <w:p w:rsidR="00920642" w:rsidRPr="00920642" w:rsidRDefault="00920642" w:rsidP="00920642">
      <w:pPr>
        <w:pStyle w:val="Outline3L1"/>
        <w:numPr>
          <w:ilvl w:val="0"/>
          <w:numId w:val="0"/>
        </w:numPr>
        <w:tabs>
          <w:tab w:val="num" w:pos="0"/>
        </w:tabs>
        <w:jc w:val="both"/>
        <w:rPr>
          <w:rFonts w:asciiTheme="minorHAnsi" w:hAnsiTheme="minorHAnsi" w:cs="Calibri"/>
          <w:sz w:val="22"/>
          <w:szCs w:val="22"/>
        </w:rPr>
      </w:pPr>
      <w:r w:rsidRPr="00920642">
        <w:rPr>
          <w:rFonts w:asciiTheme="minorHAnsi" w:hAnsiTheme="minorHAnsi" w:cs="Calibri"/>
          <w:sz w:val="22"/>
          <w:szCs w:val="22"/>
        </w:rPr>
        <w:t>The Audit Committee, upon delegation of authority by the Board of Directors, approved the condensed consolidated preliminary financial statements for the year ended March 31, 2017 on May 26, 2017.</w:t>
      </w:r>
    </w:p>
    <w:p w:rsidR="00920642" w:rsidRPr="00920642" w:rsidRDefault="00920642" w:rsidP="00920642">
      <w:pPr>
        <w:pStyle w:val="Outline3L1"/>
        <w:numPr>
          <w:ilvl w:val="0"/>
          <w:numId w:val="0"/>
        </w:numPr>
        <w:tabs>
          <w:tab w:val="num" w:pos="0"/>
        </w:tabs>
        <w:jc w:val="both"/>
        <w:rPr>
          <w:rFonts w:asciiTheme="minorHAnsi" w:hAnsiTheme="minorHAnsi" w:cs="Calibri"/>
          <w:sz w:val="22"/>
          <w:szCs w:val="22"/>
        </w:rPr>
      </w:pPr>
      <w:r w:rsidRPr="00920642">
        <w:rPr>
          <w:rFonts w:asciiTheme="minorHAnsi" w:hAnsiTheme="minorHAnsi" w:cs="Calibri"/>
          <w:sz w:val="22"/>
          <w:szCs w:val="22"/>
        </w:rPr>
        <w:t xml:space="preserve">Except as stated otherwise below, this period’s financial information has been prepared in accordance with the accounting policies set out in the Group’s most recent published consolidated financial statements, which were prepared in accordance with IFRS as adopted by the EU </w:t>
      </w:r>
      <w:proofErr w:type="gramStart"/>
      <w:r w:rsidRPr="00920642">
        <w:rPr>
          <w:rFonts w:asciiTheme="minorHAnsi" w:hAnsiTheme="minorHAnsi" w:cs="Calibri"/>
          <w:sz w:val="22"/>
          <w:szCs w:val="22"/>
        </w:rPr>
        <w:t>and also</w:t>
      </w:r>
      <w:proofErr w:type="gramEnd"/>
      <w:r w:rsidRPr="00920642">
        <w:rPr>
          <w:rFonts w:asciiTheme="minorHAnsi" w:hAnsiTheme="minorHAnsi" w:cs="Calibri"/>
          <w:sz w:val="22"/>
          <w:szCs w:val="22"/>
        </w:rPr>
        <w:t xml:space="preserve"> in compliance with IFRS as issued by the International Accounting Standards Board (IASB).</w:t>
      </w:r>
    </w:p>
    <w:p w:rsidR="00920642" w:rsidRPr="00920642" w:rsidRDefault="00920642" w:rsidP="00920642">
      <w:pPr>
        <w:pStyle w:val="Outline3L1"/>
        <w:numPr>
          <w:ilvl w:val="0"/>
          <w:numId w:val="0"/>
        </w:numPr>
        <w:tabs>
          <w:tab w:val="num" w:pos="0"/>
        </w:tabs>
        <w:spacing w:after="120"/>
        <w:jc w:val="both"/>
        <w:rPr>
          <w:rFonts w:asciiTheme="minorHAnsi" w:hAnsiTheme="minorHAnsi" w:cs="Calibri"/>
          <w:iCs/>
          <w:sz w:val="22"/>
          <w:szCs w:val="22"/>
        </w:rPr>
      </w:pPr>
      <w:r w:rsidRPr="00920642">
        <w:rPr>
          <w:rFonts w:asciiTheme="minorHAnsi" w:hAnsiTheme="minorHAnsi" w:cs="Calibri"/>
          <w:sz w:val="22"/>
          <w:szCs w:val="22"/>
        </w:rPr>
        <w:t>The following new and amended standards, that have been issued by the IASB, and which were effective for the first time for the current financial year beginning on or after January 1, 2016, and have also been endorsed by the EU, have been applied by the Group for the first time in these condensed consolidated financial statements;</w:t>
      </w:r>
      <w:r w:rsidRPr="00920642">
        <w:rPr>
          <w:rFonts w:asciiTheme="minorHAnsi" w:hAnsiTheme="minorHAnsi" w:cs="Calibri"/>
          <w:iCs/>
          <w:sz w:val="22"/>
          <w:szCs w:val="22"/>
        </w:rPr>
        <w:t xml:space="preserve"> </w:t>
      </w:r>
    </w:p>
    <w:p w:rsidR="00920642" w:rsidRPr="00920642" w:rsidRDefault="00920642" w:rsidP="00920642">
      <w:pPr>
        <w:rPr>
          <w:rFonts w:asciiTheme="minorHAnsi" w:hAnsiTheme="minorHAnsi"/>
          <w:sz w:val="22"/>
          <w:szCs w:val="22"/>
          <w:lang w:val="en-US"/>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Amendments to IFRS 11: “Accounting for Acquisitions of Interests in Joint Operations” (effective for fiscal periods beginning on or after January 1, 2016)</w:t>
      </w:r>
    </w:p>
    <w:p w:rsidR="00920642" w:rsidRPr="00920642" w:rsidRDefault="00920642" w:rsidP="00920642">
      <w:pPr>
        <w:pStyle w:val="ListParagraph"/>
        <w:autoSpaceDE w:val="0"/>
        <w:autoSpaceDN w:val="0"/>
        <w:adjustRightInd w:val="0"/>
        <w:ind w:left="360"/>
        <w:contextualSpacing/>
        <w:jc w:val="bot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Amendments to IAS 16 and IAS 38: “Clarification of Acceptable Methods of Depreciation and Amortisation” (effective for fiscal periods beginning on or after January 1, 2016)</w:t>
      </w:r>
    </w:p>
    <w:p w:rsidR="00920642" w:rsidRPr="00920642" w:rsidRDefault="00920642" w:rsidP="00920642">
      <w:pPr>
        <w:pStyle w:val="ListParagraph"/>
        <w:autoSpaceDE w:val="0"/>
        <w:autoSpaceDN w:val="0"/>
        <w:adjustRightInd w:val="0"/>
        <w:ind w:left="360"/>
        <w:contextualSpacing/>
        <w:jc w:val="bot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Amendments to IAS 16 Property, Plant and Equipment and IAS 41 Bearer Plants (effective for fiscal periods beginning on or after January 1, 2016)</w:t>
      </w:r>
    </w:p>
    <w:p w:rsidR="00920642" w:rsidRPr="00920642" w:rsidRDefault="00920642" w:rsidP="00920642">
      <w:pPr>
        <w:pStyle w:val="ListParagraph"/>
        <w:autoSpaceDE w:val="0"/>
        <w:autoSpaceDN w:val="0"/>
        <w:adjustRightInd w:val="0"/>
        <w:ind w:left="360"/>
        <w:contextualSpacing/>
        <w:jc w:val="bot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Amendments to IAS 27 Equity method in Separate Financial Statements (effective for fiscal periods beginning on or after January 1, 2016)</w:t>
      </w:r>
    </w:p>
    <w:p w:rsidR="00920642" w:rsidRPr="00920642" w:rsidRDefault="00920642" w:rsidP="00920642">
      <w:pPr>
        <w:pStyle w:val="ListParagraph"/>
        <w:autoSpaceDE w:val="0"/>
        <w:autoSpaceDN w:val="0"/>
        <w:adjustRightInd w:val="0"/>
        <w:ind w:left="360"/>
        <w:contextualSpacing/>
        <w:jc w:val="bot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lastRenderedPageBreak/>
        <w:t>Amendments to IAS 1: “Disclosure Initiative” (effective for fiscal periods beginning on or after January 1, 2016)</w:t>
      </w:r>
    </w:p>
    <w:p w:rsidR="00920642" w:rsidRPr="00920642" w:rsidRDefault="00920642" w:rsidP="00920642">
      <w:pPr>
        <w:pStyle w:val="ListParagraph"/>
        <w:autoSpaceDE w:val="0"/>
        <w:autoSpaceDN w:val="0"/>
        <w:adjustRightInd w:val="0"/>
        <w:ind w:left="360"/>
        <w:contextualSpacing/>
        <w:jc w:val="bot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“Annual Improvements to IFRSs” 2012-2014 Cycle (effective for fiscal periods beginning on or after January 1, 2016)</w:t>
      </w:r>
    </w:p>
    <w:p w:rsidR="00920642" w:rsidRPr="00920642" w:rsidRDefault="00920642" w:rsidP="00920642">
      <w:pPr>
        <w:pStyle w:val="ListParagrap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Amendments to IFRS 10, IFRS 12 and IAS 28: “Investment Entities - Exception to Consolidation” (effective for fiscal periods beginning on or after January 1, 2016)</w:t>
      </w:r>
    </w:p>
    <w:p w:rsidR="00920642" w:rsidRPr="00920642" w:rsidRDefault="00920642" w:rsidP="00920642">
      <w:pPr>
        <w:rPr>
          <w:rFonts w:asciiTheme="minorHAnsi" w:hAnsiTheme="minorHAnsi"/>
          <w:sz w:val="22"/>
          <w:szCs w:val="22"/>
          <w:lang w:val="en-US"/>
        </w:rPr>
      </w:pPr>
    </w:p>
    <w:p w:rsidR="00920642" w:rsidRPr="00920642" w:rsidRDefault="00920642" w:rsidP="00920642">
      <w:pPr>
        <w:tabs>
          <w:tab w:val="num" w:pos="0"/>
        </w:tabs>
        <w:autoSpaceDE w:val="0"/>
        <w:autoSpaceDN w:val="0"/>
        <w:adjustRightInd w:val="0"/>
        <w:jc w:val="both"/>
        <w:rPr>
          <w:rFonts w:asciiTheme="minorHAnsi" w:hAnsiTheme="minorHAnsi" w:cs="Calibri"/>
          <w:color w:val="000000"/>
          <w:sz w:val="22"/>
          <w:szCs w:val="22"/>
          <w:lang w:eastAsia="en-IE"/>
        </w:rPr>
      </w:pPr>
      <w:r w:rsidRPr="00920642">
        <w:rPr>
          <w:rFonts w:asciiTheme="minorHAnsi" w:hAnsiTheme="minorHAnsi" w:cs="Calibri"/>
          <w:color w:val="000000"/>
          <w:sz w:val="22"/>
          <w:szCs w:val="22"/>
          <w:lang w:eastAsia="en-IE"/>
        </w:rPr>
        <w:t>The adoption of these amended standards did not have a material impact on our financial position or results from operations in the year ended March 31, 2017.</w:t>
      </w:r>
    </w:p>
    <w:p w:rsidR="00920642" w:rsidRPr="00920642" w:rsidRDefault="00920642" w:rsidP="00920642">
      <w:pPr>
        <w:tabs>
          <w:tab w:val="num" w:pos="0"/>
        </w:tabs>
        <w:autoSpaceDE w:val="0"/>
        <w:autoSpaceDN w:val="0"/>
        <w:adjustRightInd w:val="0"/>
        <w:jc w:val="both"/>
        <w:rPr>
          <w:rFonts w:asciiTheme="minorHAnsi" w:hAnsiTheme="minorHAnsi" w:cs="Calibri"/>
          <w:color w:val="000000"/>
          <w:sz w:val="22"/>
          <w:szCs w:val="22"/>
          <w:lang w:eastAsia="en-IE"/>
        </w:rPr>
      </w:pPr>
    </w:p>
    <w:p w:rsidR="00920642" w:rsidRPr="00920642" w:rsidRDefault="00920642" w:rsidP="00920642">
      <w:pPr>
        <w:autoSpaceDE w:val="0"/>
        <w:autoSpaceDN w:val="0"/>
        <w:adjustRightInd w:val="0"/>
        <w:jc w:val="both"/>
        <w:rPr>
          <w:rFonts w:asciiTheme="minorHAnsi" w:hAnsiTheme="minorHAnsi" w:cs="Calibri"/>
          <w:sz w:val="22"/>
          <w:szCs w:val="22"/>
        </w:rPr>
      </w:pPr>
      <w:r w:rsidRPr="00920642">
        <w:rPr>
          <w:rFonts w:asciiTheme="minorHAnsi" w:hAnsiTheme="minorHAnsi" w:cs="Calibri"/>
          <w:sz w:val="22"/>
          <w:szCs w:val="22"/>
        </w:rPr>
        <w:t xml:space="preserve">The following new or revised IFRS standards and IFRIC interpretations will be adopted for purposes of the preparation of future financial statements, where applicable. Those that are not </w:t>
      </w:r>
      <w:proofErr w:type="gramStart"/>
      <w:r w:rsidRPr="00920642">
        <w:rPr>
          <w:rFonts w:asciiTheme="minorHAnsi" w:hAnsiTheme="minorHAnsi" w:cs="Calibri"/>
          <w:sz w:val="22"/>
          <w:szCs w:val="22"/>
        </w:rPr>
        <w:t>as yet</w:t>
      </w:r>
      <w:proofErr w:type="gramEnd"/>
      <w:r w:rsidRPr="00920642">
        <w:rPr>
          <w:rFonts w:asciiTheme="minorHAnsi" w:hAnsiTheme="minorHAnsi" w:cs="Calibri"/>
          <w:sz w:val="22"/>
          <w:szCs w:val="22"/>
        </w:rPr>
        <w:t xml:space="preserve"> EU endorsed are flagged below. While under review, we do not anticipate that the adoption of these new or revised standards and interpretations will have a material impact on our financial position or results from operations:</w:t>
      </w:r>
    </w:p>
    <w:p w:rsidR="00920642" w:rsidRPr="00920642" w:rsidRDefault="00920642" w:rsidP="00920642">
      <w:pPr>
        <w:tabs>
          <w:tab w:val="num" w:pos="0"/>
        </w:tabs>
        <w:autoSpaceDE w:val="0"/>
        <w:autoSpaceDN w:val="0"/>
        <w:adjustRightInd w:val="0"/>
        <w:jc w:val="both"/>
        <w:rPr>
          <w:rFonts w:asciiTheme="minorHAnsi" w:hAnsiTheme="minorHAnsi" w:cs="Calibri"/>
          <w:color w:val="000000"/>
          <w:sz w:val="22"/>
          <w:szCs w:val="22"/>
          <w:lang w:eastAsia="en-IE"/>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 xml:space="preserve">Amendments to IAS 7: “Disclosure Initiative” (effective for fiscal periods beginning on or after January 1, </w:t>
      </w:r>
      <w:proofErr w:type="gramStart"/>
      <w:r w:rsidRPr="00920642">
        <w:rPr>
          <w:rFonts w:asciiTheme="minorHAnsi" w:hAnsiTheme="minorHAnsi" w:cs="Calibri"/>
          <w:sz w:val="22"/>
          <w:szCs w:val="22"/>
        </w:rPr>
        <w:t>2017)*</w:t>
      </w:r>
      <w:proofErr w:type="gramEnd"/>
      <w:r w:rsidRPr="00920642">
        <w:rPr>
          <w:rFonts w:asciiTheme="minorHAnsi" w:hAnsiTheme="minorHAnsi" w:cs="Calibri"/>
          <w:sz w:val="22"/>
          <w:szCs w:val="22"/>
        </w:rPr>
        <w:t xml:space="preserve"> </w:t>
      </w:r>
    </w:p>
    <w:p w:rsidR="00920642" w:rsidRPr="00920642" w:rsidRDefault="00920642" w:rsidP="00920642">
      <w:pPr>
        <w:pStyle w:val="ListParagrap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 xml:space="preserve">Amendments to IAS 12: “Recognition of Deferred Tax Assets for Unrealised Losses” (effective for fiscal periods beginning on or after January 1, </w:t>
      </w:r>
      <w:proofErr w:type="gramStart"/>
      <w:r w:rsidRPr="00920642">
        <w:rPr>
          <w:rFonts w:asciiTheme="minorHAnsi" w:hAnsiTheme="minorHAnsi" w:cs="Calibri"/>
          <w:sz w:val="22"/>
          <w:szCs w:val="22"/>
        </w:rPr>
        <w:t>2017)*</w:t>
      </w:r>
      <w:proofErr w:type="gramEnd"/>
    </w:p>
    <w:p w:rsidR="00920642" w:rsidRPr="00920642" w:rsidRDefault="00920642" w:rsidP="00920642">
      <w:pPr>
        <w:pStyle w:val="ListParagraph"/>
        <w:autoSpaceDE w:val="0"/>
        <w:autoSpaceDN w:val="0"/>
        <w:adjustRightInd w:val="0"/>
        <w:ind w:left="360"/>
        <w:contextualSpacing/>
        <w:jc w:val="bot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IFRS 15: “Revenue from Contracts with Customers including Amendments to IFRS 15” (effective for fiscal periods beginning on or after January 1, 2018)</w:t>
      </w:r>
    </w:p>
    <w:p w:rsidR="00920642" w:rsidRPr="00920642" w:rsidRDefault="00920642" w:rsidP="00920642">
      <w:pPr>
        <w:pStyle w:val="ListParagrap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IFRS 9: “Financial Instruments” (effective for fiscal periods beginning on or after January 1, 2018)</w:t>
      </w:r>
    </w:p>
    <w:p w:rsidR="00920642" w:rsidRPr="00920642" w:rsidRDefault="00920642" w:rsidP="00920642">
      <w:pPr>
        <w:pStyle w:val="ListParagrap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 xml:space="preserve">Clarifications to IFRS 15: “Revenue from Contracts with Customers (effective for fiscal periods beginning on or after January 1, </w:t>
      </w:r>
      <w:proofErr w:type="gramStart"/>
      <w:r w:rsidRPr="00920642">
        <w:rPr>
          <w:rFonts w:asciiTheme="minorHAnsi" w:hAnsiTheme="minorHAnsi" w:cs="Calibri"/>
          <w:sz w:val="22"/>
          <w:szCs w:val="22"/>
        </w:rPr>
        <w:t>2018)*</w:t>
      </w:r>
      <w:proofErr w:type="gramEnd"/>
    </w:p>
    <w:p w:rsidR="00920642" w:rsidRPr="00920642" w:rsidRDefault="00920642" w:rsidP="00920642">
      <w:pPr>
        <w:pStyle w:val="ListParagrap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 xml:space="preserve">Amendments to IFRS 2: “Classification and Measurement of Share Based Payment Transactions” (effective for fiscal periods beginning on or after January 1, </w:t>
      </w:r>
      <w:proofErr w:type="gramStart"/>
      <w:r w:rsidRPr="00920642">
        <w:rPr>
          <w:rFonts w:asciiTheme="minorHAnsi" w:hAnsiTheme="minorHAnsi" w:cs="Calibri"/>
          <w:sz w:val="22"/>
          <w:szCs w:val="22"/>
        </w:rPr>
        <w:t>2018)*</w:t>
      </w:r>
      <w:proofErr w:type="gramEnd"/>
    </w:p>
    <w:p w:rsidR="00920642" w:rsidRPr="00920642" w:rsidRDefault="00920642" w:rsidP="00920642">
      <w:pPr>
        <w:pStyle w:val="ListParagrap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 xml:space="preserve">Amendments to IFRS 4: Applying IFRS 9 “Financial Instruments” with IFRS 4: “Insurance Contracts” (effective for fiscal periods beginning on or after January 1, </w:t>
      </w:r>
      <w:proofErr w:type="gramStart"/>
      <w:r w:rsidRPr="00920642">
        <w:rPr>
          <w:rFonts w:asciiTheme="minorHAnsi" w:hAnsiTheme="minorHAnsi" w:cs="Calibri"/>
          <w:sz w:val="22"/>
          <w:szCs w:val="22"/>
        </w:rPr>
        <w:t>2018)*</w:t>
      </w:r>
      <w:proofErr w:type="gramEnd"/>
    </w:p>
    <w:p w:rsidR="00920642" w:rsidRPr="00920642" w:rsidRDefault="00920642" w:rsidP="00920642">
      <w:pPr>
        <w:pStyle w:val="ListParagrap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 xml:space="preserve">Annual Improvements to IFRS 2014-2016 Cycle (effective for fiscal periods beginning on or after January 1, </w:t>
      </w:r>
      <w:proofErr w:type="gramStart"/>
      <w:r w:rsidRPr="00920642">
        <w:rPr>
          <w:rFonts w:asciiTheme="minorHAnsi" w:hAnsiTheme="minorHAnsi" w:cs="Calibri"/>
          <w:sz w:val="22"/>
          <w:szCs w:val="22"/>
        </w:rPr>
        <w:t>2018)*</w:t>
      </w:r>
      <w:proofErr w:type="gramEnd"/>
    </w:p>
    <w:p w:rsidR="00920642" w:rsidRPr="00920642" w:rsidRDefault="00920642" w:rsidP="00920642">
      <w:pPr>
        <w:pStyle w:val="ListParagrap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 xml:space="preserve">IFRIC Interpretation 22: “Foreign Currency Transactions and Advance Consideration” (effective for fiscal periods beginning on or after January 1, </w:t>
      </w:r>
      <w:proofErr w:type="gramStart"/>
      <w:r w:rsidRPr="00920642">
        <w:rPr>
          <w:rFonts w:asciiTheme="minorHAnsi" w:hAnsiTheme="minorHAnsi" w:cs="Calibri"/>
          <w:sz w:val="22"/>
          <w:szCs w:val="22"/>
        </w:rPr>
        <w:t>2018)*</w:t>
      </w:r>
      <w:proofErr w:type="gramEnd"/>
    </w:p>
    <w:p w:rsidR="00920642" w:rsidRPr="00920642" w:rsidRDefault="00920642" w:rsidP="00920642">
      <w:pPr>
        <w:pStyle w:val="ListParagraph"/>
        <w:rPr>
          <w:rFonts w:asciiTheme="minorHAnsi" w:hAnsiTheme="minorHAnsi" w:cs="Calibri"/>
          <w:sz w:val="22"/>
          <w:szCs w:val="22"/>
        </w:rPr>
      </w:pPr>
    </w:p>
    <w:p w:rsidR="00920642" w:rsidRPr="00920642" w:rsidRDefault="00920642" w:rsidP="00920642">
      <w:pPr>
        <w:pStyle w:val="ListParagraph"/>
        <w:numPr>
          <w:ilvl w:val="0"/>
          <w:numId w:val="48"/>
        </w:numPr>
        <w:autoSpaceDE w:val="0"/>
        <w:autoSpaceDN w:val="0"/>
        <w:adjustRightInd w:val="0"/>
        <w:contextualSpacing/>
        <w:jc w:val="both"/>
        <w:rPr>
          <w:rFonts w:asciiTheme="minorHAnsi" w:hAnsiTheme="minorHAnsi" w:cs="Calibri"/>
          <w:sz w:val="22"/>
          <w:szCs w:val="22"/>
        </w:rPr>
      </w:pPr>
      <w:r w:rsidRPr="00920642">
        <w:rPr>
          <w:rFonts w:asciiTheme="minorHAnsi" w:hAnsiTheme="minorHAnsi" w:cs="Calibri"/>
          <w:sz w:val="22"/>
          <w:szCs w:val="22"/>
        </w:rPr>
        <w:t>IFRS 16: “Leases” (effective for fiscal periods beginning on or after January 1, 2019)</w:t>
      </w:r>
    </w:p>
    <w:p w:rsidR="00920642" w:rsidRPr="00920642" w:rsidRDefault="00920642" w:rsidP="00920642">
      <w:pPr>
        <w:pStyle w:val="ListParagraph"/>
        <w:rPr>
          <w:rFonts w:asciiTheme="minorHAnsi" w:hAnsiTheme="minorHAnsi" w:cs="Calibri"/>
          <w:sz w:val="22"/>
          <w:szCs w:val="22"/>
        </w:rPr>
      </w:pPr>
    </w:p>
    <w:p w:rsidR="00920642" w:rsidRPr="00920642" w:rsidRDefault="00920642" w:rsidP="00920642">
      <w:pPr>
        <w:pStyle w:val="ListParagraph"/>
        <w:autoSpaceDE w:val="0"/>
        <w:autoSpaceDN w:val="0"/>
        <w:adjustRightInd w:val="0"/>
        <w:ind w:left="360"/>
        <w:rPr>
          <w:rFonts w:asciiTheme="minorHAnsi" w:hAnsiTheme="minorHAnsi" w:cs="Calibri"/>
          <w:sz w:val="22"/>
          <w:szCs w:val="22"/>
        </w:rPr>
      </w:pPr>
      <w:r w:rsidRPr="00920642">
        <w:rPr>
          <w:rFonts w:asciiTheme="minorHAnsi" w:hAnsiTheme="minorHAnsi" w:cs="Calibri"/>
          <w:sz w:val="22"/>
          <w:szCs w:val="22"/>
        </w:rPr>
        <w:t xml:space="preserve">* These standards or amendments to standards are not </w:t>
      </w:r>
      <w:proofErr w:type="gramStart"/>
      <w:r w:rsidRPr="00920642">
        <w:rPr>
          <w:rFonts w:asciiTheme="minorHAnsi" w:hAnsiTheme="minorHAnsi" w:cs="Calibri"/>
          <w:sz w:val="22"/>
          <w:szCs w:val="22"/>
        </w:rPr>
        <w:t>as yet</w:t>
      </w:r>
      <w:proofErr w:type="gramEnd"/>
      <w:r w:rsidRPr="00920642">
        <w:rPr>
          <w:rFonts w:asciiTheme="minorHAnsi" w:hAnsiTheme="minorHAnsi" w:cs="Calibri"/>
          <w:sz w:val="22"/>
          <w:szCs w:val="22"/>
        </w:rPr>
        <w:t xml:space="preserve"> EU endorsed.</w:t>
      </w:r>
    </w:p>
    <w:p w:rsidR="007357F8" w:rsidRPr="00E03063" w:rsidRDefault="007357F8" w:rsidP="007357F8">
      <w:pPr>
        <w:autoSpaceDE w:val="0"/>
        <w:autoSpaceDN w:val="0"/>
        <w:adjustRightInd w:val="0"/>
        <w:contextualSpacing/>
        <w:jc w:val="both"/>
        <w:rPr>
          <w:rFonts w:asciiTheme="minorHAnsi" w:hAnsiTheme="minorHAnsi" w:cstheme="minorHAnsi"/>
          <w:sz w:val="22"/>
          <w:szCs w:val="22"/>
        </w:rPr>
      </w:pPr>
    </w:p>
    <w:p w:rsidR="007357F8" w:rsidRDefault="007357F8" w:rsidP="007357F8">
      <w:pPr>
        <w:tabs>
          <w:tab w:val="num" w:pos="0"/>
        </w:tabs>
        <w:autoSpaceDE w:val="0"/>
        <w:autoSpaceDN w:val="0"/>
        <w:adjustRightInd w:val="0"/>
        <w:jc w:val="both"/>
        <w:rPr>
          <w:rFonts w:asciiTheme="minorHAnsi" w:hAnsiTheme="minorHAnsi" w:cstheme="minorHAnsi"/>
          <w:color w:val="000000"/>
          <w:sz w:val="22"/>
          <w:szCs w:val="22"/>
          <w:lang w:eastAsia="en-IE"/>
        </w:rPr>
      </w:pPr>
    </w:p>
    <w:p w:rsidR="007357F8" w:rsidRPr="00505482" w:rsidRDefault="007357F8" w:rsidP="007357F8">
      <w:pPr>
        <w:pStyle w:val="Outline3L1"/>
        <w:tabs>
          <w:tab w:val="num" w:pos="0"/>
        </w:tabs>
        <w:spacing w:line="300" w:lineRule="exact"/>
        <w:rPr>
          <w:rFonts w:asciiTheme="minorHAnsi" w:hAnsiTheme="minorHAnsi" w:cstheme="minorHAnsi"/>
          <w:b/>
          <w:bCs/>
          <w:sz w:val="22"/>
          <w:szCs w:val="22"/>
        </w:rPr>
      </w:pPr>
      <w:r w:rsidRPr="00505482">
        <w:rPr>
          <w:rFonts w:asciiTheme="minorHAnsi" w:hAnsiTheme="minorHAnsi" w:cstheme="minorHAnsi"/>
          <w:b/>
          <w:bCs/>
          <w:sz w:val="22"/>
          <w:szCs w:val="22"/>
        </w:rPr>
        <w:lastRenderedPageBreak/>
        <w:t>Estimates</w:t>
      </w:r>
    </w:p>
    <w:p w:rsidR="007357F8" w:rsidRPr="00505482" w:rsidRDefault="007357F8" w:rsidP="007357F8">
      <w:pPr>
        <w:tabs>
          <w:tab w:val="num" w:pos="0"/>
        </w:tabs>
        <w:spacing w:line="300" w:lineRule="exact"/>
        <w:jc w:val="both"/>
        <w:rPr>
          <w:rFonts w:asciiTheme="minorHAnsi" w:hAnsiTheme="minorHAnsi" w:cstheme="minorHAnsi"/>
          <w:sz w:val="22"/>
          <w:szCs w:val="22"/>
        </w:rPr>
      </w:pPr>
      <w:r w:rsidRPr="00505482">
        <w:rPr>
          <w:rFonts w:asciiTheme="minorHAnsi" w:hAnsiTheme="minorHAnsi" w:cstheme="minorHAnsi"/>
          <w:sz w:val="22"/>
          <w:szCs w:val="22"/>
        </w:rPr>
        <w:t>The preparation of financial statements requires management to make judgements, estimates and assumptions that affect the application of accounting policies and the reported amounts of assets and liabilities, income and expense.  Actual results may differ from these estimates.</w:t>
      </w:r>
    </w:p>
    <w:p w:rsidR="007357F8" w:rsidRPr="00505482" w:rsidRDefault="007357F8" w:rsidP="007357F8">
      <w:pPr>
        <w:tabs>
          <w:tab w:val="num" w:pos="0"/>
        </w:tabs>
        <w:spacing w:line="300" w:lineRule="exact"/>
        <w:jc w:val="both"/>
        <w:rPr>
          <w:rFonts w:asciiTheme="minorHAnsi" w:hAnsiTheme="minorHAnsi" w:cstheme="minorHAnsi"/>
          <w:sz w:val="22"/>
          <w:szCs w:val="22"/>
        </w:rPr>
      </w:pPr>
    </w:p>
    <w:p w:rsidR="007357F8" w:rsidRPr="00505482" w:rsidRDefault="007357F8" w:rsidP="007357F8">
      <w:pPr>
        <w:tabs>
          <w:tab w:val="num" w:pos="0"/>
        </w:tabs>
        <w:spacing w:line="300" w:lineRule="exact"/>
        <w:jc w:val="both"/>
        <w:rPr>
          <w:rFonts w:asciiTheme="minorHAnsi" w:hAnsiTheme="minorHAnsi" w:cstheme="minorHAnsi"/>
          <w:sz w:val="22"/>
          <w:szCs w:val="22"/>
        </w:rPr>
      </w:pPr>
      <w:r w:rsidRPr="00505482">
        <w:rPr>
          <w:rFonts w:asciiTheme="minorHAnsi" w:hAnsiTheme="minorHAnsi" w:cstheme="minorHAnsi"/>
          <w:sz w:val="22"/>
          <w:szCs w:val="22"/>
        </w:rPr>
        <w:t>In preparing these</w:t>
      </w:r>
      <w:r>
        <w:rPr>
          <w:rFonts w:asciiTheme="minorHAnsi" w:hAnsiTheme="minorHAnsi" w:cstheme="minorHAnsi"/>
          <w:sz w:val="22"/>
          <w:szCs w:val="22"/>
        </w:rPr>
        <w:t xml:space="preserve"> condensed</w:t>
      </w:r>
      <w:r w:rsidRPr="00505482">
        <w:rPr>
          <w:rFonts w:asciiTheme="minorHAnsi" w:hAnsiTheme="minorHAnsi" w:cstheme="minorHAnsi"/>
          <w:sz w:val="22"/>
          <w:szCs w:val="22"/>
        </w:rPr>
        <w:t xml:space="preserve"> consolidated</w:t>
      </w:r>
      <w:r>
        <w:rPr>
          <w:rFonts w:asciiTheme="minorHAnsi" w:hAnsiTheme="minorHAnsi" w:cstheme="minorHAnsi"/>
          <w:sz w:val="22"/>
          <w:szCs w:val="22"/>
        </w:rPr>
        <w:t xml:space="preserve"> interim</w:t>
      </w:r>
      <w:r w:rsidRPr="00505482">
        <w:rPr>
          <w:rFonts w:asciiTheme="minorHAnsi" w:hAnsiTheme="minorHAnsi" w:cstheme="minorHAnsi"/>
          <w:sz w:val="22"/>
          <w:szCs w:val="22"/>
        </w:rPr>
        <w:t xml:space="preserve"> financial statements, the significant judgements made by management in applying the Group’s accounting policies and the key sources of estimation uncertainty were the same as those that applied in the most recent published consolidated financial statements.</w:t>
      </w:r>
    </w:p>
    <w:p w:rsidR="007357F8" w:rsidRPr="00505482" w:rsidRDefault="007357F8" w:rsidP="007357F8">
      <w:pPr>
        <w:tabs>
          <w:tab w:val="num" w:pos="0"/>
        </w:tabs>
        <w:spacing w:line="300" w:lineRule="exact"/>
        <w:jc w:val="both"/>
        <w:rPr>
          <w:rFonts w:asciiTheme="minorHAnsi" w:hAnsiTheme="minorHAnsi" w:cstheme="minorHAnsi"/>
          <w:sz w:val="22"/>
          <w:szCs w:val="22"/>
        </w:rPr>
      </w:pPr>
    </w:p>
    <w:p w:rsidR="007357F8" w:rsidRPr="00505482" w:rsidRDefault="007357F8" w:rsidP="007357F8">
      <w:pPr>
        <w:pStyle w:val="Outline3L1"/>
        <w:tabs>
          <w:tab w:val="clear" w:pos="720"/>
          <w:tab w:val="num" w:pos="0"/>
        </w:tabs>
        <w:spacing w:line="300" w:lineRule="exact"/>
        <w:rPr>
          <w:rFonts w:asciiTheme="minorHAnsi" w:hAnsiTheme="minorHAnsi" w:cstheme="minorHAnsi"/>
          <w:b/>
          <w:bCs/>
          <w:sz w:val="22"/>
          <w:szCs w:val="22"/>
        </w:rPr>
      </w:pPr>
      <w:r w:rsidRPr="00505482">
        <w:rPr>
          <w:rFonts w:asciiTheme="minorHAnsi" w:hAnsiTheme="minorHAnsi" w:cstheme="minorHAnsi"/>
          <w:b/>
          <w:bCs/>
          <w:sz w:val="22"/>
          <w:szCs w:val="22"/>
        </w:rPr>
        <w:t>Seasonality of operations</w:t>
      </w:r>
    </w:p>
    <w:p w:rsidR="007357F8" w:rsidRPr="00505482" w:rsidRDefault="007357F8" w:rsidP="007357F8">
      <w:pPr>
        <w:keepNext/>
        <w:tabs>
          <w:tab w:val="num" w:pos="0"/>
        </w:tabs>
        <w:spacing w:line="300" w:lineRule="exact"/>
        <w:jc w:val="both"/>
        <w:rPr>
          <w:rFonts w:asciiTheme="minorHAnsi" w:hAnsiTheme="minorHAnsi" w:cstheme="minorHAnsi"/>
          <w:sz w:val="22"/>
          <w:szCs w:val="22"/>
        </w:rPr>
      </w:pPr>
      <w:r w:rsidRPr="00505482">
        <w:rPr>
          <w:rFonts w:asciiTheme="minorHAnsi" w:hAnsiTheme="minorHAnsi" w:cstheme="minorHAnsi"/>
          <w:sz w:val="22"/>
          <w:szCs w:val="22"/>
        </w:rPr>
        <w:t xml:space="preserve">The Group’s results of operations have varied significantly from quarter to quarter, and management expects these variations to continue.  Among the factors causing these variations are the airline industry’s sensitivity to general economic conditions and the seasonal nature of air travel.  </w:t>
      </w:r>
      <w:proofErr w:type="gramStart"/>
      <w:r w:rsidRPr="00505482">
        <w:rPr>
          <w:rFonts w:asciiTheme="minorHAnsi" w:hAnsiTheme="minorHAnsi" w:cstheme="minorHAnsi"/>
          <w:sz w:val="22"/>
          <w:szCs w:val="22"/>
        </w:rPr>
        <w:t>Accordingly</w:t>
      </w:r>
      <w:proofErr w:type="gramEnd"/>
      <w:r w:rsidRPr="00505482">
        <w:rPr>
          <w:rFonts w:asciiTheme="minorHAnsi" w:hAnsiTheme="minorHAnsi" w:cstheme="minorHAnsi"/>
          <w:sz w:val="22"/>
          <w:szCs w:val="22"/>
        </w:rPr>
        <w:t xml:space="preserve"> the first half-year typically results in higher revenues and results.</w:t>
      </w:r>
    </w:p>
    <w:p w:rsidR="007357F8" w:rsidRPr="00505482" w:rsidRDefault="007357F8" w:rsidP="007357F8">
      <w:pPr>
        <w:widowControl w:val="0"/>
        <w:tabs>
          <w:tab w:val="num" w:pos="0"/>
        </w:tabs>
        <w:spacing w:line="300" w:lineRule="exact"/>
        <w:jc w:val="both"/>
        <w:rPr>
          <w:rFonts w:asciiTheme="minorHAnsi" w:hAnsiTheme="minorHAnsi" w:cstheme="minorHAnsi"/>
          <w:sz w:val="22"/>
          <w:szCs w:val="22"/>
        </w:rPr>
      </w:pPr>
    </w:p>
    <w:p w:rsidR="00920642" w:rsidRPr="00DB22BA" w:rsidRDefault="00920642" w:rsidP="00920642">
      <w:pPr>
        <w:pStyle w:val="Outline3L1"/>
        <w:keepNext w:val="0"/>
        <w:tabs>
          <w:tab w:val="clear" w:pos="720"/>
          <w:tab w:val="num" w:pos="0"/>
        </w:tabs>
        <w:spacing w:line="300" w:lineRule="exact"/>
        <w:rPr>
          <w:rFonts w:ascii="Calibri" w:hAnsi="Calibri" w:cs="Calibri"/>
          <w:b/>
          <w:bCs/>
          <w:sz w:val="22"/>
          <w:szCs w:val="22"/>
        </w:rPr>
      </w:pPr>
      <w:r w:rsidRPr="00DB22BA">
        <w:rPr>
          <w:rFonts w:ascii="Calibri" w:hAnsi="Calibri" w:cs="Calibri"/>
          <w:b/>
          <w:bCs/>
          <w:sz w:val="22"/>
          <w:szCs w:val="22"/>
        </w:rPr>
        <w:t>Income tax expense</w:t>
      </w:r>
    </w:p>
    <w:p w:rsidR="009418E5" w:rsidRPr="009418E5" w:rsidRDefault="009418E5" w:rsidP="009418E5">
      <w:pPr>
        <w:pStyle w:val="Outline3L1"/>
        <w:numPr>
          <w:ilvl w:val="0"/>
          <w:numId w:val="0"/>
        </w:numPr>
        <w:rPr>
          <w:rFonts w:asciiTheme="minorHAnsi" w:hAnsiTheme="minorHAnsi" w:cstheme="minorHAnsi"/>
          <w:sz w:val="22"/>
          <w:szCs w:val="22"/>
        </w:rPr>
      </w:pPr>
      <w:r w:rsidRPr="009418E5">
        <w:rPr>
          <w:rFonts w:asciiTheme="minorHAnsi" w:hAnsiTheme="minorHAnsi" w:cstheme="minorHAnsi"/>
          <w:sz w:val="22"/>
          <w:szCs w:val="22"/>
        </w:rPr>
        <w:t xml:space="preserve">The Group’s consolidated effective tax rate in respect of operations for the quarter ended June 30, 2017 was 10.5% (June 30, 2016: 10.8%).  The tax charge for the quarter ended June 30, 2017 of €46.6M (June 30, 2016: €31.0M) comprises a current tax charge of €43.7M and a deferred tax charge of €2.9M relating to the temporary differences for property, plant and equipment recognised in the income statement.  </w:t>
      </w:r>
    </w:p>
    <w:p w:rsidR="00920642" w:rsidRPr="00920642" w:rsidRDefault="00920642" w:rsidP="00920642">
      <w:pPr>
        <w:tabs>
          <w:tab w:val="num" w:pos="0"/>
        </w:tabs>
        <w:jc w:val="both"/>
        <w:rPr>
          <w:rFonts w:asciiTheme="minorHAnsi" w:hAnsiTheme="minorHAnsi" w:cstheme="minorHAnsi"/>
          <w:sz w:val="22"/>
          <w:szCs w:val="22"/>
          <w:lang w:val="en-US"/>
        </w:rPr>
      </w:pPr>
    </w:p>
    <w:p w:rsidR="00920642" w:rsidRPr="00DB22BA" w:rsidRDefault="00920642" w:rsidP="00920642">
      <w:pPr>
        <w:pStyle w:val="Outline3L1"/>
        <w:tabs>
          <w:tab w:val="clear" w:pos="720"/>
          <w:tab w:val="num" w:pos="0"/>
        </w:tabs>
        <w:spacing w:line="300" w:lineRule="exact"/>
        <w:rPr>
          <w:rFonts w:ascii="Calibri" w:hAnsi="Calibri" w:cs="Calibri"/>
          <w:b/>
          <w:bCs/>
          <w:sz w:val="22"/>
          <w:szCs w:val="22"/>
        </w:rPr>
      </w:pPr>
      <w:r w:rsidRPr="00DB22BA">
        <w:rPr>
          <w:rFonts w:ascii="Calibri" w:hAnsi="Calibri" w:cs="Calibri"/>
          <w:b/>
          <w:bCs/>
          <w:sz w:val="22"/>
          <w:szCs w:val="22"/>
        </w:rPr>
        <w:t>Share based payments</w:t>
      </w:r>
    </w:p>
    <w:p w:rsidR="00920642" w:rsidRPr="00920642" w:rsidRDefault="00920642" w:rsidP="00920642">
      <w:pPr>
        <w:tabs>
          <w:tab w:val="num" w:pos="0"/>
        </w:tabs>
        <w:spacing w:line="300" w:lineRule="exact"/>
        <w:jc w:val="both"/>
        <w:rPr>
          <w:rFonts w:asciiTheme="minorHAnsi" w:hAnsiTheme="minorHAnsi" w:cs="Calibri"/>
          <w:sz w:val="22"/>
          <w:szCs w:val="22"/>
        </w:rPr>
      </w:pPr>
      <w:r w:rsidRPr="00920642">
        <w:rPr>
          <w:rFonts w:asciiTheme="minorHAnsi" w:hAnsiTheme="minorHAnsi" w:cs="Calibri"/>
          <w:sz w:val="22"/>
          <w:szCs w:val="22"/>
        </w:rPr>
        <w:t>The terms and conditions of the share option programme are disclosed in the most recent, published, consolidated financial statements. The charge of €1.5M is the fair value of various share options granted in prior periods, which are being recognised within the income statement in accordance with employee services rendered.</w:t>
      </w:r>
    </w:p>
    <w:p w:rsidR="007357F8" w:rsidRPr="00505482" w:rsidRDefault="007357F8" w:rsidP="007357F8">
      <w:pPr>
        <w:tabs>
          <w:tab w:val="num" w:pos="0"/>
        </w:tabs>
        <w:spacing w:line="300" w:lineRule="exact"/>
        <w:jc w:val="both"/>
        <w:rPr>
          <w:rFonts w:asciiTheme="minorHAnsi" w:hAnsiTheme="minorHAnsi" w:cstheme="minorHAnsi"/>
          <w:b/>
          <w:color w:val="FF0000"/>
          <w:sz w:val="22"/>
          <w:szCs w:val="22"/>
        </w:rPr>
      </w:pPr>
    </w:p>
    <w:p w:rsidR="00920642" w:rsidRPr="00DB22BA" w:rsidRDefault="00920642" w:rsidP="00920642">
      <w:pPr>
        <w:pStyle w:val="Outline3L1"/>
        <w:tabs>
          <w:tab w:val="clear" w:pos="720"/>
          <w:tab w:val="num" w:pos="0"/>
        </w:tabs>
        <w:spacing w:line="300" w:lineRule="exact"/>
        <w:rPr>
          <w:rFonts w:ascii="Calibri" w:hAnsi="Calibri" w:cs="Calibri"/>
          <w:b/>
          <w:bCs/>
          <w:sz w:val="22"/>
          <w:szCs w:val="22"/>
        </w:rPr>
      </w:pPr>
      <w:r w:rsidRPr="00DB22BA">
        <w:rPr>
          <w:rFonts w:ascii="Calibri" w:hAnsi="Calibri" w:cs="Calibri"/>
          <w:b/>
          <w:bCs/>
          <w:sz w:val="22"/>
          <w:szCs w:val="22"/>
        </w:rPr>
        <w:t>Contingencies</w:t>
      </w:r>
    </w:p>
    <w:p w:rsidR="00920642" w:rsidRPr="00920642" w:rsidRDefault="00920642" w:rsidP="00920642">
      <w:pPr>
        <w:tabs>
          <w:tab w:val="num" w:pos="0"/>
        </w:tabs>
        <w:spacing w:line="300" w:lineRule="exact"/>
        <w:jc w:val="both"/>
        <w:rPr>
          <w:rFonts w:asciiTheme="minorHAnsi" w:hAnsiTheme="minorHAnsi" w:cs="Calibri"/>
          <w:sz w:val="22"/>
          <w:szCs w:val="22"/>
        </w:rPr>
      </w:pPr>
      <w:r w:rsidRPr="00920642">
        <w:rPr>
          <w:rFonts w:asciiTheme="minorHAnsi" w:hAnsiTheme="minorHAnsi" w:cs="Calibri"/>
          <w:sz w:val="22"/>
          <w:szCs w:val="22"/>
        </w:rPr>
        <w:t>The Group is engaged in litigation arising in the ordinary course of its business.  The Group does not believe that any such litigation will individually, or in aggregate, have a material adverse effect on the financial condition of the Group.  Should the Group be unsuccessful in these litigation actions, management believes the possible liabilities then arising cannot be determined but are not expected to materially adversely affect the Group’s results of operations or financial position.</w:t>
      </w:r>
    </w:p>
    <w:p w:rsidR="007357F8" w:rsidRDefault="007357F8" w:rsidP="007357F8">
      <w:pPr>
        <w:tabs>
          <w:tab w:val="num" w:pos="0"/>
        </w:tabs>
        <w:spacing w:line="300" w:lineRule="exact"/>
        <w:jc w:val="both"/>
        <w:rPr>
          <w:rFonts w:asciiTheme="minorHAnsi" w:hAnsiTheme="minorHAnsi" w:cstheme="minorHAnsi"/>
          <w:sz w:val="22"/>
          <w:szCs w:val="22"/>
        </w:rPr>
      </w:pPr>
    </w:p>
    <w:p w:rsidR="00920642" w:rsidRPr="00DB22BA" w:rsidRDefault="00920642" w:rsidP="00920642">
      <w:pPr>
        <w:pStyle w:val="Outline3L1"/>
        <w:tabs>
          <w:tab w:val="clear" w:pos="720"/>
          <w:tab w:val="num" w:pos="0"/>
        </w:tabs>
        <w:spacing w:line="300" w:lineRule="exact"/>
        <w:rPr>
          <w:rFonts w:ascii="Calibri" w:hAnsi="Calibri" w:cs="Calibri"/>
          <w:b/>
          <w:bCs/>
          <w:sz w:val="22"/>
          <w:szCs w:val="22"/>
        </w:rPr>
      </w:pPr>
      <w:r w:rsidRPr="00DB22BA">
        <w:rPr>
          <w:rFonts w:ascii="Calibri" w:hAnsi="Calibri" w:cs="Calibri"/>
          <w:b/>
          <w:bCs/>
          <w:sz w:val="22"/>
          <w:szCs w:val="22"/>
        </w:rPr>
        <w:t>Capital commitments</w:t>
      </w:r>
    </w:p>
    <w:p w:rsidR="00920642" w:rsidRPr="00920642" w:rsidRDefault="00920642" w:rsidP="00920642">
      <w:pPr>
        <w:pStyle w:val="Outline3L1"/>
        <w:numPr>
          <w:ilvl w:val="0"/>
          <w:numId w:val="0"/>
        </w:numPr>
        <w:tabs>
          <w:tab w:val="num" w:pos="0"/>
        </w:tabs>
        <w:spacing w:after="120" w:line="300" w:lineRule="exact"/>
        <w:jc w:val="both"/>
        <w:rPr>
          <w:rFonts w:asciiTheme="minorHAnsi" w:hAnsiTheme="minorHAnsi" w:cs="Calibri"/>
          <w:sz w:val="22"/>
          <w:szCs w:val="22"/>
        </w:rPr>
      </w:pPr>
      <w:r w:rsidRPr="00920642">
        <w:rPr>
          <w:rFonts w:asciiTheme="minorHAnsi" w:hAnsiTheme="minorHAnsi" w:cs="Calibri"/>
          <w:sz w:val="22"/>
          <w:szCs w:val="22"/>
        </w:rPr>
        <w:t xml:space="preserve">At June 30, 2017 Ryanair had an operating fleet of 397 (2016: 353) Boeing 737 aircraft.  The Group agreed to purchase 183 new Boeing 737-800NG aircraft from the Boeing Corporation during the periods FY15 to FY19 of which 11 aircraft were delivered in the year ended March 31, 2015, 41 were delivered </w:t>
      </w:r>
      <w:r w:rsidRPr="00920642">
        <w:rPr>
          <w:rFonts w:asciiTheme="minorHAnsi" w:hAnsiTheme="minorHAnsi" w:cs="Calibri"/>
          <w:sz w:val="22"/>
          <w:szCs w:val="22"/>
        </w:rPr>
        <w:lastRenderedPageBreak/>
        <w:t xml:space="preserve">in the year ended March 31, 2016, a further 52 were delivered in the year ended March 31, 2017 and 14 in the quarter ended June 30, 2017. </w:t>
      </w:r>
    </w:p>
    <w:p w:rsidR="007357F8" w:rsidRPr="00920642" w:rsidRDefault="00920642" w:rsidP="00920642">
      <w:pPr>
        <w:pStyle w:val="Outline3L1"/>
        <w:numPr>
          <w:ilvl w:val="0"/>
          <w:numId w:val="0"/>
        </w:numPr>
        <w:tabs>
          <w:tab w:val="num" w:pos="0"/>
        </w:tabs>
        <w:spacing w:after="0" w:line="300" w:lineRule="exact"/>
        <w:jc w:val="both"/>
        <w:rPr>
          <w:rFonts w:asciiTheme="minorHAnsi" w:hAnsiTheme="minorHAnsi" w:cstheme="minorHAnsi"/>
          <w:sz w:val="22"/>
          <w:szCs w:val="22"/>
        </w:rPr>
      </w:pPr>
      <w:r w:rsidRPr="00920642">
        <w:rPr>
          <w:rFonts w:asciiTheme="minorHAnsi" w:hAnsiTheme="minorHAnsi" w:cs="Calibri"/>
          <w:sz w:val="22"/>
          <w:szCs w:val="22"/>
        </w:rPr>
        <w:t>The Group also agreed to purchase up to 210 (110 firm and 100 options) Boeing 737 Max 200 aircraft from the Boeing Corporation during the periods FY20 to FY24; these include 10 additional firm orders announced in June 2017 which will see aircraft deliveries increase by 5 in spring 2019 and 5 in spring 2020</w:t>
      </w:r>
      <w:r w:rsidR="007357F8" w:rsidRPr="00920642">
        <w:rPr>
          <w:rFonts w:asciiTheme="minorHAnsi" w:hAnsiTheme="minorHAnsi" w:cstheme="minorHAnsi"/>
          <w:sz w:val="22"/>
          <w:szCs w:val="22"/>
        </w:rPr>
        <w:t>.</w:t>
      </w:r>
    </w:p>
    <w:p w:rsidR="007357F8" w:rsidRPr="00505482" w:rsidRDefault="007357F8" w:rsidP="007357F8">
      <w:pPr>
        <w:tabs>
          <w:tab w:val="num" w:pos="0"/>
        </w:tabs>
        <w:rPr>
          <w:rFonts w:asciiTheme="minorHAnsi" w:hAnsiTheme="minorHAnsi" w:cstheme="minorHAnsi"/>
          <w:sz w:val="22"/>
          <w:szCs w:val="22"/>
        </w:rPr>
      </w:pPr>
    </w:p>
    <w:p w:rsidR="007357F8" w:rsidRPr="00505482" w:rsidRDefault="007357F8" w:rsidP="007357F8">
      <w:pPr>
        <w:pStyle w:val="Outline3L1"/>
        <w:keepNext w:val="0"/>
        <w:tabs>
          <w:tab w:val="clear" w:pos="720"/>
          <w:tab w:val="num" w:pos="-567"/>
          <w:tab w:val="num" w:pos="0"/>
        </w:tabs>
        <w:spacing w:line="300" w:lineRule="exact"/>
        <w:rPr>
          <w:rFonts w:asciiTheme="minorHAnsi" w:hAnsiTheme="minorHAnsi" w:cstheme="minorHAnsi"/>
          <w:b/>
          <w:sz w:val="22"/>
          <w:szCs w:val="22"/>
        </w:rPr>
      </w:pPr>
      <w:r w:rsidRPr="00505482">
        <w:rPr>
          <w:rFonts w:asciiTheme="minorHAnsi" w:hAnsiTheme="minorHAnsi" w:cstheme="minorHAnsi"/>
          <w:b/>
          <w:sz w:val="22"/>
          <w:szCs w:val="22"/>
        </w:rPr>
        <w:t>Analysis of operating segment</w:t>
      </w:r>
    </w:p>
    <w:p w:rsidR="007357F8" w:rsidRPr="00505482" w:rsidRDefault="007357F8" w:rsidP="007357F8">
      <w:pPr>
        <w:pStyle w:val="Outline3L1"/>
        <w:keepNext w:val="0"/>
        <w:numPr>
          <w:ilvl w:val="0"/>
          <w:numId w:val="0"/>
        </w:numPr>
        <w:tabs>
          <w:tab w:val="num" w:pos="0"/>
        </w:tabs>
        <w:spacing w:after="120" w:line="300" w:lineRule="exact"/>
        <w:jc w:val="both"/>
        <w:rPr>
          <w:rFonts w:asciiTheme="minorHAnsi" w:hAnsiTheme="minorHAnsi" w:cstheme="minorHAnsi"/>
          <w:sz w:val="22"/>
          <w:szCs w:val="22"/>
        </w:rPr>
      </w:pPr>
      <w:r w:rsidRPr="00505482">
        <w:rPr>
          <w:rFonts w:asciiTheme="minorHAnsi" w:hAnsiTheme="minorHAnsi" w:cstheme="minorHAnsi"/>
          <w:sz w:val="22"/>
          <w:szCs w:val="22"/>
        </w:rPr>
        <w:t>The Group is managed as a single business unit that provides low fares airline-related activities, including scheduled services, car</w:t>
      </w:r>
      <w:r>
        <w:rPr>
          <w:rFonts w:asciiTheme="minorHAnsi" w:hAnsiTheme="minorHAnsi" w:cstheme="minorHAnsi"/>
          <w:sz w:val="22"/>
          <w:szCs w:val="22"/>
        </w:rPr>
        <w:t>-</w:t>
      </w:r>
      <w:r w:rsidRPr="00505482">
        <w:rPr>
          <w:rFonts w:asciiTheme="minorHAnsi" w:hAnsiTheme="minorHAnsi" w:cstheme="minorHAnsi"/>
          <w:sz w:val="22"/>
          <w:szCs w:val="22"/>
        </w:rPr>
        <w:t>hire, internet income and related sales to third parties. The Group operates a single fleet of aircraft that is deployed through a single route scheduling system.</w:t>
      </w:r>
    </w:p>
    <w:p w:rsidR="007357F8" w:rsidRPr="00505482" w:rsidRDefault="007357F8" w:rsidP="007357F8">
      <w:pPr>
        <w:pStyle w:val="Outline3L1"/>
        <w:keepNext w:val="0"/>
        <w:numPr>
          <w:ilvl w:val="0"/>
          <w:numId w:val="0"/>
        </w:numPr>
        <w:tabs>
          <w:tab w:val="num" w:pos="0"/>
        </w:tabs>
        <w:spacing w:after="120" w:line="300" w:lineRule="exact"/>
        <w:jc w:val="both"/>
        <w:rPr>
          <w:rFonts w:asciiTheme="minorHAnsi" w:hAnsiTheme="minorHAnsi" w:cstheme="minorHAnsi"/>
          <w:sz w:val="22"/>
          <w:szCs w:val="22"/>
        </w:rPr>
      </w:pPr>
      <w:r w:rsidRPr="00505482">
        <w:rPr>
          <w:rFonts w:asciiTheme="minorHAnsi" w:hAnsiTheme="minorHAnsi" w:cstheme="minorHAnsi"/>
          <w:sz w:val="22"/>
          <w:szCs w:val="22"/>
        </w:rPr>
        <w:t>The Group determines and presents operating segments based on the information that internally is provided to the CEO, who is the Group’s Chief Operating Decision Maker (CODM).  When making resource allocation decisions the CODM evaluates route revenue and yield data</w:t>
      </w:r>
      <w:r>
        <w:rPr>
          <w:rFonts w:asciiTheme="minorHAnsi" w:hAnsiTheme="minorHAnsi" w:cstheme="minorHAnsi"/>
          <w:sz w:val="22"/>
          <w:szCs w:val="22"/>
        </w:rPr>
        <w:t>. H</w:t>
      </w:r>
      <w:r w:rsidRPr="00505482">
        <w:rPr>
          <w:rFonts w:asciiTheme="minorHAnsi" w:hAnsiTheme="minorHAnsi" w:cstheme="minorHAnsi"/>
          <w:sz w:val="22"/>
          <w:szCs w:val="22"/>
        </w:rPr>
        <w:t>owever</w:t>
      </w:r>
      <w:r>
        <w:rPr>
          <w:rFonts w:asciiTheme="minorHAnsi" w:hAnsiTheme="minorHAnsi" w:cstheme="minorHAnsi"/>
          <w:sz w:val="22"/>
          <w:szCs w:val="22"/>
        </w:rPr>
        <w:t>,</w:t>
      </w:r>
      <w:r w:rsidRPr="00505482">
        <w:rPr>
          <w:rFonts w:asciiTheme="minorHAnsi" w:hAnsiTheme="minorHAnsi" w:cstheme="minorHAnsi"/>
          <w:sz w:val="22"/>
          <w:szCs w:val="22"/>
        </w:rPr>
        <w:t xml:space="preserve"> resource allocation decisions are made based on the entire route network and the deployment of the entire aircraft fleet, which are uniform in type.  The objective in making resource allocation decisions is to maximise consolidated financial results, rather than individual routes within the network.</w:t>
      </w:r>
    </w:p>
    <w:p w:rsidR="007357F8" w:rsidRDefault="007357F8" w:rsidP="007357F8">
      <w:pPr>
        <w:pStyle w:val="Outline3L1"/>
        <w:keepNext w:val="0"/>
        <w:numPr>
          <w:ilvl w:val="0"/>
          <w:numId w:val="0"/>
        </w:numPr>
        <w:tabs>
          <w:tab w:val="num" w:pos="0"/>
        </w:tabs>
        <w:spacing w:after="120" w:line="300" w:lineRule="exact"/>
        <w:jc w:val="both"/>
        <w:rPr>
          <w:rFonts w:asciiTheme="minorHAnsi" w:hAnsiTheme="minorHAnsi" w:cstheme="minorHAnsi"/>
          <w:sz w:val="22"/>
          <w:szCs w:val="22"/>
        </w:rPr>
      </w:pPr>
      <w:r w:rsidRPr="00505482">
        <w:rPr>
          <w:rFonts w:asciiTheme="minorHAnsi" w:hAnsiTheme="minorHAnsi" w:cstheme="minorHAnsi"/>
          <w:sz w:val="22"/>
          <w:szCs w:val="22"/>
        </w:rPr>
        <w:t xml:space="preserve">The CODM assesses the performance of the business based on the </w:t>
      </w:r>
      <w:r>
        <w:rPr>
          <w:rFonts w:asciiTheme="minorHAnsi" w:hAnsiTheme="minorHAnsi" w:cstheme="minorHAnsi"/>
          <w:sz w:val="22"/>
          <w:szCs w:val="22"/>
        </w:rPr>
        <w:t>adjusted</w:t>
      </w:r>
      <w:r w:rsidRPr="00505482">
        <w:rPr>
          <w:rFonts w:asciiTheme="minorHAnsi" w:hAnsiTheme="minorHAnsi" w:cstheme="minorHAnsi"/>
          <w:sz w:val="22"/>
          <w:szCs w:val="22"/>
        </w:rPr>
        <w:t xml:space="preserve"> profit/(loss) after tax of the Group for the period.</w:t>
      </w:r>
      <w:r w:rsidR="00AA6714">
        <w:rPr>
          <w:rFonts w:asciiTheme="minorHAnsi" w:hAnsiTheme="minorHAnsi" w:cstheme="minorHAnsi"/>
          <w:sz w:val="22"/>
          <w:szCs w:val="22"/>
        </w:rPr>
        <w:t xml:space="preserve"> </w:t>
      </w:r>
      <w:r w:rsidRPr="00505482">
        <w:rPr>
          <w:rFonts w:asciiTheme="minorHAnsi" w:hAnsiTheme="minorHAnsi" w:cstheme="minorHAnsi"/>
          <w:sz w:val="22"/>
          <w:szCs w:val="22"/>
        </w:rPr>
        <w:t xml:space="preserve"> All segment revenue is derived wholly from external customers and as the Group has a single reportable segment, intersegment revenue is zero.  </w:t>
      </w:r>
    </w:p>
    <w:p w:rsidR="007357F8" w:rsidRDefault="007357F8" w:rsidP="007357F8">
      <w:pPr>
        <w:pStyle w:val="Outline3L1"/>
        <w:keepNext w:val="0"/>
        <w:numPr>
          <w:ilvl w:val="0"/>
          <w:numId w:val="0"/>
        </w:numPr>
        <w:tabs>
          <w:tab w:val="num" w:pos="0"/>
        </w:tabs>
        <w:spacing w:line="300" w:lineRule="exact"/>
        <w:jc w:val="both"/>
        <w:rPr>
          <w:rFonts w:asciiTheme="minorHAnsi" w:hAnsiTheme="minorHAnsi" w:cstheme="minorHAnsi"/>
          <w:sz w:val="22"/>
          <w:szCs w:val="22"/>
        </w:rPr>
      </w:pPr>
      <w:r w:rsidRPr="00505482">
        <w:rPr>
          <w:rFonts w:asciiTheme="minorHAnsi" w:hAnsiTheme="minorHAnsi" w:cstheme="minorHAnsi"/>
          <w:sz w:val="22"/>
          <w:szCs w:val="22"/>
        </w:rPr>
        <w:t>The Group’s major revenue-generating asset comprises its aircraft fleet, which is flexibly employed across the Group’s integrated route network and is directly attributable to its reportable segment operations.  In addition, as the Group is managed as a single business unit, all other assets and liabilities have been allocated to the Group’s single reportable segment.</w:t>
      </w:r>
    </w:p>
    <w:p w:rsidR="009D3A99" w:rsidRDefault="009D3A99" w:rsidP="009D3A99">
      <w:pPr>
        <w:pStyle w:val="CG-Title-Center-Bold"/>
        <w:keepNext w:val="0"/>
        <w:tabs>
          <w:tab w:val="left" w:pos="-600"/>
          <w:tab w:val="left" w:pos="6120"/>
          <w:tab w:val="left" w:pos="6360"/>
          <w:tab w:val="left" w:pos="7800"/>
        </w:tabs>
        <w:spacing w:after="0"/>
        <w:ind w:left="-120" w:right="-595"/>
        <w:rPr>
          <w:rFonts w:asciiTheme="minorHAnsi" w:hAnsiTheme="minorHAnsi" w:cstheme="minorHAnsi"/>
          <w:sz w:val="24"/>
          <w:szCs w:val="24"/>
        </w:rPr>
      </w:pPr>
    </w:p>
    <w:tbl>
      <w:tblPr>
        <w:tblW w:w="10888" w:type="dxa"/>
        <w:tblLook w:val="0000" w:firstRow="0" w:lastRow="0" w:firstColumn="0" w:lastColumn="0" w:noHBand="0" w:noVBand="0"/>
      </w:tblPr>
      <w:tblGrid>
        <w:gridCol w:w="7569"/>
        <w:gridCol w:w="510"/>
        <w:gridCol w:w="1241"/>
        <w:gridCol w:w="1311"/>
        <w:gridCol w:w="257"/>
      </w:tblGrid>
      <w:tr w:rsidR="003418F1" w:rsidRPr="00505482" w:rsidTr="00FC08F3">
        <w:trPr>
          <w:trHeight w:val="247"/>
        </w:trPr>
        <w:tc>
          <w:tcPr>
            <w:tcW w:w="3476" w:type="pct"/>
          </w:tcPr>
          <w:p w:rsidR="00CA73CE" w:rsidRPr="00505482" w:rsidRDefault="00CA73CE" w:rsidP="00442786">
            <w:pPr>
              <w:autoSpaceDE w:val="0"/>
              <w:autoSpaceDN w:val="0"/>
              <w:adjustRightInd w:val="0"/>
              <w:rPr>
                <w:rFonts w:asciiTheme="minorHAnsi" w:hAnsiTheme="minorHAnsi" w:cstheme="minorHAnsi"/>
                <w:sz w:val="22"/>
                <w:szCs w:val="22"/>
              </w:rPr>
            </w:pPr>
          </w:p>
        </w:tc>
        <w:tc>
          <w:tcPr>
            <w:tcW w:w="804" w:type="pct"/>
            <w:gridSpan w:val="2"/>
            <w:shd w:val="clear" w:color="auto" w:fill="auto"/>
          </w:tcPr>
          <w:p w:rsidR="003418F1" w:rsidRPr="00505482" w:rsidRDefault="003418F1" w:rsidP="00442786">
            <w:pPr>
              <w:autoSpaceDE w:val="0"/>
              <w:autoSpaceDN w:val="0"/>
              <w:adjustRightInd w:val="0"/>
              <w:jc w:val="right"/>
              <w:rPr>
                <w:rFonts w:asciiTheme="minorHAnsi" w:hAnsiTheme="minorHAnsi" w:cstheme="minorHAnsi"/>
                <w:b/>
                <w:bCs/>
                <w:color w:val="000000"/>
                <w:sz w:val="22"/>
                <w:szCs w:val="22"/>
              </w:rPr>
            </w:pPr>
          </w:p>
        </w:tc>
        <w:tc>
          <w:tcPr>
            <w:tcW w:w="720" w:type="pct"/>
            <w:gridSpan w:val="2"/>
          </w:tcPr>
          <w:p w:rsidR="003418F1" w:rsidRPr="00505482" w:rsidRDefault="003418F1" w:rsidP="00BF6B23">
            <w:pPr>
              <w:autoSpaceDE w:val="0"/>
              <w:autoSpaceDN w:val="0"/>
              <w:adjustRightInd w:val="0"/>
              <w:jc w:val="right"/>
              <w:rPr>
                <w:rFonts w:asciiTheme="minorHAnsi" w:hAnsiTheme="minorHAnsi" w:cstheme="minorHAnsi"/>
                <w:bCs/>
                <w:color w:val="000000"/>
                <w:sz w:val="22"/>
                <w:szCs w:val="22"/>
              </w:rPr>
            </w:pPr>
          </w:p>
        </w:tc>
      </w:tr>
      <w:tr w:rsidR="00DE7410" w:rsidRPr="00505482" w:rsidTr="00FC08F3">
        <w:trPr>
          <w:trHeight w:val="247"/>
        </w:trPr>
        <w:tc>
          <w:tcPr>
            <w:tcW w:w="3476" w:type="pct"/>
          </w:tcPr>
          <w:p w:rsidR="00DE7410" w:rsidRPr="00505482" w:rsidRDefault="003418F1" w:rsidP="00442786">
            <w:pPr>
              <w:autoSpaceDE w:val="0"/>
              <w:autoSpaceDN w:val="0"/>
              <w:adjustRightInd w:val="0"/>
              <w:rPr>
                <w:rFonts w:asciiTheme="minorHAnsi" w:hAnsiTheme="minorHAnsi" w:cstheme="minorHAnsi"/>
                <w:sz w:val="22"/>
                <w:szCs w:val="22"/>
              </w:rPr>
            </w:pPr>
            <w:r w:rsidRPr="00505482">
              <w:rPr>
                <w:rFonts w:asciiTheme="minorHAnsi" w:hAnsiTheme="minorHAnsi" w:cstheme="minorHAnsi"/>
                <w:sz w:val="22"/>
                <w:szCs w:val="22"/>
              </w:rPr>
              <w:t>Reportable segment information is presented as follows:</w:t>
            </w:r>
          </w:p>
        </w:tc>
        <w:tc>
          <w:tcPr>
            <w:tcW w:w="804" w:type="pct"/>
            <w:gridSpan w:val="2"/>
            <w:shd w:val="clear" w:color="auto" w:fill="auto"/>
          </w:tcPr>
          <w:p w:rsidR="0084063C" w:rsidRPr="00505482" w:rsidRDefault="0084063C" w:rsidP="00442786">
            <w:pPr>
              <w:autoSpaceDE w:val="0"/>
              <w:autoSpaceDN w:val="0"/>
              <w:adjustRightInd w:val="0"/>
              <w:jc w:val="right"/>
              <w:rPr>
                <w:rFonts w:asciiTheme="minorHAnsi" w:hAnsiTheme="minorHAnsi" w:cstheme="minorHAnsi"/>
                <w:b/>
                <w:bCs/>
                <w:color w:val="000000"/>
                <w:sz w:val="22"/>
                <w:szCs w:val="22"/>
              </w:rPr>
            </w:pPr>
          </w:p>
        </w:tc>
        <w:tc>
          <w:tcPr>
            <w:tcW w:w="720" w:type="pct"/>
            <w:gridSpan w:val="2"/>
          </w:tcPr>
          <w:p w:rsidR="00626B77" w:rsidRPr="00505482" w:rsidRDefault="00626B77" w:rsidP="00BF6B23">
            <w:pPr>
              <w:autoSpaceDE w:val="0"/>
              <w:autoSpaceDN w:val="0"/>
              <w:adjustRightInd w:val="0"/>
              <w:jc w:val="right"/>
              <w:rPr>
                <w:rFonts w:asciiTheme="minorHAnsi" w:hAnsiTheme="minorHAnsi" w:cstheme="minorHAnsi"/>
                <w:bCs/>
                <w:color w:val="000000"/>
                <w:sz w:val="22"/>
                <w:szCs w:val="22"/>
              </w:rPr>
            </w:pPr>
          </w:p>
        </w:tc>
      </w:tr>
      <w:tr w:rsidR="003418F1" w:rsidRPr="00505482" w:rsidTr="00FC08F3">
        <w:trPr>
          <w:gridAfter w:val="1"/>
          <w:wAfter w:w="118" w:type="pct"/>
          <w:trHeight w:val="247"/>
        </w:trPr>
        <w:tc>
          <w:tcPr>
            <w:tcW w:w="3710" w:type="pct"/>
            <w:gridSpan w:val="2"/>
          </w:tcPr>
          <w:p w:rsidR="003418F1" w:rsidRPr="00505482" w:rsidRDefault="003418F1" w:rsidP="00442786">
            <w:pPr>
              <w:autoSpaceDE w:val="0"/>
              <w:autoSpaceDN w:val="0"/>
              <w:adjustRightInd w:val="0"/>
              <w:jc w:val="right"/>
              <w:rPr>
                <w:rFonts w:asciiTheme="minorHAnsi" w:hAnsiTheme="minorHAnsi" w:cstheme="minorHAnsi"/>
                <w:color w:val="000000"/>
                <w:sz w:val="22"/>
                <w:szCs w:val="22"/>
              </w:rPr>
            </w:pPr>
          </w:p>
        </w:tc>
        <w:tc>
          <w:tcPr>
            <w:tcW w:w="570" w:type="pct"/>
            <w:shd w:val="clear" w:color="auto" w:fill="FFFF00"/>
          </w:tcPr>
          <w:p w:rsidR="003418F1" w:rsidRPr="007357F8" w:rsidRDefault="00B13339" w:rsidP="00B71B9A">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Quarter</w:t>
            </w:r>
          </w:p>
        </w:tc>
        <w:tc>
          <w:tcPr>
            <w:tcW w:w="602" w:type="pct"/>
          </w:tcPr>
          <w:p w:rsidR="009E15A9" w:rsidRPr="00505482" w:rsidRDefault="00B13339" w:rsidP="00E06E60">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Quarter</w:t>
            </w:r>
          </w:p>
        </w:tc>
      </w:tr>
      <w:tr w:rsidR="00DE7410" w:rsidRPr="00505482" w:rsidTr="00FC08F3">
        <w:trPr>
          <w:gridAfter w:val="1"/>
          <w:wAfter w:w="118" w:type="pct"/>
          <w:trHeight w:val="247"/>
        </w:trPr>
        <w:tc>
          <w:tcPr>
            <w:tcW w:w="3710" w:type="pct"/>
            <w:gridSpan w:val="2"/>
          </w:tcPr>
          <w:p w:rsidR="00DE7410" w:rsidRPr="00505482" w:rsidRDefault="00DE7410" w:rsidP="00442786">
            <w:pPr>
              <w:autoSpaceDE w:val="0"/>
              <w:autoSpaceDN w:val="0"/>
              <w:adjustRightInd w:val="0"/>
              <w:jc w:val="right"/>
              <w:rPr>
                <w:rFonts w:asciiTheme="minorHAnsi" w:hAnsiTheme="minorHAnsi" w:cstheme="minorHAnsi"/>
                <w:color w:val="000000"/>
                <w:sz w:val="22"/>
                <w:szCs w:val="22"/>
              </w:rPr>
            </w:pPr>
          </w:p>
        </w:tc>
        <w:tc>
          <w:tcPr>
            <w:tcW w:w="570" w:type="pct"/>
            <w:shd w:val="clear" w:color="auto" w:fill="FFFF00"/>
          </w:tcPr>
          <w:p w:rsidR="00DE7410" w:rsidRPr="007357F8" w:rsidRDefault="00DE7410" w:rsidP="00442786">
            <w:pPr>
              <w:autoSpaceDE w:val="0"/>
              <w:autoSpaceDN w:val="0"/>
              <w:adjustRightInd w:val="0"/>
              <w:jc w:val="right"/>
              <w:rPr>
                <w:rFonts w:asciiTheme="minorHAnsi" w:hAnsiTheme="minorHAnsi" w:cstheme="minorHAnsi"/>
                <w:b/>
                <w:bCs/>
                <w:color w:val="000000"/>
                <w:sz w:val="22"/>
                <w:szCs w:val="22"/>
              </w:rPr>
            </w:pPr>
            <w:r w:rsidRPr="007357F8">
              <w:rPr>
                <w:rFonts w:asciiTheme="minorHAnsi" w:hAnsiTheme="minorHAnsi" w:cstheme="minorHAnsi"/>
                <w:b/>
                <w:bCs/>
                <w:color w:val="000000"/>
                <w:sz w:val="22"/>
                <w:szCs w:val="22"/>
              </w:rPr>
              <w:t>Ended</w:t>
            </w:r>
          </w:p>
        </w:tc>
        <w:tc>
          <w:tcPr>
            <w:tcW w:w="602" w:type="pct"/>
          </w:tcPr>
          <w:p w:rsidR="00DE7410" w:rsidRPr="00505482" w:rsidRDefault="00DE7410" w:rsidP="00442786">
            <w:pPr>
              <w:autoSpaceDE w:val="0"/>
              <w:autoSpaceDN w:val="0"/>
              <w:adjustRightInd w:val="0"/>
              <w:jc w:val="right"/>
              <w:rPr>
                <w:rFonts w:asciiTheme="minorHAnsi" w:hAnsiTheme="minorHAnsi" w:cstheme="minorHAnsi"/>
                <w:bCs/>
                <w:color w:val="000000"/>
                <w:sz w:val="22"/>
                <w:szCs w:val="22"/>
              </w:rPr>
            </w:pPr>
            <w:r w:rsidRPr="00505482">
              <w:rPr>
                <w:rFonts w:asciiTheme="minorHAnsi" w:hAnsiTheme="minorHAnsi" w:cstheme="minorHAnsi"/>
                <w:bCs/>
                <w:color w:val="000000"/>
                <w:sz w:val="22"/>
                <w:szCs w:val="22"/>
              </w:rPr>
              <w:t>Ended</w:t>
            </w:r>
          </w:p>
        </w:tc>
      </w:tr>
      <w:tr w:rsidR="00DE7410" w:rsidRPr="00505482" w:rsidTr="00FC08F3">
        <w:trPr>
          <w:gridAfter w:val="1"/>
          <w:wAfter w:w="118" w:type="pct"/>
          <w:trHeight w:val="312"/>
        </w:trPr>
        <w:tc>
          <w:tcPr>
            <w:tcW w:w="3710" w:type="pct"/>
            <w:gridSpan w:val="2"/>
          </w:tcPr>
          <w:p w:rsidR="00DE7410" w:rsidRPr="00505482" w:rsidRDefault="00DE7410" w:rsidP="00442786">
            <w:pPr>
              <w:autoSpaceDE w:val="0"/>
              <w:autoSpaceDN w:val="0"/>
              <w:adjustRightInd w:val="0"/>
              <w:jc w:val="right"/>
              <w:rPr>
                <w:rFonts w:asciiTheme="minorHAnsi" w:hAnsiTheme="minorHAnsi" w:cstheme="minorHAnsi"/>
                <w:color w:val="000000"/>
                <w:sz w:val="22"/>
                <w:szCs w:val="22"/>
              </w:rPr>
            </w:pPr>
          </w:p>
        </w:tc>
        <w:tc>
          <w:tcPr>
            <w:tcW w:w="570" w:type="pct"/>
            <w:shd w:val="clear" w:color="auto" w:fill="FFFF00"/>
          </w:tcPr>
          <w:p w:rsidR="00DE7410" w:rsidRPr="007357F8" w:rsidRDefault="00B13339" w:rsidP="009E15A9">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Jun</w:t>
            </w:r>
            <w:r w:rsidR="007241AA" w:rsidRPr="007357F8">
              <w:rPr>
                <w:rFonts w:asciiTheme="minorHAnsi" w:hAnsiTheme="minorHAnsi" w:cstheme="minorHAnsi"/>
                <w:b/>
                <w:bCs/>
                <w:color w:val="000000"/>
                <w:sz w:val="22"/>
                <w:szCs w:val="22"/>
              </w:rPr>
              <w:t xml:space="preserve"> 3</w:t>
            </w:r>
            <w:r>
              <w:rPr>
                <w:rFonts w:asciiTheme="minorHAnsi" w:hAnsiTheme="minorHAnsi" w:cstheme="minorHAnsi"/>
                <w:b/>
                <w:bCs/>
                <w:color w:val="000000"/>
                <w:sz w:val="22"/>
                <w:szCs w:val="22"/>
              </w:rPr>
              <w:t>0</w:t>
            </w:r>
            <w:r w:rsidR="00626B77" w:rsidRPr="007357F8">
              <w:rPr>
                <w:rFonts w:asciiTheme="minorHAnsi" w:hAnsiTheme="minorHAnsi" w:cstheme="minorHAnsi"/>
                <w:b/>
                <w:bCs/>
                <w:color w:val="000000"/>
                <w:sz w:val="22"/>
                <w:szCs w:val="22"/>
              </w:rPr>
              <w:t>,</w:t>
            </w:r>
          </w:p>
        </w:tc>
        <w:tc>
          <w:tcPr>
            <w:tcW w:w="602" w:type="pct"/>
          </w:tcPr>
          <w:p w:rsidR="00DE7410" w:rsidRPr="00505482" w:rsidRDefault="00B13339" w:rsidP="009E15A9">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Jun</w:t>
            </w:r>
            <w:r w:rsidR="00FB4EBF">
              <w:rPr>
                <w:rFonts w:asciiTheme="minorHAnsi" w:hAnsiTheme="minorHAnsi" w:cstheme="minorHAnsi"/>
                <w:bCs/>
                <w:color w:val="000000"/>
                <w:sz w:val="22"/>
                <w:szCs w:val="22"/>
              </w:rPr>
              <w:t xml:space="preserve"> 3</w:t>
            </w:r>
            <w:r>
              <w:rPr>
                <w:rFonts w:asciiTheme="minorHAnsi" w:hAnsiTheme="minorHAnsi" w:cstheme="minorHAnsi"/>
                <w:bCs/>
                <w:color w:val="000000"/>
                <w:sz w:val="22"/>
                <w:szCs w:val="22"/>
              </w:rPr>
              <w:t>0</w:t>
            </w:r>
            <w:r w:rsidR="00DE7410" w:rsidRPr="00505482">
              <w:rPr>
                <w:rFonts w:asciiTheme="minorHAnsi" w:hAnsiTheme="minorHAnsi" w:cstheme="minorHAnsi"/>
                <w:bCs/>
                <w:color w:val="000000"/>
                <w:sz w:val="22"/>
                <w:szCs w:val="22"/>
              </w:rPr>
              <w:t>,</w:t>
            </w:r>
          </w:p>
        </w:tc>
      </w:tr>
      <w:tr w:rsidR="00DE7410" w:rsidRPr="00505482" w:rsidTr="00FC08F3">
        <w:trPr>
          <w:gridAfter w:val="1"/>
          <w:wAfter w:w="118" w:type="pct"/>
          <w:trHeight w:val="247"/>
        </w:trPr>
        <w:tc>
          <w:tcPr>
            <w:tcW w:w="3710" w:type="pct"/>
            <w:gridSpan w:val="2"/>
          </w:tcPr>
          <w:p w:rsidR="00DE7410" w:rsidRPr="00505482" w:rsidRDefault="00DE7410" w:rsidP="00442786">
            <w:pPr>
              <w:autoSpaceDE w:val="0"/>
              <w:autoSpaceDN w:val="0"/>
              <w:adjustRightInd w:val="0"/>
              <w:jc w:val="right"/>
              <w:rPr>
                <w:rFonts w:asciiTheme="minorHAnsi" w:hAnsiTheme="minorHAnsi" w:cstheme="minorHAnsi"/>
                <w:color w:val="000000"/>
                <w:sz w:val="22"/>
                <w:szCs w:val="22"/>
              </w:rPr>
            </w:pPr>
          </w:p>
        </w:tc>
        <w:tc>
          <w:tcPr>
            <w:tcW w:w="570" w:type="pct"/>
            <w:shd w:val="clear" w:color="auto" w:fill="FFFF00"/>
          </w:tcPr>
          <w:p w:rsidR="00DE7410" w:rsidRPr="007357F8" w:rsidRDefault="001A19EA" w:rsidP="00B71B9A">
            <w:pPr>
              <w:autoSpaceDE w:val="0"/>
              <w:autoSpaceDN w:val="0"/>
              <w:adjustRightInd w:val="0"/>
              <w:jc w:val="right"/>
              <w:rPr>
                <w:rFonts w:asciiTheme="minorHAnsi" w:hAnsiTheme="minorHAnsi" w:cstheme="minorHAnsi"/>
                <w:b/>
                <w:bCs/>
                <w:color w:val="000000"/>
                <w:sz w:val="22"/>
                <w:szCs w:val="22"/>
              </w:rPr>
            </w:pPr>
            <w:r w:rsidRPr="007357F8">
              <w:rPr>
                <w:rFonts w:asciiTheme="minorHAnsi" w:hAnsiTheme="minorHAnsi" w:cstheme="minorHAnsi"/>
                <w:b/>
                <w:bCs/>
                <w:color w:val="000000"/>
                <w:sz w:val="22"/>
                <w:szCs w:val="22"/>
              </w:rPr>
              <w:t>201</w:t>
            </w:r>
            <w:r w:rsidR="007357F8" w:rsidRPr="007357F8">
              <w:rPr>
                <w:rFonts w:asciiTheme="minorHAnsi" w:hAnsiTheme="minorHAnsi" w:cstheme="minorHAnsi"/>
                <w:b/>
                <w:bCs/>
                <w:color w:val="000000"/>
                <w:sz w:val="22"/>
                <w:szCs w:val="22"/>
              </w:rPr>
              <w:t>7</w:t>
            </w:r>
          </w:p>
        </w:tc>
        <w:tc>
          <w:tcPr>
            <w:tcW w:w="602" w:type="pct"/>
          </w:tcPr>
          <w:p w:rsidR="00DE7410" w:rsidRPr="00505482" w:rsidRDefault="001A19EA" w:rsidP="00B71B9A">
            <w:pPr>
              <w:autoSpaceDE w:val="0"/>
              <w:autoSpaceDN w:val="0"/>
              <w:adjustRightInd w:val="0"/>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201</w:t>
            </w:r>
            <w:r w:rsidR="007357F8">
              <w:rPr>
                <w:rFonts w:asciiTheme="minorHAnsi" w:hAnsiTheme="minorHAnsi" w:cstheme="minorHAnsi"/>
                <w:bCs/>
                <w:color w:val="000000"/>
                <w:sz w:val="22"/>
                <w:szCs w:val="22"/>
              </w:rPr>
              <w:t>6</w:t>
            </w:r>
          </w:p>
        </w:tc>
      </w:tr>
      <w:tr w:rsidR="00DE7410" w:rsidRPr="00505482" w:rsidTr="00FC08F3">
        <w:trPr>
          <w:gridAfter w:val="1"/>
          <w:wAfter w:w="118" w:type="pct"/>
          <w:trHeight w:val="247"/>
        </w:trPr>
        <w:tc>
          <w:tcPr>
            <w:tcW w:w="3710" w:type="pct"/>
            <w:gridSpan w:val="2"/>
          </w:tcPr>
          <w:p w:rsidR="00DE7410" w:rsidRPr="00505482" w:rsidRDefault="00DE7410" w:rsidP="00442786">
            <w:pPr>
              <w:autoSpaceDE w:val="0"/>
              <w:autoSpaceDN w:val="0"/>
              <w:adjustRightInd w:val="0"/>
              <w:jc w:val="right"/>
              <w:rPr>
                <w:rFonts w:asciiTheme="minorHAnsi" w:hAnsiTheme="minorHAnsi" w:cstheme="minorHAnsi"/>
                <w:color w:val="000000"/>
                <w:sz w:val="22"/>
                <w:szCs w:val="22"/>
              </w:rPr>
            </w:pPr>
          </w:p>
        </w:tc>
        <w:tc>
          <w:tcPr>
            <w:tcW w:w="570" w:type="pct"/>
            <w:shd w:val="clear" w:color="auto" w:fill="FFFF00"/>
          </w:tcPr>
          <w:p w:rsidR="00DE7410" w:rsidRPr="007357F8" w:rsidRDefault="00DE7410" w:rsidP="00442786">
            <w:pPr>
              <w:autoSpaceDE w:val="0"/>
              <w:autoSpaceDN w:val="0"/>
              <w:adjustRightInd w:val="0"/>
              <w:jc w:val="right"/>
              <w:rPr>
                <w:rFonts w:asciiTheme="minorHAnsi" w:hAnsiTheme="minorHAnsi" w:cstheme="minorHAnsi"/>
                <w:b/>
                <w:bCs/>
                <w:color w:val="000000"/>
                <w:sz w:val="22"/>
                <w:szCs w:val="22"/>
                <w:u w:val="single"/>
              </w:rPr>
            </w:pPr>
            <w:r w:rsidRPr="007357F8">
              <w:rPr>
                <w:rFonts w:asciiTheme="minorHAnsi" w:hAnsiTheme="minorHAnsi" w:cstheme="minorHAnsi"/>
                <w:b/>
                <w:bCs/>
                <w:color w:val="000000"/>
                <w:sz w:val="22"/>
                <w:szCs w:val="22"/>
                <w:u w:val="single"/>
              </w:rPr>
              <w:t>€M</w:t>
            </w:r>
          </w:p>
          <w:p w:rsidR="00DE7410" w:rsidRPr="007357F8" w:rsidRDefault="00DE7410" w:rsidP="00442786">
            <w:pPr>
              <w:autoSpaceDE w:val="0"/>
              <w:autoSpaceDN w:val="0"/>
              <w:adjustRightInd w:val="0"/>
              <w:jc w:val="right"/>
              <w:rPr>
                <w:rFonts w:asciiTheme="minorHAnsi" w:hAnsiTheme="minorHAnsi" w:cstheme="minorHAnsi"/>
                <w:b/>
                <w:bCs/>
                <w:color w:val="000000"/>
                <w:sz w:val="22"/>
                <w:szCs w:val="22"/>
                <w:u w:val="single"/>
              </w:rPr>
            </w:pPr>
          </w:p>
        </w:tc>
        <w:tc>
          <w:tcPr>
            <w:tcW w:w="602" w:type="pct"/>
          </w:tcPr>
          <w:p w:rsidR="00DE7410" w:rsidRPr="00505482" w:rsidRDefault="00DE7410" w:rsidP="00442786">
            <w:pPr>
              <w:autoSpaceDE w:val="0"/>
              <w:autoSpaceDN w:val="0"/>
              <w:adjustRightInd w:val="0"/>
              <w:jc w:val="right"/>
              <w:rPr>
                <w:rFonts w:asciiTheme="minorHAnsi" w:hAnsiTheme="minorHAnsi" w:cstheme="minorHAnsi"/>
                <w:bCs/>
                <w:color w:val="000000"/>
                <w:sz w:val="22"/>
                <w:szCs w:val="22"/>
                <w:u w:val="single"/>
              </w:rPr>
            </w:pPr>
            <w:r w:rsidRPr="00505482">
              <w:rPr>
                <w:rFonts w:asciiTheme="minorHAnsi" w:hAnsiTheme="minorHAnsi" w:cstheme="minorHAnsi"/>
                <w:bCs/>
                <w:color w:val="000000"/>
                <w:sz w:val="22"/>
                <w:szCs w:val="22"/>
                <w:u w:val="single"/>
              </w:rPr>
              <w:t>€'M</w:t>
            </w:r>
          </w:p>
        </w:tc>
      </w:tr>
      <w:tr w:rsidR="00DE7410" w:rsidRPr="00505482" w:rsidTr="00FC08F3">
        <w:trPr>
          <w:gridAfter w:val="1"/>
          <w:wAfter w:w="118" w:type="pct"/>
          <w:trHeight w:val="247"/>
        </w:trPr>
        <w:tc>
          <w:tcPr>
            <w:tcW w:w="3710" w:type="pct"/>
            <w:gridSpan w:val="2"/>
          </w:tcPr>
          <w:p w:rsidR="00DE7410" w:rsidRPr="00505482" w:rsidRDefault="00154EC5" w:rsidP="00442786">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E</w:t>
            </w:r>
            <w:r w:rsidR="00DE7410" w:rsidRPr="00505482">
              <w:rPr>
                <w:rFonts w:asciiTheme="minorHAnsi" w:hAnsiTheme="minorHAnsi" w:cstheme="minorHAnsi"/>
                <w:color w:val="000000"/>
                <w:sz w:val="22"/>
                <w:szCs w:val="22"/>
              </w:rPr>
              <w:t>xternal revenues</w:t>
            </w:r>
          </w:p>
        </w:tc>
        <w:tc>
          <w:tcPr>
            <w:tcW w:w="570" w:type="pct"/>
            <w:tcBorders>
              <w:bottom w:val="single" w:sz="4" w:space="0" w:color="auto"/>
            </w:tcBorders>
            <w:shd w:val="clear" w:color="auto" w:fill="FFFF00"/>
          </w:tcPr>
          <w:p w:rsidR="00DE7410" w:rsidRPr="007357F8" w:rsidRDefault="00146123" w:rsidP="009E15A9">
            <w:pPr>
              <w:autoSpaceDE w:val="0"/>
              <w:autoSpaceDN w:val="0"/>
              <w:adjustRightInd w:val="0"/>
              <w:jc w:val="right"/>
              <w:rPr>
                <w:rFonts w:asciiTheme="minorHAnsi" w:hAnsiTheme="minorHAnsi" w:cstheme="minorHAnsi"/>
                <w:b/>
                <w:color w:val="000000"/>
                <w:sz w:val="22"/>
                <w:szCs w:val="22"/>
              </w:rPr>
            </w:pPr>
            <w:r>
              <w:rPr>
                <w:rFonts w:asciiTheme="minorHAnsi" w:hAnsiTheme="minorHAnsi" w:cstheme="minorHAnsi"/>
                <w:b/>
                <w:color w:val="000000"/>
                <w:sz w:val="22"/>
                <w:szCs w:val="22"/>
              </w:rPr>
              <w:t>1,910.3</w:t>
            </w:r>
          </w:p>
        </w:tc>
        <w:tc>
          <w:tcPr>
            <w:tcW w:w="602" w:type="pct"/>
            <w:tcBorders>
              <w:bottom w:val="single" w:sz="4" w:space="0" w:color="auto"/>
            </w:tcBorders>
          </w:tcPr>
          <w:p w:rsidR="00DE7410" w:rsidRPr="00505482" w:rsidRDefault="00B13339" w:rsidP="009E15A9">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w:t>
            </w:r>
            <w:r w:rsidR="007241AA">
              <w:rPr>
                <w:rFonts w:asciiTheme="minorHAnsi" w:hAnsiTheme="minorHAnsi" w:cstheme="minorHAnsi"/>
                <w:color w:val="000000"/>
                <w:sz w:val="22"/>
                <w:szCs w:val="22"/>
              </w:rPr>
              <w:t>,</w:t>
            </w:r>
            <w:r>
              <w:rPr>
                <w:rFonts w:asciiTheme="minorHAnsi" w:hAnsiTheme="minorHAnsi" w:cstheme="minorHAnsi"/>
                <w:color w:val="000000"/>
                <w:sz w:val="22"/>
                <w:szCs w:val="22"/>
              </w:rPr>
              <w:t>6</w:t>
            </w:r>
            <w:r w:rsidR="00526BDF">
              <w:rPr>
                <w:rFonts w:asciiTheme="minorHAnsi" w:hAnsiTheme="minorHAnsi" w:cstheme="minorHAnsi"/>
                <w:color w:val="000000"/>
                <w:sz w:val="22"/>
                <w:szCs w:val="22"/>
              </w:rPr>
              <w:t>87</w:t>
            </w:r>
            <w:r w:rsidR="007241AA">
              <w:rPr>
                <w:rFonts w:asciiTheme="minorHAnsi" w:hAnsiTheme="minorHAnsi" w:cstheme="minorHAnsi"/>
                <w:color w:val="000000"/>
                <w:sz w:val="22"/>
                <w:szCs w:val="22"/>
              </w:rPr>
              <w:t>.</w:t>
            </w:r>
            <w:r w:rsidR="00526BDF">
              <w:rPr>
                <w:rFonts w:asciiTheme="minorHAnsi" w:hAnsiTheme="minorHAnsi" w:cstheme="minorHAnsi"/>
                <w:color w:val="000000"/>
                <w:sz w:val="22"/>
                <w:szCs w:val="22"/>
              </w:rPr>
              <w:t>4</w:t>
            </w:r>
          </w:p>
        </w:tc>
      </w:tr>
      <w:tr w:rsidR="00DE7410" w:rsidRPr="00505482" w:rsidTr="00FC08F3">
        <w:trPr>
          <w:gridAfter w:val="1"/>
          <w:wAfter w:w="118" w:type="pct"/>
          <w:trHeight w:val="247"/>
        </w:trPr>
        <w:tc>
          <w:tcPr>
            <w:tcW w:w="3710" w:type="pct"/>
            <w:gridSpan w:val="2"/>
          </w:tcPr>
          <w:p w:rsidR="00DE7410" w:rsidRPr="00505482" w:rsidRDefault="00DE7410" w:rsidP="00442786">
            <w:pPr>
              <w:autoSpaceDE w:val="0"/>
              <w:autoSpaceDN w:val="0"/>
              <w:adjustRightInd w:val="0"/>
              <w:rPr>
                <w:rFonts w:asciiTheme="minorHAnsi" w:hAnsiTheme="minorHAnsi" w:cstheme="minorHAnsi"/>
                <w:color w:val="000000"/>
                <w:sz w:val="22"/>
                <w:szCs w:val="22"/>
              </w:rPr>
            </w:pPr>
          </w:p>
        </w:tc>
        <w:tc>
          <w:tcPr>
            <w:tcW w:w="570" w:type="pct"/>
            <w:tcBorders>
              <w:top w:val="single" w:sz="4" w:space="0" w:color="auto"/>
            </w:tcBorders>
            <w:shd w:val="clear" w:color="auto" w:fill="FFFF00"/>
          </w:tcPr>
          <w:p w:rsidR="00DE7410" w:rsidRPr="007357F8" w:rsidRDefault="00DE7410" w:rsidP="00442786">
            <w:pPr>
              <w:autoSpaceDE w:val="0"/>
              <w:autoSpaceDN w:val="0"/>
              <w:adjustRightInd w:val="0"/>
              <w:jc w:val="right"/>
              <w:rPr>
                <w:rFonts w:asciiTheme="minorHAnsi" w:hAnsiTheme="minorHAnsi" w:cstheme="minorHAnsi"/>
                <w:b/>
                <w:color w:val="000000"/>
                <w:sz w:val="22"/>
                <w:szCs w:val="22"/>
              </w:rPr>
            </w:pPr>
          </w:p>
        </w:tc>
        <w:tc>
          <w:tcPr>
            <w:tcW w:w="602" w:type="pct"/>
            <w:tcBorders>
              <w:top w:val="single" w:sz="4" w:space="0" w:color="auto"/>
            </w:tcBorders>
          </w:tcPr>
          <w:p w:rsidR="00DE7410" w:rsidRPr="00505482" w:rsidRDefault="00DE7410" w:rsidP="00442786">
            <w:pPr>
              <w:autoSpaceDE w:val="0"/>
              <w:autoSpaceDN w:val="0"/>
              <w:adjustRightInd w:val="0"/>
              <w:jc w:val="right"/>
              <w:rPr>
                <w:rFonts w:asciiTheme="minorHAnsi" w:hAnsiTheme="minorHAnsi" w:cstheme="minorHAnsi"/>
                <w:color w:val="000000"/>
                <w:sz w:val="22"/>
                <w:szCs w:val="22"/>
              </w:rPr>
            </w:pPr>
          </w:p>
        </w:tc>
      </w:tr>
      <w:tr w:rsidR="00DE7410" w:rsidRPr="00505482" w:rsidTr="00FC08F3">
        <w:trPr>
          <w:gridAfter w:val="1"/>
          <w:wAfter w:w="118" w:type="pct"/>
          <w:trHeight w:val="247"/>
        </w:trPr>
        <w:tc>
          <w:tcPr>
            <w:tcW w:w="3710" w:type="pct"/>
            <w:gridSpan w:val="2"/>
          </w:tcPr>
          <w:p w:rsidR="00DE7410" w:rsidRPr="00505482" w:rsidRDefault="00DE7410" w:rsidP="007241AA">
            <w:pPr>
              <w:autoSpaceDE w:val="0"/>
              <w:autoSpaceDN w:val="0"/>
              <w:adjustRightInd w:val="0"/>
              <w:rPr>
                <w:rFonts w:asciiTheme="minorHAnsi" w:hAnsiTheme="minorHAnsi" w:cstheme="minorHAnsi"/>
                <w:color w:val="000000"/>
                <w:sz w:val="22"/>
                <w:szCs w:val="22"/>
              </w:rPr>
            </w:pPr>
            <w:r w:rsidRPr="00505482">
              <w:rPr>
                <w:rFonts w:asciiTheme="minorHAnsi" w:hAnsiTheme="minorHAnsi" w:cstheme="minorHAnsi"/>
                <w:color w:val="000000"/>
                <w:sz w:val="22"/>
                <w:szCs w:val="22"/>
              </w:rPr>
              <w:t>Reportable segment profit after income tax</w:t>
            </w:r>
          </w:p>
        </w:tc>
        <w:tc>
          <w:tcPr>
            <w:tcW w:w="570" w:type="pct"/>
            <w:tcBorders>
              <w:bottom w:val="single" w:sz="4" w:space="0" w:color="auto"/>
            </w:tcBorders>
            <w:shd w:val="clear" w:color="auto" w:fill="FFFF00"/>
          </w:tcPr>
          <w:p w:rsidR="00FC08F3" w:rsidRPr="007357F8" w:rsidRDefault="00146123" w:rsidP="009E15A9">
            <w:pPr>
              <w:autoSpaceDE w:val="0"/>
              <w:autoSpaceDN w:val="0"/>
              <w:adjustRightInd w:val="0"/>
              <w:jc w:val="right"/>
              <w:rPr>
                <w:rFonts w:asciiTheme="minorHAnsi" w:hAnsiTheme="minorHAnsi" w:cstheme="minorHAnsi"/>
                <w:b/>
                <w:color w:val="000000"/>
                <w:sz w:val="22"/>
                <w:szCs w:val="22"/>
              </w:rPr>
            </w:pPr>
            <w:r>
              <w:rPr>
                <w:rFonts w:asciiTheme="minorHAnsi" w:hAnsiTheme="minorHAnsi" w:cstheme="minorHAnsi"/>
                <w:b/>
                <w:color w:val="000000"/>
                <w:sz w:val="22"/>
                <w:szCs w:val="22"/>
              </w:rPr>
              <w:t>397.1</w:t>
            </w:r>
          </w:p>
        </w:tc>
        <w:tc>
          <w:tcPr>
            <w:tcW w:w="602" w:type="pct"/>
            <w:tcBorders>
              <w:bottom w:val="single" w:sz="4" w:space="0" w:color="auto"/>
            </w:tcBorders>
          </w:tcPr>
          <w:p w:rsidR="00FC08F3" w:rsidRPr="00505482" w:rsidRDefault="007357F8" w:rsidP="009E15A9">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2</w:t>
            </w:r>
            <w:r w:rsidR="00526BDF">
              <w:rPr>
                <w:rFonts w:asciiTheme="minorHAnsi" w:hAnsiTheme="minorHAnsi" w:cstheme="minorHAnsi"/>
                <w:color w:val="000000"/>
                <w:sz w:val="22"/>
                <w:szCs w:val="22"/>
              </w:rPr>
              <w:t>55</w:t>
            </w:r>
            <w:r w:rsidR="00FC08F3">
              <w:rPr>
                <w:rFonts w:asciiTheme="minorHAnsi" w:hAnsiTheme="minorHAnsi" w:cstheme="minorHAnsi"/>
                <w:color w:val="000000"/>
                <w:sz w:val="22"/>
                <w:szCs w:val="22"/>
              </w:rPr>
              <w:t>.</w:t>
            </w:r>
            <w:r w:rsidR="00526BDF">
              <w:rPr>
                <w:rFonts w:asciiTheme="minorHAnsi" w:hAnsiTheme="minorHAnsi" w:cstheme="minorHAnsi"/>
                <w:color w:val="000000"/>
                <w:sz w:val="22"/>
                <w:szCs w:val="22"/>
              </w:rPr>
              <w:t>5</w:t>
            </w:r>
          </w:p>
        </w:tc>
      </w:tr>
      <w:tr w:rsidR="00DE7410" w:rsidRPr="00505482" w:rsidTr="007357F8">
        <w:trPr>
          <w:gridAfter w:val="1"/>
          <w:wAfter w:w="118" w:type="pct"/>
          <w:trHeight w:val="247"/>
        </w:trPr>
        <w:tc>
          <w:tcPr>
            <w:tcW w:w="3710" w:type="pct"/>
            <w:gridSpan w:val="2"/>
          </w:tcPr>
          <w:p w:rsidR="00DE7410" w:rsidRPr="00505482" w:rsidRDefault="00DE7410" w:rsidP="00442786">
            <w:pPr>
              <w:autoSpaceDE w:val="0"/>
              <w:autoSpaceDN w:val="0"/>
              <w:adjustRightInd w:val="0"/>
              <w:rPr>
                <w:rFonts w:asciiTheme="minorHAnsi" w:hAnsiTheme="minorHAnsi" w:cstheme="minorHAnsi"/>
                <w:color w:val="000000"/>
                <w:sz w:val="22"/>
                <w:szCs w:val="22"/>
              </w:rPr>
            </w:pPr>
          </w:p>
        </w:tc>
        <w:tc>
          <w:tcPr>
            <w:tcW w:w="570" w:type="pct"/>
            <w:shd w:val="clear" w:color="auto" w:fill="FFFFFF" w:themeFill="background1"/>
          </w:tcPr>
          <w:p w:rsidR="00DE7410" w:rsidRPr="007357F8" w:rsidRDefault="00DE7410" w:rsidP="00442786">
            <w:pPr>
              <w:autoSpaceDE w:val="0"/>
              <w:autoSpaceDN w:val="0"/>
              <w:adjustRightInd w:val="0"/>
              <w:jc w:val="right"/>
              <w:rPr>
                <w:rFonts w:asciiTheme="minorHAnsi" w:hAnsiTheme="minorHAnsi" w:cstheme="minorHAnsi"/>
                <w:b/>
                <w:color w:val="000000"/>
                <w:sz w:val="22"/>
                <w:szCs w:val="22"/>
              </w:rPr>
            </w:pPr>
          </w:p>
        </w:tc>
        <w:tc>
          <w:tcPr>
            <w:tcW w:w="602" w:type="pct"/>
          </w:tcPr>
          <w:p w:rsidR="00DE7410" w:rsidRPr="00505482" w:rsidRDefault="00DE7410" w:rsidP="00442786">
            <w:pPr>
              <w:autoSpaceDE w:val="0"/>
              <w:autoSpaceDN w:val="0"/>
              <w:adjustRightInd w:val="0"/>
              <w:jc w:val="right"/>
              <w:rPr>
                <w:rFonts w:asciiTheme="minorHAnsi" w:hAnsiTheme="minorHAnsi" w:cstheme="minorHAnsi"/>
                <w:color w:val="000000"/>
                <w:sz w:val="22"/>
                <w:szCs w:val="22"/>
              </w:rPr>
            </w:pPr>
          </w:p>
        </w:tc>
      </w:tr>
      <w:tr w:rsidR="007357F8" w:rsidRPr="00505482" w:rsidTr="007357F8">
        <w:trPr>
          <w:gridAfter w:val="1"/>
          <w:wAfter w:w="118" w:type="pct"/>
          <w:trHeight w:val="247"/>
        </w:trPr>
        <w:tc>
          <w:tcPr>
            <w:tcW w:w="3710" w:type="pct"/>
            <w:gridSpan w:val="2"/>
          </w:tcPr>
          <w:p w:rsidR="007357F8" w:rsidRPr="00505482" w:rsidRDefault="007357F8" w:rsidP="00442786">
            <w:pPr>
              <w:autoSpaceDE w:val="0"/>
              <w:autoSpaceDN w:val="0"/>
              <w:adjustRightInd w:val="0"/>
              <w:rPr>
                <w:rFonts w:asciiTheme="minorHAnsi" w:hAnsiTheme="minorHAnsi" w:cstheme="minorHAnsi"/>
                <w:color w:val="000000"/>
                <w:sz w:val="22"/>
                <w:szCs w:val="22"/>
              </w:rPr>
            </w:pPr>
          </w:p>
        </w:tc>
        <w:tc>
          <w:tcPr>
            <w:tcW w:w="570" w:type="pct"/>
            <w:shd w:val="clear" w:color="auto" w:fill="FFFFFF" w:themeFill="background1"/>
          </w:tcPr>
          <w:p w:rsidR="007357F8" w:rsidRPr="007357F8" w:rsidRDefault="007357F8" w:rsidP="00442786">
            <w:pPr>
              <w:autoSpaceDE w:val="0"/>
              <w:autoSpaceDN w:val="0"/>
              <w:adjustRightInd w:val="0"/>
              <w:jc w:val="right"/>
              <w:rPr>
                <w:rFonts w:asciiTheme="minorHAnsi" w:hAnsiTheme="minorHAnsi" w:cstheme="minorHAnsi"/>
                <w:b/>
                <w:color w:val="000000"/>
                <w:sz w:val="22"/>
                <w:szCs w:val="22"/>
              </w:rPr>
            </w:pPr>
          </w:p>
        </w:tc>
        <w:tc>
          <w:tcPr>
            <w:tcW w:w="602" w:type="pct"/>
          </w:tcPr>
          <w:p w:rsidR="007357F8" w:rsidRPr="00505482" w:rsidRDefault="007357F8" w:rsidP="00442786">
            <w:pPr>
              <w:autoSpaceDE w:val="0"/>
              <w:autoSpaceDN w:val="0"/>
              <w:adjustRightInd w:val="0"/>
              <w:jc w:val="right"/>
              <w:rPr>
                <w:rFonts w:asciiTheme="minorHAnsi" w:hAnsiTheme="minorHAnsi" w:cstheme="minorHAnsi"/>
                <w:color w:val="000000"/>
                <w:sz w:val="22"/>
                <w:szCs w:val="22"/>
              </w:rPr>
            </w:pPr>
          </w:p>
        </w:tc>
      </w:tr>
      <w:tr w:rsidR="00DE7410" w:rsidRPr="00505482" w:rsidTr="00FC08F3">
        <w:trPr>
          <w:gridAfter w:val="1"/>
          <w:wAfter w:w="118" w:type="pct"/>
          <w:trHeight w:val="247"/>
        </w:trPr>
        <w:tc>
          <w:tcPr>
            <w:tcW w:w="3710" w:type="pct"/>
            <w:gridSpan w:val="2"/>
          </w:tcPr>
          <w:p w:rsidR="00DE7410" w:rsidRPr="00505482" w:rsidRDefault="00DE7410" w:rsidP="00442786">
            <w:pPr>
              <w:autoSpaceDE w:val="0"/>
              <w:autoSpaceDN w:val="0"/>
              <w:adjustRightInd w:val="0"/>
              <w:rPr>
                <w:rFonts w:asciiTheme="minorHAnsi" w:hAnsiTheme="minorHAnsi" w:cstheme="minorHAnsi"/>
                <w:color w:val="000000"/>
                <w:sz w:val="22"/>
                <w:szCs w:val="22"/>
              </w:rPr>
            </w:pPr>
          </w:p>
        </w:tc>
        <w:tc>
          <w:tcPr>
            <w:tcW w:w="570" w:type="pct"/>
            <w:shd w:val="clear" w:color="auto" w:fill="FFFF00"/>
          </w:tcPr>
          <w:p w:rsidR="009C399A" w:rsidRPr="007357F8" w:rsidRDefault="00DE7410" w:rsidP="00442786">
            <w:pPr>
              <w:autoSpaceDE w:val="0"/>
              <w:autoSpaceDN w:val="0"/>
              <w:adjustRightInd w:val="0"/>
              <w:jc w:val="right"/>
              <w:rPr>
                <w:rFonts w:asciiTheme="minorHAnsi" w:hAnsiTheme="minorHAnsi" w:cstheme="minorHAnsi"/>
                <w:b/>
                <w:color w:val="000000"/>
                <w:sz w:val="22"/>
                <w:szCs w:val="22"/>
              </w:rPr>
            </w:pPr>
            <w:r w:rsidRPr="007357F8">
              <w:rPr>
                <w:rFonts w:asciiTheme="minorHAnsi" w:hAnsiTheme="minorHAnsi" w:cstheme="minorHAnsi"/>
                <w:b/>
                <w:color w:val="000000"/>
                <w:sz w:val="22"/>
                <w:szCs w:val="22"/>
              </w:rPr>
              <w:t xml:space="preserve">At </w:t>
            </w:r>
            <w:r w:rsidR="00B13339">
              <w:rPr>
                <w:rFonts w:asciiTheme="minorHAnsi" w:hAnsiTheme="minorHAnsi" w:cstheme="minorHAnsi"/>
                <w:b/>
                <w:color w:val="000000"/>
                <w:sz w:val="22"/>
                <w:szCs w:val="22"/>
              </w:rPr>
              <w:t>Jun</w:t>
            </w:r>
            <w:r w:rsidR="007241AA" w:rsidRPr="007357F8">
              <w:rPr>
                <w:rFonts w:asciiTheme="minorHAnsi" w:hAnsiTheme="minorHAnsi" w:cstheme="minorHAnsi"/>
                <w:b/>
                <w:color w:val="000000"/>
                <w:sz w:val="22"/>
                <w:szCs w:val="22"/>
              </w:rPr>
              <w:t xml:space="preserve"> 3</w:t>
            </w:r>
            <w:r w:rsidR="00B13339">
              <w:rPr>
                <w:rFonts w:asciiTheme="minorHAnsi" w:hAnsiTheme="minorHAnsi" w:cstheme="minorHAnsi"/>
                <w:b/>
                <w:color w:val="000000"/>
                <w:sz w:val="22"/>
                <w:szCs w:val="22"/>
              </w:rPr>
              <w:t>0</w:t>
            </w:r>
            <w:r w:rsidRPr="007357F8">
              <w:rPr>
                <w:rFonts w:asciiTheme="minorHAnsi" w:hAnsiTheme="minorHAnsi" w:cstheme="minorHAnsi"/>
                <w:b/>
                <w:color w:val="000000"/>
                <w:sz w:val="22"/>
                <w:szCs w:val="22"/>
              </w:rPr>
              <w:t xml:space="preserve">, </w:t>
            </w:r>
          </w:p>
          <w:p w:rsidR="00DE7410" w:rsidRPr="007357F8" w:rsidRDefault="001A19EA" w:rsidP="00442786">
            <w:pPr>
              <w:autoSpaceDE w:val="0"/>
              <w:autoSpaceDN w:val="0"/>
              <w:adjustRightInd w:val="0"/>
              <w:jc w:val="right"/>
              <w:rPr>
                <w:rFonts w:asciiTheme="minorHAnsi" w:hAnsiTheme="minorHAnsi" w:cstheme="minorHAnsi"/>
                <w:b/>
                <w:color w:val="000000"/>
                <w:sz w:val="22"/>
                <w:szCs w:val="22"/>
              </w:rPr>
            </w:pPr>
            <w:r w:rsidRPr="007357F8">
              <w:rPr>
                <w:rFonts w:asciiTheme="minorHAnsi" w:hAnsiTheme="minorHAnsi" w:cstheme="minorHAnsi"/>
                <w:b/>
                <w:color w:val="000000"/>
                <w:sz w:val="22"/>
                <w:szCs w:val="22"/>
              </w:rPr>
              <w:t>201</w:t>
            </w:r>
            <w:r w:rsidR="007357F8" w:rsidRPr="007357F8">
              <w:rPr>
                <w:rFonts w:asciiTheme="minorHAnsi" w:hAnsiTheme="minorHAnsi" w:cstheme="minorHAnsi"/>
                <w:b/>
                <w:color w:val="000000"/>
                <w:sz w:val="22"/>
                <w:szCs w:val="22"/>
              </w:rPr>
              <w:t>7</w:t>
            </w:r>
          </w:p>
          <w:p w:rsidR="00DE7410" w:rsidRPr="007357F8" w:rsidRDefault="00DE7410" w:rsidP="00442786">
            <w:pPr>
              <w:autoSpaceDE w:val="0"/>
              <w:autoSpaceDN w:val="0"/>
              <w:adjustRightInd w:val="0"/>
              <w:jc w:val="right"/>
              <w:rPr>
                <w:rFonts w:asciiTheme="minorHAnsi" w:hAnsiTheme="minorHAnsi" w:cstheme="minorHAnsi"/>
                <w:b/>
                <w:color w:val="000000"/>
                <w:sz w:val="22"/>
                <w:szCs w:val="22"/>
                <w:u w:val="single"/>
              </w:rPr>
            </w:pPr>
            <w:r w:rsidRPr="007357F8">
              <w:rPr>
                <w:rFonts w:asciiTheme="minorHAnsi" w:hAnsiTheme="minorHAnsi" w:cstheme="minorHAnsi"/>
                <w:b/>
                <w:color w:val="000000"/>
                <w:sz w:val="22"/>
                <w:szCs w:val="22"/>
                <w:u w:val="single"/>
              </w:rPr>
              <w:t>€M</w:t>
            </w:r>
          </w:p>
          <w:p w:rsidR="00DE7410" w:rsidRPr="007357F8" w:rsidRDefault="00DE7410" w:rsidP="00442786">
            <w:pPr>
              <w:autoSpaceDE w:val="0"/>
              <w:autoSpaceDN w:val="0"/>
              <w:adjustRightInd w:val="0"/>
              <w:jc w:val="right"/>
              <w:rPr>
                <w:rFonts w:asciiTheme="minorHAnsi" w:hAnsiTheme="minorHAnsi" w:cstheme="minorHAnsi"/>
                <w:b/>
                <w:color w:val="000000"/>
                <w:sz w:val="22"/>
                <w:szCs w:val="22"/>
              </w:rPr>
            </w:pPr>
          </w:p>
        </w:tc>
        <w:tc>
          <w:tcPr>
            <w:tcW w:w="602" w:type="pct"/>
          </w:tcPr>
          <w:p w:rsidR="00DE7410" w:rsidRPr="00505482" w:rsidRDefault="009C3AC9" w:rsidP="00442786">
            <w:pPr>
              <w:autoSpaceDE w:val="0"/>
              <w:autoSpaceDN w:val="0"/>
              <w:adjustRightInd w:val="0"/>
              <w:jc w:val="right"/>
              <w:rPr>
                <w:rFonts w:asciiTheme="minorHAnsi" w:hAnsiTheme="minorHAnsi" w:cstheme="minorHAnsi"/>
                <w:color w:val="000000"/>
                <w:sz w:val="22"/>
                <w:szCs w:val="22"/>
              </w:rPr>
            </w:pPr>
            <w:r w:rsidRPr="00505482">
              <w:rPr>
                <w:rFonts w:asciiTheme="minorHAnsi" w:hAnsiTheme="minorHAnsi" w:cstheme="minorHAnsi"/>
                <w:color w:val="000000"/>
                <w:sz w:val="22"/>
                <w:szCs w:val="22"/>
              </w:rPr>
              <w:t xml:space="preserve">At Mar </w:t>
            </w:r>
            <w:r w:rsidR="001A19EA">
              <w:rPr>
                <w:rFonts w:asciiTheme="minorHAnsi" w:hAnsiTheme="minorHAnsi" w:cstheme="minorHAnsi"/>
                <w:color w:val="000000"/>
                <w:sz w:val="22"/>
                <w:szCs w:val="22"/>
              </w:rPr>
              <w:t>31</w:t>
            </w:r>
            <w:r w:rsidRPr="00505482">
              <w:rPr>
                <w:rFonts w:asciiTheme="minorHAnsi" w:hAnsiTheme="minorHAnsi" w:cstheme="minorHAnsi"/>
                <w:color w:val="000000"/>
                <w:sz w:val="22"/>
                <w:szCs w:val="22"/>
              </w:rPr>
              <w:t xml:space="preserve">, </w:t>
            </w:r>
            <w:r w:rsidR="007241AA">
              <w:rPr>
                <w:rFonts w:asciiTheme="minorHAnsi" w:hAnsiTheme="minorHAnsi" w:cstheme="minorHAnsi"/>
                <w:color w:val="000000"/>
                <w:sz w:val="22"/>
                <w:szCs w:val="22"/>
              </w:rPr>
              <w:t>201</w:t>
            </w:r>
            <w:r w:rsidR="00B13339">
              <w:rPr>
                <w:rFonts w:asciiTheme="minorHAnsi" w:hAnsiTheme="minorHAnsi" w:cstheme="minorHAnsi"/>
                <w:color w:val="000000"/>
                <w:sz w:val="22"/>
                <w:szCs w:val="22"/>
              </w:rPr>
              <w:t>7</w:t>
            </w:r>
          </w:p>
          <w:p w:rsidR="00DE7410" w:rsidRPr="00505482" w:rsidRDefault="00DE7410" w:rsidP="00442786">
            <w:pPr>
              <w:autoSpaceDE w:val="0"/>
              <w:autoSpaceDN w:val="0"/>
              <w:adjustRightInd w:val="0"/>
              <w:jc w:val="right"/>
              <w:rPr>
                <w:rFonts w:asciiTheme="minorHAnsi" w:hAnsiTheme="minorHAnsi" w:cstheme="minorHAnsi"/>
                <w:color w:val="000000"/>
                <w:sz w:val="22"/>
                <w:szCs w:val="22"/>
                <w:u w:val="single"/>
              </w:rPr>
            </w:pPr>
            <w:r w:rsidRPr="00505482">
              <w:rPr>
                <w:rFonts w:asciiTheme="minorHAnsi" w:hAnsiTheme="minorHAnsi" w:cstheme="minorHAnsi"/>
                <w:color w:val="000000"/>
                <w:sz w:val="22"/>
                <w:szCs w:val="22"/>
                <w:u w:val="single"/>
              </w:rPr>
              <w:t>€M</w:t>
            </w:r>
          </w:p>
        </w:tc>
      </w:tr>
      <w:tr w:rsidR="00DE7410" w:rsidRPr="00505482" w:rsidTr="00AA6714">
        <w:trPr>
          <w:gridAfter w:val="1"/>
          <w:wAfter w:w="118" w:type="pct"/>
          <w:trHeight w:val="247"/>
        </w:trPr>
        <w:tc>
          <w:tcPr>
            <w:tcW w:w="3710" w:type="pct"/>
            <w:gridSpan w:val="2"/>
          </w:tcPr>
          <w:p w:rsidR="00DE7410" w:rsidRPr="00505482" w:rsidRDefault="00DE7410" w:rsidP="00FB4EBF">
            <w:pPr>
              <w:autoSpaceDE w:val="0"/>
              <w:autoSpaceDN w:val="0"/>
              <w:adjustRightInd w:val="0"/>
              <w:rPr>
                <w:rFonts w:asciiTheme="minorHAnsi" w:hAnsiTheme="minorHAnsi" w:cstheme="minorHAnsi"/>
                <w:color w:val="000000"/>
                <w:sz w:val="22"/>
                <w:szCs w:val="22"/>
              </w:rPr>
            </w:pPr>
            <w:r w:rsidRPr="00505482">
              <w:rPr>
                <w:rFonts w:asciiTheme="minorHAnsi" w:hAnsiTheme="minorHAnsi" w:cstheme="minorHAnsi"/>
                <w:color w:val="000000"/>
                <w:sz w:val="22"/>
                <w:szCs w:val="22"/>
              </w:rPr>
              <w:t>Reportable</w:t>
            </w:r>
            <w:r w:rsidR="00FC08F3">
              <w:rPr>
                <w:rFonts w:asciiTheme="minorHAnsi" w:hAnsiTheme="minorHAnsi" w:cstheme="minorHAnsi"/>
                <w:color w:val="000000"/>
                <w:sz w:val="22"/>
                <w:szCs w:val="22"/>
              </w:rPr>
              <w:t xml:space="preserve"> segment assets</w:t>
            </w:r>
          </w:p>
        </w:tc>
        <w:tc>
          <w:tcPr>
            <w:tcW w:w="570" w:type="pct"/>
            <w:shd w:val="clear" w:color="auto" w:fill="FFFF00"/>
          </w:tcPr>
          <w:p w:rsidR="00DE7410" w:rsidRPr="007357F8" w:rsidRDefault="00146123" w:rsidP="009E15A9">
            <w:pPr>
              <w:autoSpaceDE w:val="0"/>
              <w:autoSpaceDN w:val="0"/>
              <w:adjustRightInd w:val="0"/>
              <w:jc w:val="right"/>
              <w:rPr>
                <w:rFonts w:asciiTheme="minorHAnsi" w:hAnsiTheme="minorHAnsi" w:cstheme="minorHAnsi"/>
                <w:b/>
                <w:color w:val="000000"/>
                <w:sz w:val="22"/>
                <w:szCs w:val="22"/>
              </w:rPr>
            </w:pPr>
            <w:r>
              <w:rPr>
                <w:rFonts w:asciiTheme="minorHAnsi" w:hAnsiTheme="minorHAnsi" w:cstheme="minorHAnsi"/>
                <w:b/>
                <w:color w:val="000000"/>
                <w:sz w:val="22"/>
                <w:szCs w:val="22"/>
              </w:rPr>
              <w:t>12,016.5</w:t>
            </w:r>
          </w:p>
        </w:tc>
        <w:tc>
          <w:tcPr>
            <w:tcW w:w="602" w:type="pct"/>
          </w:tcPr>
          <w:p w:rsidR="00DE7410" w:rsidRPr="00505482" w:rsidRDefault="00FB4EBF" w:rsidP="001A19EA">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11,</w:t>
            </w:r>
            <w:r w:rsidR="00526BDF">
              <w:rPr>
                <w:rFonts w:asciiTheme="minorHAnsi" w:hAnsiTheme="minorHAnsi" w:cstheme="minorHAnsi"/>
                <w:color w:val="000000"/>
                <w:sz w:val="22"/>
                <w:szCs w:val="22"/>
              </w:rPr>
              <w:t>989</w:t>
            </w:r>
            <w:r>
              <w:rPr>
                <w:rFonts w:asciiTheme="minorHAnsi" w:hAnsiTheme="minorHAnsi" w:cstheme="minorHAnsi"/>
                <w:color w:val="000000"/>
                <w:sz w:val="22"/>
                <w:szCs w:val="22"/>
              </w:rPr>
              <w:t>.</w:t>
            </w:r>
            <w:r w:rsidR="00526BDF">
              <w:rPr>
                <w:rFonts w:asciiTheme="minorHAnsi" w:hAnsiTheme="minorHAnsi" w:cstheme="minorHAnsi"/>
                <w:color w:val="000000"/>
                <w:sz w:val="22"/>
                <w:szCs w:val="22"/>
              </w:rPr>
              <w:t>7</w:t>
            </w:r>
          </w:p>
        </w:tc>
      </w:tr>
      <w:tr w:rsidR="00AA6714" w:rsidRPr="00505482" w:rsidTr="00AA6714">
        <w:trPr>
          <w:gridAfter w:val="1"/>
          <w:wAfter w:w="118" w:type="pct"/>
          <w:trHeight w:val="247"/>
        </w:trPr>
        <w:tc>
          <w:tcPr>
            <w:tcW w:w="3710" w:type="pct"/>
            <w:gridSpan w:val="2"/>
          </w:tcPr>
          <w:p w:rsidR="00AA6714" w:rsidRPr="00505482" w:rsidRDefault="00AA6714" w:rsidP="00FB4EBF">
            <w:pPr>
              <w:autoSpaceDE w:val="0"/>
              <w:autoSpaceDN w:val="0"/>
              <w:adjustRightInd w:val="0"/>
              <w:rPr>
                <w:rFonts w:asciiTheme="minorHAnsi" w:hAnsiTheme="minorHAnsi" w:cstheme="minorHAnsi"/>
                <w:color w:val="000000"/>
                <w:sz w:val="22"/>
                <w:szCs w:val="22"/>
              </w:rPr>
            </w:pPr>
          </w:p>
        </w:tc>
        <w:tc>
          <w:tcPr>
            <w:tcW w:w="570" w:type="pct"/>
            <w:shd w:val="clear" w:color="auto" w:fill="FFFF00"/>
          </w:tcPr>
          <w:p w:rsidR="00AA6714" w:rsidRPr="007357F8" w:rsidRDefault="00AA6714" w:rsidP="009E15A9">
            <w:pPr>
              <w:autoSpaceDE w:val="0"/>
              <w:autoSpaceDN w:val="0"/>
              <w:adjustRightInd w:val="0"/>
              <w:jc w:val="right"/>
              <w:rPr>
                <w:rFonts w:asciiTheme="minorHAnsi" w:hAnsiTheme="minorHAnsi" w:cstheme="minorHAnsi"/>
                <w:b/>
                <w:color w:val="000000"/>
                <w:sz w:val="22"/>
                <w:szCs w:val="22"/>
              </w:rPr>
            </w:pPr>
          </w:p>
        </w:tc>
        <w:tc>
          <w:tcPr>
            <w:tcW w:w="602" w:type="pct"/>
          </w:tcPr>
          <w:p w:rsidR="00AA6714" w:rsidRDefault="00AA6714" w:rsidP="001A19EA">
            <w:pPr>
              <w:autoSpaceDE w:val="0"/>
              <w:autoSpaceDN w:val="0"/>
              <w:adjustRightInd w:val="0"/>
              <w:jc w:val="right"/>
              <w:rPr>
                <w:rFonts w:asciiTheme="minorHAnsi" w:hAnsiTheme="minorHAnsi" w:cstheme="minorHAnsi"/>
                <w:color w:val="000000"/>
                <w:sz w:val="22"/>
                <w:szCs w:val="22"/>
              </w:rPr>
            </w:pPr>
          </w:p>
        </w:tc>
      </w:tr>
      <w:tr w:rsidR="00AA6714" w:rsidRPr="00505482" w:rsidTr="00AA6714">
        <w:trPr>
          <w:gridAfter w:val="1"/>
          <w:wAfter w:w="118" w:type="pct"/>
          <w:trHeight w:val="247"/>
        </w:trPr>
        <w:tc>
          <w:tcPr>
            <w:tcW w:w="3710" w:type="pct"/>
            <w:gridSpan w:val="2"/>
          </w:tcPr>
          <w:p w:rsidR="00AA6714" w:rsidRPr="00505482" w:rsidRDefault="00AA6714" w:rsidP="00FB4EBF">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Reportable segment liabilities</w:t>
            </w:r>
          </w:p>
        </w:tc>
        <w:tc>
          <w:tcPr>
            <w:tcW w:w="570" w:type="pct"/>
            <w:shd w:val="clear" w:color="auto" w:fill="FFFF00"/>
          </w:tcPr>
          <w:p w:rsidR="00AA6714" w:rsidRPr="007357F8" w:rsidRDefault="00146123" w:rsidP="009E15A9">
            <w:pPr>
              <w:autoSpaceDE w:val="0"/>
              <w:autoSpaceDN w:val="0"/>
              <w:adjustRightInd w:val="0"/>
              <w:jc w:val="right"/>
              <w:rPr>
                <w:rFonts w:asciiTheme="minorHAnsi" w:hAnsiTheme="minorHAnsi" w:cstheme="minorHAnsi"/>
                <w:b/>
                <w:color w:val="000000"/>
                <w:sz w:val="22"/>
                <w:szCs w:val="22"/>
              </w:rPr>
            </w:pPr>
            <w:r>
              <w:rPr>
                <w:rFonts w:asciiTheme="minorHAnsi" w:hAnsiTheme="minorHAnsi" w:cstheme="minorHAnsi"/>
                <w:b/>
                <w:color w:val="000000"/>
                <w:sz w:val="22"/>
                <w:szCs w:val="22"/>
              </w:rPr>
              <w:t>7,748.7</w:t>
            </w:r>
          </w:p>
        </w:tc>
        <w:tc>
          <w:tcPr>
            <w:tcW w:w="602" w:type="pct"/>
          </w:tcPr>
          <w:p w:rsidR="00AA6714" w:rsidRDefault="00AA6714" w:rsidP="001A19EA">
            <w:pPr>
              <w:autoSpaceDE w:val="0"/>
              <w:autoSpaceDN w:val="0"/>
              <w:adjustRightInd w:val="0"/>
              <w:jc w:val="right"/>
              <w:rPr>
                <w:rFonts w:asciiTheme="minorHAnsi" w:hAnsiTheme="minorHAnsi" w:cstheme="minorHAnsi"/>
                <w:color w:val="000000"/>
                <w:sz w:val="22"/>
                <w:szCs w:val="22"/>
              </w:rPr>
            </w:pPr>
            <w:r>
              <w:rPr>
                <w:rFonts w:asciiTheme="minorHAnsi" w:hAnsiTheme="minorHAnsi" w:cstheme="minorHAnsi"/>
                <w:color w:val="000000"/>
                <w:sz w:val="22"/>
                <w:szCs w:val="22"/>
              </w:rPr>
              <w:t>7,</w:t>
            </w:r>
            <w:r w:rsidR="00526BDF">
              <w:rPr>
                <w:rFonts w:asciiTheme="minorHAnsi" w:hAnsiTheme="minorHAnsi" w:cstheme="minorHAnsi"/>
                <w:color w:val="000000"/>
                <w:sz w:val="22"/>
                <w:szCs w:val="22"/>
              </w:rPr>
              <w:t>566</w:t>
            </w:r>
            <w:r>
              <w:rPr>
                <w:rFonts w:asciiTheme="minorHAnsi" w:hAnsiTheme="minorHAnsi" w:cstheme="minorHAnsi"/>
                <w:color w:val="000000"/>
                <w:sz w:val="22"/>
                <w:szCs w:val="22"/>
              </w:rPr>
              <w:t>.</w:t>
            </w:r>
            <w:r w:rsidR="00526BDF">
              <w:rPr>
                <w:rFonts w:asciiTheme="minorHAnsi" w:hAnsiTheme="minorHAnsi" w:cstheme="minorHAnsi"/>
                <w:color w:val="000000"/>
                <w:sz w:val="22"/>
                <w:szCs w:val="22"/>
              </w:rPr>
              <w:t>7</w:t>
            </w:r>
          </w:p>
        </w:tc>
      </w:tr>
      <w:tr w:rsidR="00AA6714" w:rsidRPr="00505482" w:rsidTr="00AA6714">
        <w:trPr>
          <w:gridAfter w:val="1"/>
          <w:wAfter w:w="118" w:type="pct"/>
          <w:trHeight w:val="247"/>
        </w:trPr>
        <w:tc>
          <w:tcPr>
            <w:tcW w:w="3710" w:type="pct"/>
            <w:gridSpan w:val="2"/>
          </w:tcPr>
          <w:p w:rsidR="00AA6714" w:rsidRPr="00505482" w:rsidRDefault="00AA6714" w:rsidP="00FB4EBF">
            <w:pPr>
              <w:autoSpaceDE w:val="0"/>
              <w:autoSpaceDN w:val="0"/>
              <w:adjustRightInd w:val="0"/>
              <w:rPr>
                <w:rFonts w:asciiTheme="minorHAnsi" w:hAnsiTheme="minorHAnsi" w:cstheme="minorHAnsi"/>
                <w:color w:val="000000"/>
                <w:sz w:val="22"/>
                <w:szCs w:val="22"/>
              </w:rPr>
            </w:pPr>
          </w:p>
        </w:tc>
        <w:tc>
          <w:tcPr>
            <w:tcW w:w="570" w:type="pct"/>
            <w:tcBorders>
              <w:bottom w:val="single" w:sz="4" w:space="0" w:color="auto"/>
            </w:tcBorders>
            <w:shd w:val="clear" w:color="auto" w:fill="FFFF00"/>
          </w:tcPr>
          <w:p w:rsidR="00AA6714" w:rsidRPr="007357F8" w:rsidRDefault="00AA6714" w:rsidP="009E15A9">
            <w:pPr>
              <w:autoSpaceDE w:val="0"/>
              <w:autoSpaceDN w:val="0"/>
              <w:adjustRightInd w:val="0"/>
              <w:jc w:val="right"/>
              <w:rPr>
                <w:rFonts w:asciiTheme="minorHAnsi" w:hAnsiTheme="minorHAnsi" w:cstheme="minorHAnsi"/>
                <w:b/>
                <w:color w:val="000000"/>
                <w:sz w:val="22"/>
                <w:szCs w:val="22"/>
              </w:rPr>
            </w:pPr>
          </w:p>
        </w:tc>
        <w:tc>
          <w:tcPr>
            <w:tcW w:w="602" w:type="pct"/>
            <w:tcBorders>
              <w:bottom w:val="single" w:sz="4" w:space="0" w:color="auto"/>
            </w:tcBorders>
          </w:tcPr>
          <w:p w:rsidR="00AA6714" w:rsidRDefault="00AA6714" w:rsidP="001A19EA">
            <w:pPr>
              <w:autoSpaceDE w:val="0"/>
              <w:autoSpaceDN w:val="0"/>
              <w:adjustRightInd w:val="0"/>
              <w:jc w:val="right"/>
              <w:rPr>
                <w:rFonts w:asciiTheme="minorHAnsi" w:hAnsiTheme="minorHAnsi" w:cstheme="minorHAnsi"/>
                <w:color w:val="000000"/>
                <w:sz w:val="22"/>
                <w:szCs w:val="22"/>
              </w:rPr>
            </w:pPr>
          </w:p>
        </w:tc>
      </w:tr>
    </w:tbl>
    <w:p w:rsidR="00D935C1" w:rsidRDefault="00D935C1" w:rsidP="00DE7410">
      <w:pPr>
        <w:autoSpaceDE w:val="0"/>
        <w:autoSpaceDN w:val="0"/>
        <w:adjustRightInd w:val="0"/>
        <w:ind w:left="-600"/>
        <w:jc w:val="both"/>
        <w:rPr>
          <w:rFonts w:asciiTheme="minorHAnsi" w:hAnsiTheme="minorHAnsi" w:cstheme="minorHAnsi"/>
          <w:sz w:val="22"/>
          <w:szCs w:val="22"/>
        </w:rPr>
      </w:pPr>
    </w:p>
    <w:p w:rsidR="007357F8" w:rsidRDefault="007357F8" w:rsidP="00DE7410">
      <w:pPr>
        <w:autoSpaceDE w:val="0"/>
        <w:autoSpaceDN w:val="0"/>
        <w:adjustRightInd w:val="0"/>
        <w:ind w:left="-600"/>
        <w:jc w:val="both"/>
        <w:rPr>
          <w:rFonts w:asciiTheme="minorHAnsi" w:hAnsiTheme="minorHAnsi" w:cstheme="minorHAnsi"/>
          <w:sz w:val="22"/>
          <w:szCs w:val="22"/>
        </w:rPr>
      </w:pPr>
    </w:p>
    <w:p w:rsidR="007357F8" w:rsidRPr="00505482" w:rsidRDefault="007357F8" w:rsidP="00DE7410">
      <w:pPr>
        <w:autoSpaceDE w:val="0"/>
        <w:autoSpaceDN w:val="0"/>
        <w:adjustRightInd w:val="0"/>
        <w:ind w:left="-600"/>
        <w:jc w:val="both"/>
        <w:rPr>
          <w:rFonts w:asciiTheme="minorHAnsi" w:hAnsiTheme="minorHAnsi" w:cstheme="minorHAnsi"/>
          <w:sz w:val="22"/>
          <w:szCs w:val="22"/>
        </w:rPr>
      </w:pPr>
    </w:p>
    <w:p w:rsidR="00666CDA" w:rsidRDefault="00666CDA" w:rsidP="00DE7410">
      <w:pPr>
        <w:autoSpaceDE w:val="0"/>
        <w:autoSpaceDN w:val="0"/>
        <w:adjustRightInd w:val="0"/>
        <w:ind w:left="-600"/>
        <w:jc w:val="both"/>
        <w:rPr>
          <w:rFonts w:asciiTheme="minorHAnsi" w:hAnsiTheme="minorHAnsi" w:cstheme="minorHAnsi"/>
          <w:sz w:val="22"/>
          <w:szCs w:val="22"/>
        </w:rPr>
      </w:pPr>
    </w:p>
    <w:p w:rsidR="00DE7410" w:rsidRPr="00505482" w:rsidRDefault="00DE7410" w:rsidP="006F7BE5">
      <w:pPr>
        <w:pStyle w:val="Outline3L1"/>
        <w:tabs>
          <w:tab w:val="clear" w:pos="720"/>
          <w:tab w:val="num" w:pos="0"/>
        </w:tabs>
        <w:rPr>
          <w:rFonts w:asciiTheme="minorHAnsi" w:hAnsiTheme="minorHAnsi" w:cstheme="minorHAnsi"/>
          <w:b/>
          <w:sz w:val="22"/>
          <w:szCs w:val="22"/>
        </w:rPr>
      </w:pPr>
      <w:r w:rsidRPr="00505482">
        <w:rPr>
          <w:rFonts w:asciiTheme="minorHAnsi" w:hAnsiTheme="minorHAnsi" w:cstheme="minorHAnsi"/>
          <w:b/>
          <w:sz w:val="22"/>
          <w:szCs w:val="22"/>
        </w:rPr>
        <w:t>Earnings per share</w:t>
      </w:r>
    </w:p>
    <w:tbl>
      <w:tblPr>
        <w:tblW w:w="10661" w:type="dxa"/>
        <w:tblLayout w:type="fixed"/>
        <w:tblLook w:val="0000" w:firstRow="0" w:lastRow="0" w:firstColumn="0" w:lastColumn="0" w:noHBand="0" w:noVBand="0"/>
      </w:tblPr>
      <w:tblGrid>
        <w:gridCol w:w="6130"/>
        <w:gridCol w:w="1181"/>
        <w:gridCol w:w="1053"/>
        <w:gridCol w:w="1276"/>
        <w:gridCol w:w="1021"/>
      </w:tblGrid>
      <w:tr w:rsidR="00D91BFB" w:rsidRPr="00505482" w:rsidTr="007357F8">
        <w:trPr>
          <w:trHeight w:val="223"/>
        </w:trPr>
        <w:tc>
          <w:tcPr>
            <w:tcW w:w="6130" w:type="dxa"/>
            <w:tcBorders>
              <w:top w:val="nil"/>
              <w:left w:val="nil"/>
              <w:bottom w:val="nil"/>
            </w:tcBorders>
          </w:tcPr>
          <w:p w:rsidR="00D91BFB" w:rsidRPr="00505482" w:rsidRDefault="00D91BFB" w:rsidP="00D91BFB">
            <w:pPr>
              <w:autoSpaceDE w:val="0"/>
              <w:autoSpaceDN w:val="0"/>
              <w:adjustRightInd w:val="0"/>
              <w:jc w:val="right"/>
              <w:rPr>
                <w:rFonts w:asciiTheme="minorHAnsi" w:hAnsiTheme="minorHAnsi" w:cstheme="minorHAnsi"/>
                <w:color w:val="000000"/>
                <w:sz w:val="22"/>
                <w:szCs w:val="22"/>
              </w:rPr>
            </w:pPr>
          </w:p>
        </w:tc>
        <w:tc>
          <w:tcPr>
            <w:tcW w:w="1181" w:type="dxa"/>
            <w:tcBorders>
              <w:bottom w:val="nil"/>
            </w:tcBorders>
            <w:shd w:val="clear" w:color="auto" w:fill="FFFFFF" w:themeFill="background1"/>
          </w:tcPr>
          <w:p w:rsidR="00154EC5" w:rsidRPr="007357F8" w:rsidRDefault="00154EC5" w:rsidP="009E15A9">
            <w:pPr>
              <w:autoSpaceDE w:val="0"/>
              <w:autoSpaceDN w:val="0"/>
              <w:adjustRightInd w:val="0"/>
              <w:jc w:val="right"/>
              <w:rPr>
                <w:rFonts w:asciiTheme="minorHAnsi" w:hAnsiTheme="minorHAnsi" w:cstheme="minorHAnsi"/>
                <w:b/>
                <w:bCs/>
                <w:color w:val="000000"/>
                <w:sz w:val="22"/>
                <w:szCs w:val="22"/>
              </w:rPr>
            </w:pPr>
          </w:p>
        </w:tc>
        <w:tc>
          <w:tcPr>
            <w:tcW w:w="1053" w:type="dxa"/>
            <w:tcBorders>
              <w:bottom w:val="nil"/>
            </w:tcBorders>
          </w:tcPr>
          <w:p w:rsidR="009E15A9" w:rsidRPr="00505482" w:rsidRDefault="009E15A9" w:rsidP="00154EC5">
            <w:pPr>
              <w:autoSpaceDE w:val="0"/>
              <w:autoSpaceDN w:val="0"/>
              <w:adjustRightInd w:val="0"/>
              <w:jc w:val="right"/>
              <w:rPr>
                <w:rFonts w:asciiTheme="minorHAnsi" w:hAnsiTheme="minorHAnsi" w:cstheme="minorHAnsi"/>
                <w:color w:val="000000"/>
                <w:sz w:val="22"/>
                <w:szCs w:val="22"/>
              </w:rPr>
            </w:pPr>
          </w:p>
        </w:tc>
        <w:tc>
          <w:tcPr>
            <w:tcW w:w="1276" w:type="dxa"/>
            <w:tcBorders>
              <w:bottom w:val="nil"/>
            </w:tcBorders>
            <w:shd w:val="clear" w:color="auto" w:fill="FFFF00"/>
          </w:tcPr>
          <w:p w:rsidR="00D91BFB" w:rsidRPr="00505482" w:rsidRDefault="00526BDF" w:rsidP="00D91BFB">
            <w:pPr>
              <w:autoSpaceDE w:val="0"/>
              <w:autoSpaceDN w:val="0"/>
              <w:adjustRightInd w:val="0"/>
              <w:jc w:val="right"/>
              <w:rPr>
                <w:rFonts w:asciiTheme="minorHAnsi" w:hAnsiTheme="minorHAnsi" w:cstheme="minorHAnsi"/>
                <w:b/>
                <w:color w:val="000000"/>
                <w:sz w:val="22"/>
                <w:szCs w:val="22"/>
              </w:rPr>
            </w:pPr>
            <w:r>
              <w:rPr>
                <w:rFonts w:asciiTheme="minorHAnsi" w:hAnsiTheme="minorHAnsi" w:cstheme="minorHAnsi"/>
                <w:b/>
                <w:color w:val="000000"/>
                <w:sz w:val="22"/>
                <w:szCs w:val="22"/>
              </w:rPr>
              <w:t>Quarter</w:t>
            </w:r>
          </w:p>
        </w:tc>
        <w:tc>
          <w:tcPr>
            <w:tcW w:w="1021" w:type="dxa"/>
            <w:tcBorders>
              <w:bottom w:val="nil"/>
              <w:right w:val="nil"/>
            </w:tcBorders>
          </w:tcPr>
          <w:p w:rsidR="00D91BFB" w:rsidRPr="00505482" w:rsidRDefault="00526BDF" w:rsidP="0088595E">
            <w:pPr>
              <w:autoSpaceDE w:val="0"/>
              <w:autoSpaceDN w:val="0"/>
              <w:adjustRightInd w:val="0"/>
              <w:ind w:right="-108"/>
              <w:jc w:val="right"/>
              <w:rPr>
                <w:rFonts w:asciiTheme="minorHAnsi" w:hAnsiTheme="minorHAnsi" w:cstheme="minorHAnsi"/>
                <w:color w:val="000000"/>
                <w:sz w:val="22"/>
                <w:szCs w:val="22"/>
              </w:rPr>
            </w:pPr>
            <w:r>
              <w:rPr>
                <w:rFonts w:asciiTheme="minorHAnsi" w:hAnsiTheme="minorHAnsi" w:cstheme="minorHAnsi"/>
                <w:color w:val="000000"/>
                <w:sz w:val="22"/>
                <w:szCs w:val="22"/>
              </w:rPr>
              <w:t>Quarter</w:t>
            </w:r>
          </w:p>
        </w:tc>
      </w:tr>
      <w:tr w:rsidR="00D91BFB" w:rsidRPr="00505482" w:rsidTr="007357F8">
        <w:trPr>
          <w:trHeight w:val="223"/>
        </w:trPr>
        <w:tc>
          <w:tcPr>
            <w:tcW w:w="6130" w:type="dxa"/>
            <w:tcBorders>
              <w:top w:val="nil"/>
              <w:left w:val="nil"/>
              <w:bottom w:val="nil"/>
            </w:tcBorders>
          </w:tcPr>
          <w:p w:rsidR="00D91BFB" w:rsidRPr="00505482" w:rsidRDefault="00D91BFB" w:rsidP="00D91BFB">
            <w:pPr>
              <w:autoSpaceDE w:val="0"/>
              <w:autoSpaceDN w:val="0"/>
              <w:adjustRightInd w:val="0"/>
              <w:jc w:val="right"/>
              <w:rPr>
                <w:rFonts w:asciiTheme="minorHAnsi" w:hAnsiTheme="minorHAnsi" w:cstheme="minorHAnsi"/>
                <w:color w:val="000000"/>
                <w:sz w:val="22"/>
                <w:szCs w:val="22"/>
              </w:rPr>
            </w:pPr>
          </w:p>
        </w:tc>
        <w:tc>
          <w:tcPr>
            <w:tcW w:w="1181" w:type="dxa"/>
            <w:tcBorders>
              <w:bottom w:val="nil"/>
            </w:tcBorders>
            <w:shd w:val="clear" w:color="auto" w:fill="FFFFFF" w:themeFill="background1"/>
          </w:tcPr>
          <w:p w:rsidR="00FC08F3" w:rsidRPr="007357F8" w:rsidRDefault="00FC08F3" w:rsidP="00FC08F3">
            <w:pPr>
              <w:autoSpaceDE w:val="0"/>
              <w:autoSpaceDN w:val="0"/>
              <w:adjustRightInd w:val="0"/>
              <w:jc w:val="right"/>
              <w:rPr>
                <w:rFonts w:asciiTheme="minorHAnsi" w:hAnsiTheme="minorHAnsi" w:cstheme="minorHAnsi"/>
                <w:b/>
                <w:bCs/>
                <w:color w:val="000000"/>
                <w:sz w:val="22"/>
                <w:szCs w:val="22"/>
              </w:rPr>
            </w:pPr>
          </w:p>
        </w:tc>
        <w:tc>
          <w:tcPr>
            <w:tcW w:w="1053" w:type="dxa"/>
            <w:tcBorders>
              <w:bottom w:val="nil"/>
            </w:tcBorders>
          </w:tcPr>
          <w:p w:rsidR="00D91BFB" w:rsidRPr="00505482" w:rsidRDefault="00D91BFB" w:rsidP="00D91BFB">
            <w:pPr>
              <w:autoSpaceDE w:val="0"/>
              <w:autoSpaceDN w:val="0"/>
              <w:adjustRightInd w:val="0"/>
              <w:jc w:val="right"/>
              <w:rPr>
                <w:rFonts w:asciiTheme="minorHAnsi" w:hAnsiTheme="minorHAnsi" w:cstheme="minorHAnsi"/>
                <w:color w:val="000000"/>
                <w:sz w:val="22"/>
                <w:szCs w:val="22"/>
              </w:rPr>
            </w:pPr>
          </w:p>
        </w:tc>
        <w:tc>
          <w:tcPr>
            <w:tcW w:w="1276" w:type="dxa"/>
            <w:tcBorders>
              <w:bottom w:val="nil"/>
            </w:tcBorders>
            <w:shd w:val="clear" w:color="auto" w:fill="FFFF00"/>
          </w:tcPr>
          <w:p w:rsidR="00D91BFB" w:rsidRPr="00505482" w:rsidRDefault="00D91BFB" w:rsidP="00D91BFB">
            <w:pPr>
              <w:autoSpaceDE w:val="0"/>
              <w:autoSpaceDN w:val="0"/>
              <w:adjustRightInd w:val="0"/>
              <w:jc w:val="right"/>
              <w:rPr>
                <w:rFonts w:asciiTheme="minorHAnsi" w:hAnsiTheme="minorHAnsi" w:cstheme="minorHAnsi"/>
                <w:b/>
                <w:color w:val="000000"/>
                <w:sz w:val="22"/>
                <w:szCs w:val="22"/>
              </w:rPr>
            </w:pPr>
            <w:r w:rsidRPr="00505482">
              <w:rPr>
                <w:rFonts w:asciiTheme="minorHAnsi" w:hAnsiTheme="minorHAnsi" w:cstheme="minorHAnsi"/>
                <w:b/>
                <w:color w:val="000000"/>
                <w:sz w:val="22"/>
                <w:szCs w:val="22"/>
              </w:rPr>
              <w:t>Ended</w:t>
            </w:r>
          </w:p>
        </w:tc>
        <w:tc>
          <w:tcPr>
            <w:tcW w:w="1021" w:type="dxa"/>
            <w:tcBorders>
              <w:bottom w:val="nil"/>
              <w:right w:val="nil"/>
            </w:tcBorders>
          </w:tcPr>
          <w:p w:rsidR="00D91BFB" w:rsidRPr="00505482" w:rsidRDefault="00D91BFB" w:rsidP="0088595E">
            <w:pPr>
              <w:autoSpaceDE w:val="0"/>
              <w:autoSpaceDN w:val="0"/>
              <w:adjustRightInd w:val="0"/>
              <w:ind w:right="-108"/>
              <w:jc w:val="right"/>
              <w:rPr>
                <w:rFonts w:asciiTheme="minorHAnsi" w:hAnsiTheme="minorHAnsi" w:cstheme="minorHAnsi"/>
                <w:color w:val="000000"/>
                <w:sz w:val="22"/>
                <w:szCs w:val="22"/>
              </w:rPr>
            </w:pPr>
            <w:r w:rsidRPr="00505482">
              <w:rPr>
                <w:rFonts w:asciiTheme="minorHAnsi" w:hAnsiTheme="minorHAnsi" w:cstheme="minorHAnsi"/>
                <w:color w:val="000000"/>
                <w:sz w:val="22"/>
                <w:szCs w:val="22"/>
              </w:rPr>
              <w:t>Ended</w:t>
            </w:r>
          </w:p>
        </w:tc>
      </w:tr>
      <w:tr w:rsidR="00D91BFB" w:rsidRPr="00505482" w:rsidTr="007357F8">
        <w:trPr>
          <w:trHeight w:val="223"/>
        </w:trPr>
        <w:tc>
          <w:tcPr>
            <w:tcW w:w="6130" w:type="dxa"/>
            <w:tcBorders>
              <w:top w:val="nil"/>
              <w:left w:val="nil"/>
              <w:bottom w:val="nil"/>
            </w:tcBorders>
          </w:tcPr>
          <w:p w:rsidR="00D91BFB" w:rsidRPr="00505482" w:rsidRDefault="00D91BFB" w:rsidP="00D91BFB">
            <w:pPr>
              <w:autoSpaceDE w:val="0"/>
              <w:autoSpaceDN w:val="0"/>
              <w:adjustRightInd w:val="0"/>
              <w:jc w:val="right"/>
              <w:rPr>
                <w:rFonts w:asciiTheme="minorHAnsi" w:hAnsiTheme="minorHAnsi" w:cstheme="minorHAnsi"/>
                <w:color w:val="000000"/>
                <w:sz w:val="22"/>
                <w:szCs w:val="22"/>
              </w:rPr>
            </w:pPr>
          </w:p>
        </w:tc>
        <w:tc>
          <w:tcPr>
            <w:tcW w:w="1181" w:type="dxa"/>
            <w:tcBorders>
              <w:top w:val="nil"/>
              <w:bottom w:val="nil"/>
            </w:tcBorders>
            <w:shd w:val="clear" w:color="auto" w:fill="FFFFFF" w:themeFill="background1"/>
          </w:tcPr>
          <w:p w:rsidR="00D91BFB" w:rsidRPr="007357F8" w:rsidRDefault="00D91BFB" w:rsidP="009E15A9">
            <w:pPr>
              <w:autoSpaceDE w:val="0"/>
              <w:autoSpaceDN w:val="0"/>
              <w:adjustRightInd w:val="0"/>
              <w:jc w:val="right"/>
              <w:rPr>
                <w:rFonts w:asciiTheme="minorHAnsi" w:hAnsiTheme="minorHAnsi" w:cstheme="minorHAnsi"/>
                <w:b/>
                <w:bCs/>
                <w:color w:val="000000"/>
                <w:sz w:val="22"/>
                <w:szCs w:val="22"/>
              </w:rPr>
            </w:pPr>
          </w:p>
        </w:tc>
        <w:tc>
          <w:tcPr>
            <w:tcW w:w="1053" w:type="dxa"/>
            <w:tcBorders>
              <w:top w:val="nil"/>
              <w:bottom w:val="nil"/>
            </w:tcBorders>
          </w:tcPr>
          <w:p w:rsidR="00D91BFB" w:rsidRPr="00505482" w:rsidRDefault="00D91BFB" w:rsidP="009E15A9">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tcBorders>
            <w:shd w:val="clear" w:color="auto" w:fill="FFFF00"/>
          </w:tcPr>
          <w:p w:rsidR="00D91BFB" w:rsidRPr="00505482" w:rsidRDefault="00526BDF" w:rsidP="009E15A9">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Jun</w:t>
            </w:r>
            <w:r w:rsidR="00FB4EBF">
              <w:rPr>
                <w:rFonts w:asciiTheme="minorHAnsi" w:hAnsiTheme="minorHAnsi" w:cstheme="minorHAnsi"/>
                <w:b/>
                <w:bCs/>
                <w:color w:val="000000"/>
                <w:sz w:val="22"/>
                <w:szCs w:val="22"/>
              </w:rPr>
              <w:t xml:space="preserve"> 3</w:t>
            </w:r>
            <w:r>
              <w:rPr>
                <w:rFonts w:asciiTheme="minorHAnsi" w:hAnsiTheme="minorHAnsi" w:cstheme="minorHAnsi"/>
                <w:b/>
                <w:bCs/>
                <w:color w:val="000000"/>
                <w:sz w:val="22"/>
                <w:szCs w:val="22"/>
              </w:rPr>
              <w:t>0</w:t>
            </w:r>
            <w:r w:rsidR="009C399A">
              <w:rPr>
                <w:rFonts w:asciiTheme="minorHAnsi" w:hAnsiTheme="minorHAnsi" w:cstheme="minorHAnsi"/>
                <w:b/>
                <w:bCs/>
                <w:color w:val="000000"/>
                <w:sz w:val="22"/>
                <w:szCs w:val="22"/>
              </w:rPr>
              <w:t>,</w:t>
            </w:r>
          </w:p>
        </w:tc>
        <w:tc>
          <w:tcPr>
            <w:tcW w:w="1021" w:type="dxa"/>
            <w:tcBorders>
              <w:top w:val="nil"/>
              <w:bottom w:val="nil"/>
              <w:right w:val="nil"/>
            </w:tcBorders>
          </w:tcPr>
          <w:p w:rsidR="00D91BFB" w:rsidRPr="00505482" w:rsidRDefault="00526BDF" w:rsidP="009E15A9">
            <w:pPr>
              <w:autoSpaceDE w:val="0"/>
              <w:autoSpaceDN w:val="0"/>
              <w:adjustRightInd w:val="0"/>
              <w:ind w:right="-108"/>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Jun</w:t>
            </w:r>
            <w:r w:rsidR="00FB4EBF">
              <w:rPr>
                <w:rFonts w:asciiTheme="minorHAnsi" w:hAnsiTheme="minorHAnsi" w:cstheme="minorHAnsi"/>
                <w:bCs/>
                <w:color w:val="000000"/>
                <w:sz w:val="22"/>
                <w:szCs w:val="22"/>
              </w:rPr>
              <w:t xml:space="preserve"> 3</w:t>
            </w:r>
            <w:r>
              <w:rPr>
                <w:rFonts w:asciiTheme="minorHAnsi" w:hAnsiTheme="minorHAnsi" w:cstheme="minorHAnsi"/>
                <w:bCs/>
                <w:color w:val="000000"/>
                <w:sz w:val="22"/>
                <w:szCs w:val="22"/>
              </w:rPr>
              <w:t>0</w:t>
            </w:r>
            <w:r w:rsidR="00F74EF4" w:rsidRPr="00505482">
              <w:rPr>
                <w:rFonts w:asciiTheme="minorHAnsi" w:hAnsiTheme="minorHAnsi" w:cstheme="minorHAnsi"/>
                <w:bCs/>
                <w:color w:val="000000"/>
                <w:sz w:val="22"/>
                <w:szCs w:val="22"/>
              </w:rPr>
              <w:t>,</w:t>
            </w:r>
          </w:p>
        </w:tc>
      </w:tr>
      <w:tr w:rsidR="00D91BFB" w:rsidRPr="00505482" w:rsidTr="007357F8">
        <w:trPr>
          <w:trHeight w:val="223"/>
        </w:trPr>
        <w:tc>
          <w:tcPr>
            <w:tcW w:w="6130" w:type="dxa"/>
            <w:tcBorders>
              <w:top w:val="nil"/>
              <w:left w:val="nil"/>
              <w:bottom w:val="nil"/>
            </w:tcBorders>
          </w:tcPr>
          <w:p w:rsidR="00D91BFB" w:rsidRPr="00505482" w:rsidRDefault="00D91BFB" w:rsidP="00D91BFB">
            <w:pPr>
              <w:autoSpaceDE w:val="0"/>
              <w:autoSpaceDN w:val="0"/>
              <w:adjustRightInd w:val="0"/>
              <w:jc w:val="right"/>
              <w:rPr>
                <w:rFonts w:asciiTheme="minorHAnsi" w:hAnsiTheme="minorHAnsi" w:cstheme="minorHAnsi"/>
                <w:color w:val="000000"/>
                <w:sz w:val="22"/>
                <w:szCs w:val="22"/>
              </w:rPr>
            </w:pPr>
          </w:p>
        </w:tc>
        <w:tc>
          <w:tcPr>
            <w:tcW w:w="1181" w:type="dxa"/>
            <w:tcBorders>
              <w:top w:val="nil"/>
              <w:bottom w:val="nil"/>
            </w:tcBorders>
            <w:shd w:val="clear" w:color="auto" w:fill="FFFFFF" w:themeFill="background1"/>
          </w:tcPr>
          <w:p w:rsidR="00D91BFB" w:rsidRPr="007357F8" w:rsidRDefault="00D91BFB" w:rsidP="00154EC5">
            <w:pPr>
              <w:autoSpaceDE w:val="0"/>
              <w:autoSpaceDN w:val="0"/>
              <w:adjustRightInd w:val="0"/>
              <w:jc w:val="right"/>
              <w:rPr>
                <w:rFonts w:asciiTheme="minorHAnsi" w:hAnsiTheme="minorHAnsi" w:cstheme="minorHAnsi"/>
                <w:b/>
                <w:bCs/>
                <w:color w:val="000000"/>
                <w:sz w:val="22"/>
                <w:szCs w:val="22"/>
              </w:rPr>
            </w:pPr>
          </w:p>
        </w:tc>
        <w:tc>
          <w:tcPr>
            <w:tcW w:w="1053" w:type="dxa"/>
            <w:tcBorders>
              <w:top w:val="nil"/>
              <w:bottom w:val="nil"/>
            </w:tcBorders>
          </w:tcPr>
          <w:p w:rsidR="00D91BFB" w:rsidRPr="00505482" w:rsidRDefault="00D91BFB" w:rsidP="00154EC5">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tcBorders>
            <w:shd w:val="clear" w:color="auto" w:fill="FFFF00"/>
          </w:tcPr>
          <w:p w:rsidR="00D91BFB" w:rsidRPr="00505482" w:rsidRDefault="001A19EA" w:rsidP="005F0CAC">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201</w:t>
            </w:r>
            <w:r w:rsidR="007357F8">
              <w:rPr>
                <w:rFonts w:asciiTheme="minorHAnsi" w:hAnsiTheme="minorHAnsi" w:cstheme="minorHAnsi"/>
                <w:b/>
                <w:bCs/>
                <w:color w:val="000000"/>
                <w:sz w:val="22"/>
                <w:szCs w:val="22"/>
              </w:rPr>
              <w:t>7</w:t>
            </w:r>
          </w:p>
        </w:tc>
        <w:tc>
          <w:tcPr>
            <w:tcW w:w="1021" w:type="dxa"/>
            <w:tcBorders>
              <w:top w:val="nil"/>
              <w:bottom w:val="nil"/>
              <w:right w:val="nil"/>
            </w:tcBorders>
          </w:tcPr>
          <w:p w:rsidR="00D91BFB" w:rsidRPr="00505482" w:rsidRDefault="001A19EA" w:rsidP="005F0CAC">
            <w:pPr>
              <w:autoSpaceDE w:val="0"/>
              <w:autoSpaceDN w:val="0"/>
              <w:adjustRightInd w:val="0"/>
              <w:ind w:right="-108"/>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201</w:t>
            </w:r>
            <w:r w:rsidR="007357F8">
              <w:rPr>
                <w:rFonts w:asciiTheme="minorHAnsi" w:hAnsiTheme="minorHAnsi" w:cstheme="minorHAnsi"/>
                <w:bCs/>
                <w:color w:val="000000"/>
                <w:sz w:val="22"/>
                <w:szCs w:val="22"/>
              </w:rPr>
              <w:t>6</w:t>
            </w:r>
          </w:p>
        </w:tc>
      </w:tr>
      <w:tr w:rsidR="0088595E" w:rsidRPr="00505482" w:rsidTr="007357F8">
        <w:trPr>
          <w:trHeight w:val="223"/>
        </w:trPr>
        <w:tc>
          <w:tcPr>
            <w:tcW w:w="6130" w:type="dxa"/>
            <w:tcBorders>
              <w:top w:val="nil"/>
              <w:left w:val="nil"/>
              <w:bottom w:val="nil"/>
            </w:tcBorders>
          </w:tcPr>
          <w:p w:rsidR="0088595E" w:rsidRPr="00505482" w:rsidRDefault="0088595E" w:rsidP="00D91BFB">
            <w:pPr>
              <w:autoSpaceDE w:val="0"/>
              <w:autoSpaceDN w:val="0"/>
              <w:adjustRightInd w:val="0"/>
              <w:jc w:val="right"/>
              <w:rPr>
                <w:rFonts w:asciiTheme="minorHAnsi" w:hAnsiTheme="minorHAnsi" w:cstheme="minorHAnsi"/>
                <w:color w:val="000000"/>
                <w:sz w:val="22"/>
                <w:szCs w:val="22"/>
              </w:rPr>
            </w:pPr>
          </w:p>
        </w:tc>
        <w:tc>
          <w:tcPr>
            <w:tcW w:w="1181" w:type="dxa"/>
            <w:tcBorders>
              <w:top w:val="nil"/>
              <w:bottom w:val="nil"/>
            </w:tcBorders>
            <w:shd w:val="clear" w:color="auto" w:fill="FFFFFF" w:themeFill="background1"/>
          </w:tcPr>
          <w:p w:rsidR="0088595E" w:rsidRPr="007357F8" w:rsidRDefault="0088595E" w:rsidP="00154EC5">
            <w:pPr>
              <w:autoSpaceDE w:val="0"/>
              <w:autoSpaceDN w:val="0"/>
              <w:adjustRightInd w:val="0"/>
              <w:jc w:val="right"/>
              <w:rPr>
                <w:rFonts w:asciiTheme="minorHAnsi" w:hAnsiTheme="minorHAnsi" w:cstheme="minorHAnsi"/>
                <w:b/>
                <w:bCs/>
                <w:color w:val="000000"/>
                <w:sz w:val="22"/>
                <w:szCs w:val="22"/>
              </w:rPr>
            </w:pPr>
          </w:p>
        </w:tc>
        <w:tc>
          <w:tcPr>
            <w:tcW w:w="1053" w:type="dxa"/>
            <w:tcBorders>
              <w:top w:val="nil"/>
              <w:bottom w:val="nil"/>
            </w:tcBorders>
          </w:tcPr>
          <w:p w:rsidR="0088595E" w:rsidRDefault="0088595E" w:rsidP="00154EC5">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tcBorders>
            <w:shd w:val="clear" w:color="auto" w:fill="FFFF00"/>
          </w:tcPr>
          <w:p w:rsidR="0088595E" w:rsidRPr="00505482" w:rsidRDefault="0088595E" w:rsidP="00960AAB">
            <w:pPr>
              <w:autoSpaceDE w:val="0"/>
              <w:autoSpaceDN w:val="0"/>
              <w:adjustRightInd w:val="0"/>
              <w:jc w:val="right"/>
              <w:rPr>
                <w:rFonts w:asciiTheme="minorHAnsi" w:hAnsiTheme="minorHAnsi" w:cstheme="minorHAnsi"/>
                <w:b/>
                <w:bCs/>
                <w:color w:val="000000"/>
                <w:sz w:val="22"/>
                <w:szCs w:val="22"/>
              </w:rPr>
            </w:pPr>
          </w:p>
        </w:tc>
        <w:tc>
          <w:tcPr>
            <w:tcW w:w="1021" w:type="dxa"/>
            <w:tcBorders>
              <w:top w:val="nil"/>
              <w:bottom w:val="nil"/>
              <w:right w:val="nil"/>
            </w:tcBorders>
          </w:tcPr>
          <w:p w:rsidR="0088595E" w:rsidRPr="00505482" w:rsidRDefault="0088595E" w:rsidP="0088595E">
            <w:pPr>
              <w:autoSpaceDE w:val="0"/>
              <w:autoSpaceDN w:val="0"/>
              <w:adjustRightInd w:val="0"/>
              <w:ind w:right="-108"/>
              <w:jc w:val="right"/>
              <w:rPr>
                <w:rFonts w:asciiTheme="minorHAnsi" w:hAnsiTheme="minorHAnsi" w:cstheme="minorHAnsi"/>
                <w:bCs/>
                <w:color w:val="000000"/>
                <w:sz w:val="22"/>
                <w:szCs w:val="22"/>
              </w:rPr>
            </w:pPr>
          </w:p>
        </w:tc>
      </w:tr>
      <w:tr w:rsidR="0088595E" w:rsidRPr="00505482" w:rsidTr="007357F8">
        <w:trPr>
          <w:trHeight w:val="223"/>
        </w:trPr>
        <w:tc>
          <w:tcPr>
            <w:tcW w:w="6130" w:type="dxa"/>
            <w:tcBorders>
              <w:top w:val="nil"/>
              <w:left w:val="nil"/>
              <w:bottom w:val="nil"/>
            </w:tcBorders>
          </w:tcPr>
          <w:p w:rsidR="0088595E" w:rsidRPr="00505482" w:rsidRDefault="0088595E" w:rsidP="0088595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Basic earnings per ordinary share euro cent</w:t>
            </w:r>
          </w:p>
        </w:tc>
        <w:tc>
          <w:tcPr>
            <w:tcW w:w="1181" w:type="dxa"/>
            <w:tcBorders>
              <w:top w:val="nil"/>
              <w:bottom w:val="nil"/>
            </w:tcBorders>
            <w:shd w:val="clear" w:color="auto" w:fill="FFFFFF" w:themeFill="background1"/>
          </w:tcPr>
          <w:p w:rsidR="0088595E" w:rsidRPr="007357F8" w:rsidRDefault="0088595E" w:rsidP="009E15A9">
            <w:pPr>
              <w:autoSpaceDE w:val="0"/>
              <w:autoSpaceDN w:val="0"/>
              <w:adjustRightInd w:val="0"/>
              <w:jc w:val="right"/>
              <w:rPr>
                <w:rFonts w:asciiTheme="minorHAnsi" w:hAnsiTheme="minorHAnsi" w:cstheme="minorHAnsi"/>
                <w:b/>
                <w:bCs/>
                <w:color w:val="000000"/>
                <w:sz w:val="22"/>
                <w:szCs w:val="22"/>
              </w:rPr>
            </w:pPr>
          </w:p>
        </w:tc>
        <w:tc>
          <w:tcPr>
            <w:tcW w:w="1053" w:type="dxa"/>
            <w:tcBorders>
              <w:top w:val="nil"/>
              <w:bottom w:val="nil"/>
            </w:tcBorders>
          </w:tcPr>
          <w:p w:rsidR="0088595E" w:rsidRDefault="0088595E" w:rsidP="009E15A9">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tcBorders>
            <w:shd w:val="clear" w:color="auto" w:fill="FFFF00"/>
          </w:tcPr>
          <w:p w:rsidR="0088595E" w:rsidRPr="00505482" w:rsidRDefault="00146123" w:rsidP="009E15A9">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32.66</w:t>
            </w:r>
          </w:p>
        </w:tc>
        <w:tc>
          <w:tcPr>
            <w:tcW w:w="1021" w:type="dxa"/>
            <w:tcBorders>
              <w:top w:val="nil"/>
              <w:bottom w:val="nil"/>
              <w:right w:val="nil"/>
            </w:tcBorders>
          </w:tcPr>
          <w:p w:rsidR="0088595E" w:rsidRPr="00505482" w:rsidRDefault="00526BDF" w:rsidP="009E15A9">
            <w:pPr>
              <w:autoSpaceDE w:val="0"/>
              <w:autoSpaceDN w:val="0"/>
              <w:adjustRightInd w:val="0"/>
              <w:ind w:right="-108"/>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20</w:t>
            </w:r>
            <w:r w:rsidR="00FB4EBF">
              <w:rPr>
                <w:rFonts w:asciiTheme="minorHAnsi" w:hAnsiTheme="minorHAnsi" w:cstheme="minorHAnsi"/>
                <w:bCs/>
                <w:color w:val="000000"/>
                <w:sz w:val="22"/>
                <w:szCs w:val="22"/>
              </w:rPr>
              <w:t>.</w:t>
            </w:r>
            <w:r>
              <w:rPr>
                <w:rFonts w:asciiTheme="minorHAnsi" w:hAnsiTheme="minorHAnsi" w:cstheme="minorHAnsi"/>
                <w:bCs/>
                <w:color w:val="000000"/>
                <w:sz w:val="22"/>
                <w:szCs w:val="22"/>
              </w:rPr>
              <w:t>01</w:t>
            </w:r>
          </w:p>
        </w:tc>
      </w:tr>
      <w:tr w:rsidR="0088595E" w:rsidRPr="00505482" w:rsidTr="007357F8">
        <w:trPr>
          <w:trHeight w:val="223"/>
        </w:trPr>
        <w:tc>
          <w:tcPr>
            <w:tcW w:w="6130" w:type="dxa"/>
            <w:tcBorders>
              <w:top w:val="nil"/>
              <w:left w:val="nil"/>
              <w:bottom w:val="nil"/>
            </w:tcBorders>
          </w:tcPr>
          <w:p w:rsidR="0088595E" w:rsidRPr="00505482" w:rsidRDefault="0088595E" w:rsidP="0088595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Diluted earnings per ordinary share euro cent</w:t>
            </w:r>
          </w:p>
        </w:tc>
        <w:tc>
          <w:tcPr>
            <w:tcW w:w="1181" w:type="dxa"/>
            <w:tcBorders>
              <w:top w:val="nil"/>
              <w:bottom w:val="nil"/>
            </w:tcBorders>
            <w:shd w:val="clear" w:color="auto" w:fill="FFFFFF" w:themeFill="background1"/>
          </w:tcPr>
          <w:p w:rsidR="0088595E" w:rsidRPr="007357F8" w:rsidRDefault="0088595E" w:rsidP="009E15A9">
            <w:pPr>
              <w:autoSpaceDE w:val="0"/>
              <w:autoSpaceDN w:val="0"/>
              <w:adjustRightInd w:val="0"/>
              <w:jc w:val="right"/>
              <w:rPr>
                <w:rFonts w:asciiTheme="minorHAnsi" w:hAnsiTheme="minorHAnsi" w:cstheme="minorHAnsi"/>
                <w:b/>
                <w:bCs/>
                <w:color w:val="000000"/>
                <w:sz w:val="22"/>
                <w:szCs w:val="22"/>
              </w:rPr>
            </w:pPr>
          </w:p>
        </w:tc>
        <w:tc>
          <w:tcPr>
            <w:tcW w:w="1053" w:type="dxa"/>
            <w:tcBorders>
              <w:top w:val="nil"/>
              <w:bottom w:val="nil"/>
            </w:tcBorders>
          </w:tcPr>
          <w:p w:rsidR="0088595E" w:rsidRDefault="0088595E" w:rsidP="009E15A9">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tcBorders>
            <w:shd w:val="clear" w:color="auto" w:fill="FFFF00"/>
          </w:tcPr>
          <w:p w:rsidR="0088595E" w:rsidRPr="00505482" w:rsidRDefault="00146123" w:rsidP="009E15A9">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32.38</w:t>
            </w:r>
          </w:p>
        </w:tc>
        <w:tc>
          <w:tcPr>
            <w:tcW w:w="1021" w:type="dxa"/>
            <w:tcBorders>
              <w:top w:val="nil"/>
              <w:bottom w:val="nil"/>
              <w:right w:val="nil"/>
            </w:tcBorders>
          </w:tcPr>
          <w:p w:rsidR="0088595E" w:rsidRPr="00505482" w:rsidRDefault="00526BDF" w:rsidP="009E15A9">
            <w:pPr>
              <w:autoSpaceDE w:val="0"/>
              <w:autoSpaceDN w:val="0"/>
              <w:adjustRightInd w:val="0"/>
              <w:ind w:right="-108"/>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19</w:t>
            </w:r>
            <w:r w:rsidR="00FB4EBF">
              <w:rPr>
                <w:rFonts w:asciiTheme="minorHAnsi" w:hAnsiTheme="minorHAnsi" w:cstheme="minorHAnsi"/>
                <w:bCs/>
                <w:color w:val="000000"/>
                <w:sz w:val="22"/>
                <w:szCs w:val="22"/>
              </w:rPr>
              <w:t>.</w:t>
            </w:r>
            <w:r>
              <w:rPr>
                <w:rFonts w:asciiTheme="minorHAnsi" w:hAnsiTheme="minorHAnsi" w:cstheme="minorHAnsi"/>
                <w:bCs/>
                <w:color w:val="000000"/>
                <w:sz w:val="22"/>
                <w:szCs w:val="22"/>
              </w:rPr>
              <w:t>90</w:t>
            </w:r>
          </w:p>
        </w:tc>
      </w:tr>
      <w:tr w:rsidR="0088595E" w:rsidRPr="00505482" w:rsidTr="007357F8">
        <w:trPr>
          <w:trHeight w:val="223"/>
        </w:trPr>
        <w:tc>
          <w:tcPr>
            <w:tcW w:w="6130" w:type="dxa"/>
            <w:tcBorders>
              <w:top w:val="nil"/>
              <w:left w:val="nil"/>
              <w:bottom w:val="nil"/>
            </w:tcBorders>
          </w:tcPr>
          <w:p w:rsidR="0088595E" w:rsidRPr="00505482" w:rsidRDefault="0088595E" w:rsidP="0088595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Weighted average number of ordinary shares (in M’s) – basic</w:t>
            </w:r>
          </w:p>
        </w:tc>
        <w:tc>
          <w:tcPr>
            <w:tcW w:w="1181" w:type="dxa"/>
            <w:tcBorders>
              <w:top w:val="nil"/>
              <w:bottom w:val="nil"/>
            </w:tcBorders>
            <w:shd w:val="clear" w:color="auto" w:fill="FFFFFF" w:themeFill="background1"/>
          </w:tcPr>
          <w:p w:rsidR="0088595E" w:rsidRPr="007357F8" w:rsidRDefault="0088595E" w:rsidP="009E15A9">
            <w:pPr>
              <w:autoSpaceDE w:val="0"/>
              <w:autoSpaceDN w:val="0"/>
              <w:adjustRightInd w:val="0"/>
              <w:jc w:val="right"/>
              <w:rPr>
                <w:rFonts w:asciiTheme="minorHAnsi" w:hAnsiTheme="minorHAnsi" w:cstheme="minorHAnsi"/>
                <w:b/>
                <w:bCs/>
                <w:color w:val="000000"/>
                <w:sz w:val="22"/>
                <w:szCs w:val="22"/>
              </w:rPr>
            </w:pPr>
          </w:p>
        </w:tc>
        <w:tc>
          <w:tcPr>
            <w:tcW w:w="1053" w:type="dxa"/>
            <w:tcBorders>
              <w:top w:val="nil"/>
              <w:bottom w:val="nil"/>
            </w:tcBorders>
          </w:tcPr>
          <w:p w:rsidR="0088595E" w:rsidRDefault="0088595E" w:rsidP="009E15A9">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tcBorders>
            <w:shd w:val="clear" w:color="auto" w:fill="FFFF00"/>
          </w:tcPr>
          <w:p w:rsidR="0088595E" w:rsidRPr="00505482" w:rsidRDefault="00146123" w:rsidP="009E15A9">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1,216.0</w:t>
            </w:r>
          </w:p>
        </w:tc>
        <w:tc>
          <w:tcPr>
            <w:tcW w:w="1021" w:type="dxa"/>
            <w:tcBorders>
              <w:top w:val="nil"/>
              <w:bottom w:val="nil"/>
              <w:right w:val="nil"/>
            </w:tcBorders>
          </w:tcPr>
          <w:p w:rsidR="0088595E" w:rsidRPr="00505482" w:rsidRDefault="00FB4EBF" w:rsidP="009E15A9">
            <w:pPr>
              <w:autoSpaceDE w:val="0"/>
              <w:autoSpaceDN w:val="0"/>
              <w:adjustRightInd w:val="0"/>
              <w:ind w:right="-108"/>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w:t>
            </w:r>
            <w:r w:rsidR="00526BDF">
              <w:rPr>
                <w:rFonts w:asciiTheme="minorHAnsi" w:hAnsiTheme="minorHAnsi" w:cstheme="minorHAnsi"/>
                <w:bCs/>
                <w:color w:val="000000"/>
                <w:sz w:val="22"/>
                <w:szCs w:val="22"/>
              </w:rPr>
              <w:t>276</w:t>
            </w:r>
            <w:r w:rsidR="009E15A9">
              <w:rPr>
                <w:rFonts w:asciiTheme="minorHAnsi" w:hAnsiTheme="minorHAnsi" w:cstheme="minorHAnsi"/>
                <w:bCs/>
                <w:color w:val="000000"/>
                <w:sz w:val="22"/>
                <w:szCs w:val="22"/>
              </w:rPr>
              <w:t>.</w:t>
            </w:r>
            <w:r w:rsidR="00526BDF">
              <w:rPr>
                <w:rFonts w:asciiTheme="minorHAnsi" w:hAnsiTheme="minorHAnsi" w:cstheme="minorHAnsi"/>
                <w:bCs/>
                <w:color w:val="000000"/>
                <w:sz w:val="22"/>
                <w:szCs w:val="22"/>
              </w:rPr>
              <w:t>8</w:t>
            </w:r>
          </w:p>
        </w:tc>
      </w:tr>
      <w:tr w:rsidR="0088595E" w:rsidRPr="00505482" w:rsidTr="007357F8">
        <w:trPr>
          <w:trHeight w:val="223"/>
        </w:trPr>
        <w:tc>
          <w:tcPr>
            <w:tcW w:w="6130" w:type="dxa"/>
            <w:tcBorders>
              <w:top w:val="nil"/>
              <w:left w:val="nil"/>
              <w:bottom w:val="nil"/>
            </w:tcBorders>
          </w:tcPr>
          <w:p w:rsidR="0088595E" w:rsidRPr="00505482" w:rsidRDefault="0088595E" w:rsidP="0088595E">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Weighted average number of ordinary shares (in M’s) – diluted</w:t>
            </w:r>
          </w:p>
        </w:tc>
        <w:tc>
          <w:tcPr>
            <w:tcW w:w="1181" w:type="dxa"/>
            <w:tcBorders>
              <w:top w:val="nil"/>
              <w:bottom w:val="nil"/>
            </w:tcBorders>
            <w:shd w:val="clear" w:color="auto" w:fill="FFFFFF" w:themeFill="background1"/>
          </w:tcPr>
          <w:p w:rsidR="0088595E" w:rsidRPr="007357F8" w:rsidRDefault="0088595E" w:rsidP="009E15A9">
            <w:pPr>
              <w:autoSpaceDE w:val="0"/>
              <w:autoSpaceDN w:val="0"/>
              <w:adjustRightInd w:val="0"/>
              <w:jc w:val="right"/>
              <w:rPr>
                <w:rFonts w:asciiTheme="minorHAnsi" w:hAnsiTheme="minorHAnsi" w:cstheme="minorHAnsi"/>
                <w:b/>
                <w:bCs/>
                <w:color w:val="000000"/>
                <w:sz w:val="22"/>
                <w:szCs w:val="22"/>
              </w:rPr>
            </w:pPr>
          </w:p>
        </w:tc>
        <w:tc>
          <w:tcPr>
            <w:tcW w:w="1053" w:type="dxa"/>
            <w:tcBorders>
              <w:top w:val="nil"/>
              <w:bottom w:val="nil"/>
            </w:tcBorders>
          </w:tcPr>
          <w:p w:rsidR="0088595E" w:rsidRDefault="0088595E" w:rsidP="009E15A9">
            <w:pPr>
              <w:autoSpaceDE w:val="0"/>
              <w:autoSpaceDN w:val="0"/>
              <w:adjustRightInd w:val="0"/>
              <w:jc w:val="right"/>
              <w:rPr>
                <w:rFonts w:asciiTheme="minorHAnsi" w:hAnsiTheme="minorHAnsi" w:cstheme="minorHAnsi"/>
                <w:bCs/>
                <w:color w:val="000000"/>
                <w:sz w:val="22"/>
                <w:szCs w:val="22"/>
              </w:rPr>
            </w:pPr>
          </w:p>
        </w:tc>
        <w:tc>
          <w:tcPr>
            <w:tcW w:w="1276" w:type="dxa"/>
            <w:tcBorders>
              <w:top w:val="nil"/>
              <w:bottom w:val="nil"/>
            </w:tcBorders>
            <w:shd w:val="clear" w:color="auto" w:fill="FFFF00"/>
          </w:tcPr>
          <w:p w:rsidR="0088595E" w:rsidRPr="00505482" w:rsidRDefault="00146123" w:rsidP="009E15A9">
            <w:pPr>
              <w:autoSpaceDE w:val="0"/>
              <w:autoSpaceDN w:val="0"/>
              <w:adjustRightInd w:val="0"/>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1,226.4</w:t>
            </w:r>
          </w:p>
        </w:tc>
        <w:tc>
          <w:tcPr>
            <w:tcW w:w="1021" w:type="dxa"/>
            <w:tcBorders>
              <w:top w:val="nil"/>
              <w:bottom w:val="nil"/>
              <w:right w:val="nil"/>
            </w:tcBorders>
          </w:tcPr>
          <w:p w:rsidR="0088595E" w:rsidRPr="00505482" w:rsidRDefault="00FB4EBF" w:rsidP="009E15A9">
            <w:pPr>
              <w:autoSpaceDE w:val="0"/>
              <w:autoSpaceDN w:val="0"/>
              <w:adjustRightInd w:val="0"/>
              <w:ind w:right="-108"/>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1,</w:t>
            </w:r>
            <w:r w:rsidR="00526BDF">
              <w:rPr>
                <w:rFonts w:asciiTheme="minorHAnsi" w:hAnsiTheme="minorHAnsi" w:cstheme="minorHAnsi"/>
                <w:bCs/>
                <w:color w:val="000000"/>
                <w:sz w:val="22"/>
                <w:szCs w:val="22"/>
              </w:rPr>
              <w:t>284</w:t>
            </w:r>
            <w:r>
              <w:rPr>
                <w:rFonts w:asciiTheme="minorHAnsi" w:hAnsiTheme="minorHAnsi" w:cstheme="minorHAnsi"/>
                <w:bCs/>
                <w:color w:val="000000"/>
                <w:sz w:val="22"/>
                <w:szCs w:val="22"/>
              </w:rPr>
              <w:t>.</w:t>
            </w:r>
            <w:r w:rsidR="00526BDF">
              <w:rPr>
                <w:rFonts w:asciiTheme="minorHAnsi" w:hAnsiTheme="minorHAnsi" w:cstheme="minorHAnsi"/>
                <w:bCs/>
                <w:color w:val="000000"/>
                <w:sz w:val="22"/>
                <w:szCs w:val="22"/>
              </w:rPr>
              <w:t>2</w:t>
            </w:r>
          </w:p>
        </w:tc>
      </w:tr>
    </w:tbl>
    <w:p w:rsidR="00666CDA" w:rsidRDefault="00666CDA" w:rsidP="00131514">
      <w:pPr>
        <w:autoSpaceDE w:val="0"/>
        <w:autoSpaceDN w:val="0"/>
        <w:adjustRightInd w:val="0"/>
        <w:spacing w:after="240" w:line="300" w:lineRule="exact"/>
        <w:ind w:left="-601" w:right="-352"/>
        <w:jc w:val="both"/>
        <w:rPr>
          <w:rFonts w:asciiTheme="minorHAnsi" w:hAnsiTheme="minorHAnsi" w:cstheme="minorHAnsi"/>
          <w:sz w:val="22"/>
          <w:szCs w:val="22"/>
        </w:rPr>
      </w:pPr>
    </w:p>
    <w:p w:rsidR="00FC08F3" w:rsidRDefault="00FC08F3" w:rsidP="00FC08F3">
      <w:pPr>
        <w:pStyle w:val="Outline3L1"/>
        <w:numPr>
          <w:ilvl w:val="0"/>
          <w:numId w:val="0"/>
        </w:numPr>
      </w:pPr>
      <w:r>
        <w:rPr>
          <w:rFonts w:asciiTheme="minorHAnsi" w:hAnsiTheme="minorHAnsi" w:cstheme="minorHAnsi"/>
          <w:sz w:val="22"/>
          <w:szCs w:val="22"/>
        </w:rPr>
        <w:t xml:space="preserve">Diluted earnings per share takes account of the potential future exercises of share options granted under the Company’s share option schemes and the weighted average number of shares includes weighted average share options assumed to be converted of </w:t>
      </w:r>
      <w:r w:rsidR="00146123">
        <w:rPr>
          <w:rFonts w:asciiTheme="minorHAnsi" w:hAnsiTheme="minorHAnsi" w:cstheme="minorHAnsi"/>
          <w:sz w:val="22"/>
          <w:szCs w:val="22"/>
        </w:rPr>
        <w:t>10.4</w:t>
      </w:r>
      <w:r>
        <w:rPr>
          <w:rFonts w:asciiTheme="minorHAnsi" w:hAnsiTheme="minorHAnsi" w:cstheme="minorHAnsi"/>
          <w:sz w:val="22"/>
          <w:szCs w:val="22"/>
        </w:rPr>
        <w:t>M (201</w:t>
      </w:r>
      <w:r w:rsidR="007357F8">
        <w:rPr>
          <w:rFonts w:asciiTheme="minorHAnsi" w:hAnsiTheme="minorHAnsi" w:cstheme="minorHAnsi"/>
          <w:sz w:val="22"/>
          <w:szCs w:val="22"/>
        </w:rPr>
        <w:t>6</w:t>
      </w:r>
      <w:r w:rsidR="002874C2">
        <w:rPr>
          <w:rFonts w:asciiTheme="minorHAnsi" w:hAnsiTheme="minorHAnsi" w:cstheme="minorHAnsi"/>
          <w:sz w:val="22"/>
          <w:szCs w:val="22"/>
        </w:rPr>
        <w:t>:</w:t>
      </w:r>
      <w:r>
        <w:rPr>
          <w:rFonts w:asciiTheme="minorHAnsi" w:hAnsiTheme="minorHAnsi" w:cstheme="minorHAnsi"/>
          <w:sz w:val="22"/>
          <w:szCs w:val="22"/>
        </w:rPr>
        <w:t xml:space="preserve"> 7.</w:t>
      </w:r>
      <w:r w:rsidR="007357F8">
        <w:rPr>
          <w:rFonts w:asciiTheme="minorHAnsi" w:hAnsiTheme="minorHAnsi" w:cstheme="minorHAnsi"/>
          <w:sz w:val="22"/>
          <w:szCs w:val="22"/>
        </w:rPr>
        <w:t>4</w:t>
      </w:r>
      <w:r>
        <w:rPr>
          <w:rFonts w:asciiTheme="minorHAnsi" w:hAnsiTheme="minorHAnsi" w:cstheme="minorHAnsi"/>
          <w:sz w:val="22"/>
          <w:szCs w:val="22"/>
        </w:rPr>
        <w:t>M)</w:t>
      </w:r>
      <w:r w:rsidR="002874C2">
        <w:rPr>
          <w:rFonts w:asciiTheme="minorHAnsi" w:hAnsiTheme="minorHAnsi" w:cstheme="minorHAnsi"/>
          <w:sz w:val="22"/>
          <w:szCs w:val="22"/>
        </w:rPr>
        <w:t>.</w:t>
      </w:r>
    </w:p>
    <w:p w:rsidR="00146123" w:rsidRPr="00DB22BA" w:rsidRDefault="00146123" w:rsidP="00146123">
      <w:pPr>
        <w:pStyle w:val="Outline3L1"/>
        <w:rPr>
          <w:rFonts w:ascii="Calibri" w:hAnsi="Calibri" w:cs="Calibri"/>
          <w:b/>
          <w:sz w:val="22"/>
          <w:szCs w:val="22"/>
        </w:rPr>
      </w:pPr>
      <w:bookmarkStart w:id="2" w:name="_Hlk483400216"/>
      <w:r w:rsidRPr="00DB22BA">
        <w:rPr>
          <w:rFonts w:ascii="Calibri" w:hAnsi="Calibri" w:cs="Calibri"/>
          <w:b/>
          <w:sz w:val="22"/>
          <w:szCs w:val="22"/>
        </w:rPr>
        <w:t>Property, plant and equipment</w:t>
      </w:r>
    </w:p>
    <w:p w:rsidR="00146123" w:rsidRPr="00DB22BA" w:rsidRDefault="00146123" w:rsidP="00146123">
      <w:pPr>
        <w:autoSpaceDE w:val="0"/>
        <w:autoSpaceDN w:val="0"/>
        <w:adjustRightInd w:val="0"/>
        <w:ind w:right="-24"/>
        <w:jc w:val="both"/>
        <w:rPr>
          <w:rFonts w:ascii="Calibri" w:hAnsi="Calibri" w:cs="Calibri"/>
          <w:i/>
          <w:sz w:val="22"/>
          <w:szCs w:val="22"/>
        </w:rPr>
      </w:pPr>
      <w:r w:rsidRPr="00DB22BA">
        <w:rPr>
          <w:rFonts w:ascii="Calibri" w:hAnsi="Calibri" w:cs="Calibri"/>
          <w:i/>
          <w:sz w:val="22"/>
          <w:szCs w:val="22"/>
        </w:rPr>
        <w:t>Acquisitions and disposals</w:t>
      </w:r>
    </w:p>
    <w:p w:rsidR="00146123" w:rsidRPr="00146123" w:rsidRDefault="00146123" w:rsidP="00146123">
      <w:pPr>
        <w:autoSpaceDE w:val="0"/>
        <w:autoSpaceDN w:val="0"/>
        <w:adjustRightInd w:val="0"/>
        <w:spacing w:line="300" w:lineRule="exact"/>
        <w:ind w:right="-24"/>
        <w:jc w:val="both"/>
        <w:rPr>
          <w:rFonts w:asciiTheme="minorHAnsi" w:hAnsiTheme="minorHAnsi" w:cs="Calibri"/>
          <w:sz w:val="22"/>
          <w:szCs w:val="22"/>
        </w:rPr>
      </w:pPr>
      <w:r w:rsidRPr="00146123">
        <w:rPr>
          <w:rFonts w:asciiTheme="minorHAnsi" w:hAnsiTheme="minorHAnsi" w:cs="Calibri"/>
          <w:sz w:val="22"/>
          <w:szCs w:val="22"/>
        </w:rPr>
        <w:t xml:space="preserve">Capital expenditure in the quarter to June 30, 2017 amounted to €392.6M and primarily relates to aircraft </w:t>
      </w:r>
      <w:proofErr w:type="gramStart"/>
      <w:r w:rsidRPr="00146123">
        <w:rPr>
          <w:rFonts w:asciiTheme="minorHAnsi" w:hAnsiTheme="minorHAnsi" w:cs="Calibri"/>
          <w:sz w:val="22"/>
          <w:szCs w:val="22"/>
        </w:rPr>
        <w:t>pre delivery</w:t>
      </w:r>
      <w:proofErr w:type="gramEnd"/>
      <w:r w:rsidRPr="00146123">
        <w:rPr>
          <w:rFonts w:asciiTheme="minorHAnsi" w:hAnsiTheme="minorHAnsi" w:cs="Calibri"/>
          <w:sz w:val="22"/>
          <w:szCs w:val="22"/>
        </w:rPr>
        <w:t xml:space="preserve"> payments and 14 aircraft deliveries.</w:t>
      </w:r>
    </w:p>
    <w:p w:rsidR="00146123" w:rsidRPr="00DB22BA" w:rsidRDefault="00146123" w:rsidP="00146123">
      <w:pPr>
        <w:autoSpaceDE w:val="0"/>
        <w:autoSpaceDN w:val="0"/>
        <w:adjustRightInd w:val="0"/>
        <w:spacing w:line="300" w:lineRule="exact"/>
        <w:ind w:right="-24"/>
        <w:jc w:val="both"/>
        <w:rPr>
          <w:rFonts w:ascii="Calibri" w:hAnsi="Calibri" w:cs="Calibri"/>
          <w:sz w:val="22"/>
          <w:szCs w:val="22"/>
        </w:rPr>
      </w:pPr>
    </w:p>
    <w:p w:rsidR="00146123" w:rsidRPr="00DB22BA" w:rsidRDefault="00146123" w:rsidP="00146123">
      <w:pPr>
        <w:autoSpaceDE w:val="0"/>
        <w:autoSpaceDN w:val="0"/>
        <w:adjustRightInd w:val="0"/>
        <w:spacing w:after="120"/>
        <w:jc w:val="both"/>
        <w:rPr>
          <w:rFonts w:ascii="Calibri" w:hAnsi="Calibri" w:cs="Calibri"/>
          <w:b/>
          <w:sz w:val="22"/>
          <w:szCs w:val="22"/>
        </w:rPr>
      </w:pPr>
      <w:r w:rsidRPr="00DB22BA">
        <w:rPr>
          <w:rFonts w:ascii="Calibri" w:hAnsi="Calibri" w:cs="Calibri"/>
          <w:b/>
          <w:sz w:val="22"/>
          <w:szCs w:val="22"/>
        </w:rPr>
        <w:t>11.</w:t>
      </w:r>
      <w:r w:rsidRPr="00DB22BA">
        <w:rPr>
          <w:rFonts w:ascii="Calibri" w:hAnsi="Calibri" w:cs="Calibri"/>
          <w:sz w:val="22"/>
          <w:szCs w:val="22"/>
        </w:rPr>
        <w:tab/>
      </w:r>
      <w:r w:rsidRPr="00DB22BA">
        <w:rPr>
          <w:rFonts w:ascii="Calibri" w:hAnsi="Calibri" w:cs="Calibri"/>
          <w:b/>
          <w:sz w:val="22"/>
          <w:szCs w:val="22"/>
        </w:rPr>
        <w:t xml:space="preserve">Financial instruments and financial risk management </w:t>
      </w:r>
    </w:p>
    <w:p w:rsidR="00146123" w:rsidRPr="00146123" w:rsidRDefault="00146123" w:rsidP="00146123">
      <w:pPr>
        <w:autoSpaceDE w:val="0"/>
        <w:autoSpaceDN w:val="0"/>
        <w:adjustRightInd w:val="0"/>
        <w:jc w:val="both"/>
        <w:rPr>
          <w:rFonts w:asciiTheme="minorHAnsi" w:eastAsia="Calibri" w:hAnsiTheme="minorHAnsi" w:cs="Calibri"/>
          <w:sz w:val="22"/>
          <w:szCs w:val="22"/>
        </w:rPr>
      </w:pPr>
      <w:r w:rsidRPr="00146123">
        <w:rPr>
          <w:rFonts w:asciiTheme="minorHAnsi" w:eastAsia="Calibri" w:hAnsiTheme="minorHAnsi" w:cs="Calibri"/>
          <w:sz w:val="22"/>
          <w:szCs w:val="22"/>
        </w:rPr>
        <w:t xml:space="preserve">The Group is exposed to various financial risks arising in the normal course of business. The Group’s financial risk exposures are predominantly related to </w:t>
      </w:r>
      <w:r w:rsidRPr="00146123">
        <w:rPr>
          <w:rFonts w:asciiTheme="minorHAnsi" w:hAnsiTheme="minorHAnsi" w:cs="Calibri"/>
          <w:sz w:val="22"/>
          <w:szCs w:val="22"/>
        </w:rPr>
        <w:t xml:space="preserve">commodity price, foreign exchange and interest rate risks. The Group uses financial instruments to manage exposures arising from these risks. </w:t>
      </w:r>
      <w:r w:rsidRPr="00146123">
        <w:rPr>
          <w:rFonts w:asciiTheme="minorHAnsi" w:eastAsia="Calibri" w:hAnsiTheme="minorHAnsi" w:cs="Calibri"/>
          <w:sz w:val="22"/>
          <w:szCs w:val="22"/>
        </w:rPr>
        <w:t xml:space="preserve"> </w:t>
      </w:r>
    </w:p>
    <w:p w:rsidR="00146123" w:rsidRPr="00146123" w:rsidRDefault="00146123" w:rsidP="00146123">
      <w:pPr>
        <w:autoSpaceDE w:val="0"/>
        <w:autoSpaceDN w:val="0"/>
        <w:adjustRightInd w:val="0"/>
        <w:jc w:val="both"/>
        <w:rPr>
          <w:rFonts w:asciiTheme="minorHAnsi" w:eastAsia="Calibri" w:hAnsiTheme="minorHAnsi" w:cs="Calibri"/>
          <w:sz w:val="22"/>
          <w:szCs w:val="22"/>
        </w:rPr>
      </w:pPr>
    </w:p>
    <w:p w:rsidR="00146123" w:rsidRPr="00146123" w:rsidRDefault="00146123" w:rsidP="00146123">
      <w:pPr>
        <w:autoSpaceDE w:val="0"/>
        <w:autoSpaceDN w:val="0"/>
        <w:adjustRightInd w:val="0"/>
        <w:jc w:val="both"/>
        <w:rPr>
          <w:rFonts w:asciiTheme="minorHAnsi" w:eastAsia="Calibri" w:hAnsiTheme="minorHAnsi" w:cs="Calibri"/>
          <w:sz w:val="22"/>
          <w:szCs w:val="22"/>
        </w:rPr>
      </w:pPr>
      <w:r w:rsidRPr="00146123">
        <w:rPr>
          <w:rFonts w:asciiTheme="minorHAnsi" w:eastAsia="Calibri" w:hAnsiTheme="minorHAnsi" w:cs="Calibri"/>
          <w:sz w:val="22"/>
          <w:szCs w:val="22"/>
        </w:rPr>
        <w:t>These preliminary financial statements do not include all financial risk management information and disclosures required in the annual financial statements, and should be read in conjunction with the 2016 Annual Report. There have been no changes in our risk management policies in the period.</w:t>
      </w:r>
    </w:p>
    <w:p w:rsidR="00146123" w:rsidRPr="00146123" w:rsidRDefault="00146123" w:rsidP="00146123">
      <w:pPr>
        <w:autoSpaceDE w:val="0"/>
        <w:autoSpaceDN w:val="0"/>
        <w:adjustRightInd w:val="0"/>
        <w:spacing w:after="120"/>
        <w:jc w:val="both"/>
        <w:rPr>
          <w:rFonts w:asciiTheme="minorHAnsi" w:eastAsia="Calibri" w:hAnsiTheme="minorHAnsi" w:cs="Calibri"/>
          <w:b/>
          <w:bCs/>
          <w:i/>
          <w:iCs/>
          <w:sz w:val="22"/>
          <w:szCs w:val="22"/>
        </w:rPr>
      </w:pPr>
    </w:p>
    <w:p w:rsidR="00146123" w:rsidRPr="00146123" w:rsidRDefault="00146123" w:rsidP="00146123">
      <w:pPr>
        <w:autoSpaceDE w:val="0"/>
        <w:autoSpaceDN w:val="0"/>
        <w:adjustRightInd w:val="0"/>
        <w:spacing w:after="120"/>
        <w:jc w:val="both"/>
        <w:rPr>
          <w:rFonts w:asciiTheme="minorHAnsi" w:eastAsia="Calibri" w:hAnsiTheme="minorHAnsi" w:cs="Calibri"/>
          <w:b/>
          <w:bCs/>
          <w:i/>
          <w:iCs/>
          <w:sz w:val="22"/>
          <w:szCs w:val="22"/>
        </w:rPr>
      </w:pPr>
      <w:r w:rsidRPr="00146123">
        <w:rPr>
          <w:rFonts w:asciiTheme="minorHAnsi" w:eastAsia="Calibri" w:hAnsiTheme="minorHAnsi" w:cs="Calibri"/>
          <w:b/>
          <w:bCs/>
          <w:i/>
          <w:iCs/>
          <w:sz w:val="22"/>
          <w:szCs w:val="22"/>
        </w:rPr>
        <w:t>Fair value hierarchy</w:t>
      </w:r>
    </w:p>
    <w:p w:rsidR="00146123" w:rsidRPr="00146123" w:rsidRDefault="00146123" w:rsidP="00146123">
      <w:pPr>
        <w:spacing w:line="276" w:lineRule="auto"/>
        <w:jc w:val="both"/>
        <w:rPr>
          <w:rFonts w:asciiTheme="minorHAnsi" w:eastAsia="MS Mincho" w:hAnsiTheme="minorHAnsi" w:cs="Calibri"/>
          <w:sz w:val="22"/>
          <w:szCs w:val="22"/>
          <w:lang w:val="en-US"/>
        </w:rPr>
      </w:pPr>
      <w:r w:rsidRPr="00146123">
        <w:rPr>
          <w:rFonts w:asciiTheme="minorHAnsi" w:hAnsiTheme="minorHAnsi" w:cs="Calibri"/>
          <w:sz w:val="22"/>
          <w:szCs w:val="22"/>
        </w:rPr>
        <w:t>Financial instruments measured at fair value in the balance sheet are categorised by the type of valuation method used. The different valuation levels are defined as follows:</w:t>
      </w:r>
    </w:p>
    <w:p w:rsidR="00146123" w:rsidRPr="00146123" w:rsidRDefault="00146123" w:rsidP="00146123">
      <w:pPr>
        <w:pStyle w:val="CG-SingleSp05s2"/>
        <w:numPr>
          <w:ilvl w:val="0"/>
          <w:numId w:val="36"/>
        </w:numPr>
        <w:tabs>
          <w:tab w:val="clear" w:pos="567"/>
          <w:tab w:val="num" w:pos="-284"/>
        </w:tabs>
        <w:spacing w:after="0"/>
        <w:ind w:left="0" w:firstLine="0"/>
        <w:rPr>
          <w:rFonts w:asciiTheme="minorHAnsi" w:hAnsiTheme="minorHAnsi" w:cs="Calibri"/>
          <w:szCs w:val="22"/>
        </w:rPr>
      </w:pPr>
      <w:r w:rsidRPr="00146123">
        <w:rPr>
          <w:rFonts w:asciiTheme="minorHAnsi" w:hAnsiTheme="minorHAnsi" w:cs="Calibri"/>
          <w:szCs w:val="22"/>
        </w:rPr>
        <w:t>Level 1: quoted prices (unadjusted) in active markets for identical assets or liabilities that the Group can access at the measurement date.</w:t>
      </w:r>
    </w:p>
    <w:p w:rsidR="00146123" w:rsidRPr="00146123" w:rsidRDefault="00146123" w:rsidP="00146123">
      <w:pPr>
        <w:pStyle w:val="CG-SingleSp05s2"/>
        <w:numPr>
          <w:ilvl w:val="0"/>
          <w:numId w:val="36"/>
        </w:numPr>
        <w:tabs>
          <w:tab w:val="clear" w:pos="567"/>
          <w:tab w:val="num" w:pos="-284"/>
        </w:tabs>
        <w:spacing w:after="0"/>
        <w:ind w:left="0" w:firstLine="0"/>
        <w:rPr>
          <w:rFonts w:asciiTheme="minorHAnsi" w:hAnsiTheme="minorHAnsi" w:cs="Calibri"/>
          <w:szCs w:val="22"/>
        </w:rPr>
      </w:pPr>
      <w:r w:rsidRPr="00146123">
        <w:rPr>
          <w:rFonts w:asciiTheme="minorHAnsi" w:hAnsiTheme="minorHAnsi" w:cs="Calibri"/>
          <w:szCs w:val="22"/>
        </w:rPr>
        <w:t>Level 2: inputs other than quoted prices included within Level 1 that are observable for that asset or liability, either directly or indirectly.</w:t>
      </w:r>
    </w:p>
    <w:p w:rsidR="00146123" w:rsidRPr="00146123" w:rsidRDefault="00146123" w:rsidP="00146123">
      <w:pPr>
        <w:pStyle w:val="CG-SingleSp05s2"/>
        <w:numPr>
          <w:ilvl w:val="0"/>
          <w:numId w:val="36"/>
        </w:numPr>
        <w:tabs>
          <w:tab w:val="clear" w:pos="567"/>
          <w:tab w:val="num" w:pos="-284"/>
        </w:tabs>
        <w:spacing w:after="0"/>
        <w:ind w:left="0" w:firstLine="0"/>
        <w:rPr>
          <w:rFonts w:asciiTheme="minorHAnsi" w:hAnsiTheme="minorHAnsi" w:cs="Calibri"/>
          <w:szCs w:val="22"/>
        </w:rPr>
      </w:pPr>
      <w:r w:rsidRPr="00146123">
        <w:rPr>
          <w:rFonts w:asciiTheme="minorHAnsi" w:hAnsiTheme="minorHAnsi" w:cs="Calibri"/>
          <w:szCs w:val="22"/>
        </w:rPr>
        <w:t>Level 3: significant unobservable inputs for the asset or liability.</w:t>
      </w:r>
    </w:p>
    <w:p w:rsidR="00146123" w:rsidRPr="00146123" w:rsidRDefault="00146123" w:rsidP="00146123">
      <w:pPr>
        <w:pStyle w:val="CG-SingleSp05s2"/>
        <w:spacing w:after="0"/>
        <w:rPr>
          <w:rFonts w:asciiTheme="minorHAnsi" w:hAnsiTheme="minorHAnsi" w:cs="Calibri"/>
          <w:szCs w:val="22"/>
        </w:rPr>
      </w:pPr>
    </w:p>
    <w:p w:rsidR="00146123" w:rsidRPr="00146123" w:rsidRDefault="00146123" w:rsidP="00146123">
      <w:pPr>
        <w:autoSpaceDE w:val="0"/>
        <w:autoSpaceDN w:val="0"/>
        <w:adjustRightInd w:val="0"/>
        <w:spacing w:after="120"/>
        <w:jc w:val="both"/>
        <w:rPr>
          <w:rFonts w:asciiTheme="minorHAnsi" w:eastAsia="Calibri" w:hAnsiTheme="minorHAnsi" w:cs="Calibri"/>
          <w:b/>
          <w:bCs/>
          <w:i/>
          <w:iCs/>
          <w:sz w:val="22"/>
          <w:szCs w:val="22"/>
        </w:rPr>
      </w:pPr>
      <w:r w:rsidRPr="00146123">
        <w:rPr>
          <w:rFonts w:asciiTheme="minorHAnsi" w:eastAsia="Calibri" w:hAnsiTheme="minorHAnsi" w:cs="Calibri"/>
          <w:b/>
          <w:bCs/>
          <w:i/>
          <w:iCs/>
          <w:sz w:val="22"/>
          <w:szCs w:val="22"/>
        </w:rPr>
        <w:t>Fair value estimation</w:t>
      </w:r>
    </w:p>
    <w:p w:rsidR="00146123" w:rsidRPr="00146123" w:rsidRDefault="00146123" w:rsidP="00146123">
      <w:pPr>
        <w:pStyle w:val="CG-SingleSp05s2"/>
        <w:spacing w:after="0"/>
        <w:ind w:firstLine="0"/>
        <w:rPr>
          <w:rFonts w:asciiTheme="minorHAnsi" w:hAnsiTheme="minorHAnsi" w:cs="Calibri"/>
          <w:szCs w:val="22"/>
        </w:rPr>
      </w:pPr>
      <w:r w:rsidRPr="00146123">
        <w:rPr>
          <w:rFonts w:asciiTheme="minorHAnsi" w:hAnsiTheme="minorHAnsi" w:cs="Calibri"/>
          <w:szCs w:val="22"/>
        </w:rPr>
        <w:t xml:space="preserve">Fair value is the price that would be received to sell an asset, or paid to transfer a liability, in an orderly transaction between market participants at the measurement date. The following methods and </w:t>
      </w:r>
      <w:r w:rsidRPr="00146123">
        <w:rPr>
          <w:rFonts w:asciiTheme="minorHAnsi" w:hAnsiTheme="minorHAnsi" w:cs="Calibri"/>
          <w:szCs w:val="22"/>
        </w:rPr>
        <w:lastRenderedPageBreak/>
        <w:t>assumptions were used to estimate the fair value of each material class of the Group’s financial instruments:</w:t>
      </w:r>
    </w:p>
    <w:p w:rsidR="00146123" w:rsidRPr="00146123" w:rsidRDefault="00146123" w:rsidP="00146123">
      <w:pPr>
        <w:autoSpaceDE w:val="0"/>
        <w:autoSpaceDN w:val="0"/>
        <w:adjustRightInd w:val="0"/>
        <w:spacing w:after="120"/>
        <w:jc w:val="both"/>
        <w:rPr>
          <w:rFonts w:asciiTheme="minorHAnsi" w:hAnsiTheme="minorHAnsi" w:cs="Calibri"/>
          <w:b/>
          <w:sz w:val="22"/>
          <w:szCs w:val="22"/>
        </w:rPr>
      </w:pPr>
    </w:p>
    <w:p w:rsidR="00146123" w:rsidRPr="00146123" w:rsidRDefault="00146123" w:rsidP="00146123">
      <w:pPr>
        <w:pStyle w:val="CG-SingleSp05s2"/>
        <w:spacing w:after="120"/>
        <w:ind w:firstLine="0"/>
        <w:rPr>
          <w:rFonts w:asciiTheme="minorHAnsi" w:hAnsiTheme="minorHAnsi" w:cs="Calibri"/>
          <w:i/>
          <w:szCs w:val="22"/>
        </w:rPr>
      </w:pPr>
      <w:r w:rsidRPr="00146123">
        <w:rPr>
          <w:rFonts w:asciiTheme="minorHAnsi" w:hAnsiTheme="minorHAnsi" w:cs="Calibri"/>
          <w:i/>
          <w:szCs w:val="22"/>
        </w:rPr>
        <w:t>Financial instruments measured at fair value</w:t>
      </w:r>
    </w:p>
    <w:p w:rsidR="00146123" w:rsidRPr="00146123" w:rsidRDefault="00146123" w:rsidP="00146123">
      <w:pPr>
        <w:pStyle w:val="CG-SingleSp05s2"/>
        <w:numPr>
          <w:ilvl w:val="0"/>
          <w:numId w:val="37"/>
        </w:numPr>
        <w:tabs>
          <w:tab w:val="clear" w:pos="340"/>
          <w:tab w:val="left" w:pos="-284"/>
        </w:tabs>
        <w:spacing w:after="0"/>
        <w:ind w:left="0" w:firstLine="0"/>
        <w:rPr>
          <w:rFonts w:asciiTheme="minorHAnsi" w:hAnsiTheme="minorHAnsi" w:cs="Calibri"/>
          <w:szCs w:val="22"/>
        </w:rPr>
      </w:pPr>
      <w:r w:rsidRPr="00146123">
        <w:rPr>
          <w:rFonts w:asciiTheme="minorHAnsi" w:hAnsiTheme="minorHAnsi" w:cs="Calibri"/>
          <w:b/>
          <w:bCs/>
          <w:szCs w:val="22"/>
        </w:rPr>
        <w:t xml:space="preserve">Derivatives – interest rate swaps: </w:t>
      </w:r>
      <w:r w:rsidRPr="00146123">
        <w:rPr>
          <w:rFonts w:asciiTheme="minorHAnsi" w:hAnsiTheme="minorHAnsi" w:cs="Calibri"/>
          <w:szCs w:val="22"/>
        </w:rPr>
        <w:t xml:space="preserve">Discounted cash flow analyses have been used to determine the fair value, </w:t>
      </w:r>
      <w:proofErr w:type="gramStart"/>
      <w:r w:rsidRPr="00146123">
        <w:rPr>
          <w:rFonts w:asciiTheme="minorHAnsi" w:hAnsiTheme="minorHAnsi" w:cs="Calibri"/>
          <w:szCs w:val="22"/>
        </w:rPr>
        <w:t>taking into account</w:t>
      </w:r>
      <w:proofErr w:type="gramEnd"/>
      <w:r w:rsidRPr="00146123">
        <w:rPr>
          <w:rFonts w:asciiTheme="minorHAnsi" w:hAnsiTheme="minorHAnsi" w:cs="Calibri"/>
          <w:szCs w:val="22"/>
        </w:rPr>
        <w:t xml:space="preserve"> current market inputs and rates. (Level 2)</w:t>
      </w:r>
    </w:p>
    <w:p w:rsidR="00146123" w:rsidRPr="00146123" w:rsidRDefault="00146123" w:rsidP="00146123">
      <w:pPr>
        <w:pStyle w:val="CG-SingleSp05s2"/>
        <w:numPr>
          <w:ilvl w:val="0"/>
          <w:numId w:val="37"/>
        </w:numPr>
        <w:tabs>
          <w:tab w:val="clear" w:pos="340"/>
          <w:tab w:val="num" w:pos="-284"/>
        </w:tabs>
        <w:spacing w:after="120"/>
        <w:ind w:left="0" w:firstLine="0"/>
        <w:rPr>
          <w:rFonts w:asciiTheme="minorHAnsi" w:hAnsiTheme="minorHAnsi" w:cs="Calibri"/>
          <w:szCs w:val="22"/>
        </w:rPr>
      </w:pPr>
      <w:r w:rsidRPr="00146123">
        <w:rPr>
          <w:rFonts w:asciiTheme="minorHAnsi" w:hAnsiTheme="minorHAnsi" w:cs="Calibri"/>
          <w:b/>
          <w:bCs/>
          <w:szCs w:val="22"/>
        </w:rPr>
        <w:t xml:space="preserve">Derivatives – currency forwards, aircraft fuel contracts and carbon swaps: </w:t>
      </w:r>
      <w:r w:rsidRPr="00146123">
        <w:rPr>
          <w:rFonts w:asciiTheme="minorHAnsi" w:hAnsiTheme="minorHAnsi" w:cs="Calibri"/>
          <w:szCs w:val="22"/>
        </w:rPr>
        <w:t>A comparison of the contracted rate to the market rate for contracts providing a similar risk profile at March 31, 2017 has been used to establish fair value. (Level 2)</w:t>
      </w:r>
    </w:p>
    <w:p w:rsidR="00146123" w:rsidRPr="00146123" w:rsidRDefault="00146123" w:rsidP="00146123">
      <w:pPr>
        <w:pStyle w:val="ListParagraph"/>
        <w:autoSpaceDE w:val="0"/>
        <w:autoSpaceDN w:val="0"/>
        <w:adjustRightInd w:val="0"/>
        <w:spacing w:after="240"/>
        <w:ind w:left="0"/>
        <w:jc w:val="both"/>
        <w:rPr>
          <w:rFonts w:asciiTheme="minorHAnsi" w:hAnsiTheme="minorHAnsi" w:cs="Calibri"/>
          <w:bCs/>
          <w:iCs/>
          <w:sz w:val="22"/>
          <w:szCs w:val="22"/>
        </w:rPr>
      </w:pPr>
      <w:r w:rsidRPr="00146123">
        <w:rPr>
          <w:rFonts w:asciiTheme="minorHAnsi" w:hAnsiTheme="minorHAnsi" w:cs="Calibri"/>
          <w:bCs/>
          <w:iCs/>
          <w:sz w:val="22"/>
          <w:szCs w:val="22"/>
        </w:rPr>
        <w:t>The Group policy is to recognise any transfers between levels of the fair value hierarchy as of the end of the reporting period during which the transfer occurred. During the quarter to June 30, 2017, there were no reclassifications of financial instruments and no transfers between levels of the fair value hierarchy used in measuring the fair value of financial instruments.</w:t>
      </w:r>
    </w:p>
    <w:p w:rsidR="00146123" w:rsidRPr="00146123" w:rsidRDefault="00146123" w:rsidP="00146123">
      <w:pPr>
        <w:pStyle w:val="CG-SingleSp05s2"/>
        <w:spacing w:after="120"/>
        <w:ind w:firstLine="0"/>
        <w:rPr>
          <w:rFonts w:asciiTheme="minorHAnsi" w:hAnsiTheme="minorHAnsi" w:cs="Calibri"/>
          <w:i/>
          <w:szCs w:val="22"/>
        </w:rPr>
      </w:pPr>
      <w:r w:rsidRPr="00146123">
        <w:rPr>
          <w:rFonts w:asciiTheme="minorHAnsi" w:hAnsiTheme="minorHAnsi" w:cs="Calibri"/>
          <w:i/>
          <w:szCs w:val="22"/>
        </w:rPr>
        <w:t>Financial instruments disclosed at fair value</w:t>
      </w:r>
    </w:p>
    <w:p w:rsidR="00146123" w:rsidRPr="00146123" w:rsidRDefault="00146123" w:rsidP="00146123">
      <w:pPr>
        <w:pStyle w:val="CG-SingleSp05s2"/>
        <w:numPr>
          <w:ilvl w:val="0"/>
          <w:numId w:val="37"/>
        </w:numPr>
        <w:tabs>
          <w:tab w:val="clear" w:pos="340"/>
          <w:tab w:val="num" w:pos="-284"/>
        </w:tabs>
        <w:spacing w:after="120"/>
        <w:ind w:left="0" w:firstLine="0"/>
        <w:rPr>
          <w:rFonts w:asciiTheme="minorHAnsi" w:hAnsiTheme="minorHAnsi" w:cs="Calibri"/>
          <w:szCs w:val="22"/>
        </w:rPr>
      </w:pPr>
      <w:r w:rsidRPr="00146123">
        <w:rPr>
          <w:rFonts w:asciiTheme="minorHAnsi" w:hAnsiTheme="minorHAnsi" w:cs="Calibri"/>
          <w:b/>
          <w:bCs/>
          <w:szCs w:val="22"/>
        </w:rPr>
        <w:t xml:space="preserve">Fixed-rate long-term debt: </w:t>
      </w:r>
      <w:r w:rsidRPr="00146123">
        <w:rPr>
          <w:rFonts w:asciiTheme="minorHAnsi" w:hAnsiTheme="minorHAnsi" w:cs="Calibri"/>
          <w:szCs w:val="22"/>
        </w:rPr>
        <w:t>The repayments which Ryanair is committed to make have been discounted at the relevant market rates of interest applicable (including credit spreads) at June 30, 2017 to arrive at a fair value representing the amount payable to a third party to assume the obligations.</w:t>
      </w:r>
    </w:p>
    <w:p w:rsidR="00146123" w:rsidRPr="00146123" w:rsidRDefault="00146123" w:rsidP="00146123">
      <w:pPr>
        <w:autoSpaceDE w:val="0"/>
        <w:autoSpaceDN w:val="0"/>
        <w:adjustRightInd w:val="0"/>
        <w:spacing w:after="120"/>
        <w:jc w:val="both"/>
        <w:rPr>
          <w:rFonts w:asciiTheme="minorHAnsi" w:hAnsiTheme="minorHAnsi" w:cs="Calibri"/>
          <w:bCs/>
          <w:iCs/>
          <w:sz w:val="22"/>
          <w:szCs w:val="22"/>
        </w:rPr>
      </w:pPr>
      <w:r w:rsidRPr="00146123">
        <w:rPr>
          <w:rFonts w:asciiTheme="minorHAnsi" w:hAnsiTheme="minorHAnsi" w:cs="Calibri"/>
          <w:bCs/>
          <w:iCs/>
          <w:sz w:val="22"/>
          <w:szCs w:val="22"/>
        </w:rPr>
        <w:t>There were no significant changes in the business or economic circumstances during the quarter to June 30, 2017 that affect the fair value of our financial assets and financial liabilities.</w:t>
      </w:r>
      <w:bookmarkEnd w:id="2"/>
    </w:p>
    <w:p w:rsidR="00146123" w:rsidRDefault="00146123" w:rsidP="00146123">
      <w:pPr>
        <w:autoSpaceDE w:val="0"/>
        <w:autoSpaceDN w:val="0"/>
        <w:adjustRightInd w:val="0"/>
        <w:spacing w:after="120"/>
        <w:jc w:val="both"/>
        <w:rPr>
          <w:rFonts w:ascii="Calibri" w:hAnsi="Calibri" w:cs="Calibri"/>
          <w:bCs/>
          <w:iCs/>
          <w:sz w:val="22"/>
          <w:szCs w:val="22"/>
        </w:rPr>
      </w:pPr>
    </w:p>
    <w:p w:rsidR="00146123" w:rsidRDefault="00146123" w:rsidP="00146123">
      <w:pPr>
        <w:autoSpaceDE w:val="0"/>
        <w:autoSpaceDN w:val="0"/>
        <w:adjustRightInd w:val="0"/>
        <w:spacing w:after="120"/>
        <w:jc w:val="both"/>
        <w:rPr>
          <w:rFonts w:ascii="Calibri" w:hAnsi="Calibri" w:cs="Calibri"/>
          <w:bCs/>
          <w:iCs/>
          <w:sz w:val="22"/>
          <w:szCs w:val="22"/>
        </w:rPr>
      </w:pPr>
    </w:p>
    <w:p w:rsidR="00146123" w:rsidRPr="00DB22BA" w:rsidRDefault="00146123" w:rsidP="00146123">
      <w:pPr>
        <w:autoSpaceDE w:val="0"/>
        <w:autoSpaceDN w:val="0"/>
        <w:adjustRightInd w:val="0"/>
        <w:spacing w:after="120"/>
        <w:jc w:val="both"/>
        <w:rPr>
          <w:rFonts w:ascii="Calibri" w:hAnsi="Calibri" w:cs="Calibri"/>
          <w:bCs/>
          <w:iCs/>
          <w:sz w:val="22"/>
          <w:szCs w:val="22"/>
        </w:rPr>
      </w:pPr>
    </w:p>
    <w:p w:rsidR="00146123" w:rsidRPr="00DB22BA" w:rsidRDefault="00146123" w:rsidP="00146123">
      <w:pPr>
        <w:autoSpaceDE w:val="0"/>
        <w:autoSpaceDN w:val="0"/>
        <w:adjustRightInd w:val="0"/>
        <w:spacing w:after="120"/>
        <w:jc w:val="both"/>
        <w:rPr>
          <w:rFonts w:ascii="Calibri" w:hAnsi="Calibri" w:cs="Calibri"/>
          <w:b/>
          <w:sz w:val="22"/>
          <w:szCs w:val="22"/>
        </w:rPr>
      </w:pPr>
      <w:r w:rsidRPr="00DB22BA">
        <w:rPr>
          <w:rFonts w:ascii="Calibri" w:hAnsi="Calibri" w:cs="Calibri"/>
          <w:b/>
          <w:sz w:val="22"/>
          <w:szCs w:val="22"/>
        </w:rPr>
        <w:t>11.</w:t>
      </w:r>
      <w:r w:rsidRPr="00DB22BA">
        <w:rPr>
          <w:rFonts w:ascii="Calibri" w:hAnsi="Calibri" w:cs="Calibri"/>
          <w:sz w:val="22"/>
          <w:szCs w:val="22"/>
        </w:rPr>
        <w:tab/>
      </w:r>
      <w:r w:rsidRPr="00DB22BA">
        <w:rPr>
          <w:rFonts w:ascii="Calibri" w:hAnsi="Calibri" w:cs="Calibri"/>
          <w:b/>
          <w:sz w:val="22"/>
          <w:szCs w:val="22"/>
        </w:rPr>
        <w:t>Financial instruments and financial risk management (continued)</w:t>
      </w:r>
    </w:p>
    <w:p w:rsidR="00146123" w:rsidRPr="00DB22BA" w:rsidRDefault="00146123" w:rsidP="00146123">
      <w:pPr>
        <w:autoSpaceDE w:val="0"/>
        <w:autoSpaceDN w:val="0"/>
        <w:adjustRightInd w:val="0"/>
        <w:jc w:val="both"/>
        <w:rPr>
          <w:rFonts w:ascii="Calibri" w:hAnsi="Calibri" w:cs="Calibri"/>
          <w:bCs/>
          <w:iCs/>
          <w:sz w:val="22"/>
          <w:szCs w:val="22"/>
        </w:rPr>
      </w:pPr>
      <w:r w:rsidRPr="00DB22BA">
        <w:rPr>
          <w:rFonts w:ascii="Calibri" w:hAnsi="Calibri" w:cs="Calibri"/>
          <w:bCs/>
          <w:iCs/>
          <w:sz w:val="22"/>
          <w:szCs w:val="22"/>
        </w:rPr>
        <w:t>The fair value of financial assets and financial liabilities, together with the carrying amounts in the condensed consolidated financial balance sheet, are as follows:</w:t>
      </w:r>
    </w:p>
    <w:tbl>
      <w:tblPr>
        <w:tblW w:w="11025" w:type="dxa"/>
        <w:tblLayout w:type="fixed"/>
        <w:tblLook w:val="04A0" w:firstRow="1" w:lastRow="0" w:firstColumn="1" w:lastColumn="0" w:noHBand="0" w:noVBand="1"/>
      </w:tblPr>
      <w:tblGrid>
        <w:gridCol w:w="5701"/>
        <w:gridCol w:w="1387"/>
        <w:gridCol w:w="1327"/>
        <w:gridCol w:w="1241"/>
        <w:gridCol w:w="1369"/>
      </w:tblGrid>
      <w:tr w:rsidR="00CA73CE" w:rsidRPr="00505482" w:rsidTr="00FB4EBF">
        <w:trPr>
          <w:trHeight w:val="230"/>
        </w:trPr>
        <w:tc>
          <w:tcPr>
            <w:tcW w:w="5701" w:type="dxa"/>
            <w:vAlign w:val="bottom"/>
          </w:tcPr>
          <w:p w:rsidR="00CA73CE" w:rsidRPr="00505482" w:rsidRDefault="00CA73CE" w:rsidP="002754ED">
            <w:pPr>
              <w:tabs>
                <w:tab w:val="left" w:leader="dot" w:pos="6804"/>
              </w:tabs>
              <w:rPr>
                <w:rFonts w:asciiTheme="minorHAnsi" w:hAnsiTheme="minorHAnsi" w:cstheme="minorHAnsi"/>
                <w:b/>
                <w:bCs/>
                <w:sz w:val="22"/>
                <w:szCs w:val="22"/>
              </w:rPr>
            </w:pPr>
          </w:p>
        </w:tc>
        <w:tc>
          <w:tcPr>
            <w:tcW w:w="1387" w:type="dxa"/>
            <w:shd w:val="clear" w:color="auto" w:fill="auto"/>
            <w:vAlign w:val="bottom"/>
          </w:tcPr>
          <w:p w:rsidR="00CA73CE" w:rsidRDefault="00CA73CE" w:rsidP="006A7D16">
            <w:pPr>
              <w:ind w:right="-115"/>
              <w:jc w:val="right"/>
              <w:rPr>
                <w:rFonts w:asciiTheme="minorHAnsi" w:eastAsia="MS Mincho" w:hAnsiTheme="minorHAnsi" w:cstheme="minorHAnsi"/>
                <w:b/>
                <w:sz w:val="22"/>
                <w:szCs w:val="22"/>
                <w:lang w:val="en-US"/>
              </w:rPr>
            </w:pPr>
          </w:p>
        </w:tc>
        <w:tc>
          <w:tcPr>
            <w:tcW w:w="1327" w:type="dxa"/>
            <w:shd w:val="clear" w:color="auto" w:fill="auto"/>
            <w:vAlign w:val="bottom"/>
          </w:tcPr>
          <w:p w:rsidR="00CA73CE" w:rsidRDefault="00CA73CE" w:rsidP="006A7D16">
            <w:pPr>
              <w:jc w:val="right"/>
              <w:rPr>
                <w:rFonts w:asciiTheme="minorHAnsi" w:eastAsia="MS Mincho" w:hAnsiTheme="minorHAnsi" w:cstheme="minorHAnsi"/>
                <w:b/>
                <w:sz w:val="22"/>
                <w:szCs w:val="22"/>
                <w:lang w:val="en-US"/>
              </w:rPr>
            </w:pPr>
          </w:p>
        </w:tc>
        <w:tc>
          <w:tcPr>
            <w:tcW w:w="1241" w:type="dxa"/>
          </w:tcPr>
          <w:p w:rsidR="00CA73CE" w:rsidRDefault="00CA73CE" w:rsidP="006A7D16">
            <w:pPr>
              <w:jc w:val="right"/>
              <w:rPr>
                <w:rFonts w:asciiTheme="minorHAnsi" w:eastAsia="MS Mincho" w:hAnsiTheme="minorHAnsi" w:cstheme="minorHAnsi"/>
                <w:b/>
                <w:sz w:val="22"/>
                <w:szCs w:val="22"/>
                <w:lang w:val="en-US"/>
              </w:rPr>
            </w:pPr>
          </w:p>
        </w:tc>
        <w:tc>
          <w:tcPr>
            <w:tcW w:w="1369" w:type="dxa"/>
          </w:tcPr>
          <w:p w:rsidR="00CA73CE" w:rsidRDefault="00CA73CE" w:rsidP="006A7D16">
            <w:pPr>
              <w:jc w:val="right"/>
              <w:rPr>
                <w:rFonts w:asciiTheme="minorHAnsi" w:eastAsia="MS Mincho" w:hAnsiTheme="minorHAnsi" w:cstheme="minorHAnsi"/>
                <w:b/>
                <w:sz w:val="22"/>
                <w:szCs w:val="22"/>
                <w:lang w:val="en-US"/>
              </w:rPr>
            </w:pPr>
          </w:p>
        </w:tc>
      </w:tr>
      <w:tr w:rsidR="00CA73CE" w:rsidRPr="00505482" w:rsidTr="00FB4EBF">
        <w:trPr>
          <w:trHeight w:val="230"/>
        </w:trPr>
        <w:tc>
          <w:tcPr>
            <w:tcW w:w="5701" w:type="dxa"/>
            <w:vAlign w:val="bottom"/>
          </w:tcPr>
          <w:p w:rsidR="00CA73CE" w:rsidRPr="00505482" w:rsidRDefault="00CA73CE" w:rsidP="002754ED">
            <w:pPr>
              <w:tabs>
                <w:tab w:val="left" w:leader="dot" w:pos="6804"/>
              </w:tabs>
              <w:rPr>
                <w:rFonts w:asciiTheme="minorHAnsi" w:hAnsiTheme="minorHAnsi" w:cstheme="minorHAnsi"/>
                <w:b/>
                <w:bCs/>
                <w:sz w:val="22"/>
                <w:szCs w:val="22"/>
              </w:rPr>
            </w:pPr>
          </w:p>
        </w:tc>
        <w:tc>
          <w:tcPr>
            <w:tcW w:w="1387" w:type="dxa"/>
            <w:shd w:val="clear" w:color="auto" w:fill="auto"/>
            <w:vAlign w:val="bottom"/>
          </w:tcPr>
          <w:p w:rsidR="00CA73CE" w:rsidRDefault="00CA73CE" w:rsidP="006A7D16">
            <w:pPr>
              <w:ind w:right="-115"/>
              <w:jc w:val="right"/>
              <w:rPr>
                <w:rFonts w:asciiTheme="minorHAnsi" w:eastAsia="MS Mincho" w:hAnsiTheme="minorHAnsi" w:cstheme="minorHAnsi"/>
                <w:b/>
                <w:sz w:val="22"/>
                <w:szCs w:val="22"/>
                <w:lang w:val="en-US"/>
              </w:rPr>
            </w:pPr>
          </w:p>
        </w:tc>
        <w:tc>
          <w:tcPr>
            <w:tcW w:w="1327" w:type="dxa"/>
            <w:shd w:val="clear" w:color="auto" w:fill="auto"/>
            <w:vAlign w:val="bottom"/>
          </w:tcPr>
          <w:p w:rsidR="00CA73CE" w:rsidRDefault="00CA73CE" w:rsidP="006A7D16">
            <w:pPr>
              <w:jc w:val="right"/>
              <w:rPr>
                <w:rFonts w:asciiTheme="minorHAnsi" w:eastAsia="MS Mincho" w:hAnsiTheme="minorHAnsi" w:cstheme="minorHAnsi"/>
                <w:b/>
                <w:sz w:val="22"/>
                <w:szCs w:val="22"/>
                <w:lang w:val="en-US"/>
              </w:rPr>
            </w:pPr>
          </w:p>
        </w:tc>
        <w:tc>
          <w:tcPr>
            <w:tcW w:w="1241" w:type="dxa"/>
          </w:tcPr>
          <w:p w:rsidR="00CA73CE" w:rsidRDefault="00CA73CE" w:rsidP="006A7D16">
            <w:pPr>
              <w:jc w:val="right"/>
              <w:rPr>
                <w:rFonts w:asciiTheme="minorHAnsi" w:eastAsia="MS Mincho" w:hAnsiTheme="minorHAnsi" w:cstheme="minorHAnsi"/>
                <w:b/>
                <w:sz w:val="22"/>
                <w:szCs w:val="22"/>
                <w:lang w:val="en-US"/>
              </w:rPr>
            </w:pPr>
          </w:p>
        </w:tc>
        <w:tc>
          <w:tcPr>
            <w:tcW w:w="1369" w:type="dxa"/>
          </w:tcPr>
          <w:p w:rsidR="00CA73CE" w:rsidRDefault="00CA73CE" w:rsidP="006A7D16">
            <w:pPr>
              <w:jc w:val="right"/>
              <w:rPr>
                <w:rFonts w:asciiTheme="minorHAnsi" w:eastAsia="MS Mincho" w:hAnsiTheme="minorHAnsi" w:cstheme="minorHAnsi"/>
                <w:b/>
                <w:sz w:val="22"/>
                <w:szCs w:val="22"/>
                <w:lang w:val="en-US"/>
              </w:rPr>
            </w:pPr>
          </w:p>
        </w:tc>
      </w:tr>
      <w:tr w:rsidR="003C515A" w:rsidRPr="00505482" w:rsidTr="00FB4EBF">
        <w:trPr>
          <w:trHeight w:val="230"/>
        </w:trPr>
        <w:tc>
          <w:tcPr>
            <w:tcW w:w="5701" w:type="dxa"/>
            <w:vAlign w:val="bottom"/>
          </w:tcPr>
          <w:p w:rsidR="003C515A" w:rsidRPr="00505482" w:rsidRDefault="003C515A" w:rsidP="002754ED">
            <w:pPr>
              <w:tabs>
                <w:tab w:val="left" w:leader="dot" w:pos="6804"/>
              </w:tabs>
              <w:rPr>
                <w:rFonts w:asciiTheme="minorHAnsi" w:hAnsiTheme="minorHAnsi" w:cstheme="minorHAnsi"/>
                <w:b/>
                <w:bCs/>
                <w:sz w:val="22"/>
                <w:szCs w:val="22"/>
              </w:rPr>
            </w:pPr>
          </w:p>
        </w:tc>
        <w:tc>
          <w:tcPr>
            <w:tcW w:w="1387" w:type="dxa"/>
            <w:shd w:val="clear" w:color="auto" w:fill="FFFF00"/>
            <w:vAlign w:val="bottom"/>
          </w:tcPr>
          <w:p w:rsidR="003C515A" w:rsidRPr="00505482" w:rsidRDefault="003C515A" w:rsidP="00072C2D">
            <w:pPr>
              <w:ind w:left="-75" w:right="123"/>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 xml:space="preserve">At </w:t>
            </w:r>
            <w:r w:rsidR="00526BDF">
              <w:rPr>
                <w:rFonts w:asciiTheme="minorHAnsi" w:eastAsia="MS Mincho" w:hAnsiTheme="minorHAnsi" w:cstheme="minorHAnsi"/>
                <w:b/>
                <w:sz w:val="22"/>
                <w:szCs w:val="22"/>
                <w:lang w:val="en-US"/>
              </w:rPr>
              <w:t>Jun</w:t>
            </w:r>
            <w:r w:rsidR="00FB4EBF">
              <w:rPr>
                <w:rFonts w:asciiTheme="minorHAnsi" w:eastAsia="MS Mincho" w:hAnsiTheme="minorHAnsi" w:cstheme="minorHAnsi"/>
                <w:b/>
                <w:sz w:val="22"/>
                <w:szCs w:val="22"/>
                <w:lang w:val="en-US"/>
              </w:rPr>
              <w:t xml:space="preserve"> 3</w:t>
            </w:r>
            <w:r w:rsidR="00526BDF">
              <w:rPr>
                <w:rFonts w:asciiTheme="minorHAnsi" w:eastAsia="MS Mincho" w:hAnsiTheme="minorHAnsi" w:cstheme="minorHAnsi"/>
                <w:b/>
                <w:sz w:val="22"/>
                <w:szCs w:val="22"/>
                <w:lang w:val="en-US"/>
              </w:rPr>
              <w:t>0</w:t>
            </w:r>
            <w:r w:rsidR="00010C77">
              <w:rPr>
                <w:rFonts w:asciiTheme="minorHAnsi" w:eastAsia="MS Mincho" w:hAnsiTheme="minorHAnsi" w:cstheme="minorHAnsi"/>
                <w:b/>
                <w:sz w:val="22"/>
                <w:szCs w:val="22"/>
                <w:lang w:val="en-US"/>
              </w:rPr>
              <w:t>,</w:t>
            </w:r>
            <w:r>
              <w:rPr>
                <w:rFonts w:asciiTheme="minorHAnsi" w:eastAsia="MS Mincho" w:hAnsiTheme="minorHAnsi" w:cstheme="minorHAnsi"/>
                <w:b/>
                <w:sz w:val="22"/>
                <w:szCs w:val="22"/>
                <w:lang w:val="en-US"/>
              </w:rPr>
              <w:t xml:space="preserve"> </w:t>
            </w:r>
          </w:p>
        </w:tc>
        <w:tc>
          <w:tcPr>
            <w:tcW w:w="1327" w:type="dxa"/>
            <w:shd w:val="clear" w:color="auto" w:fill="FFFF00"/>
            <w:vAlign w:val="bottom"/>
          </w:tcPr>
          <w:p w:rsidR="003C515A" w:rsidRPr="00505482" w:rsidRDefault="003C515A" w:rsidP="00072C2D">
            <w:pPr>
              <w:ind w:left="-181"/>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 xml:space="preserve">At </w:t>
            </w:r>
            <w:r w:rsidR="00526BDF">
              <w:rPr>
                <w:rFonts w:asciiTheme="minorHAnsi" w:eastAsia="MS Mincho" w:hAnsiTheme="minorHAnsi" w:cstheme="minorHAnsi"/>
                <w:b/>
                <w:sz w:val="22"/>
                <w:szCs w:val="22"/>
                <w:lang w:val="en-US"/>
              </w:rPr>
              <w:t>Jun</w:t>
            </w:r>
            <w:r w:rsidR="00FB4EBF">
              <w:rPr>
                <w:rFonts w:asciiTheme="minorHAnsi" w:eastAsia="MS Mincho" w:hAnsiTheme="minorHAnsi" w:cstheme="minorHAnsi"/>
                <w:b/>
                <w:sz w:val="22"/>
                <w:szCs w:val="22"/>
                <w:lang w:val="en-US"/>
              </w:rPr>
              <w:t xml:space="preserve"> 3</w:t>
            </w:r>
            <w:r w:rsidR="00526BDF">
              <w:rPr>
                <w:rFonts w:asciiTheme="minorHAnsi" w:eastAsia="MS Mincho" w:hAnsiTheme="minorHAnsi" w:cstheme="minorHAnsi"/>
                <w:b/>
                <w:sz w:val="22"/>
                <w:szCs w:val="22"/>
                <w:lang w:val="en-US"/>
              </w:rPr>
              <w:t>0</w:t>
            </w:r>
            <w:r w:rsidR="00010C77">
              <w:rPr>
                <w:rFonts w:asciiTheme="minorHAnsi" w:eastAsia="MS Mincho" w:hAnsiTheme="minorHAnsi" w:cstheme="minorHAnsi"/>
                <w:b/>
                <w:sz w:val="22"/>
                <w:szCs w:val="22"/>
                <w:lang w:val="en-US"/>
              </w:rPr>
              <w:t>,</w:t>
            </w:r>
          </w:p>
        </w:tc>
        <w:tc>
          <w:tcPr>
            <w:tcW w:w="1241" w:type="dxa"/>
          </w:tcPr>
          <w:p w:rsidR="003C515A" w:rsidRPr="00505482" w:rsidRDefault="003C515A" w:rsidP="006A7D16">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At Mar</w:t>
            </w:r>
            <w:r w:rsidR="00010C77">
              <w:rPr>
                <w:rFonts w:asciiTheme="minorHAnsi" w:eastAsia="MS Mincho" w:hAnsiTheme="minorHAnsi" w:cstheme="minorHAnsi"/>
                <w:b/>
                <w:sz w:val="22"/>
                <w:szCs w:val="22"/>
                <w:lang w:val="en-US"/>
              </w:rPr>
              <w:t xml:space="preserve"> 31,</w:t>
            </w:r>
          </w:p>
        </w:tc>
        <w:tc>
          <w:tcPr>
            <w:tcW w:w="1369" w:type="dxa"/>
          </w:tcPr>
          <w:p w:rsidR="003C515A" w:rsidRPr="00505482" w:rsidRDefault="003C515A" w:rsidP="006A7D16">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At Mar</w:t>
            </w:r>
            <w:r w:rsidR="00010C77">
              <w:rPr>
                <w:rFonts w:asciiTheme="minorHAnsi" w:eastAsia="MS Mincho" w:hAnsiTheme="minorHAnsi" w:cstheme="minorHAnsi"/>
                <w:b/>
                <w:sz w:val="22"/>
                <w:szCs w:val="22"/>
                <w:lang w:val="en-US"/>
              </w:rPr>
              <w:t xml:space="preserve"> 31,</w:t>
            </w:r>
          </w:p>
        </w:tc>
      </w:tr>
      <w:tr w:rsidR="003C515A" w:rsidRPr="00505482" w:rsidTr="00FB4EBF">
        <w:trPr>
          <w:trHeight w:val="230"/>
        </w:trPr>
        <w:tc>
          <w:tcPr>
            <w:tcW w:w="5701" w:type="dxa"/>
            <w:vAlign w:val="bottom"/>
          </w:tcPr>
          <w:p w:rsidR="003C515A" w:rsidRPr="00505482" w:rsidRDefault="003C515A" w:rsidP="002754ED">
            <w:pPr>
              <w:tabs>
                <w:tab w:val="left" w:leader="dot" w:pos="6804"/>
              </w:tabs>
              <w:rPr>
                <w:rFonts w:asciiTheme="minorHAnsi" w:hAnsiTheme="minorHAnsi" w:cstheme="minorHAnsi"/>
                <w:b/>
                <w:bCs/>
                <w:sz w:val="22"/>
                <w:szCs w:val="22"/>
              </w:rPr>
            </w:pPr>
          </w:p>
        </w:tc>
        <w:tc>
          <w:tcPr>
            <w:tcW w:w="1387" w:type="dxa"/>
            <w:shd w:val="clear" w:color="auto" w:fill="FFFF00"/>
            <w:vAlign w:val="bottom"/>
          </w:tcPr>
          <w:p w:rsidR="003C515A" w:rsidRPr="00505482" w:rsidRDefault="00ED04B5" w:rsidP="00010C77">
            <w:pPr>
              <w:ind w:left="-75" w:right="123"/>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201</w:t>
            </w:r>
            <w:r w:rsidR="005C65E6">
              <w:rPr>
                <w:rFonts w:asciiTheme="minorHAnsi" w:eastAsia="MS Mincho" w:hAnsiTheme="minorHAnsi" w:cstheme="minorHAnsi"/>
                <w:b/>
                <w:sz w:val="22"/>
                <w:szCs w:val="22"/>
                <w:lang w:val="en-US"/>
              </w:rPr>
              <w:t>7</w:t>
            </w:r>
          </w:p>
        </w:tc>
        <w:tc>
          <w:tcPr>
            <w:tcW w:w="1327" w:type="dxa"/>
            <w:shd w:val="clear" w:color="auto" w:fill="FFFF00"/>
            <w:vAlign w:val="bottom"/>
          </w:tcPr>
          <w:p w:rsidR="003C515A" w:rsidRPr="00505482" w:rsidRDefault="00ED04B5" w:rsidP="00D00154">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201</w:t>
            </w:r>
            <w:r w:rsidR="005C65E6">
              <w:rPr>
                <w:rFonts w:asciiTheme="minorHAnsi" w:eastAsia="MS Mincho" w:hAnsiTheme="minorHAnsi" w:cstheme="minorHAnsi"/>
                <w:b/>
                <w:sz w:val="22"/>
                <w:szCs w:val="22"/>
                <w:lang w:val="en-US"/>
              </w:rPr>
              <w:t>7</w:t>
            </w:r>
          </w:p>
        </w:tc>
        <w:tc>
          <w:tcPr>
            <w:tcW w:w="1241" w:type="dxa"/>
          </w:tcPr>
          <w:p w:rsidR="003C515A" w:rsidRPr="00505482" w:rsidRDefault="00FB4EBF" w:rsidP="001A71B6">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201</w:t>
            </w:r>
            <w:r w:rsidR="00526BDF">
              <w:rPr>
                <w:rFonts w:asciiTheme="minorHAnsi" w:eastAsia="MS Mincho" w:hAnsiTheme="minorHAnsi" w:cstheme="minorHAnsi"/>
                <w:b/>
                <w:sz w:val="22"/>
                <w:szCs w:val="22"/>
                <w:lang w:val="en-US"/>
              </w:rPr>
              <w:t>7</w:t>
            </w:r>
          </w:p>
        </w:tc>
        <w:tc>
          <w:tcPr>
            <w:tcW w:w="1369" w:type="dxa"/>
          </w:tcPr>
          <w:p w:rsidR="003C515A" w:rsidRPr="00505482" w:rsidRDefault="00FB4EBF" w:rsidP="001A71B6">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201</w:t>
            </w:r>
            <w:r w:rsidR="00526BDF">
              <w:rPr>
                <w:rFonts w:asciiTheme="minorHAnsi" w:eastAsia="MS Mincho" w:hAnsiTheme="minorHAnsi" w:cstheme="minorHAnsi"/>
                <w:b/>
                <w:sz w:val="22"/>
                <w:szCs w:val="22"/>
                <w:lang w:val="en-US"/>
              </w:rPr>
              <w:t>7</w:t>
            </w:r>
          </w:p>
        </w:tc>
      </w:tr>
      <w:tr w:rsidR="003C515A" w:rsidRPr="00505482" w:rsidTr="00FB4EBF">
        <w:trPr>
          <w:trHeight w:val="230"/>
        </w:trPr>
        <w:tc>
          <w:tcPr>
            <w:tcW w:w="5701" w:type="dxa"/>
            <w:vAlign w:val="bottom"/>
          </w:tcPr>
          <w:p w:rsidR="003C515A" w:rsidRPr="00505482" w:rsidRDefault="003C515A" w:rsidP="002754ED">
            <w:pPr>
              <w:tabs>
                <w:tab w:val="left" w:leader="dot" w:pos="6804"/>
              </w:tabs>
              <w:rPr>
                <w:rFonts w:asciiTheme="minorHAnsi" w:hAnsiTheme="minorHAnsi" w:cstheme="minorHAnsi"/>
                <w:b/>
                <w:bCs/>
                <w:sz w:val="22"/>
                <w:szCs w:val="22"/>
              </w:rPr>
            </w:pPr>
          </w:p>
        </w:tc>
        <w:tc>
          <w:tcPr>
            <w:tcW w:w="1387" w:type="dxa"/>
            <w:shd w:val="clear" w:color="auto" w:fill="FFFF00"/>
            <w:vAlign w:val="bottom"/>
          </w:tcPr>
          <w:p w:rsidR="003C515A" w:rsidRPr="00505482" w:rsidRDefault="003C515A" w:rsidP="00010C77">
            <w:pPr>
              <w:ind w:left="-75" w:right="123"/>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Carrying</w:t>
            </w:r>
          </w:p>
        </w:tc>
        <w:tc>
          <w:tcPr>
            <w:tcW w:w="1327" w:type="dxa"/>
            <w:shd w:val="clear" w:color="auto" w:fill="FFFF00"/>
            <w:vAlign w:val="bottom"/>
          </w:tcPr>
          <w:p w:rsidR="003C515A" w:rsidRPr="00505482" w:rsidRDefault="003C515A" w:rsidP="006A7D16">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Fair</w:t>
            </w:r>
          </w:p>
        </w:tc>
        <w:tc>
          <w:tcPr>
            <w:tcW w:w="1241" w:type="dxa"/>
          </w:tcPr>
          <w:p w:rsidR="003C515A" w:rsidRPr="00505482" w:rsidRDefault="003C515A" w:rsidP="006A7D16">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Carrying</w:t>
            </w:r>
          </w:p>
        </w:tc>
        <w:tc>
          <w:tcPr>
            <w:tcW w:w="1369" w:type="dxa"/>
          </w:tcPr>
          <w:p w:rsidR="003C515A" w:rsidRPr="00505482" w:rsidRDefault="003C515A" w:rsidP="006A7D16">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Fair</w:t>
            </w:r>
          </w:p>
        </w:tc>
      </w:tr>
      <w:tr w:rsidR="003C515A" w:rsidRPr="00505482" w:rsidTr="00FB4EBF">
        <w:trPr>
          <w:trHeight w:val="230"/>
        </w:trPr>
        <w:tc>
          <w:tcPr>
            <w:tcW w:w="5701" w:type="dxa"/>
            <w:vAlign w:val="bottom"/>
          </w:tcPr>
          <w:p w:rsidR="003C515A" w:rsidRPr="00505482" w:rsidRDefault="003C515A" w:rsidP="002754ED">
            <w:pPr>
              <w:tabs>
                <w:tab w:val="left" w:leader="dot" w:pos="6804"/>
              </w:tabs>
              <w:rPr>
                <w:rFonts w:asciiTheme="minorHAnsi" w:hAnsiTheme="minorHAnsi" w:cstheme="minorHAnsi"/>
                <w:b/>
                <w:bCs/>
                <w:sz w:val="22"/>
                <w:szCs w:val="22"/>
              </w:rPr>
            </w:pPr>
          </w:p>
        </w:tc>
        <w:tc>
          <w:tcPr>
            <w:tcW w:w="1387" w:type="dxa"/>
            <w:shd w:val="clear" w:color="auto" w:fill="FFFF00"/>
            <w:vAlign w:val="bottom"/>
          </w:tcPr>
          <w:p w:rsidR="003C515A" w:rsidRPr="00505482" w:rsidRDefault="003C515A" w:rsidP="00010C77">
            <w:pPr>
              <w:pBdr>
                <w:bottom w:val="single" w:sz="4" w:space="1" w:color="auto"/>
              </w:pBdr>
              <w:ind w:left="-75" w:right="123"/>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Amount</w:t>
            </w:r>
          </w:p>
        </w:tc>
        <w:tc>
          <w:tcPr>
            <w:tcW w:w="1327" w:type="dxa"/>
            <w:shd w:val="clear" w:color="auto" w:fill="FFFF00"/>
            <w:vAlign w:val="bottom"/>
          </w:tcPr>
          <w:p w:rsidR="003C515A" w:rsidRPr="00505482" w:rsidRDefault="003C515A" w:rsidP="006A7D16">
            <w:pPr>
              <w:pBdr>
                <w:bottom w:val="single" w:sz="4" w:space="1" w:color="auto"/>
              </w:pBd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Value</w:t>
            </w:r>
          </w:p>
        </w:tc>
        <w:tc>
          <w:tcPr>
            <w:tcW w:w="1241" w:type="dxa"/>
          </w:tcPr>
          <w:p w:rsidR="003C515A" w:rsidRPr="00505482" w:rsidRDefault="003C515A" w:rsidP="006A7D16">
            <w:pPr>
              <w:pBdr>
                <w:bottom w:val="single" w:sz="4" w:space="1" w:color="auto"/>
              </w:pBd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Amount</w:t>
            </w:r>
          </w:p>
        </w:tc>
        <w:tc>
          <w:tcPr>
            <w:tcW w:w="1369" w:type="dxa"/>
          </w:tcPr>
          <w:p w:rsidR="003C515A" w:rsidRPr="00505482" w:rsidRDefault="003C515A" w:rsidP="006A7D16">
            <w:pPr>
              <w:pBdr>
                <w:bottom w:val="single" w:sz="4" w:space="1" w:color="auto"/>
              </w:pBd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Value</w:t>
            </w:r>
          </w:p>
        </w:tc>
      </w:tr>
      <w:tr w:rsidR="003C515A" w:rsidRPr="00505482" w:rsidTr="00FB4EBF">
        <w:trPr>
          <w:trHeight w:val="230"/>
        </w:trPr>
        <w:tc>
          <w:tcPr>
            <w:tcW w:w="5701" w:type="dxa"/>
            <w:vAlign w:val="bottom"/>
            <w:hideMark/>
          </w:tcPr>
          <w:p w:rsidR="003C515A" w:rsidRPr="00505482" w:rsidRDefault="003C515A" w:rsidP="002754ED">
            <w:pPr>
              <w:tabs>
                <w:tab w:val="left" w:leader="dot" w:pos="6804"/>
              </w:tabs>
              <w:rPr>
                <w:rFonts w:asciiTheme="minorHAnsi" w:eastAsia="MS Mincho" w:hAnsiTheme="minorHAnsi" w:cstheme="minorHAnsi"/>
                <w:b/>
                <w:bCs/>
                <w:sz w:val="22"/>
                <w:szCs w:val="22"/>
              </w:rPr>
            </w:pPr>
            <w:r w:rsidRPr="00505482">
              <w:rPr>
                <w:rFonts w:asciiTheme="minorHAnsi" w:hAnsiTheme="minorHAnsi" w:cstheme="minorHAnsi"/>
                <w:b/>
                <w:bCs/>
                <w:sz w:val="22"/>
                <w:szCs w:val="22"/>
              </w:rPr>
              <w:t>Non-current financial assets</w:t>
            </w:r>
          </w:p>
        </w:tc>
        <w:tc>
          <w:tcPr>
            <w:tcW w:w="1387" w:type="dxa"/>
            <w:shd w:val="clear" w:color="auto" w:fill="FFFF00"/>
            <w:vAlign w:val="bottom"/>
          </w:tcPr>
          <w:p w:rsidR="003C515A" w:rsidRPr="00505482" w:rsidRDefault="003C515A" w:rsidP="00010C77">
            <w:pPr>
              <w:ind w:left="-75" w:right="123"/>
              <w:jc w:val="right"/>
              <w:rPr>
                <w:rFonts w:asciiTheme="minorHAnsi" w:eastAsia="MS Mincho" w:hAnsiTheme="minorHAnsi" w:cstheme="minorHAnsi"/>
                <w:b/>
                <w:sz w:val="22"/>
                <w:szCs w:val="22"/>
                <w:lang w:val="en-US"/>
              </w:rPr>
            </w:pPr>
            <w:r w:rsidRPr="00505482">
              <w:rPr>
                <w:rFonts w:asciiTheme="minorHAnsi" w:eastAsia="MS Mincho" w:hAnsiTheme="minorHAnsi" w:cstheme="minorHAnsi"/>
                <w:b/>
                <w:sz w:val="22"/>
                <w:szCs w:val="22"/>
                <w:lang w:val="en-US"/>
              </w:rPr>
              <w:t>€M</w:t>
            </w:r>
          </w:p>
        </w:tc>
        <w:tc>
          <w:tcPr>
            <w:tcW w:w="1327" w:type="dxa"/>
            <w:shd w:val="clear" w:color="auto" w:fill="FFFF00"/>
            <w:vAlign w:val="bottom"/>
          </w:tcPr>
          <w:p w:rsidR="003C515A" w:rsidRPr="00505482" w:rsidRDefault="003C515A" w:rsidP="00201ABE">
            <w:pPr>
              <w:jc w:val="right"/>
              <w:rPr>
                <w:rFonts w:asciiTheme="minorHAnsi" w:eastAsia="MS Mincho" w:hAnsiTheme="minorHAnsi" w:cstheme="minorHAnsi"/>
                <w:b/>
                <w:sz w:val="22"/>
                <w:szCs w:val="22"/>
                <w:lang w:val="en-US"/>
              </w:rPr>
            </w:pPr>
            <w:r w:rsidRPr="00505482">
              <w:rPr>
                <w:rFonts w:asciiTheme="minorHAnsi" w:eastAsia="MS Mincho" w:hAnsiTheme="minorHAnsi" w:cstheme="minorHAnsi"/>
                <w:b/>
                <w:sz w:val="22"/>
                <w:szCs w:val="22"/>
                <w:lang w:val="en-US"/>
              </w:rPr>
              <w:t>€M</w:t>
            </w:r>
          </w:p>
        </w:tc>
        <w:tc>
          <w:tcPr>
            <w:tcW w:w="1241" w:type="dxa"/>
          </w:tcPr>
          <w:p w:rsidR="003C515A" w:rsidRPr="00505482" w:rsidRDefault="003C515A" w:rsidP="00201ABE">
            <w:pPr>
              <w:jc w:val="right"/>
              <w:rPr>
                <w:rFonts w:asciiTheme="minorHAnsi" w:eastAsia="MS Mincho" w:hAnsiTheme="minorHAnsi" w:cstheme="minorHAnsi"/>
                <w:b/>
                <w:sz w:val="22"/>
                <w:szCs w:val="22"/>
                <w:lang w:val="en-US"/>
              </w:rPr>
            </w:pPr>
            <w:r w:rsidRPr="00505482">
              <w:rPr>
                <w:rFonts w:asciiTheme="minorHAnsi" w:eastAsia="MS Mincho" w:hAnsiTheme="minorHAnsi" w:cstheme="minorHAnsi"/>
                <w:b/>
                <w:sz w:val="22"/>
                <w:szCs w:val="22"/>
                <w:lang w:val="en-US"/>
              </w:rPr>
              <w:t>€M</w:t>
            </w:r>
          </w:p>
        </w:tc>
        <w:tc>
          <w:tcPr>
            <w:tcW w:w="1369" w:type="dxa"/>
          </w:tcPr>
          <w:p w:rsidR="003C515A" w:rsidRPr="00505482" w:rsidRDefault="003C515A" w:rsidP="00201ABE">
            <w:pPr>
              <w:jc w:val="right"/>
              <w:rPr>
                <w:rFonts w:asciiTheme="minorHAnsi" w:eastAsia="MS Mincho" w:hAnsiTheme="minorHAnsi" w:cstheme="minorHAnsi"/>
                <w:b/>
                <w:sz w:val="22"/>
                <w:szCs w:val="22"/>
                <w:lang w:val="en-US"/>
              </w:rPr>
            </w:pPr>
            <w:r w:rsidRPr="00505482">
              <w:rPr>
                <w:rFonts w:asciiTheme="minorHAnsi" w:eastAsia="MS Mincho" w:hAnsiTheme="minorHAnsi" w:cstheme="minorHAnsi"/>
                <w:b/>
                <w:sz w:val="22"/>
                <w:szCs w:val="22"/>
                <w:lang w:val="en-US"/>
              </w:rPr>
              <w:t>€M</w:t>
            </w:r>
          </w:p>
        </w:tc>
      </w:tr>
      <w:tr w:rsidR="003C515A" w:rsidRPr="00505482" w:rsidTr="00FB4EBF">
        <w:trPr>
          <w:trHeight w:val="230"/>
        </w:trPr>
        <w:tc>
          <w:tcPr>
            <w:tcW w:w="5701" w:type="dxa"/>
            <w:vAlign w:val="bottom"/>
          </w:tcPr>
          <w:p w:rsidR="003C515A" w:rsidRPr="00505482" w:rsidRDefault="003C515A" w:rsidP="002754ED">
            <w:pPr>
              <w:tabs>
                <w:tab w:val="left" w:leader="dot" w:pos="6804"/>
              </w:tabs>
              <w:rPr>
                <w:rFonts w:asciiTheme="minorHAnsi" w:eastAsia="MS Mincho" w:hAnsiTheme="minorHAnsi" w:cstheme="minorHAnsi"/>
                <w:bCs/>
                <w:sz w:val="22"/>
                <w:szCs w:val="22"/>
              </w:rPr>
            </w:pPr>
            <w:r w:rsidRPr="00505482">
              <w:rPr>
                <w:rFonts w:asciiTheme="minorHAnsi" w:hAnsiTheme="minorHAnsi" w:cstheme="minorHAnsi"/>
                <w:bCs/>
                <w:sz w:val="22"/>
                <w:szCs w:val="22"/>
              </w:rPr>
              <w:t xml:space="preserve">Derivative financial </w:t>
            </w:r>
            <w:proofErr w:type="gramStart"/>
            <w:r w:rsidRPr="00505482">
              <w:rPr>
                <w:rFonts w:asciiTheme="minorHAnsi" w:hAnsiTheme="minorHAnsi" w:cstheme="minorHAnsi"/>
                <w:bCs/>
                <w:sz w:val="22"/>
                <w:szCs w:val="22"/>
              </w:rPr>
              <w:t>instruments:-</w:t>
            </w:r>
            <w:proofErr w:type="gramEnd"/>
          </w:p>
        </w:tc>
        <w:tc>
          <w:tcPr>
            <w:tcW w:w="1387" w:type="dxa"/>
            <w:shd w:val="clear" w:color="auto" w:fill="FFFF00"/>
            <w:vAlign w:val="bottom"/>
          </w:tcPr>
          <w:p w:rsidR="003C515A" w:rsidRPr="00505482" w:rsidRDefault="003C515A" w:rsidP="00010C77">
            <w:pPr>
              <w:tabs>
                <w:tab w:val="decimal" w:pos="689"/>
              </w:tabs>
              <w:ind w:left="-75" w:right="123"/>
              <w:jc w:val="right"/>
              <w:rPr>
                <w:rFonts w:asciiTheme="minorHAnsi" w:eastAsia="MS Mincho" w:hAnsiTheme="minorHAnsi" w:cstheme="minorHAnsi"/>
                <w:sz w:val="22"/>
                <w:szCs w:val="22"/>
              </w:rPr>
            </w:pPr>
          </w:p>
        </w:tc>
        <w:tc>
          <w:tcPr>
            <w:tcW w:w="1327" w:type="dxa"/>
            <w:shd w:val="clear" w:color="auto" w:fill="FFFF00"/>
            <w:vAlign w:val="bottom"/>
          </w:tcPr>
          <w:p w:rsidR="003C515A" w:rsidRPr="00505482" w:rsidRDefault="003C515A" w:rsidP="002754ED">
            <w:pPr>
              <w:tabs>
                <w:tab w:val="decimal" w:pos="689"/>
              </w:tabs>
              <w:jc w:val="right"/>
              <w:rPr>
                <w:rFonts w:asciiTheme="minorHAnsi" w:eastAsia="MS Mincho" w:hAnsiTheme="minorHAnsi" w:cstheme="minorHAnsi"/>
                <w:sz w:val="22"/>
                <w:szCs w:val="22"/>
              </w:rPr>
            </w:pPr>
          </w:p>
        </w:tc>
        <w:tc>
          <w:tcPr>
            <w:tcW w:w="1241" w:type="dxa"/>
          </w:tcPr>
          <w:p w:rsidR="003C515A" w:rsidRPr="00505482" w:rsidRDefault="003C515A" w:rsidP="002754ED">
            <w:pPr>
              <w:tabs>
                <w:tab w:val="decimal" w:pos="689"/>
              </w:tabs>
              <w:jc w:val="right"/>
              <w:rPr>
                <w:rFonts w:asciiTheme="minorHAnsi" w:eastAsia="MS Mincho" w:hAnsiTheme="minorHAnsi" w:cstheme="minorHAnsi"/>
                <w:sz w:val="22"/>
                <w:szCs w:val="22"/>
              </w:rPr>
            </w:pPr>
          </w:p>
        </w:tc>
        <w:tc>
          <w:tcPr>
            <w:tcW w:w="1369" w:type="dxa"/>
          </w:tcPr>
          <w:p w:rsidR="003C515A" w:rsidRPr="00505482" w:rsidRDefault="003C515A" w:rsidP="002754ED">
            <w:pPr>
              <w:tabs>
                <w:tab w:val="decimal" w:pos="689"/>
              </w:tabs>
              <w:jc w:val="right"/>
              <w:rPr>
                <w:rFonts w:asciiTheme="minorHAnsi" w:eastAsia="MS Mincho" w:hAnsiTheme="minorHAnsi" w:cstheme="minorHAnsi"/>
                <w:sz w:val="22"/>
                <w:szCs w:val="22"/>
              </w:rPr>
            </w:pPr>
          </w:p>
        </w:tc>
      </w:tr>
      <w:tr w:rsidR="003C515A" w:rsidRPr="00505482" w:rsidTr="00FB4EBF">
        <w:trPr>
          <w:trHeight w:val="216"/>
        </w:trPr>
        <w:tc>
          <w:tcPr>
            <w:tcW w:w="5701" w:type="dxa"/>
            <w:vAlign w:val="bottom"/>
            <w:hideMark/>
          </w:tcPr>
          <w:p w:rsidR="003C515A" w:rsidRPr="00505482" w:rsidRDefault="003C515A" w:rsidP="00C952D5">
            <w:pPr>
              <w:tabs>
                <w:tab w:val="left" w:leader="dot" w:pos="6804"/>
              </w:tabs>
              <w:rPr>
                <w:rFonts w:asciiTheme="minorHAnsi" w:eastAsia="MS Mincho" w:hAnsiTheme="minorHAnsi" w:cstheme="minorHAnsi"/>
                <w:sz w:val="22"/>
                <w:szCs w:val="22"/>
              </w:rPr>
            </w:pPr>
            <w:r w:rsidRPr="00505482">
              <w:rPr>
                <w:rFonts w:asciiTheme="minorHAnsi" w:hAnsiTheme="minorHAnsi" w:cstheme="minorHAnsi"/>
                <w:bCs/>
                <w:sz w:val="22"/>
                <w:szCs w:val="22"/>
              </w:rPr>
              <w:t xml:space="preserve">- </w:t>
            </w:r>
            <w:r w:rsidRPr="00505482">
              <w:rPr>
                <w:rFonts w:asciiTheme="minorHAnsi" w:hAnsiTheme="minorHAnsi" w:cstheme="minorHAnsi"/>
                <w:sz w:val="22"/>
                <w:szCs w:val="22"/>
              </w:rPr>
              <w:t xml:space="preserve">U.S. dollar currency forward contracts </w:t>
            </w:r>
          </w:p>
        </w:tc>
        <w:tc>
          <w:tcPr>
            <w:tcW w:w="1387" w:type="dxa"/>
            <w:shd w:val="clear" w:color="auto" w:fill="FFFF00"/>
            <w:vAlign w:val="bottom"/>
          </w:tcPr>
          <w:p w:rsidR="003C515A" w:rsidRPr="00505482" w:rsidRDefault="00146123" w:rsidP="00FC08F3">
            <w:pP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4.9</w:t>
            </w:r>
          </w:p>
        </w:tc>
        <w:tc>
          <w:tcPr>
            <w:tcW w:w="1327" w:type="dxa"/>
            <w:shd w:val="clear" w:color="auto" w:fill="FFFF00"/>
            <w:vAlign w:val="bottom"/>
          </w:tcPr>
          <w:p w:rsidR="003C515A" w:rsidRPr="00505482" w:rsidRDefault="00146123" w:rsidP="00072C2D">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4.9</w:t>
            </w:r>
          </w:p>
        </w:tc>
        <w:tc>
          <w:tcPr>
            <w:tcW w:w="1241" w:type="dxa"/>
          </w:tcPr>
          <w:p w:rsidR="003C515A" w:rsidRPr="00505482" w:rsidRDefault="00526BD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14</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5</w:t>
            </w:r>
          </w:p>
        </w:tc>
        <w:tc>
          <w:tcPr>
            <w:tcW w:w="1369" w:type="dxa"/>
          </w:tcPr>
          <w:p w:rsidR="003C515A" w:rsidRPr="00505482" w:rsidRDefault="00526BD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14</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5</w:t>
            </w:r>
          </w:p>
        </w:tc>
      </w:tr>
      <w:tr w:rsidR="003C515A" w:rsidRPr="00505482" w:rsidTr="00FB4EBF">
        <w:trPr>
          <w:trHeight w:val="216"/>
        </w:trPr>
        <w:tc>
          <w:tcPr>
            <w:tcW w:w="5701" w:type="dxa"/>
            <w:vAlign w:val="bottom"/>
          </w:tcPr>
          <w:p w:rsidR="003C515A" w:rsidRPr="00505482" w:rsidRDefault="003C515A" w:rsidP="00EB56A6">
            <w:pPr>
              <w:tabs>
                <w:tab w:val="left" w:leader="dot" w:pos="6804"/>
              </w:tabs>
              <w:rPr>
                <w:rFonts w:asciiTheme="minorHAnsi" w:hAnsiTheme="minorHAnsi" w:cstheme="minorHAnsi"/>
                <w:bCs/>
                <w:sz w:val="22"/>
                <w:szCs w:val="22"/>
              </w:rPr>
            </w:pPr>
            <w:r w:rsidRPr="00505482">
              <w:rPr>
                <w:rFonts w:asciiTheme="minorHAnsi" w:hAnsiTheme="minorHAnsi" w:cstheme="minorHAnsi"/>
                <w:bCs/>
                <w:sz w:val="22"/>
                <w:szCs w:val="22"/>
              </w:rPr>
              <w:t xml:space="preserve">- </w:t>
            </w:r>
            <w:r w:rsidRPr="00505482">
              <w:rPr>
                <w:rFonts w:asciiTheme="minorHAnsi" w:hAnsiTheme="minorHAnsi" w:cstheme="minorHAnsi"/>
                <w:sz w:val="22"/>
                <w:szCs w:val="22"/>
              </w:rPr>
              <w:t>Jet fuel derivative contracts</w:t>
            </w:r>
          </w:p>
        </w:tc>
        <w:tc>
          <w:tcPr>
            <w:tcW w:w="1387" w:type="dxa"/>
            <w:shd w:val="clear" w:color="auto" w:fill="FFFF00"/>
            <w:vAlign w:val="bottom"/>
          </w:tcPr>
          <w:p w:rsidR="003C515A" w:rsidRPr="00505482" w:rsidRDefault="00146123" w:rsidP="00072C2D">
            <w:pP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4.7</w:t>
            </w:r>
          </w:p>
        </w:tc>
        <w:tc>
          <w:tcPr>
            <w:tcW w:w="1327" w:type="dxa"/>
            <w:shd w:val="clear" w:color="auto" w:fill="FFFF00"/>
            <w:vAlign w:val="bottom"/>
          </w:tcPr>
          <w:p w:rsidR="003C515A" w:rsidRPr="00505482" w:rsidRDefault="00146123" w:rsidP="00072C2D">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4.7</w:t>
            </w:r>
          </w:p>
        </w:tc>
        <w:tc>
          <w:tcPr>
            <w:tcW w:w="1241" w:type="dxa"/>
          </w:tcPr>
          <w:p w:rsidR="003C515A" w:rsidRPr="00505482" w:rsidRDefault="00526BD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w:t>
            </w:r>
          </w:p>
        </w:tc>
        <w:tc>
          <w:tcPr>
            <w:tcW w:w="1369" w:type="dxa"/>
          </w:tcPr>
          <w:p w:rsidR="003C515A" w:rsidRPr="00505482" w:rsidRDefault="00526BD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w:t>
            </w:r>
          </w:p>
        </w:tc>
      </w:tr>
      <w:tr w:rsidR="003C515A" w:rsidRPr="00505482" w:rsidTr="00FB4EBF">
        <w:trPr>
          <w:trHeight w:val="230"/>
        </w:trPr>
        <w:tc>
          <w:tcPr>
            <w:tcW w:w="5701" w:type="dxa"/>
            <w:vAlign w:val="bottom"/>
            <w:hideMark/>
          </w:tcPr>
          <w:p w:rsidR="003C515A" w:rsidRPr="00505482" w:rsidRDefault="003C515A" w:rsidP="00C952D5">
            <w:pPr>
              <w:tabs>
                <w:tab w:val="left" w:leader="dot" w:pos="6804"/>
              </w:tabs>
              <w:ind w:right="-90"/>
              <w:rPr>
                <w:rFonts w:asciiTheme="minorHAnsi" w:eastAsia="MS Mincho" w:hAnsiTheme="minorHAnsi" w:cstheme="minorHAnsi"/>
                <w:bCs/>
                <w:sz w:val="22"/>
                <w:szCs w:val="22"/>
              </w:rPr>
            </w:pPr>
            <w:r w:rsidRPr="00505482">
              <w:rPr>
                <w:rFonts w:asciiTheme="minorHAnsi" w:hAnsiTheme="minorHAnsi" w:cstheme="minorHAnsi"/>
                <w:bCs/>
                <w:sz w:val="22"/>
                <w:szCs w:val="22"/>
              </w:rPr>
              <w:t>- Interest rate swaps</w:t>
            </w:r>
          </w:p>
        </w:tc>
        <w:tc>
          <w:tcPr>
            <w:tcW w:w="1387" w:type="dxa"/>
            <w:shd w:val="clear" w:color="auto" w:fill="FFFF00"/>
            <w:vAlign w:val="bottom"/>
          </w:tcPr>
          <w:p w:rsidR="003C515A" w:rsidRPr="00505482" w:rsidRDefault="00146123" w:rsidP="00072C2D">
            <w:pPr>
              <w:pBdr>
                <w:bottom w:val="single" w:sz="4" w:space="1" w:color="auto"/>
              </w:pBd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2.5</w:t>
            </w:r>
          </w:p>
        </w:tc>
        <w:tc>
          <w:tcPr>
            <w:tcW w:w="1327" w:type="dxa"/>
            <w:shd w:val="clear" w:color="auto" w:fill="FFFF00"/>
            <w:vAlign w:val="bottom"/>
          </w:tcPr>
          <w:p w:rsidR="003C515A" w:rsidRPr="00505482" w:rsidRDefault="00146123" w:rsidP="00072C2D">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2.5</w:t>
            </w:r>
          </w:p>
        </w:tc>
        <w:tc>
          <w:tcPr>
            <w:tcW w:w="1241" w:type="dxa"/>
          </w:tcPr>
          <w:p w:rsidR="003C515A" w:rsidRPr="00505482" w:rsidRDefault="00526BDF" w:rsidP="00ED04B5">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8</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5</w:t>
            </w:r>
          </w:p>
        </w:tc>
        <w:tc>
          <w:tcPr>
            <w:tcW w:w="1369" w:type="dxa"/>
          </w:tcPr>
          <w:p w:rsidR="003C515A" w:rsidRPr="00505482" w:rsidRDefault="00526BDF" w:rsidP="00ED04B5">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8</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5</w:t>
            </w:r>
          </w:p>
        </w:tc>
      </w:tr>
      <w:tr w:rsidR="003C515A" w:rsidRPr="00505482" w:rsidTr="00FB4EBF">
        <w:trPr>
          <w:trHeight w:val="230"/>
        </w:trPr>
        <w:tc>
          <w:tcPr>
            <w:tcW w:w="5701" w:type="dxa"/>
            <w:vAlign w:val="bottom"/>
            <w:hideMark/>
          </w:tcPr>
          <w:p w:rsidR="003C515A" w:rsidRPr="00505482" w:rsidRDefault="003C515A" w:rsidP="002754ED">
            <w:pPr>
              <w:tabs>
                <w:tab w:val="left" w:leader="dot" w:pos="6804"/>
              </w:tabs>
              <w:rPr>
                <w:rFonts w:asciiTheme="minorHAnsi" w:eastAsia="MS Mincho" w:hAnsiTheme="minorHAnsi" w:cstheme="minorHAnsi"/>
                <w:sz w:val="22"/>
                <w:szCs w:val="22"/>
              </w:rPr>
            </w:pPr>
          </w:p>
        </w:tc>
        <w:tc>
          <w:tcPr>
            <w:tcW w:w="1387" w:type="dxa"/>
            <w:shd w:val="clear" w:color="auto" w:fill="FFFF00"/>
            <w:vAlign w:val="bottom"/>
          </w:tcPr>
          <w:p w:rsidR="003C515A" w:rsidRPr="00505482" w:rsidRDefault="00146123" w:rsidP="00072C2D">
            <w:pP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12.1</w:t>
            </w:r>
          </w:p>
        </w:tc>
        <w:tc>
          <w:tcPr>
            <w:tcW w:w="1327" w:type="dxa"/>
            <w:shd w:val="clear" w:color="auto" w:fill="FFFF00"/>
            <w:vAlign w:val="bottom"/>
          </w:tcPr>
          <w:p w:rsidR="003C515A" w:rsidRPr="00505482" w:rsidRDefault="00146123" w:rsidP="00072C2D">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12.1</w:t>
            </w:r>
          </w:p>
        </w:tc>
        <w:tc>
          <w:tcPr>
            <w:tcW w:w="1241" w:type="dxa"/>
          </w:tcPr>
          <w:p w:rsidR="003C515A" w:rsidRPr="00505482" w:rsidRDefault="00526BD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23</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0</w:t>
            </w:r>
          </w:p>
        </w:tc>
        <w:tc>
          <w:tcPr>
            <w:tcW w:w="1369" w:type="dxa"/>
          </w:tcPr>
          <w:p w:rsidR="003C515A" w:rsidRPr="00505482" w:rsidRDefault="00526BD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23</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0</w:t>
            </w:r>
          </w:p>
        </w:tc>
      </w:tr>
      <w:tr w:rsidR="003C515A" w:rsidRPr="00505482" w:rsidTr="00FB4EBF">
        <w:trPr>
          <w:trHeight w:val="216"/>
        </w:trPr>
        <w:tc>
          <w:tcPr>
            <w:tcW w:w="5701" w:type="dxa"/>
            <w:vAlign w:val="bottom"/>
            <w:hideMark/>
          </w:tcPr>
          <w:p w:rsidR="003C515A" w:rsidRPr="00505482" w:rsidRDefault="003C515A" w:rsidP="002754ED">
            <w:pPr>
              <w:tabs>
                <w:tab w:val="left" w:leader="dot" w:pos="6804"/>
              </w:tabs>
              <w:rPr>
                <w:rFonts w:asciiTheme="minorHAnsi" w:eastAsia="MS Mincho" w:hAnsiTheme="minorHAnsi" w:cstheme="minorHAnsi"/>
                <w:sz w:val="22"/>
                <w:szCs w:val="22"/>
              </w:rPr>
            </w:pPr>
            <w:r w:rsidRPr="00505482">
              <w:rPr>
                <w:rFonts w:asciiTheme="minorHAnsi" w:hAnsiTheme="minorHAnsi" w:cstheme="minorHAnsi"/>
                <w:b/>
                <w:bCs/>
                <w:sz w:val="22"/>
                <w:szCs w:val="22"/>
              </w:rPr>
              <w:t>Current financial assets</w:t>
            </w:r>
          </w:p>
        </w:tc>
        <w:tc>
          <w:tcPr>
            <w:tcW w:w="1387" w:type="dxa"/>
            <w:shd w:val="clear" w:color="auto" w:fill="FFFF00"/>
            <w:vAlign w:val="bottom"/>
          </w:tcPr>
          <w:p w:rsidR="003C515A" w:rsidRPr="00505482" w:rsidRDefault="003C515A" w:rsidP="00010C77">
            <w:pPr>
              <w:tabs>
                <w:tab w:val="decimal" w:pos="689"/>
              </w:tabs>
              <w:ind w:left="-75" w:right="123"/>
              <w:jc w:val="right"/>
              <w:rPr>
                <w:rFonts w:asciiTheme="minorHAnsi" w:eastAsia="MS Mincho" w:hAnsiTheme="minorHAnsi" w:cstheme="minorHAnsi"/>
                <w:sz w:val="22"/>
                <w:szCs w:val="22"/>
              </w:rPr>
            </w:pPr>
          </w:p>
        </w:tc>
        <w:tc>
          <w:tcPr>
            <w:tcW w:w="1327" w:type="dxa"/>
            <w:shd w:val="clear" w:color="auto" w:fill="FFFF00"/>
            <w:vAlign w:val="bottom"/>
          </w:tcPr>
          <w:p w:rsidR="003C515A" w:rsidRPr="00505482" w:rsidRDefault="003C515A" w:rsidP="002754ED">
            <w:pPr>
              <w:tabs>
                <w:tab w:val="decimal" w:pos="689"/>
              </w:tabs>
              <w:jc w:val="right"/>
              <w:rPr>
                <w:rFonts w:asciiTheme="minorHAnsi" w:eastAsia="MS Mincho" w:hAnsiTheme="minorHAnsi" w:cstheme="minorHAnsi"/>
                <w:sz w:val="22"/>
                <w:szCs w:val="22"/>
              </w:rPr>
            </w:pPr>
          </w:p>
        </w:tc>
        <w:tc>
          <w:tcPr>
            <w:tcW w:w="1241" w:type="dxa"/>
          </w:tcPr>
          <w:p w:rsidR="003C515A" w:rsidRPr="00505482" w:rsidRDefault="003C515A" w:rsidP="002754ED">
            <w:pPr>
              <w:tabs>
                <w:tab w:val="decimal" w:pos="689"/>
              </w:tabs>
              <w:jc w:val="right"/>
              <w:rPr>
                <w:rFonts w:asciiTheme="minorHAnsi" w:eastAsia="MS Mincho" w:hAnsiTheme="minorHAnsi" w:cstheme="minorHAnsi"/>
                <w:sz w:val="22"/>
                <w:szCs w:val="22"/>
              </w:rPr>
            </w:pPr>
          </w:p>
        </w:tc>
        <w:tc>
          <w:tcPr>
            <w:tcW w:w="1369" w:type="dxa"/>
          </w:tcPr>
          <w:p w:rsidR="003C515A" w:rsidRPr="00505482" w:rsidRDefault="003C515A" w:rsidP="002754ED">
            <w:pPr>
              <w:tabs>
                <w:tab w:val="decimal" w:pos="689"/>
              </w:tabs>
              <w:jc w:val="right"/>
              <w:rPr>
                <w:rFonts w:asciiTheme="minorHAnsi" w:eastAsia="MS Mincho" w:hAnsiTheme="minorHAnsi" w:cstheme="minorHAnsi"/>
                <w:sz w:val="22"/>
                <w:szCs w:val="22"/>
              </w:rPr>
            </w:pPr>
          </w:p>
        </w:tc>
      </w:tr>
      <w:tr w:rsidR="003C515A" w:rsidRPr="00505482" w:rsidTr="00FB4EBF">
        <w:trPr>
          <w:trHeight w:val="216"/>
        </w:trPr>
        <w:tc>
          <w:tcPr>
            <w:tcW w:w="5701" w:type="dxa"/>
            <w:vAlign w:val="bottom"/>
            <w:hideMark/>
          </w:tcPr>
          <w:p w:rsidR="003C515A" w:rsidRPr="00505482" w:rsidRDefault="003C515A" w:rsidP="002754ED">
            <w:pPr>
              <w:tabs>
                <w:tab w:val="left" w:leader="dot" w:pos="6804"/>
              </w:tabs>
              <w:rPr>
                <w:rFonts w:asciiTheme="minorHAnsi" w:eastAsia="MS Mincho" w:hAnsiTheme="minorHAnsi" w:cstheme="minorHAnsi"/>
                <w:bCs/>
                <w:sz w:val="22"/>
                <w:szCs w:val="22"/>
              </w:rPr>
            </w:pPr>
            <w:r w:rsidRPr="00505482">
              <w:rPr>
                <w:rFonts w:asciiTheme="minorHAnsi" w:hAnsiTheme="minorHAnsi" w:cstheme="minorHAnsi"/>
                <w:bCs/>
                <w:sz w:val="22"/>
                <w:szCs w:val="22"/>
              </w:rPr>
              <w:t xml:space="preserve">Derivative financial </w:t>
            </w:r>
            <w:proofErr w:type="gramStart"/>
            <w:r w:rsidRPr="00505482">
              <w:rPr>
                <w:rFonts w:asciiTheme="minorHAnsi" w:hAnsiTheme="minorHAnsi" w:cstheme="minorHAnsi"/>
                <w:bCs/>
                <w:sz w:val="22"/>
                <w:szCs w:val="22"/>
              </w:rPr>
              <w:t>instruments:-</w:t>
            </w:r>
            <w:proofErr w:type="gramEnd"/>
          </w:p>
        </w:tc>
        <w:tc>
          <w:tcPr>
            <w:tcW w:w="1387" w:type="dxa"/>
            <w:shd w:val="clear" w:color="auto" w:fill="FFFF00"/>
            <w:vAlign w:val="bottom"/>
          </w:tcPr>
          <w:p w:rsidR="003C515A" w:rsidRPr="00505482" w:rsidRDefault="003C515A" w:rsidP="00010C77">
            <w:pPr>
              <w:tabs>
                <w:tab w:val="decimal" w:pos="689"/>
              </w:tabs>
              <w:ind w:left="-75" w:right="123"/>
              <w:jc w:val="right"/>
              <w:rPr>
                <w:rFonts w:asciiTheme="minorHAnsi" w:eastAsia="MS Mincho" w:hAnsiTheme="minorHAnsi" w:cstheme="minorHAnsi"/>
                <w:sz w:val="22"/>
                <w:szCs w:val="22"/>
              </w:rPr>
            </w:pPr>
          </w:p>
        </w:tc>
        <w:tc>
          <w:tcPr>
            <w:tcW w:w="1327" w:type="dxa"/>
            <w:shd w:val="clear" w:color="auto" w:fill="FFFF00"/>
            <w:vAlign w:val="bottom"/>
          </w:tcPr>
          <w:p w:rsidR="003C515A" w:rsidRPr="00505482" w:rsidRDefault="003C515A" w:rsidP="002754ED">
            <w:pPr>
              <w:tabs>
                <w:tab w:val="decimal" w:pos="689"/>
              </w:tabs>
              <w:jc w:val="right"/>
              <w:rPr>
                <w:rFonts w:asciiTheme="minorHAnsi" w:eastAsia="MS Mincho" w:hAnsiTheme="minorHAnsi" w:cstheme="minorHAnsi"/>
                <w:sz w:val="22"/>
                <w:szCs w:val="22"/>
              </w:rPr>
            </w:pPr>
          </w:p>
        </w:tc>
        <w:tc>
          <w:tcPr>
            <w:tcW w:w="1241" w:type="dxa"/>
          </w:tcPr>
          <w:p w:rsidR="003C515A" w:rsidRPr="00505482" w:rsidRDefault="003C515A" w:rsidP="002754ED">
            <w:pPr>
              <w:tabs>
                <w:tab w:val="decimal" w:pos="689"/>
              </w:tabs>
              <w:jc w:val="right"/>
              <w:rPr>
                <w:rFonts w:asciiTheme="minorHAnsi" w:eastAsia="MS Mincho" w:hAnsiTheme="minorHAnsi" w:cstheme="minorHAnsi"/>
                <w:sz w:val="22"/>
                <w:szCs w:val="22"/>
              </w:rPr>
            </w:pPr>
          </w:p>
        </w:tc>
        <w:tc>
          <w:tcPr>
            <w:tcW w:w="1369" w:type="dxa"/>
          </w:tcPr>
          <w:p w:rsidR="003C515A" w:rsidRPr="00505482" w:rsidRDefault="003C515A" w:rsidP="002754ED">
            <w:pPr>
              <w:tabs>
                <w:tab w:val="decimal" w:pos="689"/>
              </w:tabs>
              <w:jc w:val="right"/>
              <w:rPr>
                <w:rFonts w:asciiTheme="minorHAnsi" w:eastAsia="MS Mincho" w:hAnsiTheme="minorHAnsi" w:cstheme="minorHAnsi"/>
                <w:sz w:val="22"/>
                <w:szCs w:val="22"/>
              </w:rPr>
            </w:pPr>
          </w:p>
        </w:tc>
      </w:tr>
      <w:tr w:rsidR="003C515A" w:rsidRPr="00505482" w:rsidTr="00FB4EBF">
        <w:trPr>
          <w:trHeight w:val="216"/>
        </w:trPr>
        <w:tc>
          <w:tcPr>
            <w:tcW w:w="5701" w:type="dxa"/>
            <w:vAlign w:val="bottom"/>
            <w:hideMark/>
          </w:tcPr>
          <w:p w:rsidR="003C515A" w:rsidRPr="00505482" w:rsidRDefault="003C515A" w:rsidP="00C952D5">
            <w:pPr>
              <w:tabs>
                <w:tab w:val="left" w:leader="dot" w:pos="6804"/>
              </w:tabs>
              <w:rPr>
                <w:rFonts w:asciiTheme="minorHAnsi" w:eastAsia="MS Mincho" w:hAnsiTheme="minorHAnsi" w:cstheme="minorHAnsi"/>
                <w:sz w:val="22"/>
                <w:szCs w:val="22"/>
              </w:rPr>
            </w:pPr>
            <w:r w:rsidRPr="00505482">
              <w:rPr>
                <w:rFonts w:asciiTheme="minorHAnsi" w:hAnsiTheme="minorHAnsi" w:cstheme="minorHAnsi"/>
                <w:bCs/>
                <w:sz w:val="22"/>
                <w:szCs w:val="22"/>
              </w:rPr>
              <w:t xml:space="preserve">- </w:t>
            </w:r>
            <w:r w:rsidRPr="00505482">
              <w:rPr>
                <w:rFonts w:asciiTheme="minorHAnsi" w:hAnsiTheme="minorHAnsi" w:cstheme="minorHAnsi"/>
                <w:sz w:val="22"/>
                <w:szCs w:val="22"/>
              </w:rPr>
              <w:t>U.S. dollar currency forward contracts</w:t>
            </w:r>
          </w:p>
        </w:tc>
        <w:tc>
          <w:tcPr>
            <w:tcW w:w="1387" w:type="dxa"/>
            <w:shd w:val="clear" w:color="auto" w:fill="FFFF00"/>
            <w:vAlign w:val="bottom"/>
          </w:tcPr>
          <w:p w:rsidR="003C515A" w:rsidRPr="00505482" w:rsidRDefault="00146123" w:rsidP="00072C2D">
            <w:pP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40.8</w:t>
            </w:r>
          </w:p>
        </w:tc>
        <w:tc>
          <w:tcPr>
            <w:tcW w:w="1327" w:type="dxa"/>
            <w:shd w:val="clear" w:color="auto" w:fill="FFFF00"/>
            <w:vAlign w:val="bottom"/>
          </w:tcPr>
          <w:p w:rsidR="003C515A" w:rsidRPr="00505482" w:rsidRDefault="00146123" w:rsidP="00072C2D">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40.8</w:t>
            </w:r>
          </w:p>
        </w:tc>
        <w:tc>
          <w:tcPr>
            <w:tcW w:w="1241" w:type="dxa"/>
          </w:tcPr>
          <w:p w:rsidR="003C515A" w:rsidRPr="00505482" w:rsidRDefault="00FB4EB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w:t>
            </w:r>
            <w:r w:rsidR="00526BDF">
              <w:rPr>
                <w:rFonts w:asciiTheme="minorHAnsi" w:eastAsia="MS Mincho" w:hAnsiTheme="minorHAnsi" w:cstheme="minorHAnsi"/>
                <w:sz w:val="22"/>
                <w:szCs w:val="22"/>
              </w:rPr>
              <w:t>24</w:t>
            </w:r>
            <w:r>
              <w:rPr>
                <w:rFonts w:asciiTheme="minorHAnsi" w:eastAsia="MS Mincho" w:hAnsiTheme="minorHAnsi" w:cstheme="minorHAnsi"/>
                <w:sz w:val="22"/>
                <w:szCs w:val="22"/>
              </w:rPr>
              <w:t>.</w:t>
            </w:r>
            <w:r w:rsidR="00526BDF">
              <w:rPr>
                <w:rFonts w:asciiTheme="minorHAnsi" w:eastAsia="MS Mincho" w:hAnsiTheme="minorHAnsi" w:cstheme="minorHAnsi"/>
                <w:sz w:val="22"/>
                <w:szCs w:val="22"/>
              </w:rPr>
              <w:t>9</w:t>
            </w:r>
          </w:p>
        </w:tc>
        <w:tc>
          <w:tcPr>
            <w:tcW w:w="1369" w:type="dxa"/>
          </w:tcPr>
          <w:p w:rsidR="003C515A" w:rsidRPr="00505482" w:rsidRDefault="00FB4EB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w:t>
            </w:r>
            <w:r w:rsidR="00526BDF">
              <w:rPr>
                <w:rFonts w:asciiTheme="minorHAnsi" w:eastAsia="MS Mincho" w:hAnsiTheme="minorHAnsi" w:cstheme="minorHAnsi"/>
                <w:sz w:val="22"/>
                <w:szCs w:val="22"/>
              </w:rPr>
              <w:t>24</w:t>
            </w:r>
            <w:r>
              <w:rPr>
                <w:rFonts w:asciiTheme="minorHAnsi" w:eastAsia="MS Mincho" w:hAnsiTheme="minorHAnsi" w:cstheme="minorHAnsi"/>
                <w:sz w:val="22"/>
                <w:szCs w:val="22"/>
              </w:rPr>
              <w:t>.</w:t>
            </w:r>
            <w:r w:rsidR="00526BDF">
              <w:rPr>
                <w:rFonts w:asciiTheme="minorHAnsi" w:eastAsia="MS Mincho" w:hAnsiTheme="minorHAnsi" w:cstheme="minorHAnsi"/>
                <w:sz w:val="22"/>
                <w:szCs w:val="22"/>
              </w:rPr>
              <w:t>9</w:t>
            </w:r>
          </w:p>
        </w:tc>
      </w:tr>
      <w:tr w:rsidR="003C515A" w:rsidRPr="00505482" w:rsidTr="00FB4EBF">
        <w:trPr>
          <w:trHeight w:val="216"/>
        </w:trPr>
        <w:tc>
          <w:tcPr>
            <w:tcW w:w="5701" w:type="dxa"/>
            <w:vAlign w:val="bottom"/>
          </w:tcPr>
          <w:p w:rsidR="003C515A" w:rsidRPr="00505482" w:rsidRDefault="003C515A" w:rsidP="00C952D5">
            <w:pPr>
              <w:tabs>
                <w:tab w:val="left" w:leader="dot" w:pos="6804"/>
              </w:tabs>
              <w:rPr>
                <w:rFonts w:asciiTheme="minorHAnsi" w:hAnsiTheme="minorHAnsi" w:cstheme="minorHAnsi"/>
                <w:bCs/>
                <w:sz w:val="22"/>
                <w:szCs w:val="22"/>
              </w:rPr>
            </w:pPr>
            <w:r w:rsidRPr="00505482">
              <w:rPr>
                <w:rFonts w:asciiTheme="minorHAnsi" w:hAnsiTheme="minorHAnsi" w:cstheme="minorHAnsi"/>
                <w:bCs/>
                <w:sz w:val="22"/>
                <w:szCs w:val="22"/>
              </w:rPr>
              <w:t xml:space="preserve">- </w:t>
            </w:r>
            <w:r w:rsidRPr="00505482">
              <w:rPr>
                <w:rFonts w:asciiTheme="minorHAnsi" w:hAnsiTheme="minorHAnsi" w:cstheme="minorHAnsi"/>
                <w:sz w:val="22"/>
                <w:szCs w:val="22"/>
              </w:rPr>
              <w:t>Jet fuel derivative contracts</w:t>
            </w:r>
          </w:p>
        </w:tc>
        <w:tc>
          <w:tcPr>
            <w:tcW w:w="1387" w:type="dxa"/>
            <w:shd w:val="clear" w:color="auto" w:fill="FFFF00"/>
            <w:vAlign w:val="bottom"/>
          </w:tcPr>
          <w:p w:rsidR="003C515A" w:rsidRPr="00505482" w:rsidRDefault="00146123" w:rsidP="00FC08F3">
            <w:pP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w:t>
            </w:r>
          </w:p>
        </w:tc>
        <w:tc>
          <w:tcPr>
            <w:tcW w:w="1327" w:type="dxa"/>
            <w:shd w:val="clear" w:color="auto" w:fill="FFFF00"/>
            <w:vAlign w:val="bottom"/>
          </w:tcPr>
          <w:p w:rsidR="003C515A" w:rsidRPr="00505482" w:rsidRDefault="00146123" w:rsidP="00072C2D">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w:t>
            </w:r>
          </w:p>
        </w:tc>
        <w:tc>
          <w:tcPr>
            <w:tcW w:w="1241" w:type="dxa"/>
          </w:tcPr>
          <w:p w:rsidR="003C515A" w:rsidRPr="00505482" w:rsidRDefault="00526BD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58.2</w:t>
            </w:r>
          </w:p>
        </w:tc>
        <w:tc>
          <w:tcPr>
            <w:tcW w:w="1369" w:type="dxa"/>
          </w:tcPr>
          <w:p w:rsidR="003C515A" w:rsidRPr="00505482" w:rsidRDefault="00526BD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58.2</w:t>
            </w:r>
          </w:p>
        </w:tc>
      </w:tr>
      <w:tr w:rsidR="003C515A" w:rsidRPr="00505482" w:rsidTr="00FB4EBF">
        <w:trPr>
          <w:trHeight w:val="216"/>
        </w:trPr>
        <w:tc>
          <w:tcPr>
            <w:tcW w:w="5701" w:type="dxa"/>
            <w:vAlign w:val="bottom"/>
            <w:hideMark/>
          </w:tcPr>
          <w:p w:rsidR="003C515A" w:rsidRPr="00505482" w:rsidRDefault="003C515A" w:rsidP="00C952D5">
            <w:pPr>
              <w:tabs>
                <w:tab w:val="left" w:leader="dot" w:pos="6804"/>
              </w:tabs>
              <w:ind w:right="-90"/>
              <w:rPr>
                <w:rFonts w:asciiTheme="minorHAnsi" w:eastAsia="MS Mincho" w:hAnsiTheme="minorHAnsi" w:cstheme="minorHAnsi"/>
                <w:bCs/>
                <w:sz w:val="22"/>
                <w:szCs w:val="22"/>
              </w:rPr>
            </w:pPr>
            <w:r w:rsidRPr="00505482">
              <w:rPr>
                <w:rFonts w:asciiTheme="minorHAnsi" w:hAnsiTheme="minorHAnsi" w:cstheme="minorHAnsi"/>
                <w:bCs/>
                <w:sz w:val="22"/>
                <w:szCs w:val="22"/>
              </w:rPr>
              <w:t>- Interest rate swaps</w:t>
            </w:r>
          </w:p>
        </w:tc>
        <w:tc>
          <w:tcPr>
            <w:tcW w:w="1387" w:type="dxa"/>
            <w:shd w:val="clear" w:color="auto" w:fill="FFFF00"/>
            <w:vAlign w:val="bottom"/>
          </w:tcPr>
          <w:p w:rsidR="003C515A" w:rsidRPr="00505482" w:rsidRDefault="00146123" w:rsidP="00072C2D">
            <w:pPr>
              <w:pBdr>
                <w:bottom w:val="single" w:sz="4" w:space="1" w:color="auto"/>
              </w:pBd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0.9</w:t>
            </w:r>
          </w:p>
        </w:tc>
        <w:tc>
          <w:tcPr>
            <w:tcW w:w="1327" w:type="dxa"/>
            <w:shd w:val="clear" w:color="auto" w:fill="FFFF00"/>
            <w:vAlign w:val="bottom"/>
          </w:tcPr>
          <w:p w:rsidR="003C515A" w:rsidRPr="00505482" w:rsidRDefault="00146123" w:rsidP="00072C2D">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0.9</w:t>
            </w:r>
          </w:p>
        </w:tc>
        <w:tc>
          <w:tcPr>
            <w:tcW w:w="1241" w:type="dxa"/>
          </w:tcPr>
          <w:p w:rsidR="003C515A" w:rsidRPr="00505482" w:rsidRDefault="00526BDF" w:rsidP="00ED04B5">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3.2</w:t>
            </w:r>
          </w:p>
        </w:tc>
        <w:tc>
          <w:tcPr>
            <w:tcW w:w="1369" w:type="dxa"/>
          </w:tcPr>
          <w:p w:rsidR="003C515A" w:rsidRPr="00505482" w:rsidRDefault="00526BDF" w:rsidP="00ED04B5">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3.2</w:t>
            </w:r>
          </w:p>
        </w:tc>
      </w:tr>
      <w:tr w:rsidR="003C515A" w:rsidRPr="00505482" w:rsidTr="00FB4EBF">
        <w:trPr>
          <w:trHeight w:val="216"/>
        </w:trPr>
        <w:tc>
          <w:tcPr>
            <w:tcW w:w="5701" w:type="dxa"/>
            <w:vAlign w:val="bottom"/>
          </w:tcPr>
          <w:p w:rsidR="003C515A" w:rsidRPr="00505482" w:rsidRDefault="003C515A" w:rsidP="002754ED">
            <w:pPr>
              <w:tabs>
                <w:tab w:val="left" w:leader="dot" w:pos="6804"/>
              </w:tabs>
              <w:rPr>
                <w:rFonts w:asciiTheme="minorHAnsi" w:eastAsia="MS Mincho" w:hAnsiTheme="minorHAnsi" w:cstheme="minorHAnsi"/>
                <w:sz w:val="22"/>
                <w:szCs w:val="22"/>
              </w:rPr>
            </w:pPr>
          </w:p>
        </w:tc>
        <w:tc>
          <w:tcPr>
            <w:tcW w:w="1387" w:type="dxa"/>
            <w:shd w:val="clear" w:color="auto" w:fill="FFFF00"/>
            <w:vAlign w:val="bottom"/>
          </w:tcPr>
          <w:p w:rsidR="003C515A" w:rsidRPr="00505482" w:rsidRDefault="00146123" w:rsidP="00072C2D">
            <w:pP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41.7</w:t>
            </w:r>
          </w:p>
        </w:tc>
        <w:tc>
          <w:tcPr>
            <w:tcW w:w="1327" w:type="dxa"/>
            <w:shd w:val="clear" w:color="auto" w:fill="FFFF00"/>
            <w:vAlign w:val="bottom"/>
          </w:tcPr>
          <w:p w:rsidR="003C515A" w:rsidRPr="00505482" w:rsidRDefault="00146123" w:rsidP="00072C2D">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41.7</w:t>
            </w:r>
          </w:p>
        </w:tc>
        <w:tc>
          <w:tcPr>
            <w:tcW w:w="1241" w:type="dxa"/>
          </w:tcPr>
          <w:p w:rsidR="003C515A" w:rsidRPr="00505482" w:rsidRDefault="00FB4EB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w:t>
            </w:r>
            <w:r w:rsidR="00526BDF">
              <w:rPr>
                <w:rFonts w:asciiTheme="minorHAnsi" w:eastAsia="MS Mincho" w:hAnsiTheme="minorHAnsi" w:cstheme="minorHAnsi"/>
                <w:sz w:val="22"/>
                <w:szCs w:val="22"/>
              </w:rPr>
              <w:t>86</w:t>
            </w:r>
            <w:r>
              <w:rPr>
                <w:rFonts w:asciiTheme="minorHAnsi" w:eastAsia="MS Mincho" w:hAnsiTheme="minorHAnsi" w:cstheme="minorHAnsi"/>
                <w:sz w:val="22"/>
                <w:szCs w:val="22"/>
              </w:rPr>
              <w:t>.</w:t>
            </w:r>
            <w:r w:rsidR="00526BDF">
              <w:rPr>
                <w:rFonts w:asciiTheme="minorHAnsi" w:eastAsia="MS Mincho" w:hAnsiTheme="minorHAnsi" w:cstheme="minorHAnsi"/>
                <w:sz w:val="22"/>
                <w:szCs w:val="22"/>
              </w:rPr>
              <w:t>3</w:t>
            </w:r>
          </w:p>
        </w:tc>
        <w:tc>
          <w:tcPr>
            <w:tcW w:w="1369" w:type="dxa"/>
          </w:tcPr>
          <w:p w:rsidR="003C515A" w:rsidRPr="00505482" w:rsidRDefault="00FB4EB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w:t>
            </w:r>
            <w:r w:rsidR="00526BDF">
              <w:rPr>
                <w:rFonts w:asciiTheme="minorHAnsi" w:eastAsia="MS Mincho" w:hAnsiTheme="minorHAnsi" w:cstheme="minorHAnsi"/>
                <w:sz w:val="22"/>
                <w:szCs w:val="22"/>
              </w:rPr>
              <w:t>86</w:t>
            </w:r>
            <w:r>
              <w:rPr>
                <w:rFonts w:asciiTheme="minorHAnsi" w:eastAsia="MS Mincho" w:hAnsiTheme="minorHAnsi" w:cstheme="minorHAnsi"/>
                <w:sz w:val="22"/>
                <w:szCs w:val="22"/>
              </w:rPr>
              <w:t>.</w:t>
            </w:r>
            <w:r w:rsidR="00526BDF">
              <w:rPr>
                <w:rFonts w:asciiTheme="minorHAnsi" w:eastAsia="MS Mincho" w:hAnsiTheme="minorHAnsi" w:cstheme="minorHAnsi"/>
                <w:sz w:val="22"/>
                <w:szCs w:val="22"/>
              </w:rPr>
              <w:t>3</w:t>
            </w:r>
          </w:p>
        </w:tc>
      </w:tr>
      <w:tr w:rsidR="003C515A" w:rsidRPr="00505482" w:rsidTr="00FB4EBF">
        <w:trPr>
          <w:trHeight w:val="216"/>
        </w:trPr>
        <w:tc>
          <w:tcPr>
            <w:tcW w:w="5701" w:type="dxa"/>
            <w:vAlign w:val="bottom"/>
            <w:hideMark/>
          </w:tcPr>
          <w:p w:rsidR="003C515A" w:rsidRPr="00505482" w:rsidRDefault="003C515A" w:rsidP="00C952D5">
            <w:pPr>
              <w:tabs>
                <w:tab w:val="left" w:leader="dot" w:pos="6804"/>
              </w:tabs>
              <w:rPr>
                <w:rFonts w:asciiTheme="minorHAnsi" w:eastAsia="MS Mincho" w:hAnsiTheme="minorHAnsi" w:cstheme="minorHAnsi"/>
                <w:sz w:val="22"/>
                <w:szCs w:val="22"/>
              </w:rPr>
            </w:pPr>
            <w:r w:rsidRPr="00505482">
              <w:rPr>
                <w:rFonts w:asciiTheme="minorHAnsi" w:hAnsiTheme="minorHAnsi" w:cstheme="minorHAnsi"/>
                <w:sz w:val="22"/>
                <w:szCs w:val="22"/>
              </w:rPr>
              <w:t>Trade receivables*</w:t>
            </w:r>
          </w:p>
        </w:tc>
        <w:tc>
          <w:tcPr>
            <w:tcW w:w="1387" w:type="dxa"/>
            <w:shd w:val="clear" w:color="auto" w:fill="FFFF00"/>
            <w:vAlign w:val="bottom"/>
          </w:tcPr>
          <w:p w:rsidR="003C515A" w:rsidRPr="00505482" w:rsidRDefault="00146123" w:rsidP="00072C2D">
            <w:pP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61.2</w:t>
            </w:r>
          </w:p>
        </w:tc>
        <w:tc>
          <w:tcPr>
            <w:tcW w:w="1327" w:type="dxa"/>
            <w:shd w:val="clear" w:color="auto" w:fill="FFFF00"/>
            <w:vAlign w:val="bottom"/>
          </w:tcPr>
          <w:p w:rsidR="003C515A" w:rsidRPr="00505482" w:rsidRDefault="003C515A" w:rsidP="001D2CA7">
            <w:pPr>
              <w:tabs>
                <w:tab w:val="decimal" w:pos="689"/>
              </w:tabs>
              <w:jc w:val="right"/>
              <w:rPr>
                <w:rFonts w:asciiTheme="minorHAnsi" w:eastAsia="MS Mincho" w:hAnsiTheme="minorHAnsi" w:cstheme="minorHAnsi"/>
                <w:sz w:val="22"/>
                <w:szCs w:val="22"/>
              </w:rPr>
            </w:pPr>
          </w:p>
        </w:tc>
        <w:tc>
          <w:tcPr>
            <w:tcW w:w="1241" w:type="dxa"/>
          </w:tcPr>
          <w:p w:rsidR="003C515A" w:rsidRPr="00505482" w:rsidRDefault="00526BD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54</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3</w:t>
            </w:r>
          </w:p>
        </w:tc>
        <w:tc>
          <w:tcPr>
            <w:tcW w:w="1369" w:type="dxa"/>
          </w:tcPr>
          <w:p w:rsidR="003C515A" w:rsidRPr="00505482" w:rsidRDefault="003C515A" w:rsidP="002754ED">
            <w:pPr>
              <w:tabs>
                <w:tab w:val="decimal" w:pos="689"/>
              </w:tabs>
              <w:jc w:val="right"/>
              <w:rPr>
                <w:rFonts w:asciiTheme="minorHAnsi" w:eastAsia="MS Mincho" w:hAnsiTheme="minorHAnsi" w:cstheme="minorHAnsi"/>
                <w:sz w:val="22"/>
                <w:szCs w:val="22"/>
              </w:rPr>
            </w:pPr>
          </w:p>
        </w:tc>
      </w:tr>
      <w:tr w:rsidR="003C515A" w:rsidRPr="00505482" w:rsidTr="00FB4EBF">
        <w:trPr>
          <w:trHeight w:val="216"/>
        </w:trPr>
        <w:tc>
          <w:tcPr>
            <w:tcW w:w="5701" w:type="dxa"/>
            <w:vAlign w:val="bottom"/>
            <w:hideMark/>
          </w:tcPr>
          <w:p w:rsidR="003C515A" w:rsidRPr="00505482" w:rsidRDefault="003C515A" w:rsidP="0084126B">
            <w:pPr>
              <w:tabs>
                <w:tab w:val="left" w:leader="dot" w:pos="6804"/>
              </w:tabs>
              <w:rPr>
                <w:rFonts w:asciiTheme="minorHAnsi" w:eastAsia="MS Mincho" w:hAnsiTheme="minorHAnsi" w:cstheme="minorHAnsi"/>
                <w:sz w:val="22"/>
                <w:szCs w:val="22"/>
              </w:rPr>
            </w:pPr>
            <w:r w:rsidRPr="00505482">
              <w:rPr>
                <w:rFonts w:asciiTheme="minorHAnsi" w:hAnsiTheme="minorHAnsi" w:cstheme="minorHAnsi"/>
                <w:sz w:val="22"/>
                <w:szCs w:val="22"/>
              </w:rPr>
              <w:t xml:space="preserve">Cash and </w:t>
            </w:r>
            <w:r w:rsidRPr="00505482">
              <w:rPr>
                <w:rFonts w:asciiTheme="minorHAnsi" w:hAnsiTheme="minorHAnsi" w:cstheme="minorHAnsi"/>
                <w:bCs/>
                <w:sz w:val="22"/>
                <w:szCs w:val="22"/>
              </w:rPr>
              <w:t>cash</w:t>
            </w:r>
            <w:r w:rsidRPr="00505482">
              <w:rPr>
                <w:rFonts w:asciiTheme="minorHAnsi" w:hAnsiTheme="minorHAnsi" w:cstheme="minorHAnsi"/>
                <w:sz w:val="22"/>
                <w:szCs w:val="22"/>
              </w:rPr>
              <w:t xml:space="preserve"> equivalents*</w:t>
            </w:r>
          </w:p>
        </w:tc>
        <w:tc>
          <w:tcPr>
            <w:tcW w:w="1387" w:type="dxa"/>
            <w:shd w:val="clear" w:color="auto" w:fill="FFFF00"/>
            <w:vAlign w:val="bottom"/>
          </w:tcPr>
          <w:p w:rsidR="003C515A" w:rsidRPr="00505482" w:rsidRDefault="00146123" w:rsidP="00072C2D">
            <w:pP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1,034.3</w:t>
            </w:r>
          </w:p>
        </w:tc>
        <w:tc>
          <w:tcPr>
            <w:tcW w:w="1327" w:type="dxa"/>
            <w:shd w:val="clear" w:color="auto" w:fill="FFFF00"/>
            <w:vAlign w:val="bottom"/>
          </w:tcPr>
          <w:p w:rsidR="003C515A" w:rsidRPr="00505482" w:rsidRDefault="003C515A" w:rsidP="00C23165">
            <w:pPr>
              <w:tabs>
                <w:tab w:val="decimal" w:pos="689"/>
              </w:tabs>
              <w:jc w:val="right"/>
              <w:rPr>
                <w:rFonts w:asciiTheme="minorHAnsi" w:eastAsia="MS Mincho" w:hAnsiTheme="minorHAnsi" w:cstheme="minorHAnsi"/>
                <w:sz w:val="22"/>
                <w:szCs w:val="22"/>
              </w:rPr>
            </w:pPr>
          </w:p>
        </w:tc>
        <w:tc>
          <w:tcPr>
            <w:tcW w:w="1241" w:type="dxa"/>
          </w:tcPr>
          <w:p w:rsidR="003C515A" w:rsidRPr="00505482" w:rsidRDefault="00FB4EB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1,2</w:t>
            </w:r>
            <w:r w:rsidR="00526BDF">
              <w:rPr>
                <w:rFonts w:asciiTheme="minorHAnsi" w:eastAsia="MS Mincho" w:hAnsiTheme="minorHAnsi" w:cstheme="minorHAnsi"/>
                <w:sz w:val="22"/>
                <w:szCs w:val="22"/>
              </w:rPr>
              <w:t>24</w:t>
            </w:r>
            <w:r>
              <w:rPr>
                <w:rFonts w:asciiTheme="minorHAnsi" w:eastAsia="MS Mincho" w:hAnsiTheme="minorHAnsi" w:cstheme="minorHAnsi"/>
                <w:sz w:val="22"/>
                <w:szCs w:val="22"/>
              </w:rPr>
              <w:t>.</w:t>
            </w:r>
            <w:r w:rsidR="00526BDF">
              <w:rPr>
                <w:rFonts w:asciiTheme="minorHAnsi" w:eastAsia="MS Mincho" w:hAnsiTheme="minorHAnsi" w:cstheme="minorHAnsi"/>
                <w:sz w:val="22"/>
                <w:szCs w:val="22"/>
              </w:rPr>
              <w:t>0</w:t>
            </w:r>
          </w:p>
        </w:tc>
        <w:tc>
          <w:tcPr>
            <w:tcW w:w="1369" w:type="dxa"/>
          </w:tcPr>
          <w:p w:rsidR="003C515A" w:rsidRPr="00505482" w:rsidRDefault="003C515A" w:rsidP="002754ED">
            <w:pPr>
              <w:tabs>
                <w:tab w:val="decimal" w:pos="689"/>
              </w:tabs>
              <w:jc w:val="right"/>
              <w:rPr>
                <w:rFonts w:asciiTheme="minorHAnsi" w:eastAsia="MS Mincho" w:hAnsiTheme="minorHAnsi" w:cstheme="minorHAnsi"/>
                <w:sz w:val="22"/>
                <w:szCs w:val="22"/>
              </w:rPr>
            </w:pPr>
          </w:p>
        </w:tc>
      </w:tr>
      <w:tr w:rsidR="003C515A" w:rsidRPr="00505482" w:rsidTr="00FB4EBF">
        <w:trPr>
          <w:trHeight w:val="230"/>
        </w:trPr>
        <w:tc>
          <w:tcPr>
            <w:tcW w:w="5701" w:type="dxa"/>
            <w:vAlign w:val="bottom"/>
            <w:hideMark/>
          </w:tcPr>
          <w:p w:rsidR="003C515A" w:rsidRPr="00505482" w:rsidRDefault="003C515A" w:rsidP="00ED04B5">
            <w:pPr>
              <w:tabs>
                <w:tab w:val="left" w:leader="dot" w:pos="6804"/>
              </w:tabs>
              <w:rPr>
                <w:rFonts w:asciiTheme="minorHAnsi" w:eastAsia="MS Mincho" w:hAnsiTheme="minorHAnsi" w:cstheme="minorHAnsi"/>
                <w:sz w:val="22"/>
                <w:szCs w:val="22"/>
              </w:rPr>
            </w:pPr>
            <w:r w:rsidRPr="00505482">
              <w:rPr>
                <w:rFonts w:asciiTheme="minorHAnsi" w:hAnsiTheme="minorHAnsi" w:cstheme="minorHAnsi"/>
                <w:sz w:val="22"/>
                <w:szCs w:val="22"/>
              </w:rPr>
              <w:t xml:space="preserve">Financial asset: cash &gt; </w:t>
            </w:r>
            <w:r w:rsidR="00ED04B5">
              <w:rPr>
                <w:rFonts w:asciiTheme="minorHAnsi" w:hAnsiTheme="minorHAnsi" w:cstheme="minorHAnsi"/>
                <w:sz w:val="22"/>
                <w:szCs w:val="22"/>
              </w:rPr>
              <w:t>3</w:t>
            </w:r>
            <w:r w:rsidRPr="00505482">
              <w:rPr>
                <w:rFonts w:asciiTheme="minorHAnsi" w:hAnsiTheme="minorHAnsi" w:cstheme="minorHAnsi"/>
                <w:sz w:val="22"/>
                <w:szCs w:val="22"/>
              </w:rPr>
              <w:t xml:space="preserve"> months*</w:t>
            </w:r>
          </w:p>
        </w:tc>
        <w:tc>
          <w:tcPr>
            <w:tcW w:w="1387" w:type="dxa"/>
            <w:shd w:val="clear" w:color="auto" w:fill="FFFF00"/>
            <w:vAlign w:val="bottom"/>
          </w:tcPr>
          <w:p w:rsidR="003C515A" w:rsidRPr="00505482" w:rsidRDefault="00146123" w:rsidP="00072C2D">
            <w:pP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3,140.6</w:t>
            </w:r>
          </w:p>
        </w:tc>
        <w:tc>
          <w:tcPr>
            <w:tcW w:w="1327" w:type="dxa"/>
            <w:shd w:val="clear" w:color="auto" w:fill="FFFF00"/>
            <w:vAlign w:val="bottom"/>
          </w:tcPr>
          <w:p w:rsidR="003C515A" w:rsidRPr="00505482" w:rsidRDefault="003C515A" w:rsidP="00AB4151">
            <w:pPr>
              <w:tabs>
                <w:tab w:val="decimal" w:pos="689"/>
              </w:tabs>
              <w:jc w:val="right"/>
              <w:rPr>
                <w:rFonts w:asciiTheme="minorHAnsi" w:eastAsia="MS Mincho" w:hAnsiTheme="minorHAnsi" w:cstheme="minorHAnsi"/>
                <w:sz w:val="22"/>
                <w:szCs w:val="22"/>
              </w:rPr>
            </w:pPr>
          </w:p>
        </w:tc>
        <w:tc>
          <w:tcPr>
            <w:tcW w:w="1241" w:type="dxa"/>
          </w:tcPr>
          <w:p w:rsidR="003C515A" w:rsidRPr="00505482" w:rsidRDefault="00526BD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904</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5</w:t>
            </w:r>
          </w:p>
        </w:tc>
        <w:tc>
          <w:tcPr>
            <w:tcW w:w="1369" w:type="dxa"/>
          </w:tcPr>
          <w:p w:rsidR="003C515A" w:rsidRPr="00505482" w:rsidRDefault="003C515A" w:rsidP="002754ED">
            <w:pPr>
              <w:tabs>
                <w:tab w:val="decimal" w:pos="689"/>
              </w:tabs>
              <w:jc w:val="right"/>
              <w:rPr>
                <w:rFonts w:asciiTheme="minorHAnsi" w:eastAsia="MS Mincho" w:hAnsiTheme="minorHAnsi" w:cstheme="minorHAnsi"/>
                <w:sz w:val="22"/>
                <w:szCs w:val="22"/>
              </w:rPr>
            </w:pPr>
          </w:p>
        </w:tc>
      </w:tr>
      <w:tr w:rsidR="003C515A" w:rsidRPr="00505482" w:rsidTr="00FB4EBF">
        <w:trPr>
          <w:trHeight w:val="230"/>
        </w:trPr>
        <w:tc>
          <w:tcPr>
            <w:tcW w:w="5701" w:type="dxa"/>
            <w:vAlign w:val="bottom"/>
            <w:hideMark/>
          </w:tcPr>
          <w:p w:rsidR="003C515A" w:rsidRPr="00505482" w:rsidRDefault="003C515A" w:rsidP="00C952D5">
            <w:pPr>
              <w:tabs>
                <w:tab w:val="left" w:leader="dot" w:pos="6804"/>
              </w:tabs>
              <w:rPr>
                <w:rFonts w:asciiTheme="minorHAnsi" w:eastAsia="MS Mincho" w:hAnsiTheme="minorHAnsi" w:cstheme="minorHAnsi"/>
                <w:sz w:val="22"/>
                <w:szCs w:val="22"/>
              </w:rPr>
            </w:pPr>
            <w:r w:rsidRPr="00505482">
              <w:rPr>
                <w:rFonts w:asciiTheme="minorHAnsi" w:hAnsiTheme="minorHAnsi" w:cstheme="minorHAnsi"/>
                <w:sz w:val="22"/>
                <w:szCs w:val="22"/>
              </w:rPr>
              <w:lastRenderedPageBreak/>
              <w:t>Restricted cash*</w:t>
            </w:r>
          </w:p>
        </w:tc>
        <w:tc>
          <w:tcPr>
            <w:tcW w:w="1387" w:type="dxa"/>
            <w:shd w:val="clear" w:color="auto" w:fill="FFFF00"/>
            <w:vAlign w:val="bottom"/>
          </w:tcPr>
          <w:p w:rsidR="003C515A" w:rsidRPr="00505482" w:rsidRDefault="00146123" w:rsidP="00072C2D">
            <w:pP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11.8</w:t>
            </w:r>
          </w:p>
        </w:tc>
        <w:tc>
          <w:tcPr>
            <w:tcW w:w="1327" w:type="dxa"/>
            <w:shd w:val="clear" w:color="auto" w:fill="FFFF00"/>
            <w:vAlign w:val="bottom"/>
          </w:tcPr>
          <w:p w:rsidR="003C515A" w:rsidRPr="00505482" w:rsidRDefault="003C515A" w:rsidP="001D2CA7">
            <w:pPr>
              <w:tabs>
                <w:tab w:val="decimal" w:pos="689"/>
              </w:tabs>
              <w:jc w:val="right"/>
              <w:rPr>
                <w:rFonts w:asciiTheme="minorHAnsi" w:eastAsia="MS Mincho" w:hAnsiTheme="minorHAnsi" w:cstheme="minorHAnsi"/>
                <w:sz w:val="22"/>
                <w:szCs w:val="22"/>
              </w:rPr>
            </w:pPr>
          </w:p>
        </w:tc>
        <w:tc>
          <w:tcPr>
            <w:tcW w:w="1241" w:type="dxa"/>
          </w:tcPr>
          <w:p w:rsidR="003C515A" w:rsidRPr="00505482" w:rsidRDefault="00FB4EBF" w:rsidP="00ED04B5">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1</w:t>
            </w:r>
            <w:r w:rsidR="00526BDF">
              <w:rPr>
                <w:rFonts w:asciiTheme="minorHAnsi" w:eastAsia="MS Mincho" w:hAnsiTheme="minorHAnsi" w:cstheme="minorHAnsi"/>
                <w:sz w:val="22"/>
                <w:szCs w:val="22"/>
              </w:rPr>
              <w:t>1</w:t>
            </w:r>
            <w:r>
              <w:rPr>
                <w:rFonts w:asciiTheme="minorHAnsi" w:eastAsia="MS Mincho" w:hAnsiTheme="minorHAnsi" w:cstheme="minorHAnsi"/>
                <w:sz w:val="22"/>
                <w:szCs w:val="22"/>
              </w:rPr>
              <w:t>.</w:t>
            </w:r>
            <w:r w:rsidR="00526BDF">
              <w:rPr>
                <w:rFonts w:asciiTheme="minorHAnsi" w:eastAsia="MS Mincho" w:hAnsiTheme="minorHAnsi" w:cstheme="minorHAnsi"/>
                <w:sz w:val="22"/>
                <w:szCs w:val="22"/>
              </w:rPr>
              <w:t>8</w:t>
            </w:r>
          </w:p>
        </w:tc>
        <w:tc>
          <w:tcPr>
            <w:tcW w:w="1369" w:type="dxa"/>
          </w:tcPr>
          <w:p w:rsidR="003C515A" w:rsidRPr="00505482" w:rsidRDefault="003C515A" w:rsidP="002754ED">
            <w:pPr>
              <w:tabs>
                <w:tab w:val="decimal" w:pos="689"/>
              </w:tabs>
              <w:jc w:val="right"/>
              <w:rPr>
                <w:rFonts w:asciiTheme="minorHAnsi" w:eastAsia="MS Mincho" w:hAnsiTheme="minorHAnsi" w:cstheme="minorHAnsi"/>
                <w:sz w:val="22"/>
                <w:szCs w:val="22"/>
              </w:rPr>
            </w:pPr>
          </w:p>
        </w:tc>
      </w:tr>
      <w:tr w:rsidR="003C515A" w:rsidRPr="00505482" w:rsidTr="00FB4EBF">
        <w:trPr>
          <w:trHeight w:val="216"/>
        </w:trPr>
        <w:tc>
          <w:tcPr>
            <w:tcW w:w="5701" w:type="dxa"/>
            <w:vAlign w:val="bottom"/>
            <w:hideMark/>
          </w:tcPr>
          <w:p w:rsidR="003C515A" w:rsidRPr="00505482" w:rsidRDefault="003C515A" w:rsidP="00C952D5">
            <w:pPr>
              <w:tabs>
                <w:tab w:val="left" w:leader="dot" w:pos="6804"/>
              </w:tabs>
              <w:rPr>
                <w:rFonts w:asciiTheme="minorHAnsi" w:eastAsia="MS Mincho" w:hAnsiTheme="minorHAnsi" w:cstheme="minorHAnsi"/>
                <w:sz w:val="22"/>
                <w:szCs w:val="22"/>
              </w:rPr>
            </w:pPr>
            <w:r w:rsidRPr="00505482">
              <w:rPr>
                <w:rFonts w:asciiTheme="minorHAnsi" w:hAnsiTheme="minorHAnsi" w:cstheme="minorHAnsi"/>
                <w:sz w:val="22"/>
                <w:szCs w:val="22"/>
              </w:rPr>
              <w:t>Other assets*</w:t>
            </w:r>
          </w:p>
        </w:tc>
        <w:tc>
          <w:tcPr>
            <w:tcW w:w="1387" w:type="dxa"/>
            <w:shd w:val="clear" w:color="auto" w:fill="FFFF00"/>
            <w:vAlign w:val="bottom"/>
          </w:tcPr>
          <w:p w:rsidR="003C515A" w:rsidRPr="00505482" w:rsidRDefault="00146123" w:rsidP="00072C2D">
            <w:pPr>
              <w:pBdr>
                <w:bottom w:val="single" w:sz="4" w:space="1" w:color="auto"/>
              </w:pBd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1.0</w:t>
            </w:r>
          </w:p>
        </w:tc>
        <w:tc>
          <w:tcPr>
            <w:tcW w:w="1327" w:type="dxa"/>
            <w:shd w:val="clear" w:color="auto" w:fill="FFFF00"/>
            <w:vAlign w:val="bottom"/>
          </w:tcPr>
          <w:p w:rsidR="003C515A" w:rsidRPr="00505482" w:rsidRDefault="003C515A" w:rsidP="001D2CA7">
            <w:pPr>
              <w:pBdr>
                <w:bottom w:val="single" w:sz="4" w:space="1" w:color="auto"/>
              </w:pBdr>
              <w:tabs>
                <w:tab w:val="decimal" w:pos="689"/>
              </w:tabs>
              <w:jc w:val="right"/>
              <w:rPr>
                <w:rFonts w:asciiTheme="minorHAnsi" w:eastAsia="MS Mincho" w:hAnsiTheme="minorHAnsi" w:cstheme="minorHAnsi"/>
                <w:sz w:val="22"/>
                <w:szCs w:val="22"/>
              </w:rPr>
            </w:pPr>
          </w:p>
        </w:tc>
        <w:tc>
          <w:tcPr>
            <w:tcW w:w="1241" w:type="dxa"/>
          </w:tcPr>
          <w:p w:rsidR="003C515A" w:rsidRPr="00505482" w:rsidRDefault="00526BDF" w:rsidP="00ED04B5">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1</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0</w:t>
            </w:r>
          </w:p>
        </w:tc>
        <w:tc>
          <w:tcPr>
            <w:tcW w:w="1369" w:type="dxa"/>
          </w:tcPr>
          <w:p w:rsidR="003C515A" w:rsidRPr="00505482" w:rsidRDefault="003C515A" w:rsidP="002754ED">
            <w:pPr>
              <w:pBdr>
                <w:bottom w:val="single" w:sz="4" w:space="1" w:color="auto"/>
              </w:pBdr>
              <w:tabs>
                <w:tab w:val="decimal" w:pos="689"/>
              </w:tabs>
              <w:jc w:val="right"/>
              <w:rPr>
                <w:rFonts w:asciiTheme="minorHAnsi" w:eastAsia="MS Mincho" w:hAnsiTheme="minorHAnsi" w:cstheme="minorHAnsi"/>
                <w:sz w:val="22"/>
                <w:szCs w:val="22"/>
              </w:rPr>
            </w:pPr>
          </w:p>
        </w:tc>
      </w:tr>
      <w:tr w:rsidR="003C515A" w:rsidRPr="00505482" w:rsidTr="00FB4EBF">
        <w:trPr>
          <w:trHeight w:val="216"/>
        </w:trPr>
        <w:tc>
          <w:tcPr>
            <w:tcW w:w="5701" w:type="dxa"/>
            <w:vAlign w:val="bottom"/>
          </w:tcPr>
          <w:p w:rsidR="003C515A" w:rsidRPr="00505482" w:rsidRDefault="003C515A" w:rsidP="002754ED">
            <w:pPr>
              <w:tabs>
                <w:tab w:val="left" w:leader="dot" w:pos="6804"/>
              </w:tabs>
              <w:rPr>
                <w:rFonts w:asciiTheme="minorHAnsi" w:eastAsia="MS Mincho" w:hAnsiTheme="minorHAnsi" w:cstheme="minorHAnsi"/>
                <w:sz w:val="22"/>
                <w:szCs w:val="22"/>
              </w:rPr>
            </w:pPr>
          </w:p>
        </w:tc>
        <w:tc>
          <w:tcPr>
            <w:tcW w:w="1387" w:type="dxa"/>
            <w:shd w:val="clear" w:color="auto" w:fill="FFFF00"/>
            <w:vAlign w:val="bottom"/>
          </w:tcPr>
          <w:p w:rsidR="003C515A" w:rsidRPr="00505482" w:rsidRDefault="00146123" w:rsidP="00072C2D">
            <w:pPr>
              <w:pBdr>
                <w:bottom w:val="single" w:sz="4" w:space="1" w:color="auto"/>
              </w:pBd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4,290.6</w:t>
            </w:r>
          </w:p>
        </w:tc>
        <w:tc>
          <w:tcPr>
            <w:tcW w:w="1327" w:type="dxa"/>
            <w:shd w:val="clear" w:color="auto" w:fill="FFFF00"/>
            <w:vAlign w:val="bottom"/>
          </w:tcPr>
          <w:p w:rsidR="003C515A" w:rsidRPr="00505482" w:rsidRDefault="00146123" w:rsidP="00072C2D">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41.7</w:t>
            </w:r>
          </w:p>
        </w:tc>
        <w:tc>
          <w:tcPr>
            <w:tcW w:w="1241" w:type="dxa"/>
          </w:tcPr>
          <w:p w:rsidR="003C515A" w:rsidRPr="00505482" w:rsidRDefault="00FB4EBF" w:rsidP="00ED04B5">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4,</w:t>
            </w:r>
            <w:r w:rsidR="00526BDF">
              <w:rPr>
                <w:rFonts w:asciiTheme="minorHAnsi" w:eastAsia="MS Mincho" w:hAnsiTheme="minorHAnsi" w:cstheme="minorHAnsi"/>
                <w:sz w:val="22"/>
                <w:szCs w:val="22"/>
              </w:rPr>
              <w:t>481</w:t>
            </w:r>
            <w:r>
              <w:rPr>
                <w:rFonts w:asciiTheme="minorHAnsi" w:eastAsia="MS Mincho" w:hAnsiTheme="minorHAnsi" w:cstheme="minorHAnsi"/>
                <w:sz w:val="22"/>
                <w:szCs w:val="22"/>
              </w:rPr>
              <w:t>.</w:t>
            </w:r>
            <w:r w:rsidR="00526BDF">
              <w:rPr>
                <w:rFonts w:asciiTheme="minorHAnsi" w:eastAsia="MS Mincho" w:hAnsiTheme="minorHAnsi" w:cstheme="minorHAnsi"/>
                <w:sz w:val="22"/>
                <w:szCs w:val="22"/>
              </w:rPr>
              <w:t>9</w:t>
            </w:r>
          </w:p>
        </w:tc>
        <w:tc>
          <w:tcPr>
            <w:tcW w:w="1369" w:type="dxa"/>
          </w:tcPr>
          <w:p w:rsidR="003C515A" w:rsidRPr="00505482" w:rsidRDefault="00FB4EBF" w:rsidP="00ED04B5">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w:t>
            </w:r>
            <w:r w:rsidR="00526BDF">
              <w:rPr>
                <w:rFonts w:asciiTheme="minorHAnsi" w:eastAsia="MS Mincho" w:hAnsiTheme="minorHAnsi" w:cstheme="minorHAnsi"/>
                <w:sz w:val="22"/>
                <w:szCs w:val="22"/>
              </w:rPr>
              <w:t>86</w:t>
            </w:r>
            <w:r>
              <w:rPr>
                <w:rFonts w:asciiTheme="minorHAnsi" w:eastAsia="MS Mincho" w:hAnsiTheme="minorHAnsi" w:cstheme="minorHAnsi"/>
                <w:sz w:val="22"/>
                <w:szCs w:val="22"/>
              </w:rPr>
              <w:t>.</w:t>
            </w:r>
            <w:r w:rsidR="00526BDF">
              <w:rPr>
                <w:rFonts w:asciiTheme="minorHAnsi" w:eastAsia="MS Mincho" w:hAnsiTheme="minorHAnsi" w:cstheme="minorHAnsi"/>
                <w:sz w:val="22"/>
                <w:szCs w:val="22"/>
              </w:rPr>
              <w:t>3</w:t>
            </w:r>
          </w:p>
        </w:tc>
      </w:tr>
      <w:tr w:rsidR="003C515A" w:rsidRPr="00505482" w:rsidTr="00FB4EBF">
        <w:trPr>
          <w:trHeight w:val="198"/>
        </w:trPr>
        <w:tc>
          <w:tcPr>
            <w:tcW w:w="5701" w:type="dxa"/>
            <w:vAlign w:val="bottom"/>
            <w:hideMark/>
          </w:tcPr>
          <w:p w:rsidR="003C515A" w:rsidRPr="00505482" w:rsidRDefault="003C515A" w:rsidP="00C952D5">
            <w:pPr>
              <w:tabs>
                <w:tab w:val="left" w:leader="dot" w:pos="6804"/>
              </w:tabs>
              <w:spacing w:after="60"/>
              <w:ind w:right="-90"/>
              <w:rPr>
                <w:rFonts w:asciiTheme="minorHAnsi" w:eastAsia="MS Mincho" w:hAnsiTheme="minorHAnsi" w:cstheme="minorHAnsi"/>
                <w:bCs/>
                <w:sz w:val="22"/>
                <w:szCs w:val="22"/>
              </w:rPr>
            </w:pPr>
            <w:r w:rsidRPr="00505482">
              <w:rPr>
                <w:rFonts w:asciiTheme="minorHAnsi" w:hAnsiTheme="minorHAnsi" w:cstheme="minorHAnsi"/>
                <w:sz w:val="22"/>
                <w:szCs w:val="22"/>
              </w:rPr>
              <w:t>Total financial assets</w:t>
            </w:r>
          </w:p>
        </w:tc>
        <w:tc>
          <w:tcPr>
            <w:tcW w:w="1387" w:type="dxa"/>
            <w:shd w:val="clear" w:color="auto" w:fill="FFFF00"/>
            <w:vAlign w:val="bottom"/>
          </w:tcPr>
          <w:p w:rsidR="003C515A" w:rsidRPr="00505482" w:rsidRDefault="00146123" w:rsidP="00072C2D">
            <w:pPr>
              <w:pBdr>
                <w:bottom w:val="double" w:sz="4" w:space="1" w:color="auto"/>
              </w:pBdr>
              <w:tabs>
                <w:tab w:val="decimal" w:pos="689"/>
              </w:tabs>
              <w:ind w:left="-75" w:right="123"/>
              <w:jc w:val="right"/>
              <w:rPr>
                <w:rFonts w:asciiTheme="minorHAnsi" w:eastAsia="MS Mincho" w:hAnsiTheme="minorHAnsi" w:cstheme="minorHAnsi"/>
                <w:sz w:val="22"/>
                <w:szCs w:val="22"/>
              </w:rPr>
            </w:pPr>
            <w:r>
              <w:rPr>
                <w:rFonts w:asciiTheme="minorHAnsi" w:eastAsia="MS Mincho" w:hAnsiTheme="minorHAnsi" w:cstheme="minorHAnsi"/>
                <w:sz w:val="22"/>
                <w:szCs w:val="22"/>
              </w:rPr>
              <w:t>4,302.7</w:t>
            </w:r>
          </w:p>
        </w:tc>
        <w:tc>
          <w:tcPr>
            <w:tcW w:w="1327" w:type="dxa"/>
            <w:shd w:val="clear" w:color="auto" w:fill="FFFF00"/>
            <w:vAlign w:val="bottom"/>
          </w:tcPr>
          <w:p w:rsidR="003C515A" w:rsidRPr="00505482" w:rsidRDefault="00146123" w:rsidP="00072C2D">
            <w:pPr>
              <w:pBdr>
                <w:bottom w:val="doub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53.8</w:t>
            </w:r>
          </w:p>
        </w:tc>
        <w:tc>
          <w:tcPr>
            <w:tcW w:w="1241" w:type="dxa"/>
          </w:tcPr>
          <w:p w:rsidR="003C515A" w:rsidRPr="00505482" w:rsidRDefault="00FB4EBF" w:rsidP="001A71B6">
            <w:pPr>
              <w:pBdr>
                <w:bottom w:val="doub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4,</w:t>
            </w:r>
            <w:r w:rsidR="00526BDF">
              <w:rPr>
                <w:rFonts w:asciiTheme="minorHAnsi" w:eastAsia="MS Mincho" w:hAnsiTheme="minorHAnsi" w:cstheme="minorHAnsi"/>
                <w:sz w:val="22"/>
                <w:szCs w:val="22"/>
              </w:rPr>
              <w:t>504</w:t>
            </w:r>
            <w:r>
              <w:rPr>
                <w:rFonts w:asciiTheme="minorHAnsi" w:eastAsia="MS Mincho" w:hAnsiTheme="minorHAnsi" w:cstheme="minorHAnsi"/>
                <w:sz w:val="22"/>
                <w:szCs w:val="22"/>
              </w:rPr>
              <w:t>.</w:t>
            </w:r>
            <w:r w:rsidR="00526BDF">
              <w:rPr>
                <w:rFonts w:asciiTheme="minorHAnsi" w:eastAsia="MS Mincho" w:hAnsiTheme="minorHAnsi" w:cstheme="minorHAnsi"/>
                <w:sz w:val="22"/>
                <w:szCs w:val="22"/>
              </w:rPr>
              <w:t>9</w:t>
            </w:r>
          </w:p>
        </w:tc>
        <w:tc>
          <w:tcPr>
            <w:tcW w:w="1369" w:type="dxa"/>
          </w:tcPr>
          <w:p w:rsidR="003C515A" w:rsidRPr="00505482" w:rsidRDefault="00526BDF" w:rsidP="00ED04B5">
            <w:pPr>
              <w:pBdr>
                <w:bottom w:val="doub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309.3</w:t>
            </w:r>
          </w:p>
        </w:tc>
      </w:tr>
    </w:tbl>
    <w:p w:rsidR="00505482" w:rsidRDefault="00505482" w:rsidP="00EA1228">
      <w:pPr>
        <w:spacing w:line="300" w:lineRule="exact"/>
        <w:ind w:left="-601" w:right="-352"/>
        <w:jc w:val="both"/>
        <w:rPr>
          <w:rFonts w:asciiTheme="minorHAnsi" w:hAnsiTheme="minorHAnsi" w:cstheme="minorHAnsi"/>
          <w:b/>
          <w:sz w:val="22"/>
          <w:szCs w:val="22"/>
        </w:rPr>
      </w:pPr>
    </w:p>
    <w:p w:rsidR="00D755F6" w:rsidRDefault="00D755F6" w:rsidP="00EA1228">
      <w:pPr>
        <w:spacing w:line="300" w:lineRule="exact"/>
        <w:ind w:left="-601" w:right="-352"/>
        <w:jc w:val="both"/>
        <w:rPr>
          <w:rFonts w:asciiTheme="minorHAnsi" w:hAnsiTheme="minorHAnsi" w:cstheme="minorHAnsi"/>
          <w:b/>
          <w:sz w:val="22"/>
          <w:szCs w:val="22"/>
        </w:rPr>
      </w:pPr>
    </w:p>
    <w:p w:rsidR="00B13DFD" w:rsidRPr="00505482" w:rsidRDefault="002607FC" w:rsidP="006F7BE5">
      <w:pPr>
        <w:autoSpaceDE w:val="0"/>
        <w:autoSpaceDN w:val="0"/>
        <w:adjustRightInd w:val="0"/>
        <w:spacing w:after="120"/>
        <w:jc w:val="both"/>
        <w:rPr>
          <w:rFonts w:asciiTheme="minorHAnsi" w:hAnsiTheme="minorHAnsi" w:cstheme="minorHAnsi"/>
          <w:b/>
          <w:sz w:val="22"/>
          <w:szCs w:val="22"/>
        </w:rPr>
      </w:pPr>
      <w:r>
        <w:rPr>
          <w:rFonts w:asciiTheme="minorHAnsi" w:hAnsiTheme="minorHAnsi" w:cstheme="minorHAnsi"/>
          <w:b/>
          <w:sz w:val="22"/>
          <w:szCs w:val="22"/>
        </w:rPr>
        <w:t>11</w:t>
      </w:r>
      <w:r w:rsidR="00B13DFD" w:rsidRPr="00505482">
        <w:rPr>
          <w:rFonts w:asciiTheme="minorHAnsi" w:hAnsiTheme="minorHAnsi" w:cstheme="minorHAnsi"/>
          <w:b/>
          <w:sz w:val="22"/>
          <w:szCs w:val="22"/>
        </w:rPr>
        <w:t>.</w:t>
      </w:r>
      <w:r w:rsidR="00B13DFD" w:rsidRPr="00505482">
        <w:rPr>
          <w:rFonts w:asciiTheme="minorHAnsi" w:hAnsiTheme="minorHAnsi" w:cstheme="minorHAnsi"/>
          <w:b/>
          <w:sz w:val="22"/>
          <w:szCs w:val="22"/>
        </w:rPr>
        <w:tab/>
        <w:t>Financial instruments and financial risk management (continued)</w:t>
      </w:r>
    </w:p>
    <w:tbl>
      <w:tblPr>
        <w:tblW w:w="11057" w:type="dxa"/>
        <w:tblLayout w:type="fixed"/>
        <w:tblLook w:val="04A0" w:firstRow="1" w:lastRow="0" w:firstColumn="1" w:lastColumn="0" w:noHBand="0" w:noVBand="1"/>
      </w:tblPr>
      <w:tblGrid>
        <w:gridCol w:w="5865"/>
        <w:gridCol w:w="1223"/>
        <w:gridCol w:w="1358"/>
        <w:gridCol w:w="1141"/>
        <w:gridCol w:w="135"/>
        <w:gridCol w:w="1048"/>
        <w:gridCol w:w="287"/>
      </w:tblGrid>
      <w:tr w:rsidR="003C515A" w:rsidRPr="00505482" w:rsidTr="00010C77">
        <w:trPr>
          <w:gridAfter w:val="1"/>
          <w:wAfter w:w="287" w:type="dxa"/>
        </w:trPr>
        <w:tc>
          <w:tcPr>
            <w:tcW w:w="5865" w:type="dxa"/>
            <w:vAlign w:val="bottom"/>
          </w:tcPr>
          <w:p w:rsidR="003C515A" w:rsidRPr="00505482" w:rsidRDefault="003C515A" w:rsidP="00B13DFD">
            <w:pPr>
              <w:tabs>
                <w:tab w:val="left" w:leader="dot" w:pos="6804"/>
              </w:tabs>
              <w:ind w:right="-250"/>
              <w:rPr>
                <w:rFonts w:asciiTheme="minorHAnsi" w:hAnsiTheme="minorHAnsi" w:cstheme="minorHAnsi"/>
                <w:b/>
                <w:bCs/>
                <w:sz w:val="22"/>
                <w:szCs w:val="22"/>
              </w:rPr>
            </w:pPr>
          </w:p>
        </w:tc>
        <w:tc>
          <w:tcPr>
            <w:tcW w:w="1223" w:type="dxa"/>
            <w:shd w:val="clear" w:color="auto" w:fill="auto"/>
            <w:vAlign w:val="bottom"/>
          </w:tcPr>
          <w:p w:rsidR="003C515A" w:rsidRPr="00505482" w:rsidRDefault="003C515A" w:rsidP="00B13DFD">
            <w:pPr>
              <w:ind w:right="-115"/>
              <w:jc w:val="right"/>
              <w:rPr>
                <w:rFonts w:asciiTheme="minorHAnsi" w:eastAsia="MS Mincho" w:hAnsiTheme="minorHAnsi" w:cstheme="minorHAnsi"/>
                <w:b/>
                <w:sz w:val="22"/>
                <w:szCs w:val="22"/>
                <w:lang w:val="en-US"/>
              </w:rPr>
            </w:pPr>
          </w:p>
        </w:tc>
        <w:tc>
          <w:tcPr>
            <w:tcW w:w="1358" w:type="dxa"/>
            <w:shd w:val="clear" w:color="auto" w:fill="auto"/>
            <w:vAlign w:val="bottom"/>
          </w:tcPr>
          <w:p w:rsidR="003C515A" w:rsidRPr="00505482" w:rsidRDefault="003C515A" w:rsidP="00B13DFD">
            <w:pPr>
              <w:jc w:val="right"/>
              <w:rPr>
                <w:rFonts w:asciiTheme="minorHAnsi" w:eastAsia="MS Mincho" w:hAnsiTheme="minorHAnsi" w:cstheme="minorHAnsi"/>
                <w:b/>
                <w:sz w:val="22"/>
                <w:szCs w:val="22"/>
                <w:lang w:val="en-US"/>
              </w:rPr>
            </w:pPr>
          </w:p>
        </w:tc>
        <w:tc>
          <w:tcPr>
            <w:tcW w:w="1141" w:type="dxa"/>
          </w:tcPr>
          <w:p w:rsidR="003C515A" w:rsidRPr="00505482" w:rsidRDefault="003C515A" w:rsidP="00B13DFD">
            <w:pPr>
              <w:jc w:val="right"/>
              <w:rPr>
                <w:rFonts w:asciiTheme="minorHAnsi" w:eastAsia="MS Mincho" w:hAnsiTheme="minorHAnsi" w:cstheme="minorHAnsi"/>
                <w:b/>
                <w:sz w:val="22"/>
                <w:szCs w:val="22"/>
                <w:lang w:val="en-US"/>
              </w:rPr>
            </w:pPr>
          </w:p>
        </w:tc>
        <w:tc>
          <w:tcPr>
            <w:tcW w:w="1183" w:type="dxa"/>
            <w:gridSpan w:val="2"/>
          </w:tcPr>
          <w:p w:rsidR="003C515A" w:rsidRPr="00505482" w:rsidRDefault="003C515A" w:rsidP="00B13DFD">
            <w:pPr>
              <w:jc w:val="right"/>
              <w:rPr>
                <w:rFonts w:asciiTheme="minorHAnsi" w:eastAsia="MS Mincho" w:hAnsiTheme="minorHAnsi" w:cstheme="minorHAnsi"/>
                <w:b/>
                <w:sz w:val="22"/>
                <w:szCs w:val="22"/>
                <w:lang w:val="en-US"/>
              </w:rPr>
            </w:pPr>
          </w:p>
        </w:tc>
      </w:tr>
      <w:tr w:rsidR="003C515A" w:rsidRPr="00505482" w:rsidTr="00010C77">
        <w:trPr>
          <w:gridAfter w:val="1"/>
          <w:wAfter w:w="287" w:type="dxa"/>
        </w:trPr>
        <w:tc>
          <w:tcPr>
            <w:tcW w:w="5865" w:type="dxa"/>
            <w:vAlign w:val="bottom"/>
          </w:tcPr>
          <w:p w:rsidR="003C515A" w:rsidRPr="00505482" w:rsidRDefault="003C515A" w:rsidP="00B13DFD">
            <w:pPr>
              <w:tabs>
                <w:tab w:val="left" w:leader="dot" w:pos="6804"/>
              </w:tabs>
              <w:ind w:right="-250"/>
              <w:rPr>
                <w:rFonts w:asciiTheme="minorHAnsi" w:hAnsiTheme="minorHAnsi" w:cstheme="minorHAnsi"/>
                <w:b/>
                <w:bCs/>
                <w:sz w:val="22"/>
                <w:szCs w:val="22"/>
              </w:rPr>
            </w:pPr>
          </w:p>
        </w:tc>
        <w:tc>
          <w:tcPr>
            <w:tcW w:w="1223" w:type="dxa"/>
            <w:shd w:val="clear" w:color="auto" w:fill="auto"/>
            <w:vAlign w:val="bottom"/>
          </w:tcPr>
          <w:p w:rsidR="003C515A" w:rsidRPr="00505482" w:rsidRDefault="003C515A" w:rsidP="00B13DFD">
            <w:pPr>
              <w:ind w:right="-115"/>
              <w:jc w:val="right"/>
              <w:rPr>
                <w:rFonts w:asciiTheme="minorHAnsi" w:eastAsia="MS Mincho" w:hAnsiTheme="minorHAnsi" w:cstheme="minorHAnsi"/>
                <w:b/>
                <w:sz w:val="22"/>
                <w:szCs w:val="22"/>
                <w:lang w:val="en-US"/>
              </w:rPr>
            </w:pPr>
          </w:p>
        </w:tc>
        <w:tc>
          <w:tcPr>
            <w:tcW w:w="1358" w:type="dxa"/>
            <w:shd w:val="clear" w:color="auto" w:fill="auto"/>
            <w:vAlign w:val="bottom"/>
          </w:tcPr>
          <w:p w:rsidR="003C515A" w:rsidRPr="00505482" w:rsidRDefault="003C515A" w:rsidP="00B13DFD">
            <w:pPr>
              <w:jc w:val="right"/>
              <w:rPr>
                <w:rFonts w:asciiTheme="minorHAnsi" w:eastAsia="MS Mincho" w:hAnsiTheme="minorHAnsi" w:cstheme="minorHAnsi"/>
                <w:b/>
                <w:sz w:val="22"/>
                <w:szCs w:val="22"/>
                <w:lang w:val="en-US"/>
              </w:rPr>
            </w:pPr>
          </w:p>
        </w:tc>
        <w:tc>
          <w:tcPr>
            <w:tcW w:w="1141" w:type="dxa"/>
          </w:tcPr>
          <w:p w:rsidR="003C515A" w:rsidRPr="00505482" w:rsidRDefault="003C515A" w:rsidP="00B13DFD">
            <w:pPr>
              <w:jc w:val="right"/>
              <w:rPr>
                <w:rFonts w:asciiTheme="minorHAnsi" w:eastAsia="MS Mincho" w:hAnsiTheme="minorHAnsi" w:cstheme="minorHAnsi"/>
                <w:b/>
                <w:sz w:val="22"/>
                <w:szCs w:val="22"/>
                <w:lang w:val="en-US"/>
              </w:rPr>
            </w:pPr>
          </w:p>
        </w:tc>
        <w:tc>
          <w:tcPr>
            <w:tcW w:w="1183" w:type="dxa"/>
            <w:gridSpan w:val="2"/>
          </w:tcPr>
          <w:p w:rsidR="003C515A" w:rsidRPr="00505482" w:rsidRDefault="003C515A" w:rsidP="00B13DFD">
            <w:pPr>
              <w:jc w:val="right"/>
              <w:rPr>
                <w:rFonts w:asciiTheme="minorHAnsi" w:eastAsia="MS Mincho" w:hAnsiTheme="minorHAnsi" w:cstheme="minorHAnsi"/>
                <w:b/>
                <w:sz w:val="22"/>
                <w:szCs w:val="22"/>
                <w:lang w:val="en-US"/>
              </w:rPr>
            </w:pPr>
          </w:p>
        </w:tc>
      </w:tr>
      <w:tr w:rsidR="003C515A" w:rsidRPr="00505482" w:rsidTr="00010C77">
        <w:tc>
          <w:tcPr>
            <w:tcW w:w="5865" w:type="dxa"/>
            <w:vAlign w:val="bottom"/>
          </w:tcPr>
          <w:p w:rsidR="003C515A" w:rsidRPr="00505482" w:rsidRDefault="003C515A" w:rsidP="00B13DFD">
            <w:pPr>
              <w:tabs>
                <w:tab w:val="left" w:leader="dot" w:pos="6804"/>
              </w:tabs>
              <w:ind w:right="-250"/>
              <w:rPr>
                <w:rFonts w:asciiTheme="minorHAnsi" w:hAnsiTheme="minorHAnsi" w:cstheme="minorHAnsi"/>
                <w:b/>
                <w:bCs/>
                <w:sz w:val="22"/>
                <w:szCs w:val="22"/>
              </w:rPr>
            </w:pPr>
          </w:p>
        </w:tc>
        <w:tc>
          <w:tcPr>
            <w:tcW w:w="1223" w:type="dxa"/>
            <w:shd w:val="clear" w:color="auto" w:fill="FFFF00"/>
            <w:vAlign w:val="bottom"/>
          </w:tcPr>
          <w:p w:rsidR="003C515A" w:rsidRPr="00505482" w:rsidRDefault="003C515A" w:rsidP="00072C2D">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 xml:space="preserve">At </w:t>
            </w:r>
            <w:r w:rsidR="00526BDF">
              <w:rPr>
                <w:rFonts w:asciiTheme="minorHAnsi" w:eastAsia="MS Mincho" w:hAnsiTheme="minorHAnsi" w:cstheme="minorHAnsi"/>
                <w:b/>
                <w:sz w:val="22"/>
                <w:szCs w:val="22"/>
                <w:lang w:val="en-US"/>
              </w:rPr>
              <w:t>Jun</w:t>
            </w:r>
            <w:r w:rsidR="00FB4EBF">
              <w:rPr>
                <w:rFonts w:asciiTheme="minorHAnsi" w:eastAsia="MS Mincho" w:hAnsiTheme="minorHAnsi" w:cstheme="minorHAnsi"/>
                <w:b/>
                <w:sz w:val="22"/>
                <w:szCs w:val="22"/>
                <w:lang w:val="en-US"/>
              </w:rPr>
              <w:t xml:space="preserve"> 3</w:t>
            </w:r>
            <w:r w:rsidR="00EE553C">
              <w:rPr>
                <w:rFonts w:asciiTheme="minorHAnsi" w:eastAsia="MS Mincho" w:hAnsiTheme="minorHAnsi" w:cstheme="minorHAnsi"/>
                <w:b/>
                <w:sz w:val="22"/>
                <w:szCs w:val="22"/>
                <w:lang w:val="en-US"/>
              </w:rPr>
              <w:t>0</w:t>
            </w:r>
            <w:r w:rsidR="00010C77">
              <w:rPr>
                <w:rFonts w:asciiTheme="minorHAnsi" w:eastAsia="MS Mincho" w:hAnsiTheme="minorHAnsi" w:cstheme="minorHAnsi"/>
                <w:b/>
                <w:sz w:val="22"/>
                <w:szCs w:val="22"/>
                <w:lang w:val="en-US"/>
              </w:rPr>
              <w:t>,</w:t>
            </w:r>
            <w:r>
              <w:rPr>
                <w:rFonts w:asciiTheme="minorHAnsi" w:eastAsia="MS Mincho" w:hAnsiTheme="minorHAnsi" w:cstheme="minorHAnsi"/>
                <w:b/>
                <w:sz w:val="22"/>
                <w:szCs w:val="22"/>
                <w:lang w:val="en-US"/>
              </w:rPr>
              <w:t xml:space="preserve"> </w:t>
            </w:r>
          </w:p>
        </w:tc>
        <w:tc>
          <w:tcPr>
            <w:tcW w:w="1358" w:type="dxa"/>
            <w:shd w:val="clear" w:color="auto" w:fill="FFFF00"/>
            <w:vAlign w:val="bottom"/>
          </w:tcPr>
          <w:p w:rsidR="003C515A" w:rsidRPr="00505482" w:rsidRDefault="003C515A" w:rsidP="00072C2D">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At</w:t>
            </w:r>
            <w:r w:rsidR="0045708C">
              <w:rPr>
                <w:rFonts w:asciiTheme="minorHAnsi" w:eastAsia="MS Mincho" w:hAnsiTheme="minorHAnsi" w:cstheme="minorHAnsi"/>
                <w:b/>
                <w:sz w:val="22"/>
                <w:szCs w:val="22"/>
                <w:lang w:val="en-US"/>
              </w:rPr>
              <w:t xml:space="preserve"> </w:t>
            </w:r>
            <w:r w:rsidR="00526BDF">
              <w:rPr>
                <w:rFonts w:asciiTheme="minorHAnsi" w:eastAsia="MS Mincho" w:hAnsiTheme="minorHAnsi" w:cstheme="minorHAnsi"/>
                <w:b/>
                <w:sz w:val="22"/>
                <w:szCs w:val="22"/>
                <w:lang w:val="en-US"/>
              </w:rPr>
              <w:t>Jun</w:t>
            </w:r>
            <w:r w:rsidR="00FB4EBF">
              <w:rPr>
                <w:rFonts w:asciiTheme="minorHAnsi" w:eastAsia="MS Mincho" w:hAnsiTheme="minorHAnsi" w:cstheme="minorHAnsi"/>
                <w:b/>
                <w:sz w:val="22"/>
                <w:szCs w:val="22"/>
                <w:lang w:val="en-US"/>
              </w:rPr>
              <w:t xml:space="preserve"> 3</w:t>
            </w:r>
            <w:r w:rsidR="00EE553C">
              <w:rPr>
                <w:rFonts w:asciiTheme="minorHAnsi" w:eastAsia="MS Mincho" w:hAnsiTheme="minorHAnsi" w:cstheme="minorHAnsi"/>
                <w:b/>
                <w:sz w:val="22"/>
                <w:szCs w:val="22"/>
                <w:lang w:val="en-US"/>
              </w:rPr>
              <w:t>0</w:t>
            </w:r>
            <w:r w:rsidR="00010C77">
              <w:rPr>
                <w:rFonts w:asciiTheme="minorHAnsi" w:eastAsia="MS Mincho" w:hAnsiTheme="minorHAnsi" w:cstheme="minorHAnsi"/>
                <w:b/>
                <w:sz w:val="22"/>
                <w:szCs w:val="22"/>
                <w:lang w:val="en-US"/>
              </w:rPr>
              <w:t>,</w:t>
            </w:r>
          </w:p>
        </w:tc>
        <w:tc>
          <w:tcPr>
            <w:tcW w:w="1276" w:type="dxa"/>
            <w:gridSpan w:val="2"/>
          </w:tcPr>
          <w:p w:rsidR="003C515A" w:rsidRPr="00505482" w:rsidRDefault="003C515A" w:rsidP="00B13DFD">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At Mar</w:t>
            </w:r>
            <w:r w:rsidR="00010C77">
              <w:rPr>
                <w:rFonts w:asciiTheme="minorHAnsi" w:eastAsia="MS Mincho" w:hAnsiTheme="minorHAnsi" w:cstheme="minorHAnsi"/>
                <w:b/>
                <w:sz w:val="22"/>
                <w:szCs w:val="22"/>
                <w:lang w:val="en-US"/>
              </w:rPr>
              <w:t xml:space="preserve"> 31,</w:t>
            </w:r>
          </w:p>
        </w:tc>
        <w:tc>
          <w:tcPr>
            <w:tcW w:w="1335" w:type="dxa"/>
            <w:gridSpan w:val="2"/>
          </w:tcPr>
          <w:p w:rsidR="003C515A" w:rsidRPr="00505482" w:rsidRDefault="003C515A" w:rsidP="00B13DFD">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At Mar</w:t>
            </w:r>
            <w:r w:rsidR="00010C77">
              <w:rPr>
                <w:rFonts w:asciiTheme="minorHAnsi" w:eastAsia="MS Mincho" w:hAnsiTheme="minorHAnsi" w:cstheme="minorHAnsi"/>
                <w:b/>
                <w:sz w:val="22"/>
                <w:szCs w:val="22"/>
                <w:lang w:val="en-US"/>
              </w:rPr>
              <w:t xml:space="preserve"> 31,</w:t>
            </w:r>
          </w:p>
        </w:tc>
      </w:tr>
      <w:tr w:rsidR="003C515A" w:rsidRPr="00505482" w:rsidTr="00010C77">
        <w:tc>
          <w:tcPr>
            <w:tcW w:w="5865" w:type="dxa"/>
            <w:vAlign w:val="bottom"/>
          </w:tcPr>
          <w:p w:rsidR="003C515A" w:rsidRPr="00505482" w:rsidRDefault="003C515A" w:rsidP="00B13DFD">
            <w:pPr>
              <w:tabs>
                <w:tab w:val="left" w:leader="dot" w:pos="6804"/>
              </w:tabs>
              <w:ind w:right="-250"/>
              <w:rPr>
                <w:rFonts w:asciiTheme="minorHAnsi" w:hAnsiTheme="minorHAnsi" w:cstheme="minorHAnsi"/>
                <w:b/>
                <w:bCs/>
                <w:sz w:val="22"/>
                <w:szCs w:val="22"/>
              </w:rPr>
            </w:pPr>
          </w:p>
        </w:tc>
        <w:tc>
          <w:tcPr>
            <w:tcW w:w="1223" w:type="dxa"/>
            <w:shd w:val="clear" w:color="auto" w:fill="FFFF00"/>
            <w:vAlign w:val="bottom"/>
          </w:tcPr>
          <w:p w:rsidR="003C515A" w:rsidRPr="00505482" w:rsidRDefault="003A5A8E" w:rsidP="00D00154">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201</w:t>
            </w:r>
            <w:r w:rsidR="005C65E6">
              <w:rPr>
                <w:rFonts w:asciiTheme="minorHAnsi" w:eastAsia="MS Mincho" w:hAnsiTheme="minorHAnsi" w:cstheme="minorHAnsi"/>
                <w:b/>
                <w:sz w:val="22"/>
                <w:szCs w:val="22"/>
                <w:lang w:val="en-US"/>
              </w:rPr>
              <w:t>7</w:t>
            </w:r>
          </w:p>
        </w:tc>
        <w:tc>
          <w:tcPr>
            <w:tcW w:w="1358" w:type="dxa"/>
            <w:shd w:val="clear" w:color="auto" w:fill="FFFF00"/>
            <w:vAlign w:val="bottom"/>
          </w:tcPr>
          <w:p w:rsidR="003C515A" w:rsidRPr="00505482" w:rsidRDefault="003A5A8E" w:rsidP="00D00154">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201</w:t>
            </w:r>
            <w:r w:rsidR="00D724D1">
              <w:rPr>
                <w:rFonts w:asciiTheme="minorHAnsi" w:eastAsia="MS Mincho" w:hAnsiTheme="minorHAnsi" w:cstheme="minorHAnsi"/>
                <w:b/>
                <w:sz w:val="22"/>
                <w:szCs w:val="22"/>
                <w:lang w:val="en-US"/>
              </w:rPr>
              <w:t>7</w:t>
            </w:r>
          </w:p>
        </w:tc>
        <w:tc>
          <w:tcPr>
            <w:tcW w:w="1276" w:type="dxa"/>
            <w:gridSpan w:val="2"/>
          </w:tcPr>
          <w:p w:rsidR="003C515A" w:rsidRPr="00505482" w:rsidRDefault="00FB4EBF" w:rsidP="003A5A8E">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201</w:t>
            </w:r>
            <w:r w:rsidR="00526BDF">
              <w:rPr>
                <w:rFonts w:asciiTheme="minorHAnsi" w:eastAsia="MS Mincho" w:hAnsiTheme="minorHAnsi" w:cstheme="minorHAnsi"/>
                <w:b/>
                <w:sz w:val="22"/>
                <w:szCs w:val="22"/>
                <w:lang w:val="en-US"/>
              </w:rPr>
              <w:t>7</w:t>
            </w:r>
          </w:p>
        </w:tc>
        <w:tc>
          <w:tcPr>
            <w:tcW w:w="1335" w:type="dxa"/>
            <w:gridSpan w:val="2"/>
          </w:tcPr>
          <w:p w:rsidR="003C515A" w:rsidRPr="00505482" w:rsidRDefault="00FB4EBF" w:rsidP="003A5A8E">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201</w:t>
            </w:r>
            <w:r w:rsidR="00526BDF">
              <w:rPr>
                <w:rFonts w:asciiTheme="minorHAnsi" w:eastAsia="MS Mincho" w:hAnsiTheme="minorHAnsi" w:cstheme="minorHAnsi"/>
                <w:b/>
                <w:sz w:val="22"/>
                <w:szCs w:val="22"/>
                <w:lang w:val="en-US"/>
              </w:rPr>
              <w:t>7</w:t>
            </w:r>
          </w:p>
        </w:tc>
      </w:tr>
      <w:tr w:rsidR="003C515A" w:rsidRPr="00505482" w:rsidTr="00010C77">
        <w:tc>
          <w:tcPr>
            <w:tcW w:w="5865" w:type="dxa"/>
            <w:vAlign w:val="bottom"/>
          </w:tcPr>
          <w:p w:rsidR="003C515A" w:rsidRPr="00505482" w:rsidRDefault="003C515A" w:rsidP="00B13DFD">
            <w:pPr>
              <w:tabs>
                <w:tab w:val="left" w:leader="dot" w:pos="6804"/>
              </w:tabs>
              <w:ind w:right="-250"/>
              <w:rPr>
                <w:rFonts w:asciiTheme="minorHAnsi" w:hAnsiTheme="minorHAnsi" w:cstheme="minorHAnsi"/>
                <w:b/>
                <w:bCs/>
                <w:sz w:val="22"/>
                <w:szCs w:val="22"/>
              </w:rPr>
            </w:pPr>
          </w:p>
        </w:tc>
        <w:tc>
          <w:tcPr>
            <w:tcW w:w="1223" w:type="dxa"/>
            <w:shd w:val="clear" w:color="auto" w:fill="FFFF00"/>
            <w:vAlign w:val="bottom"/>
          </w:tcPr>
          <w:p w:rsidR="003C515A" w:rsidRPr="00505482" w:rsidRDefault="003C515A" w:rsidP="00F96EF9">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Carrying</w:t>
            </w:r>
          </w:p>
        </w:tc>
        <w:tc>
          <w:tcPr>
            <w:tcW w:w="1358" w:type="dxa"/>
            <w:shd w:val="clear" w:color="auto" w:fill="FFFF00"/>
            <w:vAlign w:val="bottom"/>
          </w:tcPr>
          <w:p w:rsidR="003C515A" w:rsidRPr="00505482" w:rsidRDefault="003C515A" w:rsidP="00B13DFD">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Fair</w:t>
            </w:r>
          </w:p>
        </w:tc>
        <w:tc>
          <w:tcPr>
            <w:tcW w:w="1276" w:type="dxa"/>
            <w:gridSpan w:val="2"/>
          </w:tcPr>
          <w:p w:rsidR="003C515A" w:rsidRPr="00505482" w:rsidRDefault="003C515A" w:rsidP="00B13DFD">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Carrying</w:t>
            </w:r>
          </w:p>
        </w:tc>
        <w:tc>
          <w:tcPr>
            <w:tcW w:w="1335" w:type="dxa"/>
            <w:gridSpan w:val="2"/>
          </w:tcPr>
          <w:p w:rsidR="003C515A" w:rsidRPr="00505482" w:rsidRDefault="003C515A" w:rsidP="00B13DFD">
            <w:pP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Fair</w:t>
            </w:r>
          </w:p>
        </w:tc>
      </w:tr>
      <w:tr w:rsidR="003C515A" w:rsidRPr="00505482" w:rsidTr="00010C77">
        <w:tc>
          <w:tcPr>
            <w:tcW w:w="5865" w:type="dxa"/>
            <w:vAlign w:val="bottom"/>
          </w:tcPr>
          <w:p w:rsidR="003C515A" w:rsidRPr="00505482" w:rsidRDefault="003C515A" w:rsidP="00B13DFD">
            <w:pPr>
              <w:tabs>
                <w:tab w:val="left" w:leader="dot" w:pos="6804"/>
              </w:tabs>
              <w:ind w:right="-250"/>
              <w:rPr>
                <w:rFonts w:asciiTheme="minorHAnsi" w:hAnsiTheme="minorHAnsi" w:cstheme="minorHAnsi"/>
                <w:b/>
                <w:bCs/>
                <w:sz w:val="22"/>
                <w:szCs w:val="22"/>
              </w:rPr>
            </w:pPr>
          </w:p>
        </w:tc>
        <w:tc>
          <w:tcPr>
            <w:tcW w:w="1223" w:type="dxa"/>
            <w:shd w:val="clear" w:color="auto" w:fill="FFFF00"/>
            <w:vAlign w:val="bottom"/>
          </w:tcPr>
          <w:p w:rsidR="003C515A" w:rsidRPr="00505482" w:rsidRDefault="003C515A" w:rsidP="00F96EF9">
            <w:pPr>
              <w:pBdr>
                <w:bottom w:val="single" w:sz="4" w:space="1" w:color="auto"/>
              </w:pBd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Amount</w:t>
            </w:r>
          </w:p>
        </w:tc>
        <w:tc>
          <w:tcPr>
            <w:tcW w:w="1358" w:type="dxa"/>
            <w:shd w:val="clear" w:color="auto" w:fill="FFFF00"/>
            <w:vAlign w:val="bottom"/>
          </w:tcPr>
          <w:p w:rsidR="003C515A" w:rsidRPr="00505482" w:rsidRDefault="003C515A" w:rsidP="003C515A">
            <w:pPr>
              <w:pBdr>
                <w:bottom w:val="single" w:sz="4" w:space="1" w:color="auto"/>
              </w:pBd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Value</w:t>
            </w:r>
          </w:p>
        </w:tc>
        <w:tc>
          <w:tcPr>
            <w:tcW w:w="1276" w:type="dxa"/>
            <w:gridSpan w:val="2"/>
          </w:tcPr>
          <w:p w:rsidR="003C515A" w:rsidRPr="00505482" w:rsidRDefault="003C515A" w:rsidP="003C515A">
            <w:pPr>
              <w:pBdr>
                <w:bottom w:val="single" w:sz="4" w:space="1" w:color="auto"/>
              </w:pBd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Amount</w:t>
            </w:r>
          </w:p>
        </w:tc>
        <w:tc>
          <w:tcPr>
            <w:tcW w:w="1335" w:type="dxa"/>
            <w:gridSpan w:val="2"/>
          </w:tcPr>
          <w:p w:rsidR="003C515A" w:rsidRPr="00505482" w:rsidRDefault="003C515A" w:rsidP="003C515A">
            <w:pPr>
              <w:pBdr>
                <w:bottom w:val="single" w:sz="4" w:space="1" w:color="auto"/>
              </w:pBdr>
              <w:jc w:val="right"/>
              <w:rPr>
                <w:rFonts w:asciiTheme="minorHAnsi" w:eastAsia="MS Mincho" w:hAnsiTheme="minorHAnsi" w:cstheme="minorHAnsi"/>
                <w:b/>
                <w:sz w:val="22"/>
                <w:szCs w:val="22"/>
                <w:lang w:val="en-US"/>
              </w:rPr>
            </w:pPr>
            <w:r>
              <w:rPr>
                <w:rFonts w:asciiTheme="minorHAnsi" w:eastAsia="MS Mincho" w:hAnsiTheme="minorHAnsi" w:cstheme="minorHAnsi"/>
                <w:b/>
                <w:sz w:val="22"/>
                <w:szCs w:val="22"/>
                <w:lang w:val="en-US"/>
              </w:rPr>
              <w:t>Value</w:t>
            </w:r>
          </w:p>
        </w:tc>
      </w:tr>
      <w:tr w:rsidR="00B13DFD" w:rsidRPr="00505482" w:rsidTr="00010C77">
        <w:tc>
          <w:tcPr>
            <w:tcW w:w="5865" w:type="dxa"/>
            <w:vAlign w:val="bottom"/>
            <w:hideMark/>
          </w:tcPr>
          <w:p w:rsidR="00B13DFD" w:rsidRPr="00505482" w:rsidRDefault="00B13DFD" w:rsidP="00B13DFD">
            <w:pPr>
              <w:tabs>
                <w:tab w:val="left" w:leader="dot" w:pos="6804"/>
              </w:tabs>
              <w:ind w:right="-250"/>
              <w:rPr>
                <w:rFonts w:asciiTheme="minorHAnsi" w:eastAsia="MS Mincho" w:hAnsiTheme="minorHAnsi" w:cstheme="minorHAnsi"/>
                <w:bCs/>
                <w:sz w:val="22"/>
                <w:szCs w:val="22"/>
              </w:rPr>
            </w:pPr>
            <w:r w:rsidRPr="00505482">
              <w:rPr>
                <w:rFonts w:asciiTheme="minorHAnsi" w:hAnsiTheme="minorHAnsi" w:cstheme="minorHAnsi"/>
                <w:b/>
                <w:bCs/>
                <w:sz w:val="22"/>
                <w:szCs w:val="22"/>
              </w:rPr>
              <w:t>Non-current financial liabilities</w:t>
            </w:r>
          </w:p>
        </w:tc>
        <w:tc>
          <w:tcPr>
            <w:tcW w:w="1223" w:type="dxa"/>
            <w:shd w:val="clear" w:color="auto" w:fill="FFFF00"/>
            <w:vAlign w:val="bottom"/>
          </w:tcPr>
          <w:p w:rsidR="00B13DFD" w:rsidRPr="00505482" w:rsidRDefault="00B13DFD" w:rsidP="00F96EF9">
            <w:pPr>
              <w:jc w:val="right"/>
              <w:rPr>
                <w:rFonts w:asciiTheme="minorHAnsi" w:eastAsia="MS Mincho" w:hAnsiTheme="minorHAnsi" w:cstheme="minorHAnsi"/>
                <w:b/>
                <w:sz w:val="22"/>
                <w:szCs w:val="22"/>
                <w:lang w:val="en-US"/>
              </w:rPr>
            </w:pPr>
            <w:r w:rsidRPr="00505482">
              <w:rPr>
                <w:rFonts w:asciiTheme="minorHAnsi" w:eastAsia="MS Mincho" w:hAnsiTheme="minorHAnsi" w:cstheme="minorHAnsi"/>
                <w:b/>
                <w:sz w:val="22"/>
                <w:szCs w:val="22"/>
                <w:lang w:val="en-US"/>
              </w:rPr>
              <w:t>€M</w:t>
            </w:r>
          </w:p>
        </w:tc>
        <w:tc>
          <w:tcPr>
            <w:tcW w:w="1358" w:type="dxa"/>
            <w:shd w:val="clear" w:color="auto" w:fill="FFFF00"/>
            <w:vAlign w:val="bottom"/>
          </w:tcPr>
          <w:p w:rsidR="00B13DFD" w:rsidRPr="00505482" w:rsidRDefault="00B13DFD" w:rsidP="00B13DFD">
            <w:pPr>
              <w:jc w:val="right"/>
              <w:rPr>
                <w:rFonts w:asciiTheme="minorHAnsi" w:eastAsia="MS Mincho" w:hAnsiTheme="minorHAnsi" w:cstheme="minorHAnsi"/>
                <w:b/>
                <w:sz w:val="22"/>
                <w:szCs w:val="22"/>
                <w:lang w:val="en-US"/>
              </w:rPr>
            </w:pPr>
            <w:r w:rsidRPr="00505482">
              <w:rPr>
                <w:rFonts w:asciiTheme="minorHAnsi" w:eastAsia="MS Mincho" w:hAnsiTheme="minorHAnsi" w:cstheme="minorHAnsi"/>
                <w:b/>
                <w:sz w:val="22"/>
                <w:szCs w:val="22"/>
                <w:lang w:val="en-US"/>
              </w:rPr>
              <w:t>€M</w:t>
            </w:r>
          </w:p>
        </w:tc>
        <w:tc>
          <w:tcPr>
            <w:tcW w:w="1276" w:type="dxa"/>
            <w:gridSpan w:val="2"/>
          </w:tcPr>
          <w:p w:rsidR="00B13DFD" w:rsidRPr="00505482" w:rsidRDefault="00B13DFD" w:rsidP="00B13DFD">
            <w:pPr>
              <w:jc w:val="right"/>
              <w:rPr>
                <w:rFonts w:asciiTheme="minorHAnsi" w:eastAsia="MS Mincho" w:hAnsiTheme="minorHAnsi" w:cstheme="minorHAnsi"/>
                <w:b/>
                <w:sz w:val="22"/>
                <w:szCs w:val="22"/>
                <w:lang w:val="en-US"/>
              </w:rPr>
            </w:pPr>
            <w:r w:rsidRPr="00505482">
              <w:rPr>
                <w:rFonts w:asciiTheme="minorHAnsi" w:eastAsia="MS Mincho" w:hAnsiTheme="minorHAnsi" w:cstheme="minorHAnsi"/>
                <w:b/>
                <w:sz w:val="22"/>
                <w:szCs w:val="22"/>
                <w:lang w:val="en-US"/>
              </w:rPr>
              <w:t>€M</w:t>
            </w:r>
          </w:p>
        </w:tc>
        <w:tc>
          <w:tcPr>
            <w:tcW w:w="1335" w:type="dxa"/>
            <w:gridSpan w:val="2"/>
          </w:tcPr>
          <w:p w:rsidR="00B13DFD" w:rsidRPr="00505482" w:rsidRDefault="00B13DFD" w:rsidP="00B13DFD">
            <w:pPr>
              <w:jc w:val="right"/>
              <w:rPr>
                <w:rFonts w:asciiTheme="minorHAnsi" w:eastAsia="MS Mincho" w:hAnsiTheme="minorHAnsi" w:cstheme="minorHAnsi"/>
                <w:b/>
                <w:sz w:val="22"/>
                <w:szCs w:val="22"/>
                <w:lang w:val="en-US"/>
              </w:rPr>
            </w:pPr>
            <w:r w:rsidRPr="00505482">
              <w:rPr>
                <w:rFonts w:asciiTheme="minorHAnsi" w:eastAsia="MS Mincho" w:hAnsiTheme="minorHAnsi" w:cstheme="minorHAnsi"/>
                <w:b/>
                <w:sz w:val="22"/>
                <w:szCs w:val="22"/>
                <w:lang w:val="en-US"/>
              </w:rPr>
              <w:t>€M</w:t>
            </w:r>
          </w:p>
        </w:tc>
      </w:tr>
      <w:tr w:rsidR="00B13DFD" w:rsidRPr="00505482" w:rsidTr="00010C77">
        <w:tc>
          <w:tcPr>
            <w:tcW w:w="5865" w:type="dxa"/>
            <w:vAlign w:val="bottom"/>
            <w:hideMark/>
          </w:tcPr>
          <w:p w:rsidR="00B13DFD" w:rsidRPr="00505482" w:rsidRDefault="00B13DFD" w:rsidP="00B13DFD">
            <w:pPr>
              <w:tabs>
                <w:tab w:val="left" w:leader="dot" w:pos="6804"/>
              </w:tabs>
              <w:rPr>
                <w:rFonts w:asciiTheme="minorHAnsi" w:eastAsia="MS Mincho" w:hAnsiTheme="minorHAnsi" w:cstheme="minorHAnsi"/>
                <w:bCs/>
                <w:sz w:val="22"/>
                <w:szCs w:val="22"/>
              </w:rPr>
            </w:pPr>
            <w:r w:rsidRPr="00505482">
              <w:rPr>
                <w:rFonts w:asciiTheme="minorHAnsi" w:hAnsiTheme="minorHAnsi" w:cstheme="minorHAnsi"/>
                <w:bCs/>
                <w:sz w:val="22"/>
                <w:szCs w:val="22"/>
              </w:rPr>
              <w:t xml:space="preserve">Derivative financial </w:t>
            </w:r>
            <w:proofErr w:type="gramStart"/>
            <w:r w:rsidRPr="00505482">
              <w:rPr>
                <w:rFonts w:asciiTheme="minorHAnsi" w:hAnsiTheme="minorHAnsi" w:cstheme="minorHAnsi"/>
                <w:bCs/>
                <w:sz w:val="22"/>
                <w:szCs w:val="22"/>
              </w:rPr>
              <w:t>instruments:-</w:t>
            </w:r>
            <w:proofErr w:type="gramEnd"/>
          </w:p>
        </w:tc>
        <w:tc>
          <w:tcPr>
            <w:tcW w:w="1223" w:type="dxa"/>
            <w:shd w:val="clear" w:color="auto" w:fill="FFFF00"/>
            <w:vAlign w:val="bottom"/>
          </w:tcPr>
          <w:p w:rsidR="00B13DFD" w:rsidRPr="00505482" w:rsidRDefault="00B13DFD" w:rsidP="00F96EF9">
            <w:pPr>
              <w:jc w:val="right"/>
              <w:rPr>
                <w:rFonts w:asciiTheme="minorHAnsi" w:eastAsia="MS Mincho" w:hAnsiTheme="minorHAnsi" w:cstheme="minorHAnsi"/>
                <w:sz w:val="22"/>
                <w:szCs w:val="22"/>
              </w:rPr>
            </w:pPr>
          </w:p>
        </w:tc>
        <w:tc>
          <w:tcPr>
            <w:tcW w:w="1358" w:type="dxa"/>
            <w:shd w:val="clear" w:color="auto" w:fill="FFFF00"/>
            <w:vAlign w:val="bottom"/>
          </w:tcPr>
          <w:p w:rsidR="00B13DFD" w:rsidRPr="00505482" w:rsidRDefault="00B13DFD" w:rsidP="00B13DFD">
            <w:pPr>
              <w:jc w:val="right"/>
              <w:rPr>
                <w:rFonts w:asciiTheme="minorHAnsi" w:eastAsia="MS Mincho" w:hAnsiTheme="minorHAnsi" w:cstheme="minorHAnsi"/>
                <w:sz w:val="22"/>
                <w:szCs w:val="22"/>
              </w:rPr>
            </w:pPr>
          </w:p>
        </w:tc>
        <w:tc>
          <w:tcPr>
            <w:tcW w:w="1276" w:type="dxa"/>
            <w:gridSpan w:val="2"/>
          </w:tcPr>
          <w:p w:rsidR="00B13DFD" w:rsidRPr="00505482" w:rsidRDefault="00B13DFD" w:rsidP="00B13DFD">
            <w:pPr>
              <w:jc w:val="right"/>
              <w:rPr>
                <w:rFonts w:asciiTheme="minorHAnsi" w:eastAsia="MS Mincho" w:hAnsiTheme="minorHAnsi" w:cstheme="minorHAnsi"/>
                <w:sz w:val="22"/>
                <w:szCs w:val="22"/>
              </w:rPr>
            </w:pPr>
          </w:p>
        </w:tc>
        <w:tc>
          <w:tcPr>
            <w:tcW w:w="1335" w:type="dxa"/>
            <w:gridSpan w:val="2"/>
          </w:tcPr>
          <w:p w:rsidR="00B13DFD" w:rsidRPr="00505482" w:rsidRDefault="00B13DFD" w:rsidP="00B13DFD">
            <w:pPr>
              <w:jc w:val="right"/>
              <w:rPr>
                <w:rFonts w:asciiTheme="minorHAnsi" w:eastAsia="MS Mincho" w:hAnsiTheme="minorHAnsi" w:cstheme="minorHAnsi"/>
                <w:sz w:val="22"/>
                <w:szCs w:val="22"/>
              </w:rPr>
            </w:pPr>
          </w:p>
        </w:tc>
      </w:tr>
      <w:tr w:rsidR="00B13DFD" w:rsidRPr="00505482" w:rsidTr="00010C77">
        <w:tc>
          <w:tcPr>
            <w:tcW w:w="5865" w:type="dxa"/>
            <w:vAlign w:val="bottom"/>
          </w:tcPr>
          <w:p w:rsidR="00B13DFD" w:rsidRPr="00505482" w:rsidRDefault="00B13DFD" w:rsidP="00B13DFD">
            <w:pPr>
              <w:tabs>
                <w:tab w:val="left" w:leader="dot" w:pos="6804"/>
              </w:tabs>
              <w:ind w:right="-249"/>
              <w:rPr>
                <w:rFonts w:asciiTheme="minorHAnsi" w:hAnsiTheme="minorHAnsi" w:cstheme="minorHAnsi"/>
                <w:bCs/>
                <w:sz w:val="22"/>
                <w:szCs w:val="22"/>
              </w:rPr>
            </w:pPr>
            <w:r w:rsidRPr="00505482">
              <w:rPr>
                <w:rFonts w:asciiTheme="minorHAnsi" w:hAnsiTheme="minorHAnsi" w:cstheme="minorHAnsi"/>
                <w:sz w:val="22"/>
                <w:szCs w:val="22"/>
              </w:rPr>
              <w:t>- U.S. dollar currency forward contracts</w:t>
            </w:r>
          </w:p>
        </w:tc>
        <w:tc>
          <w:tcPr>
            <w:tcW w:w="1223" w:type="dxa"/>
            <w:shd w:val="clear" w:color="auto" w:fill="FFFF00"/>
            <w:vAlign w:val="bottom"/>
          </w:tcPr>
          <w:p w:rsidR="00B13DFD" w:rsidRPr="00505482" w:rsidRDefault="00146123" w:rsidP="0045708C">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83.2</w:t>
            </w:r>
          </w:p>
        </w:tc>
        <w:tc>
          <w:tcPr>
            <w:tcW w:w="1358" w:type="dxa"/>
            <w:shd w:val="clear" w:color="auto" w:fill="FFFF00"/>
            <w:vAlign w:val="bottom"/>
          </w:tcPr>
          <w:p w:rsidR="00B13DFD" w:rsidRPr="00505482" w:rsidRDefault="00146123" w:rsidP="0045708C">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83.2</w:t>
            </w:r>
          </w:p>
        </w:tc>
        <w:tc>
          <w:tcPr>
            <w:tcW w:w="1276" w:type="dxa"/>
            <w:gridSpan w:val="2"/>
          </w:tcPr>
          <w:p w:rsidR="00B13DFD" w:rsidRPr="00505482" w:rsidRDefault="00526BDF" w:rsidP="00B13DF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0.4</w:t>
            </w:r>
          </w:p>
        </w:tc>
        <w:tc>
          <w:tcPr>
            <w:tcW w:w="1335" w:type="dxa"/>
            <w:gridSpan w:val="2"/>
          </w:tcPr>
          <w:p w:rsidR="00B13DFD" w:rsidRPr="00505482" w:rsidRDefault="00526BDF" w:rsidP="00B13DF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0.4</w:t>
            </w:r>
          </w:p>
        </w:tc>
      </w:tr>
      <w:tr w:rsidR="00B13DFD" w:rsidRPr="00505482" w:rsidTr="00010C77">
        <w:tc>
          <w:tcPr>
            <w:tcW w:w="5865" w:type="dxa"/>
            <w:vAlign w:val="bottom"/>
            <w:hideMark/>
          </w:tcPr>
          <w:p w:rsidR="00B13DFD" w:rsidRPr="00505482" w:rsidRDefault="00B13DFD" w:rsidP="00B13DFD">
            <w:pPr>
              <w:tabs>
                <w:tab w:val="left" w:leader="dot" w:pos="6804"/>
              </w:tabs>
              <w:ind w:right="-249"/>
              <w:rPr>
                <w:rFonts w:asciiTheme="minorHAnsi" w:eastAsia="MS Mincho" w:hAnsiTheme="minorHAnsi" w:cstheme="minorHAnsi"/>
                <w:bCs/>
                <w:sz w:val="22"/>
                <w:szCs w:val="22"/>
              </w:rPr>
            </w:pPr>
            <w:r w:rsidRPr="00505482">
              <w:rPr>
                <w:rFonts w:asciiTheme="minorHAnsi" w:hAnsiTheme="minorHAnsi" w:cstheme="minorHAnsi"/>
                <w:bCs/>
                <w:sz w:val="22"/>
                <w:szCs w:val="22"/>
              </w:rPr>
              <w:t>- Interest rate swaps</w:t>
            </w:r>
          </w:p>
        </w:tc>
        <w:tc>
          <w:tcPr>
            <w:tcW w:w="1223" w:type="dxa"/>
            <w:shd w:val="clear" w:color="auto" w:fill="FFFF00"/>
            <w:vAlign w:val="bottom"/>
          </w:tcPr>
          <w:p w:rsidR="00B13DFD" w:rsidRPr="00505482" w:rsidRDefault="00146123" w:rsidP="00072C2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1.7</w:t>
            </w:r>
          </w:p>
        </w:tc>
        <w:tc>
          <w:tcPr>
            <w:tcW w:w="1358" w:type="dxa"/>
            <w:shd w:val="clear" w:color="auto" w:fill="FFFF00"/>
            <w:vAlign w:val="bottom"/>
          </w:tcPr>
          <w:p w:rsidR="00B13DFD" w:rsidRPr="00505482" w:rsidRDefault="00146123" w:rsidP="00072C2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1.7</w:t>
            </w:r>
          </w:p>
        </w:tc>
        <w:tc>
          <w:tcPr>
            <w:tcW w:w="1276" w:type="dxa"/>
            <w:gridSpan w:val="2"/>
          </w:tcPr>
          <w:p w:rsidR="00B13DFD" w:rsidRPr="00505482" w:rsidRDefault="00526BDF" w:rsidP="003A5A8E">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2.2</w:t>
            </w:r>
          </w:p>
        </w:tc>
        <w:tc>
          <w:tcPr>
            <w:tcW w:w="1335" w:type="dxa"/>
            <w:gridSpan w:val="2"/>
          </w:tcPr>
          <w:p w:rsidR="00B13DFD" w:rsidRPr="00505482" w:rsidRDefault="00526BDF" w:rsidP="003A5A8E">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2.2</w:t>
            </w:r>
          </w:p>
        </w:tc>
      </w:tr>
      <w:tr w:rsidR="00B13DFD" w:rsidRPr="00505482" w:rsidTr="00010C77">
        <w:tc>
          <w:tcPr>
            <w:tcW w:w="5865" w:type="dxa"/>
            <w:vAlign w:val="bottom"/>
            <w:hideMark/>
          </w:tcPr>
          <w:p w:rsidR="00B13DFD" w:rsidRPr="00505482" w:rsidRDefault="00B13DFD" w:rsidP="00B13DFD">
            <w:pPr>
              <w:tabs>
                <w:tab w:val="left" w:leader="dot" w:pos="6804"/>
              </w:tabs>
              <w:ind w:right="-250"/>
              <w:rPr>
                <w:rFonts w:asciiTheme="minorHAnsi" w:eastAsia="MS Mincho" w:hAnsiTheme="minorHAnsi" w:cstheme="minorHAnsi"/>
                <w:bCs/>
                <w:sz w:val="22"/>
                <w:szCs w:val="22"/>
              </w:rPr>
            </w:pPr>
            <w:r w:rsidRPr="00505482">
              <w:rPr>
                <w:rFonts w:asciiTheme="minorHAnsi" w:hAnsiTheme="minorHAnsi" w:cstheme="minorHAnsi"/>
                <w:bCs/>
                <w:sz w:val="22"/>
                <w:szCs w:val="22"/>
              </w:rPr>
              <w:t xml:space="preserve">- </w:t>
            </w:r>
            <w:r w:rsidRPr="00505482">
              <w:rPr>
                <w:rFonts w:asciiTheme="minorHAnsi" w:hAnsiTheme="minorHAnsi" w:cstheme="minorHAnsi"/>
                <w:sz w:val="22"/>
                <w:szCs w:val="22"/>
              </w:rPr>
              <w:t>Jet fuel derivative contracts</w:t>
            </w:r>
          </w:p>
        </w:tc>
        <w:tc>
          <w:tcPr>
            <w:tcW w:w="1223" w:type="dxa"/>
            <w:shd w:val="clear" w:color="auto" w:fill="FFFF00"/>
            <w:vAlign w:val="bottom"/>
          </w:tcPr>
          <w:p w:rsidR="00B13DFD" w:rsidRPr="00505482" w:rsidRDefault="00146123" w:rsidP="00A405DF">
            <w:pPr>
              <w:pBdr>
                <w:bottom w:val="single" w:sz="4" w:space="1" w:color="auto"/>
              </w:pBd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w:t>
            </w:r>
          </w:p>
        </w:tc>
        <w:tc>
          <w:tcPr>
            <w:tcW w:w="1358" w:type="dxa"/>
            <w:shd w:val="clear" w:color="auto" w:fill="FFFF00"/>
            <w:vAlign w:val="bottom"/>
          </w:tcPr>
          <w:p w:rsidR="00B13DFD" w:rsidRPr="00505482" w:rsidRDefault="00146123" w:rsidP="00A405DF">
            <w:pPr>
              <w:pBdr>
                <w:bottom w:val="single" w:sz="4" w:space="1" w:color="auto"/>
              </w:pBd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w:t>
            </w:r>
          </w:p>
        </w:tc>
        <w:tc>
          <w:tcPr>
            <w:tcW w:w="1276" w:type="dxa"/>
            <w:gridSpan w:val="2"/>
          </w:tcPr>
          <w:p w:rsidR="00B13DFD" w:rsidRPr="00505482" w:rsidRDefault="00526BDF" w:rsidP="003A5A8E">
            <w:pPr>
              <w:pBdr>
                <w:bottom w:val="single" w:sz="4" w:space="1" w:color="auto"/>
              </w:pBd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w:t>
            </w:r>
          </w:p>
        </w:tc>
        <w:tc>
          <w:tcPr>
            <w:tcW w:w="1335" w:type="dxa"/>
            <w:gridSpan w:val="2"/>
          </w:tcPr>
          <w:p w:rsidR="00B13DFD" w:rsidRPr="00505482" w:rsidRDefault="00526BDF" w:rsidP="003A5A8E">
            <w:pPr>
              <w:pBdr>
                <w:bottom w:val="single" w:sz="4" w:space="1" w:color="auto"/>
              </w:pBd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w:t>
            </w:r>
          </w:p>
        </w:tc>
      </w:tr>
      <w:tr w:rsidR="00B13DFD" w:rsidRPr="00505482" w:rsidTr="00010C77">
        <w:tc>
          <w:tcPr>
            <w:tcW w:w="5865" w:type="dxa"/>
            <w:vAlign w:val="bottom"/>
          </w:tcPr>
          <w:p w:rsidR="00B13DFD" w:rsidRPr="00505482" w:rsidRDefault="00B13DFD" w:rsidP="00B13DFD">
            <w:pPr>
              <w:tabs>
                <w:tab w:val="left" w:leader="dot" w:pos="6804"/>
              </w:tabs>
              <w:rPr>
                <w:rFonts w:asciiTheme="minorHAnsi" w:eastAsia="MS Mincho" w:hAnsiTheme="minorHAnsi" w:cstheme="minorHAnsi"/>
                <w:sz w:val="22"/>
                <w:szCs w:val="22"/>
              </w:rPr>
            </w:pPr>
          </w:p>
        </w:tc>
        <w:tc>
          <w:tcPr>
            <w:tcW w:w="1223" w:type="dxa"/>
            <w:shd w:val="clear" w:color="auto" w:fill="FFFF00"/>
            <w:vAlign w:val="bottom"/>
          </w:tcPr>
          <w:p w:rsidR="00B13DFD" w:rsidRPr="00505482" w:rsidRDefault="00146123" w:rsidP="00072C2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84.9</w:t>
            </w:r>
          </w:p>
        </w:tc>
        <w:tc>
          <w:tcPr>
            <w:tcW w:w="1358" w:type="dxa"/>
            <w:shd w:val="clear" w:color="auto" w:fill="FFFF00"/>
            <w:vAlign w:val="bottom"/>
          </w:tcPr>
          <w:p w:rsidR="00B13DFD" w:rsidRPr="00505482" w:rsidRDefault="00146123" w:rsidP="00072C2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84.9</w:t>
            </w:r>
          </w:p>
        </w:tc>
        <w:tc>
          <w:tcPr>
            <w:tcW w:w="1276" w:type="dxa"/>
            <w:gridSpan w:val="2"/>
          </w:tcPr>
          <w:p w:rsidR="00B13DFD" w:rsidRPr="00505482" w:rsidRDefault="00667787" w:rsidP="003A5A8E">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2</w:t>
            </w:r>
            <w:r w:rsidR="00FB4EBF">
              <w:rPr>
                <w:rFonts w:asciiTheme="minorHAnsi" w:eastAsia="MS Mincho" w:hAnsiTheme="minorHAnsi" w:cstheme="minorHAnsi"/>
                <w:sz w:val="22"/>
                <w:szCs w:val="22"/>
                <w:lang w:val="en-US"/>
              </w:rPr>
              <w:t>.6</w:t>
            </w:r>
          </w:p>
        </w:tc>
        <w:tc>
          <w:tcPr>
            <w:tcW w:w="1335" w:type="dxa"/>
            <w:gridSpan w:val="2"/>
          </w:tcPr>
          <w:p w:rsidR="00B13DFD" w:rsidRPr="00505482" w:rsidRDefault="00667787" w:rsidP="003A5A8E">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2</w:t>
            </w:r>
            <w:r w:rsidR="00FB4EBF">
              <w:rPr>
                <w:rFonts w:asciiTheme="minorHAnsi" w:eastAsia="MS Mincho" w:hAnsiTheme="minorHAnsi" w:cstheme="minorHAnsi"/>
                <w:sz w:val="22"/>
                <w:szCs w:val="22"/>
                <w:lang w:val="en-US"/>
              </w:rPr>
              <w:t>.6</w:t>
            </w:r>
          </w:p>
        </w:tc>
      </w:tr>
      <w:tr w:rsidR="00B13DFD" w:rsidRPr="00505482" w:rsidTr="00010C77">
        <w:tc>
          <w:tcPr>
            <w:tcW w:w="5865" w:type="dxa"/>
            <w:vAlign w:val="bottom"/>
          </w:tcPr>
          <w:p w:rsidR="00B13DFD" w:rsidRPr="00505482" w:rsidRDefault="00B13DFD" w:rsidP="00B13DFD">
            <w:pPr>
              <w:tabs>
                <w:tab w:val="left" w:leader="dot" w:pos="6804"/>
              </w:tabs>
              <w:ind w:right="-250"/>
              <w:rPr>
                <w:rFonts w:asciiTheme="minorHAnsi" w:hAnsiTheme="minorHAnsi" w:cstheme="minorHAnsi"/>
                <w:bCs/>
                <w:sz w:val="22"/>
                <w:szCs w:val="22"/>
              </w:rPr>
            </w:pPr>
            <w:r w:rsidRPr="00505482">
              <w:rPr>
                <w:rFonts w:asciiTheme="minorHAnsi" w:hAnsiTheme="minorHAnsi" w:cstheme="minorHAnsi"/>
                <w:bCs/>
                <w:sz w:val="22"/>
                <w:szCs w:val="22"/>
              </w:rPr>
              <w:t>Long-term debt</w:t>
            </w:r>
          </w:p>
        </w:tc>
        <w:tc>
          <w:tcPr>
            <w:tcW w:w="1223" w:type="dxa"/>
            <w:shd w:val="clear" w:color="auto" w:fill="FFFF00"/>
            <w:vAlign w:val="bottom"/>
          </w:tcPr>
          <w:p w:rsidR="00B13DFD" w:rsidRPr="00505482" w:rsidRDefault="00146123" w:rsidP="00072C2D">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1,392.1</w:t>
            </w:r>
          </w:p>
        </w:tc>
        <w:tc>
          <w:tcPr>
            <w:tcW w:w="1358" w:type="dxa"/>
            <w:shd w:val="clear" w:color="auto" w:fill="FFFF00"/>
            <w:vAlign w:val="bottom"/>
          </w:tcPr>
          <w:p w:rsidR="00B13DFD" w:rsidRPr="00505482" w:rsidRDefault="00146123" w:rsidP="00072C2D">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1,426.9</w:t>
            </w:r>
          </w:p>
        </w:tc>
        <w:tc>
          <w:tcPr>
            <w:tcW w:w="1276" w:type="dxa"/>
            <w:gridSpan w:val="2"/>
          </w:tcPr>
          <w:p w:rsidR="00B13DFD" w:rsidRPr="00505482" w:rsidRDefault="00FB4EBF" w:rsidP="003A5A8E">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1,</w:t>
            </w:r>
            <w:r w:rsidR="00667787">
              <w:rPr>
                <w:rFonts w:asciiTheme="minorHAnsi" w:eastAsia="MS Mincho" w:hAnsiTheme="minorHAnsi" w:cstheme="minorHAnsi"/>
                <w:sz w:val="22"/>
                <w:szCs w:val="22"/>
              </w:rPr>
              <w:t>489</w:t>
            </w:r>
            <w:r>
              <w:rPr>
                <w:rFonts w:asciiTheme="minorHAnsi" w:eastAsia="MS Mincho" w:hAnsiTheme="minorHAnsi" w:cstheme="minorHAnsi"/>
                <w:sz w:val="22"/>
                <w:szCs w:val="22"/>
              </w:rPr>
              <w:t>.</w:t>
            </w:r>
            <w:r w:rsidR="00692F2F">
              <w:rPr>
                <w:rFonts w:asciiTheme="minorHAnsi" w:eastAsia="MS Mincho" w:hAnsiTheme="minorHAnsi" w:cstheme="minorHAnsi"/>
                <w:sz w:val="22"/>
                <w:szCs w:val="22"/>
              </w:rPr>
              <w:t>9</w:t>
            </w:r>
          </w:p>
        </w:tc>
        <w:tc>
          <w:tcPr>
            <w:tcW w:w="1335" w:type="dxa"/>
            <w:gridSpan w:val="2"/>
          </w:tcPr>
          <w:p w:rsidR="00B13DFD" w:rsidRPr="00505482" w:rsidRDefault="00FB4EBF" w:rsidP="003A5A8E">
            <w:pP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1,</w:t>
            </w:r>
            <w:r w:rsidR="00667787">
              <w:rPr>
                <w:rFonts w:asciiTheme="minorHAnsi" w:eastAsia="MS Mincho" w:hAnsiTheme="minorHAnsi" w:cstheme="minorHAnsi"/>
                <w:sz w:val="22"/>
                <w:szCs w:val="22"/>
              </w:rPr>
              <w:t>519</w:t>
            </w:r>
            <w:r>
              <w:rPr>
                <w:rFonts w:asciiTheme="minorHAnsi" w:eastAsia="MS Mincho" w:hAnsiTheme="minorHAnsi" w:cstheme="minorHAnsi"/>
                <w:sz w:val="22"/>
                <w:szCs w:val="22"/>
              </w:rPr>
              <w:t>.4</w:t>
            </w:r>
          </w:p>
        </w:tc>
      </w:tr>
      <w:tr w:rsidR="00B13DFD" w:rsidRPr="00505482" w:rsidTr="00010C77">
        <w:tc>
          <w:tcPr>
            <w:tcW w:w="5865" w:type="dxa"/>
            <w:vAlign w:val="bottom"/>
            <w:hideMark/>
          </w:tcPr>
          <w:p w:rsidR="00B13DFD" w:rsidRPr="00505482" w:rsidRDefault="00B13DFD" w:rsidP="00B13DFD">
            <w:pPr>
              <w:tabs>
                <w:tab w:val="left" w:leader="dot" w:pos="6804"/>
              </w:tabs>
              <w:ind w:right="-250"/>
              <w:rPr>
                <w:rFonts w:asciiTheme="minorHAnsi" w:eastAsia="MS Mincho" w:hAnsiTheme="minorHAnsi" w:cstheme="minorHAnsi"/>
                <w:bCs/>
                <w:sz w:val="22"/>
                <w:szCs w:val="22"/>
              </w:rPr>
            </w:pPr>
            <w:r w:rsidRPr="00505482">
              <w:rPr>
                <w:rFonts w:asciiTheme="minorHAnsi" w:hAnsiTheme="minorHAnsi" w:cstheme="minorHAnsi"/>
                <w:bCs/>
                <w:sz w:val="22"/>
                <w:szCs w:val="22"/>
              </w:rPr>
              <w:t>Bonds</w:t>
            </w:r>
          </w:p>
        </w:tc>
        <w:tc>
          <w:tcPr>
            <w:tcW w:w="1223" w:type="dxa"/>
            <w:shd w:val="clear" w:color="auto" w:fill="FFFF00"/>
            <w:vAlign w:val="bottom"/>
          </w:tcPr>
          <w:p w:rsidR="00B13DFD" w:rsidRPr="00505482" w:rsidRDefault="00146123" w:rsidP="00A405DF">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2,438.7</w:t>
            </w:r>
          </w:p>
        </w:tc>
        <w:tc>
          <w:tcPr>
            <w:tcW w:w="1358" w:type="dxa"/>
            <w:shd w:val="clear" w:color="auto" w:fill="FFFF00"/>
            <w:vAlign w:val="bottom"/>
          </w:tcPr>
          <w:p w:rsidR="00B13DFD" w:rsidRPr="00505482" w:rsidRDefault="00146123" w:rsidP="00072C2D">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2,504.9</w:t>
            </w:r>
          </w:p>
        </w:tc>
        <w:tc>
          <w:tcPr>
            <w:tcW w:w="1276" w:type="dxa"/>
            <w:gridSpan w:val="2"/>
          </w:tcPr>
          <w:p w:rsidR="00B13DFD" w:rsidRPr="00505482" w:rsidRDefault="00692F2F" w:rsidP="003A5A8E">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438</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7</w:t>
            </w:r>
          </w:p>
        </w:tc>
        <w:tc>
          <w:tcPr>
            <w:tcW w:w="1335" w:type="dxa"/>
            <w:gridSpan w:val="2"/>
          </w:tcPr>
          <w:p w:rsidR="00B13DFD" w:rsidRPr="00505482" w:rsidRDefault="00692F2F" w:rsidP="003A5A8E">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499</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9</w:t>
            </w:r>
          </w:p>
        </w:tc>
      </w:tr>
      <w:tr w:rsidR="00B13DFD" w:rsidRPr="00505482" w:rsidTr="00010C77">
        <w:tc>
          <w:tcPr>
            <w:tcW w:w="5865" w:type="dxa"/>
            <w:vAlign w:val="bottom"/>
          </w:tcPr>
          <w:p w:rsidR="00B13DFD" w:rsidRPr="00505482" w:rsidRDefault="00B13DFD" w:rsidP="00B13DFD">
            <w:pPr>
              <w:tabs>
                <w:tab w:val="left" w:leader="dot" w:pos="6804"/>
              </w:tabs>
              <w:rPr>
                <w:rFonts w:asciiTheme="minorHAnsi" w:eastAsia="MS Mincho" w:hAnsiTheme="minorHAnsi" w:cstheme="minorHAnsi"/>
                <w:sz w:val="22"/>
                <w:szCs w:val="22"/>
              </w:rPr>
            </w:pPr>
          </w:p>
        </w:tc>
        <w:tc>
          <w:tcPr>
            <w:tcW w:w="1223" w:type="dxa"/>
            <w:shd w:val="clear" w:color="auto" w:fill="FFFF00"/>
            <w:vAlign w:val="bottom"/>
          </w:tcPr>
          <w:p w:rsidR="00B13DFD" w:rsidRPr="00505482" w:rsidRDefault="00146123" w:rsidP="00072C2D">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3,915.7</w:t>
            </w:r>
          </w:p>
        </w:tc>
        <w:tc>
          <w:tcPr>
            <w:tcW w:w="1358" w:type="dxa"/>
            <w:shd w:val="clear" w:color="auto" w:fill="FFFF00"/>
            <w:vAlign w:val="bottom"/>
          </w:tcPr>
          <w:p w:rsidR="00B13DFD" w:rsidRPr="00505482" w:rsidRDefault="00146123" w:rsidP="00072C2D">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4,016.7</w:t>
            </w:r>
          </w:p>
        </w:tc>
        <w:tc>
          <w:tcPr>
            <w:tcW w:w="1276" w:type="dxa"/>
            <w:gridSpan w:val="2"/>
          </w:tcPr>
          <w:p w:rsidR="00B13DFD" w:rsidRPr="00505482" w:rsidRDefault="00FB4EBF" w:rsidP="003A5A8E">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3,</w:t>
            </w:r>
            <w:r w:rsidR="00692F2F">
              <w:rPr>
                <w:rFonts w:asciiTheme="minorHAnsi" w:eastAsia="MS Mincho" w:hAnsiTheme="minorHAnsi" w:cstheme="minorHAnsi"/>
                <w:sz w:val="22"/>
                <w:szCs w:val="22"/>
              </w:rPr>
              <w:t>931</w:t>
            </w:r>
            <w:r>
              <w:rPr>
                <w:rFonts w:asciiTheme="minorHAnsi" w:eastAsia="MS Mincho" w:hAnsiTheme="minorHAnsi" w:cstheme="minorHAnsi"/>
                <w:sz w:val="22"/>
                <w:szCs w:val="22"/>
              </w:rPr>
              <w:t>.</w:t>
            </w:r>
            <w:r w:rsidR="00692F2F">
              <w:rPr>
                <w:rFonts w:asciiTheme="minorHAnsi" w:eastAsia="MS Mincho" w:hAnsiTheme="minorHAnsi" w:cstheme="minorHAnsi"/>
                <w:sz w:val="22"/>
                <w:szCs w:val="22"/>
              </w:rPr>
              <w:t>2</w:t>
            </w:r>
          </w:p>
        </w:tc>
        <w:tc>
          <w:tcPr>
            <w:tcW w:w="1335" w:type="dxa"/>
            <w:gridSpan w:val="2"/>
          </w:tcPr>
          <w:p w:rsidR="00B13DFD" w:rsidRPr="00505482" w:rsidRDefault="00692F2F" w:rsidP="003A5A8E">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4</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021</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9</w:t>
            </w:r>
          </w:p>
        </w:tc>
      </w:tr>
      <w:tr w:rsidR="00B13DFD" w:rsidRPr="00505482" w:rsidTr="00010C77">
        <w:tc>
          <w:tcPr>
            <w:tcW w:w="5865" w:type="dxa"/>
            <w:vAlign w:val="bottom"/>
            <w:hideMark/>
          </w:tcPr>
          <w:p w:rsidR="00B13DFD" w:rsidRPr="00505482" w:rsidRDefault="00B13DFD" w:rsidP="00B13DFD">
            <w:pPr>
              <w:tabs>
                <w:tab w:val="left" w:leader="dot" w:pos="6804"/>
              </w:tabs>
              <w:rPr>
                <w:rFonts w:asciiTheme="minorHAnsi" w:eastAsia="MS Mincho" w:hAnsiTheme="minorHAnsi" w:cstheme="minorHAnsi"/>
                <w:bCs/>
                <w:sz w:val="22"/>
                <w:szCs w:val="22"/>
              </w:rPr>
            </w:pPr>
            <w:r w:rsidRPr="00505482">
              <w:rPr>
                <w:rFonts w:asciiTheme="minorHAnsi" w:hAnsiTheme="minorHAnsi" w:cstheme="minorHAnsi"/>
                <w:b/>
                <w:bCs/>
                <w:sz w:val="22"/>
                <w:szCs w:val="22"/>
              </w:rPr>
              <w:t>Current financial liabilities</w:t>
            </w:r>
          </w:p>
        </w:tc>
        <w:tc>
          <w:tcPr>
            <w:tcW w:w="1223" w:type="dxa"/>
            <w:shd w:val="clear" w:color="auto" w:fill="FFFF00"/>
            <w:vAlign w:val="bottom"/>
          </w:tcPr>
          <w:p w:rsidR="00B13DFD" w:rsidRPr="00505482" w:rsidRDefault="00B13DFD" w:rsidP="00F96EF9">
            <w:pPr>
              <w:jc w:val="right"/>
              <w:rPr>
                <w:rFonts w:asciiTheme="minorHAnsi" w:eastAsia="MS Mincho" w:hAnsiTheme="minorHAnsi" w:cstheme="minorHAnsi"/>
                <w:sz w:val="22"/>
                <w:szCs w:val="22"/>
              </w:rPr>
            </w:pPr>
          </w:p>
        </w:tc>
        <w:tc>
          <w:tcPr>
            <w:tcW w:w="1358" w:type="dxa"/>
            <w:shd w:val="clear" w:color="auto" w:fill="FFFF00"/>
            <w:vAlign w:val="bottom"/>
          </w:tcPr>
          <w:p w:rsidR="00B13DFD" w:rsidRPr="00505482" w:rsidRDefault="00B13DFD" w:rsidP="00B13DFD">
            <w:pPr>
              <w:jc w:val="right"/>
              <w:rPr>
                <w:rFonts w:asciiTheme="minorHAnsi" w:eastAsia="MS Mincho" w:hAnsiTheme="minorHAnsi" w:cstheme="minorHAnsi"/>
                <w:sz w:val="22"/>
                <w:szCs w:val="22"/>
              </w:rPr>
            </w:pPr>
          </w:p>
        </w:tc>
        <w:tc>
          <w:tcPr>
            <w:tcW w:w="1276" w:type="dxa"/>
            <w:gridSpan w:val="2"/>
          </w:tcPr>
          <w:p w:rsidR="00B13DFD" w:rsidRPr="00505482" w:rsidRDefault="00B13DFD" w:rsidP="00B13DFD">
            <w:pPr>
              <w:jc w:val="right"/>
              <w:rPr>
                <w:rFonts w:asciiTheme="minorHAnsi" w:eastAsia="MS Mincho" w:hAnsiTheme="minorHAnsi" w:cstheme="minorHAnsi"/>
                <w:sz w:val="22"/>
                <w:szCs w:val="22"/>
              </w:rPr>
            </w:pPr>
          </w:p>
        </w:tc>
        <w:tc>
          <w:tcPr>
            <w:tcW w:w="1335" w:type="dxa"/>
            <w:gridSpan w:val="2"/>
          </w:tcPr>
          <w:p w:rsidR="00B13DFD" w:rsidRPr="00505482" w:rsidRDefault="00B13DFD" w:rsidP="00B13DFD">
            <w:pPr>
              <w:jc w:val="right"/>
              <w:rPr>
                <w:rFonts w:asciiTheme="minorHAnsi" w:eastAsia="MS Mincho" w:hAnsiTheme="minorHAnsi" w:cstheme="minorHAnsi"/>
                <w:sz w:val="22"/>
                <w:szCs w:val="22"/>
              </w:rPr>
            </w:pPr>
          </w:p>
        </w:tc>
      </w:tr>
      <w:tr w:rsidR="00B13DFD" w:rsidRPr="00505482" w:rsidTr="00010C77">
        <w:tc>
          <w:tcPr>
            <w:tcW w:w="5865" w:type="dxa"/>
            <w:vAlign w:val="bottom"/>
            <w:hideMark/>
          </w:tcPr>
          <w:p w:rsidR="00B13DFD" w:rsidRPr="00505482" w:rsidRDefault="00B13DFD" w:rsidP="00B13DFD">
            <w:pPr>
              <w:tabs>
                <w:tab w:val="left" w:leader="dot" w:pos="6804"/>
              </w:tabs>
              <w:rPr>
                <w:rFonts w:asciiTheme="minorHAnsi" w:eastAsia="MS Mincho" w:hAnsiTheme="minorHAnsi" w:cstheme="minorHAnsi"/>
                <w:bCs/>
                <w:sz w:val="22"/>
                <w:szCs w:val="22"/>
              </w:rPr>
            </w:pPr>
            <w:r w:rsidRPr="00505482">
              <w:rPr>
                <w:rFonts w:asciiTheme="minorHAnsi" w:hAnsiTheme="minorHAnsi" w:cstheme="minorHAnsi"/>
                <w:bCs/>
                <w:sz w:val="22"/>
                <w:szCs w:val="22"/>
              </w:rPr>
              <w:t xml:space="preserve">Derivative financial </w:t>
            </w:r>
            <w:proofErr w:type="gramStart"/>
            <w:r w:rsidRPr="00505482">
              <w:rPr>
                <w:rFonts w:asciiTheme="minorHAnsi" w:hAnsiTheme="minorHAnsi" w:cstheme="minorHAnsi"/>
                <w:bCs/>
                <w:sz w:val="22"/>
                <w:szCs w:val="22"/>
              </w:rPr>
              <w:t>instruments:-</w:t>
            </w:r>
            <w:proofErr w:type="gramEnd"/>
          </w:p>
        </w:tc>
        <w:tc>
          <w:tcPr>
            <w:tcW w:w="1223" w:type="dxa"/>
            <w:shd w:val="clear" w:color="auto" w:fill="FFFF00"/>
            <w:vAlign w:val="bottom"/>
          </w:tcPr>
          <w:p w:rsidR="00B13DFD" w:rsidRPr="00505482" w:rsidRDefault="00B13DFD" w:rsidP="00F96EF9">
            <w:pPr>
              <w:jc w:val="right"/>
              <w:rPr>
                <w:rFonts w:asciiTheme="minorHAnsi" w:eastAsia="MS Mincho" w:hAnsiTheme="minorHAnsi" w:cstheme="minorHAnsi"/>
                <w:sz w:val="22"/>
                <w:szCs w:val="22"/>
              </w:rPr>
            </w:pPr>
          </w:p>
        </w:tc>
        <w:tc>
          <w:tcPr>
            <w:tcW w:w="1358" w:type="dxa"/>
            <w:shd w:val="clear" w:color="auto" w:fill="FFFF00"/>
            <w:vAlign w:val="bottom"/>
          </w:tcPr>
          <w:p w:rsidR="00B13DFD" w:rsidRPr="00505482" w:rsidRDefault="00B13DFD" w:rsidP="00B13DFD">
            <w:pPr>
              <w:jc w:val="right"/>
              <w:rPr>
                <w:rFonts w:asciiTheme="minorHAnsi" w:eastAsia="MS Mincho" w:hAnsiTheme="minorHAnsi" w:cstheme="minorHAnsi"/>
                <w:sz w:val="22"/>
                <w:szCs w:val="22"/>
              </w:rPr>
            </w:pPr>
          </w:p>
        </w:tc>
        <w:tc>
          <w:tcPr>
            <w:tcW w:w="1276" w:type="dxa"/>
            <w:gridSpan w:val="2"/>
          </w:tcPr>
          <w:p w:rsidR="00B13DFD" w:rsidRPr="00505482" w:rsidRDefault="00B13DFD" w:rsidP="00B13DFD">
            <w:pPr>
              <w:jc w:val="right"/>
              <w:rPr>
                <w:rFonts w:asciiTheme="minorHAnsi" w:eastAsia="MS Mincho" w:hAnsiTheme="minorHAnsi" w:cstheme="minorHAnsi"/>
                <w:sz w:val="22"/>
                <w:szCs w:val="22"/>
              </w:rPr>
            </w:pPr>
          </w:p>
        </w:tc>
        <w:tc>
          <w:tcPr>
            <w:tcW w:w="1335" w:type="dxa"/>
            <w:gridSpan w:val="2"/>
          </w:tcPr>
          <w:p w:rsidR="00B13DFD" w:rsidRPr="00505482" w:rsidRDefault="00B13DFD" w:rsidP="00B13DFD">
            <w:pPr>
              <w:jc w:val="right"/>
              <w:rPr>
                <w:rFonts w:asciiTheme="minorHAnsi" w:eastAsia="MS Mincho" w:hAnsiTheme="minorHAnsi" w:cstheme="minorHAnsi"/>
                <w:sz w:val="22"/>
                <w:szCs w:val="22"/>
              </w:rPr>
            </w:pPr>
          </w:p>
        </w:tc>
      </w:tr>
      <w:tr w:rsidR="00B13DFD" w:rsidRPr="00505482" w:rsidTr="00010C77">
        <w:tc>
          <w:tcPr>
            <w:tcW w:w="5865" w:type="dxa"/>
            <w:vAlign w:val="bottom"/>
            <w:hideMark/>
          </w:tcPr>
          <w:p w:rsidR="00B13DFD" w:rsidRPr="00505482" w:rsidRDefault="00B13DFD" w:rsidP="00B13DFD">
            <w:pPr>
              <w:tabs>
                <w:tab w:val="left" w:leader="dot" w:pos="6804"/>
              </w:tabs>
              <w:ind w:right="-250"/>
              <w:rPr>
                <w:rFonts w:asciiTheme="minorHAnsi" w:eastAsia="MS Mincho" w:hAnsiTheme="minorHAnsi" w:cstheme="minorHAnsi"/>
                <w:bCs/>
                <w:sz w:val="22"/>
                <w:szCs w:val="22"/>
              </w:rPr>
            </w:pPr>
            <w:r w:rsidRPr="00505482">
              <w:rPr>
                <w:rFonts w:asciiTheme="minorHAnsi" w:hAnsiTheme="minorHAnsi" w:cstheme="minorHAnsi"/>
                <w:bCs/>
                <w:sz w:val="22"/>
                <w:szCs w:val="22"/>
              </w:rPr>
              <w:t>- U.S. dollar currency forward contracts</w:t>
            </w:r>
          </w:p>
        </w:tc>
        <w:tc>
          <w:tcPr>
            <w:tcW w:w="1223" w:type="dxa"/>
            <w:shd w:val="clear" w:color="auto" w:fill="FFFF00"/>
            <w:vAlign w:val="bottom"/>
          </w:tcPr>
          <w:p w:rsidR="00B13DFD" w:rsidRPr="00505482" w:rsidRDefault="00146123" w:rsidP="00072C2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57.2</w:t>
            </w:r>
          </w:p>
        </w:tc>
        <w:tc>
          <w:tcPr>
            <w:tcW w:w="1358" w:type="dxa"/>
            <w:shd w:val="clear" w:color="auto" w:fill="FFFF00"/>
            <w:vAlign w:val="bottom"/>
          </w:tcPr>
          <w:p w:rsidR="00B13DFD" w:rsidRPr="00505482" w:rsidRDefault="00146123" w:rsidP="00072C2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57.2</w:t>
            </w:r>
          </w:p>
        </w:tc>
        <w:tc>
          <w:tcPr>
            <w:tcW w:w="1276" w:type="dxa"/>
            <w:gridSpan w:val="2"/>
          </w:tcPr>
          <w:p w:rsidR="00B13DFD" w:rsidRPr="00505482" w:rsidRDefault="00FB4EBF" w:rsidP="003A5A8E">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0.</w:t>
            </w:r>
            <w:r w:rsidR="00692F2F">
              <w:rPr>
                <w:rFonts w:asciiTheme="minorHAnsi" w:eastAsia="MS Mincho" w:hAnsiTheme="minorHAnsi" w:cstheme="minorHAnsi"/>
                <w:sz w:val="22"/>
                <w:szCs w:val="22"/>
                <w:lang w:val="en-US"/>
              </w:rPr>
              <w:t>1</w:t>
            </w:r>
          </w:p>
        </w:tc>
        <w:tc>
          <w:tcPr>
            <w:tcW w:w="1335" w:type="dxa"/>
            <w:gridSpan w:val="2"/>
          </w:tcPr>
          <w:p w:rsidR="00B13DFD" w:rsidRPr="00505482" w:rsidRDefault="00FB4EBF" w:rsidP="003A5A8E">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0.</w:t>
            </w:r>
            <w:r w:rsidR="00692F2F">
              <w:rPr>
                <w:rFonts w:asciiTheme="minorHAnsi" w:eastAsia="MS Mincho" w:hAnsiTheme="minorHAnsi" w:cstheme="minorHAnsi"/>
                <w:sz w:val="22"/>
                <w:szCs w:val="22"/>
                <w:lang w:val="en-US"/>
              </w:rPr>
              <w:t>1</w:t>
            </w:r>
          </w:p>
        </w:tc>
      </w:tr>
      <w:tr w:rsidR="00B13DFD" w:rsidRPr="00505482" w:rsidTr="00010C77">
        <w:tc>
          <w:tcPr>
            <w:tcW w:w="5865" w:type="dxa"/>
            <w:vAlign w:val="bottom"/>
          </w:tcPr>
          <w:p w:rsidR="00B13DFD" w:rsidRPr="00505482" w:rsidRDefault="00B13DFD" w:rsidP="00B13DFD">
            <w:pPr>
              <w:tabs>
                <w:tab w:val="left" w:leader="dot" w:pos="6804"/>
              </w:tabs>
              <w:ind w:right="-250"/>
              <w:rPr>
                <w:rFonts w:asciiTheme="minorHAnsi" w:hAnsiTheme="minorHAnsi" w:cstheme="minorHAnsi"/>
                <w:bCs/>
                <w:sz w:val="22"/>
                <w:szCs w:val="22"/>
              </w:rPr>
            </w:pPr>
            <w:r w:rsidRPr="00505482">
              <w:rPr>
                <w:rFonts w:asciiTheme="minorHAnsi" w:hAnsiTheme="minorHAnsi" w:cstheme="minorHAnsi"/>
                <w:bCs/>
                <w:sz w:val="22"/>
                <w:szCs w:val="22"/>
              </w:rPr>
              <w:t>- Interest rate swaps</w:t>
            </w:r>
          </w:p>
        </w:tc>
        <w:tc>
          <w:tcPr>
            <w:tcW w:w="1223" w:type="dxa"/>
            <w:shd w:val="clear" w:color="auto" w:fill="FFFF00"/>
            <w:vAlign w:val="bottom"/>
          </w:tcPr>
          <w:p w:rsidR="00B13DFD" w:rsidRPr="00505482" w:rsidRDefault="00146123" w:rsidP="00072C2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1.2</w:t>
            </w:r>
          </w:p>
        </w:tc>
        <w:tc>
          <w:tcPr>
            <w:tcW w:w="1358" w:type="dxa"/>
            <w:shd w:val="clear" w:color="auto" w:fill="FFFF00"/>
            <w:vAlign w:val="bottom"/>
          </w:tcPr>
          <w:p w:rsidR="00B13DFD" w:rsidRPr="00505482" w:rsidRDefault="00146123" w:rsidP="00072C2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1.2</w:t>
            </w:r>
          </w:p>
        </w:tc>
        <w:tc>
          <w:tcPr>
            <w:tcW w:w="1276" w:type="dxa"/>
            <w:gridSpan w:val="2"/>
          </w:tcPr>
          <w:p w:rsidR="00B13DFD" w:rsidRPr="00505482" w:rsidRDefault="00692F2F" w:rsidP="003A5A8E">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1</w:t>
            </w:r>
            <w:r w:rsidR="00FB4EBF">
              <w:rPr>
                <w:rFonts w:asciiTheme="minorHAnsi" w:eastAsia="MS Mincho" w:hAnsiTheme="minorHAnsi" w:cstheme="minorHAnsi"/>
                <w:sz w:val="22"/>
                <w:szCs w:val="22"/>
                <w:lang w:val="en-US"/>
              </w:rPr>
              <w:t>.</w:t>
            </w:r>
            <w:r>
              <w:rPr>
                <w:rFonts w:asciiTheme="minorHAnsi" w:eastAsia="MS Mincho" w:hAnsiTheme="minorHAnsi" w:cstheme="minorHAnsi"/>
                <w:sz w:val="22"/>
                <w:szCs w:val="22"/>
                <w:lang w:val="en-US"/>
              </w:rPr>
              <w:t>6</w:t>
            </w:r>
          </w:p>
        </w:tc>
        <w:tc>
          <w:tcPr>
            <w:tcW w:w="1335" w:type="dxa"/>
            <w:gridSpan w:val="2"/>
          </w:tcPr>
          <w:p w:rsidR="00B13DFD" w:rsidRPr="00505482" w:rsidRDefault="00692F2F" w:rsidP="003A5A8E">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1</w:t>
            </w:r>
            <w:r w:rsidR="00FB4EBF">
              <w:rPr>
                <w:rFonts w:asciiTheme="minorHAnsi" w:eastAsia="MS Mincho" w:hAnsiTheme="minorHAnsi" w:cstheme="minorHAnsi"/>
                <w:sz w:val="22"/>
                <w:szCs w:val="22"/>
                <w:lang w:val="en-US"/>
              </w:rPr>
              <w:t>.</w:t>
            </w:r>
            <w:r>
              <w:rPr>
                <w:rFonts w:asciiTheme="minorHAnsi" w:eastAsia="MS Mincho" w:hAnsiTheme="minorHAnsi" w:cstheme="minorHAnsi"/>
                <w:sz w:val="22"/>
                <w:szCs w:val="22"/>
                <w:lang w:val="en-US"/>
              </w:rPr>
              <w:t>6</w:t>
            </w:r>
          </w:p>
        </w:tc>
      </w:tr>
      <w:tr w:rsidR="00B13DFD" w:rsidRPr="00505482" w:rsidTr="00010C77">
        <w:tc>
          <w:tcPr>
            <w:tcW w:w="5865" w:type="dxa"/>
            <w:vAlign w:val="bottom"/>
            <w:hideMark/>
          </w:tcPr>
          <w:p w:rsidR="00B13DFD" w:rsidRPr="00505482" w:rsidRDefault="00B13DFD" w:rsidP="00B13DFD">
            <w:pPr>
              <w:tabs>
                <w:tab w:val="left" w:leader="dot" w:pos="6804"/>
              </w:tabs>
              <w:ind w:right="-250"/>
              <w:rPr>
                <w:rFonts w:asciiTheme="minorHAnsi" w:eastAsia="MS Mincho" w:hAnsiTheme="minorHAnsi" w:cstheme="minorHAnsi"/>
                <w:bCs/>
                <w:sz w:val="22"/>
                <w:szCs w:val="22"/>
              </w:rPr>
            </w:pPr>
            <w:r w:rsidRPr="00505482">
              <w:rPr>
                <w:rFonts w:asciiTheme="minorHAnsi" w:hAnsiTheme="minorHAnsi" w:cstheme="minorHAnsi"/>
                <w:bCs/>
                <w:sz w:val="22"/>
                <w:szCs w:val="22"/>
              </w:rPr>
              <w:t xml:space="preserve">- </w:t>
            </w:r>
            <w:r w:rsidRPr="00505482">
              <w:rPr>
                <w:rFonts w:asciiTheme="minorHAnsi" w:hAnsiTheme="minorHAnsi" w:cstheme="minorHAnsi"/>
                <w:sz w:val="22"/>
                <w:szCs w:val="22"/>
              </w:rPr>
              <w:t>Jet fuel derivative contracts</w:t>
            </w:r>
          </w:p>
        </w:tc>
        <w:tc>
          <w:tcPr>
            <w:tcW w:w="1223" w:type="dxa"/>
            <w:shd w:val="clear" w:color="auto" w:fill="FFFF00"/>
            <w:vAlign w:val="bottom"/>
          </w:tcPr>
          <w:p w:rsidR="00B13DFD" w:rsidRPr="00505482" w:rsidRDefault="00146123" w:rsidP="00072C2D">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25.7</w:t>
            </w:r>
          </w:p>
        </w:tc>
        <w:tc>
          <w:tcPr>
            <w:tcW w:w="1358" w:type="dxa"/>
            <w:shd w:val="clear" w:color="auto" w:fill="FFFF00"/>
            <w:vAlign w:val="bottom"/>
          </w:tcPr>
          <w:p w:rsidR="00B13DFD" w:rsidRPr="00505482" w:rsidRDefault="00146123" w:rsidP="00072C2D">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25.7</w:t>
            </w:r>
          </w:p>
        </w:tc>
        <w:tc>
          <w:tcPr>
            <w:tcW w:w="1276" w:type="dxa"/>
            <w:gridSpan w:val="2"/>
          </w:tcPr>
          <w:p w:rsidR="00B13DFD" w:rsidRPr="00505482" w:rsidRDefault="00692F2F" w:rsidP="003A5A8E">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w:t>
            </w:r>
          </w:p>
        </w:tc>
        <w:tc>
          <w:tcPr>
            <w:tcW w:w="1335" w:type="dxa"/>
            <w:gridSpan w:val="2"/>
          </w:tcPr>
          <w:p w:rsidR="00B13DFD" w:rsidRPr="00505482" w:rsidRDefault="00692F2F" w:rsidP="003A5A8E">
            <w:pPr>
              <w:pBdr>
                <w:bottom w:val="sing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w:t>
            </w:r>
          </w:p>
        </w:tc>
      </w:tr>
      <w:tr w:rsidR="00B13DFD" w:rsidRPr="00505482" w:rsidTr="00010C77">
        <w:tc>
          <w:tcPr>
            <w:tcW w:w="5865" w:type="dxa"/>
            <w:vAlign w:val="bottom"/>
          </w:tcPr>
          <w:p w:rsidR="00B13DFD" w:rsidRPr="00505482" w:rsidRDefault="00B13DFD" w:rsidP="00B13DFD">
            <w:pPr>
              <w:tabs>
                <w:tab w:val="left" w:leader="dot" w:pos="6804"/>
              </w:tabs>
              <w:rPr>
                <w:rFonts w:asciiTheme="minorHAnsi" w:eastAsia="MS Mincho" w:hAnsiTheme="minorHAnsi" w:cstheme="minorHAnsi"/>
                <w:sz w:val="22"/>
                <w:szCs w:val="22"/>
              </w:rPr>
            </w:pPr>
          </w:p>
        </w:tc>
        <w:tc>
          <w:tcPr>
            <w:tcW w:w="1223" w:type="dxa"/>
            <w:shd w:val="clear" w:color="auto" w:fill="FFFF00"/>
            <w:vAlign w:val="bottom"/>
          </w:tcPr>
          <w:p w:rsidR="00B13DFD" w:rsidRPr="00505482" w:rsidRDefault="00146123" w:rsidP="00072C2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84.1</w:t>
            </w:r>
          </w:p>
        </w:tc>
        <w:tc>
          <w:tcPr>
            <w:tcW w:w="1358" w:type="dxa"/>
            <w:shd w:val="clear" w:color="auto" w:fill="FFFF00"/>
            <w:vAlign w:val="bottom"/>
          </w:tcPr>
          <w:p w:rsidR="00B13DFD" w:rsidRPr="00505482" w:rsidRDefault="00146123" w:rsidP="00072C2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84.1</w:t>
            </w:r>
          </w:p>
        </w:tc>
        <w:tc>
          <w:tcPr>
            <w:tcW w:w="1276" w:type="dxa"/>
            <w:gridSpan w:val="2"/>
          </w:tcPr>
          <w:p w:rsidR="00B13DFD" w:rsidRPr="00505482" w:rsidRDefault="00692F2F" w:rsidP="003A5A8E">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1</w:t>
            </w:r>
            <w:r w:rsidR="00FB4EBF">
              <w:rPr>
                <w:rFonts w:asciiTheme="minorHAnsi" w:eastAsia="MS Mincho" w:hAnsiTheme="minorHAnsi" w:cstheme="minorHAnsi"/>
                <w:sz w:val="22"/>
                <w:szCs w:val="22"/>
                <w:lang w:val="en-US"/>
              </w:rPr>
              <w:t>.</w:t>
            </w:r>
            <w:r>
              <w:rPr>
                <w:rFonts w:asciiTheme="minorHAnsi" w:eastAsia="MS Mincho" w:hAnsiTheme="minorHAnsi" w:cstheme="minorHAnsi"/>
                <w:sz w:val="22"/>
                <w:szCs w:val="22"/>
                <w:lang w:val="en-US"/>
              </w:rPr>
              <w:t>7</w:t>
            </w:r>
          </w:p>
        </w:tc>
        <w:tc>
          <w:tcPr>
            <w:tcW w:w="1335" w:type="dxa"/>
            <w:gridSpan w:val="2"/>
          </w:tcPr>
          <w:p w:rsidR="00B13DFD" w:rsidRPr="00505482" w:rsidRDefault="00692F2F" w:rsidP="003A5A8E">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1</w:t>
            </w:r>
            <w:r w:rsidR="00FB4EBF">
              <w:rPr>
                <w:rFonts w:asciiTheme="minorHAnsi" w:eastAsia="MS Mincho" w:hAnsiTheme="minorHAnsi" w:cstheme="minorHAnsi"/>
                <w:sz w:val="22"/>
                <w:szCs w:val="22"/>
                <w:lang w:val="en-US"/>
              </w:rPr>
              <w:t>.</w:t>
            </w:r>
            <w:r>
              <w:rPr>
                <w:rFonts w:asciiTheme="minorHAnsi" w:eastAsia="MS Mincho" w:hAnsiTheme="minorHAnsi" w:cstheme="minorHAnsi"/>
                <w:sz w:val="22"/>
                <w:szCs w:val="22"/>
                <w:lang w:val="en-US"/>
              </w:rPr>
              <w:t>7</w:t>
            </w:r>
          </w:p>
        </w:tc>
      </w:tr>
      <w:tr w:rsidR="00B13DFD" w:rsidRPr="00505482" w:rsidTr="00010C77">
        <w:tc>
          <w:tcPr>
            <w:tcW w:w="5865" w:type="dxa"/>
            <w:vAlign w:val="bottom"/>
            <w:hideMark/>
          </w:tcPr>
          <w:p w:rsidR="00B13DFD" w:rsidRPr="00505482" w:rsidRDefault="00B13DFD" w:rsidP="00B13DFD">
            <w:pPr>
              <w:tabs>
                <w:tab w:val="left" w:leader="dot" w:pos="6804"/>
              </w:tabs>
              <w:ind w:right="-250"/>
              <w:rPr>
                <w:rFonts w:asciiTheme="minorHAnsi" w:eastAsia="MS Mincho" w:hAnsiTheme="minorHAnsi" w:cstheme="minorHAnsi"/>
                <w:bCs/>
                <w:sz w:val="22"/>
                <w:szCs w:val="22"/>
              </w:rPr>
            </w:pPr>
            <w:r w:rsidRPr="00505482">
              <w:rPr>
                <w:rFonts w:asciiTheme="minorHAnsi" w:hAnsiTheme="minorHAnsi" w:cstheme="minorHAnsi"/>
                <w:bCs/>
                <w:sz w:val="22"/>
                <w:szCs w:val="22"/>
              </w:rPr>
              <w:t>Long-term debt</w:t>
            </w:r>
          </w:p>
        </w:tc>
        <w:tc>
          <w:tcPr>
            <w:tcW w:w="1223" w:type="dxa"/>
            <w:shd w:val="clear" w:color="auto" w:fill="FFFF00"/>
            <w:vAlign w:val="bottom"/>
          </w:tcPr>
          <w:p w:rsidR="00B13DFD" w:rsidRPr="00505482" w:rsidRDefault="00146123" w:rsidP="00072C2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450.1</w:t>
            </w:r>
          </w:p>
        </w:tc>
        <w:tc>
          <w:tcPr>
            <w:tcW w:w="1358" w:type="dxa"/>
            <w:shd w:val="clear" w:color="auto" w:fill="FFFF00"/>
            <w:vAlign w:val="bottom"/>
          </w:tcPr>
          <w:p w:rsidR="00B13DFD" w:rsidRPr="00505482" w:rsidRDefault="00146123" w:rsidP="00072C2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450.1</w:t>
            </w:r>
          </w:p>
        </w:tc>
        <w:tc>
          <w:tcPr>
            <w:tcW w:w="1276" w:type="dxa"/>
            <w:gridSpan w:val="2"/>
          </w:tcPr>
          <w:p w:rsidR="00B13DFD" w:rsidRPr="00505482" w:rsidRDefault="00FB4EBF" w:rsidP="003A5A8E">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4</w:t>
            </w:r>
            <w:r w:rsidR="00692F2F">
              <w:rPr>
                <w:rFonts w:asciiTheme="minorHAnsi" w:eastAsia="MS Mincho" w:hAnsiTheme="minorHAnsi" w:cstheme="minorHAnsi"/>
                <w:sz w:val="22"/>
                <w:szCs w:val="22"/>
                <w:lang w:val="en-US"/>
              </w:rPr>
              <w:t>55</w:t>
            </w:r>
            <w:r>
              <w:rPr>
                <w:rFonts w:asciiTheme="minorHAnsi" w:eastAsia="MS Mincho" w:hAnsiTheme="minorHAnsi" w:cstheme="minorHAnsi"/>
                <w:sz w:val="22"/>
                <w:szCs w:val="22"/>
                <w:lang w:val="en-US"/>
              </w:rPr>
              <w:t>.</w:t>
            </w:r>
            <w:r w:rsidR="00692F2F">
              <w:rPr>
                <w:rFonts w:asciiTheme="minorHAnsi" w:eastAsia="MS Mincho" w:hAnsiTheme="minorHAnsi" w:cstheme="minorHAnsi"/>
                <w:sz w:val="22"/>
                <w:szCs w:val="22"/>
                <w:lang w:val="en-US"/>
              </w:rPr>
              <w:t>9</w:t>
            </w:r>
          </w:p>
        </w:tc>
        <w:tc>
          <w:tcPr>
            <w:tcW w:w="1335" w:type="dxa"/>
            <w:gridSpan w:val="2"/>
          </w:tcPr>
          <w:p w:rsidR="00B13DFD" w:rsidRPr="00505482" w:rsidRDefault="00FB4EBF" w:rsidP="003A5A8E">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4</w:t>
            </w:r>
            <w:r w:rsidR="00692F2F">
              <w:rPr>
                <w:rFonts w:asciiTheme="minorHAnsi" w:eastAsia="MS Mincho" w:hAnsiTheme="minorHAnsi" w:cstheme="minorHAnsi"/>
                <w:sz w:val="22"/>
                <w:szCs w:val="22"/>
                <w:lang w:val="en-US"/>
              </w:rPr>
              <w:t>55</w:t>
            </w:r>
            <w:r>
              <w:rPr>
                <w:rFonts w:asciiTheme="minorHAnsi" w:eastAsia="MS Mincho" w:hAnsiTheme="minorHAnsi" w:cstheme="minorHAnsi"/>
                <w:sz w:val="22"/>
                <w:szCs w:val="22"/>
                <w:lang w:val="en-US"/>
              </w:rPr>
              <w:t>.9</w:t>
            </w:r>
          </w:p>
        </w:tc>
      </w:tr>
      <w:tr w:rsidR="00B13DFD" w:rsidRPr="00505482" w:rsidTr="00010C77">
        <w:tc>
          <w:tcPr>
            <w:tcW w:w="5865" w:type="dxa"/>
            <w:vAlign w:val="bottom"/>
            <w:hideMark/>
          </w:tcPr>
          <w:p w:rsidR="00B13DFD" w:rsidRPr="00505482" w:rsidRDefault="00B13DFD" w:rsidP="00B13DFD">
            <w:pPr>
              <w:tabs>
                <w:tab w:val="left" w:leader="dot" w:pos="6804"/>
              </w:tabs>
              <w:ind w:right="-249"/>
              <w:rPr>
                <w:rFonts w:asciiTheme="minorHAnsi" w:eastAsia="MS Mincho" w:hAnsiTheme="minorHAnsi" w:cstheme="minorHAnsi"/>
                <w:bCs/>
                <w:sz w:val="22"/>
                <w:szCs w:val="22"/>
              </w:rPr>
            </w:pPr>
            <w:r w:rsidRPr="00505482">
              <w:rPr>
                <w:rFonts w:asciiTheme="minorHAnsi" w:hAnsiTheme="minorHAnsi" w:cstheme="minorHAnsi"/>
                <w:bCs/>
                <w:sz w:val="22"/>
                <w:szCs w:val="22"/>
              </w:rPr>
              <w:t>Trade payables*</w:t>
            </w:r>
          </w:p>
        </w:tc>
        <w:tc>
          <w:tcPr>
            <w:tcW w:w="1223" w:type="dxa"/>
            <w:shd w:val="clear" w:color="auto" w:fill="FFFF00"/>
            <w:vAlign w:val="bottom"/>
          </w:tcPr>
          <w:p w:rsidR="00B13DFD" w:rsidRPr="00505482" w:rsidRDefault="00146123" w:rsidP="00072C2D">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324.0</w:t>
            </w:r>
          </w:p>
        </w:tc>
        <w:tc>
          <w:tcPr>
            <w:tcW w:w="1358" w:type="dxa"/>
            <w:shd w:val="clear" w:color="auto" w:fill="FFFF00"/>
            <w:vAlign w:val="bottom"/>
          </w:tcPr>
          <w:p w:rsidR="00B13DFD" w:rsidRPr="00505482" w:rsidRDefault="00B13DFD" w:rsidP="00B13DFD">
            <w:pPr>
              <w:jc w:val="right"/>
              <w:rPr>
                <w:rFonts w:asciiTheme="minorHAnsi" w:eastAsia="MS Mincho" w:hAnsiTheme="minorHAnsi" w:cstheme="minorHAnsi"/>
                <w:sz w:val="22"/>
                <w:szCs w:val="22"/>
                <w:lang w:val="en-US"/>
              </w:rPr>
            </w:pPr>
          </w:p>
        </w:tc>
        <w:tc>
          <w:tcPr>
            <w:tcW w:w="1276" w:type="dxa"/>
            <w:gridSpan w:val="2"/>
          </w:tcPr>
          <w:p w:rsidR="00B13DFD" w:rsidRPr="00505482" w:rsidRDefault="00FB4EBF" w:rsidP="003A5A8E">
            <w:pPr>
              <w:jc w:val="right"/>
              <w:rPr>
                <w:rFonts w:asciiTheme="minorHAnsi" w:eastAsia="MS Mincho" w:hAnsiTheme="minorHAnsi" w:cstheme="minorHAnsi"/>
                <w:sz w:val="22"/>
                <w:szCs w:val="22"/>
                <w:lang w:val="en-US"/>
              </w:rPr>
            </w:pPr>
            <w:r>
              <w:rPr>
                <w:rFonts w:asciiTheme="minorHAnsi" w:eastAsia="MS Mincho" w:hAnsiTheme="minorHAnsi" w:cstheme="minorHAnsi"/>
                <w:sz w:val="22"/>
                <w:szCs w:val="22"/>
                <w:lang w:val="en-US"/>
              </w:rPr>
              <w:t>2</w:t>
            </w:r>
            <w:r w:rsidR="00692F2F">
              <w:rPr>
                <w:rFonts w:asciiTheme="minorHAnsi" w:eastAsia="MS Mincho" w:hAnsiTheme="minorHAnsi" w:cstheme="minorHAnsi"/>
                <w:sz w:val="22"/>
                <w:szCs w:val="22"/>
                <w:lang w:val="en-US"/>
              </w:rPr>
              <w:t>94</w:t>
            </w:r>
            <w:r>
              <w:rPr>
                <w:rFonts w:asciiTheme="minorHAnsi" w:eastAsia="MS Mincho" w:hAnsiTheme="minorHAnsi" w:cstheme="minorHAnsi"/>
                <w:sz w:val="22"/>
                <w:szCs w:val="22"/>
                <w:lang w:val="en-US"/>
              </w:rPr>
              <w:t>.</w:t>
            </w:r>
            <w:r w:rsidR="00692F2F">
              <w:rPr>
                <w:rFonts w:asciiTheme="minorHAnsi" w:eastAsia="MS Mincho" w:hAnsiTheme="minorHAnsi" w:cstheme="minorHAnsi"/>
                <w:sz w:val="22"/>
                <w:szCs w:val="22"/>
                <w:lang w:val="en-US"/>
              </w:rPr>
              <w:t>1</w:t>
            </w:r>
          </w:p>
        </w:tc>
        <w:tc>
          <w:tcPr>
            <w:tcW w:w="1335" w:type="dxa"/>
            <w:gridSpan w:val="2"/>
          </w:tcPr>
          <w:p w:rsidR="00B13DFD" w:rsidRPr="00505482" w:rsidRDefault="00B13DFD" w:rsidP="00B13DFD">
            <w:pPr>
              <w:jc w:val="right"/>
              <w:rPr>
                <w:rFonts w:asciiTheme="minorHAnsi" w:eastAsia="MS Mincho" w:hAnsiTheme="minorHAnsi" w:cstheme="minorHAnsi"/>
                <w:sz w:val="22"/>
                <w:szCs w:val="22"/>
                <w:lang w:val="en-US"/>
              </w:rPr>
            </w:pPr>
          </w:p>
        </w:tc>
      </w:tr>
      <w:tr w:rsidR="00B13DFD" w:rsidRPr="00505482" w:rsidTr="00010C77">
        <w:tc>
          <w:tcPr>
            <w:tcW w:w="5865" w:type="dxa"/>
            <w:vAlign w:val="bottom"/>
            <w:hideMark/>
          </w:tcPr>
          <w:p w:rsidR="00B13DFD" w:rsidRPr="00505482" w:rsidRDefault="00B13DFD" w:rsidP="00B13DFD">
            <w:pPr>
              <w:tabs>
                <w:tab w:val="left" w:leader="dot" w:pos="6804"/>
              </w:tabs>
              <w:ind w:right="-249"/>
              <w:rPr>
                <w:rFonts w:asciiTheme="minorHAnsi" w:eastAsia="MS Mincho" w:hAnsiTheme="minorHAnsi" w:cstheme="minorHAnsi"/>
                <w:bCs/>
                <w:sz w:val="22"/>
                <w:szCs w:val="22"/>
              </w:rPr>
            </w:pPr>
            <w:r w:rsidRPr="00505482">
              <w:rPr>
                <w:rFonts w:asciiTheme="minorHAnsi" w:hAnsiTheme="minorHAnsi" w:cstheme="minorHAnsi"/>
                <w:bCs/>
                <w:sz w:val="22"/>
                <w:szCs w:val="22"/>
              </w:rPr>
              <w:t>Accrued expenses*</w:t>
            </w:r>
          </w:p>
        </w:tc>
        <w:tc>
          <w:tcPr>
            <w:tcW w:w="1223" w:type="dxa"/>
            <w:shd w:val="clear" w:color="auto" w:fill="FFFF00"/>
            <w:vAlign w:val="bottom"/>
          </w:tcPr>
          <w:p w:rsidR="00B13DFD" w:rsidRPr="00505482" w:rsidRDefault="00146123" w:rsidP="00072C2D">
            <w:pPr>
              <w:pBdr>
                <w:bottom w:val="single" w:sz="4" w:space="1" w:color="auto"/>
              </w:pBdr>
              <w:jc w:val="right"/>
              <w:rPr>
                <w:rFonts w:asciiTheme="minorHAnsi" w:eastAsia="MS Mincho" w:hAnsiTheme="minorHAnsi" w:cstheme="minorHAnsi"/>
                <w:sz w:val="22"/>
                <w:szCs w:val="22"/>
              </w:rPr>
            </w:pPr>
            <w:r>
              <w:rPr>
                <w:rFonts w:asciiTheme="minorHAnsi" w:eastAsia="MS Mincho" w:hAnsiTheme="minorHAnsi" w:cstheme="minorHAnsi"/>
                <w:sz w:val="22"/>
                <w:szCs w:val="22"/>
              </w:rPr>
              <w:t>362.5</w:t>
            </w:r>
          </w:p>
        </w:tc>
        <w:tc>
          <w:tcPr>
            <w:tcW w:w="1358" w:type="dxa"/>
            <w:shd w:val="clear" w:color="auto" w:fill="FFFF00"/>
            <w:vAlign w:val="bottom"/>
          </w:tcPr>
          <w:p w:rsidR="00B13DFD" w:rsidRPr="00505482" w:rsidRDefault="00B13DFD" w:rsidP="00B13DFD">
            <w:pPr>
              <w:pBdr>
                <w:bottom w:val="single" w:sz="4" w:space="1" w:color="auto"/>
              </w:pBdr>
              <w:jc w:val="right"/>
              <w:rPr>
                <w:rFonts w:asciiTheme="minorHAnsi" w:eastAsia="MS Mincho" w:hAnsiTheme="minorHAnsi" w:cstheme="minorHAnsi"/>
                <w:sz w:val="22"/>
                <w:szCs w:val="22"/>
              </w:rPr>
            </w:pPr>
          </w:p>
        </w:tc>
        <w:tc>
          <w:tcPr>
            <w:tcW w:w="1276" w:type="dxa"/>
            <w:gridSpan w:val="2"/>
            <w:shd w:val="clear" w:color="auto" w:fill="auto"/>
          </w:tcPr>
          <w:p w:rsidR="00B13DFD" w:rsidRPr="00505482" w:rsidRDefault="00692F2F" w:rsidP="00A405DF">
            <w:pPr>
              <w:pBdr>
                <w:bottom w:val="single" w:sz="4" w:space="1" w:color="auto"/>
              </w:pBdr>
              <w:jc w:val="right"/>
              <w:rPr>
                <w:rFonts w:asciiTheme="minorHAnsi" w:eastAsia="MS Mincho" w:hAnsiTheme="minorHAnsi" w:cstheme="minorHAnsi"/>
                <w:sz w:val="22"/>
                <w:szCs w:val="22"/>
              </w:rPr>
            </w:pPr>
            <w:r>
              <w:rPr>
                <w:rFonts w:asciiTheme="minorHAnsi" w:eastAsia="MS Mincho" w:hAnsiTheme="minorHAnsi" w:cstheme="minorHAnsi"/>
                <w:sz w:val="22"/>
                <w:szCs w:val="22"/>
              </w:rPr>
              <w:t>348</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0</w:t>
            </w:r>
          </w:p>
        </w:tc>
        <w:tc>
          <w:tcPr>
            <w:tcW w:w="1335" w:type="dxa"/>
            <w:gridSpan w:val="2"/>
          </w:tcPr>
          <w:p w:rsidR="00B13DFD" w:rsidRPr="00505482" w:rsidRDefault="00B13DFD" w:rsidP="00B13DFD">
            <w:pPr>
              <w:pBdr>
                <w:bottom w:val="single" w:sz="4" w:space="1" w:color="auto"/>
              </w:pBdr>
              <w:jc w:val="right"/>
              <w:rPr>
                <w:rFonts w:asciiTheme="minorHAnsi" w:eastAsia="MS Mincho" w:hAnsiTheme="minorHAnsi" w:cstheme="minorHAnsi"/>
                <w:sz w:val="22"/>
                <w:szCs w:val="22"/>
              </w:rPr>
            </w:pPr>
          </w:p>
        </w:tc>
      </w:tr>
      <w:tr w:rsidR="00B13DFD" w:rsidRPr="00505482" w:rsidTr="00010C77">
        <w:tc>
          <w:tcPr>
            <w:tcW w:w="5865" w:type="dxa"/>
            <w:vAlign w:val="center"/>
          </w:tcPr>
          <w:p w:rsidR="00B13DFD" w:rsidRPr="00505482" w:rsidRDefault="00B13DFD" w:rsidP="00B13DFD">
            <w:pPr>
              <w:tabs>
                <w:tab w:val="left" w:leader="dot" w:pos="6804"/>
              </w:tabs>
              <w:ind w:right="-249"/>
              <w:rPr>
                <w:rFonts w:asciiTheme="minorHAnsi" w:eastAsia="MS Mincho" w:hAnsiTheme="minorHAnsi" w:cstheme="minorHAnsi"/>
                <w:bCs/>
                <w:sz w:val="22"/>
                <w:szCs w:val="22"/>
              </w:rPr>
            </w:pPr>
          </w:p>
        </w:tc>
        <w:tc>
          <w:tcPr>
            <w:tcW w:w="1223" w:type="dxa"/>
            <w:shd w:val="clear" w:color="auto" w:fill="FFFF00"/>
            <w:vAlign w:val="bottom"/>
          </w:tcPr>
          <w:p w:rsidR="00B13DFD" w:rsidRPr="00505482" w:rsidRDefault="00146123" w:rsidP="00072C2D">
            <w:pPr>
              <w:pBdr>
                <w:bottom w:val="single" w:sz="4" w:space="1" w:color="auto"/>
              </w:pBdr>
              <w:jc w:val="right"/>
              <w:rPr>
                <w:rFonts w:asciiTheme="minorHAnsi" w:eastAsia="MS Mincho" w:hAnsiTheme="minorHAnsi" w:cstheme="minorHAnsi"/>
                <w:sz w:val="22"/>
                <w:szCs w:val="22"/>
              </w:rPr>
            </w:pPr>
            <w:r>
              <w:rPr>
                <w:rFonts w:asciiTheme="minorHAnsi" w:eastAsia="MS Mincho" w:hAnsiTheme="minorHAnsi" w:cstheme="minorHAnsi"/>
                <w:sz w:val="22"/>
                <w:szCs w:val="22"/>
              </w:rPr>
              <w:t>1,220.7</w:t>
            </w:r>
          </w:p>
        </w:tc>
        <w:tc>
          <w:tcPr>
            <w:tcW w:w="1358" w:type="dxa"/>
            <w:shd w:val="clear" w:color="auto" w:fill="FFFF00"/>
            <w:vAlign w:val="bottom"/>
          </w:tcPr>
          <w:p w:rsidR="00B13DFD" w:rsidRPr="00505482" w:rsidRDefault="00146123" w:rsidP="00072C2D">
            <w:pPr>
              <w:pBdr>
                <w:bottom w:val="single" w:sz="4" w:space="1" w:color="auto"/>
              </w:pBdr>
              <w:jc w:val="right"/>
              <w:rPr>
                <w:rFonts w:asciiTheme="minorHAnsi" w:eastAsia="MS Mincho" w:hAnsiTheme="minorHAnsi" w:cstheme="minorHAnsi"/>
                <w:sz w:val="22"/>
                <w:szCs w:val="22"/>
              </w:rPr>
            </w:pPr>
            <w:r>
              <w:rPr>
                <w:rFonts w:asciiTheme="minorHAnsi" w:eastAsia="MS Mincho" w:hAnsiTheme="minorHAnsi" w:cstheme="minorHAnsi"/>
                <w:sz w:val="22"/>
                <w:szCs w:val="22"/>
              </w:rPr>
              <w:t>534.6</w:t>
            </w:r>
          </w:p>
        </w:tc>
        <w:tc>
          <w:tcPr>
            <w:tcW w:w="1276" w:type="dxa"/>
            <w:gridSpan w:val="2"/>
          </w:tcPr>
          <w:p w:rsidR="00B13DFD" w:rsidRPr="00505482" w:rsidRDefault="00FB4EBF" w:rsidP="00A405DF">
            <w:pPr>
              <w:pBdr>
                <w:bottom w:val="single" w:sz="4" w:space="1" w:color="auto"/>
              </w:pBdr>
              <w:jc w:val="right"/>
              <w:rPr>
                <w:rFonts w:asciiTheme="minorHAnsi" w:eastAsia="MS Mincho" w:hAnsiTheme="minorHAnsi" w:cstheme="minorHAnsi"/>
                <w:sz w:val="22"/>
                <w:szCs w:val="22"/>
              </w:rPr>
            </w:pPr>
            <w:r>
              <w:rPr>
                <w:rFonts w:asciiTheme="minorHAnsi" w:eastAsia="MS Mincho" w:hAnsiTheme="minorHAnsi" w:cstheme="minorHAnsi"/>
                <w:sz w:val="22"/>
                <w:szCs w:val="22"/>
              </w:rPr>
              <w:t>1,</w:t>
            </w:r>
            <w:r w:rsidR="00692F2F">
              <w:rPr>
                <w:rFonts w:asciiTheme="minorHAnsi" w:eastAsia="MS Mincho" w:hAnsiTheme="minorHAnsi" w:cstheme="minorHAnsi"/>
                <w:sz w:val="22"/>
                <w:szCs w:val="22"/>
              </w:rPr>
              <w:t>099</w:t>
            </w:r>
            <w:r>
              <w:rPr>
                <w:rFonts w:asciiTheme="minorHAnsi" w:eastAsia="MS Mincho" w:hAnsiTheme="minorHAnsi" w:cstheme="minorHAnsi"/>
                <w:sz w:val="22"/>
                <w:szCs w:val="22"/>
              </w:rPr>
              <w:t>.</w:t>
            </w:r>
            <w:r w:rsidR="00692F2F">
              <w:rPr>
                <w:rFonts w:asciiTheme="minorHAnsi" w:eastAsia="MS Mincho" w:hAnsiTheme="minorHAnsi" w:cstheme="minorHAnsi"/>
                <w:sz w:val="22"/>
                <w:szCs w:val="22"/>
              </w:rPr>
              <w:t>7</w:t>
            </w:r>
          </w:p>
        </w:tc>
        <w:tc>
          <w:tcPr>
            <w:tcW w:w="1335" w:type="dxa"/>
            <w:gridSpan w:val="2"/>
          </w:tcPr>
          <w:p w:rsidR="00B13DFD" w:rsidRPr="00505482" w:rsidRDefault="00692F2F" w:rsidP="003A5A8E">
            <w:pPr>
              <w:pBdr>
                <w:bottom w:val="single" w:sz="4" w:space="1" w:color="auto"/>
              </w:pBdr>
              <w:jc w:val="right"/>
              <w:rPr>
                <w:rFonts w:asciiTheme="minorHAnsi" w:eastAsia="MS Mincho" w:hAnsiTheme="minorHAnsi" w:cstheme="minorHAnsi"/>
                <w:sz w:val="22"/>
                <w:szCs w:val="22"/>
              </w:rPr>
            </w:pPr>
            <w:r>
              <w:rPr>
                <w:rFonts w:asciiTheme="minorHAnsi" w:eastAsia="MS Mincho" w:hAnsiTheme="minorHAnsi" w:cstheme="minorHAnsi"/>
                <w:sz w:val="22"/>
                <w:szCs w:val="22"/>
              </w:rPr>
              <w:t>457</w:t>
            </w:r>
            <w:r w:rsidR="00FB4EBF">
              <w:rPr>
                <w:rFonts w:asciiTheme="minorHAnsi" w:eastAsia="MS Mincho" w:hAnsiTheme="minorHAnsi" w:cstheme="minorHAnsi"/>
                <w:sz w:val="22"/>
                <w:szCs w:val="22"/>
              </w:rPr>
              <w:t>.</w:t>
            </w:r>
            <w:r>
              <w:rPr>
                <w:rFonts w:asciiTheme="minorHAnsi" w:eastAsia="MS Mincho" w:hAnsiTheme="minorHAnsi" w:cstheme="minorHAnsi"/>
                <w:sz w:val="22"/>
                <w:szCs w:val="22"/>
              </w:rPr>
              <w:t>6</w:t>
            </w:r>
          </w:p>
        </w:tc>
      </w:tr>
      <w:tr w:rsidR="00B13DFD" w:rsidRPr="00505482" w:rsidTr="00010C77">
        <w:trPr>
          <w:trHeight w:val="198"/>
        </w:trPr>
        <w:tc>
          <w:tcPr>
            <w:tcW w:w="5865" w:type="dxa"/>
            <w:vAlign w:val="bottom"/>
            <w:hideMark/>
          </w:tcPr>
          <w:p w:rsidR="00B13DFD" w:rsidRPr="00505482" w:rsidRDefault="00B13DFD" w:rsidP="00B13DFD">
            <w:pPr>
              <w:tabs>
                <w:tab w:val="left" w:leader="dot" w:pos="6804"/>
              </w:tabs>
              <w:spacing w:after="60"/>
              <w:ind w:right="-90"/>
              <w:rPr>
                <w:rFonts w:asciiTheme="minorHAnsi" w:eastAsia="MS Mincho" w:hAnsiTheme="minorHAnsi" w:cstheme="minorHAnsi"/>
                <w:bCs/>
                <w:sz w:val="22"/>
                <w:szCs w:val="22"/>
              </w:rPr>
            </w:pPr>
            <w:r w:rsidRPr="00505482">
              <w:rPr>
                <w:rFonts w:asciiTheme="minorHAnsi" w:hAnsiTheme="minorHAnsi" w:cstheme="minorHAnsi"/>
                <w:sz w:val="22"/>
                <w:szCs w:val="22"/>
              </w:rPr>
              <w:t>Total financial liabilities</w:t>
            </w:r>
          </w:p>
        </w:tc>
        <w:tc>
          <w:tcPr>
            <w:tcW w:w="1223" w:type="dxa"/>
            <w:shd w:val="clear" w:color="auto" w:fill="FFFF00"/>
            <w:vAlign w:val="bottom"/>
          </w:tcPr>
          <w:p w:rsidR="00B13DFD" w:rsidRPr="00505482" w:rsidRDefault="00146123" w:rsidP="00072C2D">
            <w:pPr>
              <w:pBdr>
                <w:bottom w:val="doub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5,136.4</w:t>
            </w:r>
          </w:p>
        </w:tc>
        <w:tc>
          <w:tcPr>
            <w:tcW w:w="1358" w:type="dxa"/>
            <w:shd w:val="clear" w:color="auto" w:fill="FFFF00"/>
            <w:vAlign w:val="bottom"/>
          </w:tcPr>
          <w:p w:rsidR="00B13DFD" w:rsidRPr="00505482" w:rsidRDefault="00146123" w:rsidP="00072C2D">
            <w:pPr>
              <w:pBdr>
                <w:bottom w:val="doub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4,550.9</w:t>
            </w:r>
          </w:p>
        </w:tc>
        <w:tc>
          <w:tcPr>
            <w:tcW w:w="1276" w:type="dxa"/>
            <w:gridSpan w:val="2"/>
          </w:tcPr>
          <w:p w:rsidR="00B13DFD" w:rsidRPr="00505482" w:rsidRDefault="00FB4EBF" w:rsidP="00A405DF">
            <w:pPr>
              <w:pBdr>
                <w:bottom w:val="doub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5,</w:t>
            </w:r>
            <w:r w:rsidR="00692F2F">
              <w:rPr>
                <w:rFonts w:asciiTheme="minorHAnsi" w:eastAsia="MS Mincho" w:hAnsiTheme="minorHAnsi" w:cstheme="minorHAnsi"/>
                <w:sz w:val="22"/>
                <w:szCs w:val="22"/>
              </w:rPr>
              <w:t>030</w:t>
            </w:r>
            <w:r>
              <w:rPr>
                <w:rFonts w:asciiTheme="minorHAnsi" w:eastAsia="MS Mincho" w:hAnsiTheme="minorHAnsi" w:cstheme="minorHAnsi"/>
                <w:sz w:val="22"/>
                <w:szCs w:val="22"/>
              </w:rPr>
              <w:t>.</w:t>
            </w:r>
            <w:r w:rsidR="00692F2F">
              <w:rPr>
                <w:rFonts w:asciiTheme="minorHAnsi" w:eastAsia="MS Mincho" w:hAnsiTheme="minorHAnsi" w:cstheme="minorHAnsi"/>
                <w:sz w:val="22"/>
                <w:szCs w:val="22"/>
              </w:rPr>
              <w:t>9</w:t>
            </w:r>
          </w:p>
        </w:tc>
        <w:tc>
          <w:tcPr>
            <w:tcW w:w="1335" w:type="dxa"/>
            <w:gridSpan w:val="2"/>
          </w:tcPr>
          <w:p w:rsidR="00B13DFD" w:rsidRPr="00505482" w:rsidRDefault="00FB4EBF" w:rsidP="003A5A8E">
            <w:pPr>
              <w:pBdr>
                <w:bottom w:val="double" w:sz="4" w:space="1" w:color="auto"/>
              </w:pBdr>
              <w:tabs>
                <w:tab w:val="decimal" w:pos="689"/>
              </w:tabs>
              <w:jc w:val="right"/>
              <w:rPr>
                <w:rFonts w:asciiTheme="minorHAnsi" w:eastAsia="MS Mincho" w:hAnsiTheme="minorHAnsi" w:cstheme="minorHAnsi"/>
                <w:sz w:val="22"/>
                <w:szCs w:val="22"/>
              </w:rPr>
            </w:pPr>
            <w:r>
              <w:rPr>
                <w:rFonts w:asciiTheme="minorHAnsi" w:eastAsia="MS Mincho" w:hAnsiTheme="minorHAnsi" w:cstheme="minorHAnsi"/>
                <w:sz w:val="22"/>
                <w:szCs w:val="22"/>
              </w:rPr>
              <w:t>4,</w:t>
            </w:r>
            <w:r w:rsidR="00692F2F">
              <w:rPr>
                <w:rFonts w:asciiTheme="minorHAnsi" w:eastAsia="MS Mincho" w:hAnsiTheme="minorHAnsi" w:cstheme="minorHAnsi"/>
                <w:sz w:val="22"/>
                <w:szCs w:val="22"/>
              </w:rPr>
              <w:t>479</w:t>
            </w:r>
            <w:r>
              <w:rPr>
                <w:rFonts w:asciiTheme="minorHAnsi" w:eastAsia="MS Mincho" w:hAnsiTheme="minorHAnsi" w:cstheme="minorHAnsi"/>
                <w:sz w:val="22"/>
                <w:szCs w:val="22"/>
              </w:rPr>
              <w:t>.</w:t>
            </w:r>
            <w:r w:rsidR="00692F2F">
              <w:rPr>
                <w:rFonts w:asciiTheme="minorHAnsi" w:eastAsia="MS Mincho" w:hAnsiTheme="minorHAnsi" w:cstheme="minorHAnsi"/>
                <w:sz w:val="22"/>
                <w:szCs w:val="22"/>
              </w:rPr>
              <w:t>5</w:t>
            </w:r>
          </w:p>
        </w:tc>
      </w:tr>
    </w:tbl>
    <w:p w:rsidR="00B13DFD" w:rsidRDefault="00B13DFD" w:rsidP="00EA1228">
      <w:pPr>
        <w:spacing w:line="300" w:lineRule="exact"/>
        <w:ind w:left="-601" w:right="-352"/>
        <w:jc w:val="both"/>
        <w:rPr>
          <w:rFonts w:asciiTheme="minorHAnsi" w:hAnsiTheme="minorHAnsi" w:cstheme="minorHAnsi"/>
          <w:b/>
          <w:sz w:val="22"/>
          <w:szCs w:val="22"/>
        </w:rPr>
      </w:pPr>
    </w:p>
    <w:p w:rsidR="00B13DFD" w:rsidRDefault="00B13DFD" w:rsidP="00EA1228">
      <w:pPr>
        <w:spacing w:line="300" w:lineRule="exact"/>
        <w:ind w:left="-601" w:right="-352"/>
        <w:jc w:val="both"/>
        <w:rPr>
          <w:rFonts w:asciiTheme="minorHAnsi" w:hAnsiTheme="minorHAnsi" w:cstheme="minorHAnsi"/>
          <w:b/>
          <w:sz w:val="22"/>
          <w:szCs w:val="22"/>
        </w:rPr>
      </w:pPr>
    </w:p>
    <w:p w:rsidR="001C7DE1" w:rsidRPr="00657D83" w:rsidRDefault="001C7DE1" w:rsidP="001C7DE1">
      <w:pPr>
        <w:spacing w:before="120" w:line="300" w:lineRule="exact"/>
        <w:ind w:right="-352"/>
        <w:jc w:val="both"/>
        <w:rPr>
          <w:rFonts w:asciiTheme="minorHAnsi" w:hAnsiTheme="minorHAnsi" w:cstheme="minorHAnsi"/>
          <w:i/>
          <w:sz w:val="22"/>
          <w:szCs w:val="22"/>
        </w:rPr>
      </w:pPr>
      <w:r w:rsidRPr="00657D83">
        <w:rPr>
          <w:rFonts w:asciiTheme="minorHAnsi" w:hAnsiTheme="minorHAnsi" w:cstheme="minorHAnsi"/>
          <w:i/>
          <w:sz w:val="22"/>
          <w:szCs w:val="22"/>
        </w:rPr>
        <w:t xml:space="preserve">*The fair value of these financial instruments </w:t>
      </w:r>
      <w:proofErr w:type="gramStart"/>
      <w:r w:rsidRPr="00657D83">
        <w:rPr>
          <w:rFonts w:asciiTheme="minorHAnsi" w:hAnsiTheme="minorHAnsi" w:cstheme="minorHAnsi"/>
          <w:i/>
          <w:sz w:val="22"/>
          <w:szCs w:val="22"/>
        </w:rPr>
        <w:t>approximate</w:t>
      </w:r>
      <w:proofErr w:type="gramEnd"/>
      <w:r w:rsidRPr="00657D83">
        <w:rPr>
          <w:rFonts w:asciiTheme="minorHAnsi" w:hAnsiTheme="minorHAnsi" w:cstheme="minorHAnsi"/>
          <w:i/>
          <w:sz w:val="22"/>
          <w:szCs w:val="22"/>
        </w:rPr>
        <w:t xml:space="preserve"> their carrying values due to the short-term nature of the instruments.</w:t>
      </w:r>
    </w:p>
    <w:p w:rsidR="001C7DE1" w:rsidRDefault="001C7DE1" w:rsidP="001C7DE1">
      <w:pPr>
        <w:spacing w:line="300" w:lineRule="exact"/>
        <w:ind w:left="-601" w:right="-352"/>
        <w:jc w:val="both"/>
        <w:rPr>
          <w:rFonts w:asciiTheme="minorHAnsi" w:hAnsiTheme="minorHAnsi" w:cstheme="minorHAnsi"/>
          <w:b/>
          <w:sz w:val="22"/>
          <w:szCs w:val="22"/>
        </w:rPr>
      </w:pPr>
    </w:p>
    <w:p w:rsidR="001C7DE1" w:rsidRPr="00505482" w:rsidRDefault="001C7DE1" w:rsidP="001C7DE1">
      <w:pPr>
        <w:spacing w:line="300" w:lineRule="exact"/>
        <w:ind w:right="-24"/>
        <w:jc w:val="both"/>
        <w:rPr>
          <w:rFonts w:asciiTheme="minorHAnsi" w:hAnsiTheme="minorHAnsi" w:cstheme="minorHAnsi"/>
          <w:b/>
          <w:sz w:val="22"/>
          <w:szCs w:val="22"/>
        </w:rPr>
      </w:pPr>
      <w:r w:rsidRPr="00505482">
        <w:rPr>
          <w:rFonts w:asciiTheme="minorHAnsi" w:hAnsiTheme="minorHAnsi" w:cstheme="minorHAnsi"/>
          <w:b/>
          <w:sz w:val="22"/>
          <w:szCs w:val="22"/>
        </w:rPr>
        <w:t>1</w:t>
      </w:r>
      <w:r>
        <w:rPr>
          <w:rFonts w:asciiTheme="minorHAnsi" w:hAnsiTheme="minorHAnsi" w:cstheme="minorHAnsi"/>
          <w:b/>
          <w:sz w:val="22"/>
          <w:szCs w:val="22"/>
        </w:rPr>
        <w:t>2</w:t>
      </w:r>
      <w:r w:rsidRPr="00505482">
        <w:rPr>
          <w:rFonts w:asciiTheme="minorHAnsi" w:hAnsiTheme="minorHAnsi" w:cstheme="minorHAnsi"/>
          <w:b/>
          <w:sz w:val="22"/>
          <w:szCs w:val="22"/>
        </w:rPr>
        <w:t>.</w:t>
      </w:r>
      <w:r w:rsidR="003F092D">
        <w:rPr>
          <w:rFonts w:asciiTheme="minorHAnsi" w:hAnsiTheme="minorHAnsi" w:cstheme="minorHAnsi"/>
          <w:b/>
          <w:sz w:val="22"/>
          <w:szCs w:val="22"/>
        </w:rPr>
        <w:tab/>
      </w:r>
      <w:r w:rsidRPr="00505482">
        <w:rPr>
          <w:rFonts w:asciiTheme="minorHAnsi" w:hAnsiTheme="minorHAnsi" w:cstheme="minorHAnsi"/>
          <w:b/>
          <w:sz w:val="22"/>
          <w:szCs w:val="22"/>
        </w:rPr>
        <w:t xml:space="preserve"> Share</w:t>
      </w:r>
      <w:r>
        <w:rPr>
          <w:rFonts w:asciiTheme="minorHAnsi" w:hAnsiTheme="minorHAnsi" w:cstheme="minorHAnsi"/>
          <w:b/>
          <w:sz w:val="22"/>
          <w:szCs w:val="22"/>
        </w:rPr>
        <w:t>holder returns</w:t>
      </w:r>
    </w:p>
    <w:p w:rsidR="001C7DE1" w:rsidRDefault="001C7DE1" w:rsidP="001C7DE1">
      <w:pPr>
        <w:spacing w:line="300" w:lineRule="exact"/>
        <w:ind w:right="-24"/>
        <w:jc w:val="both"/>
        <w:rPr>
          <w:rFonts w:asciiTheme="minorHAnsi" w:hAnsiTheme="minorHAnsi" w:cstheme="minorHAnsi"/>
          <w:sz w:val="22"/>
          <w:szCs w:val="22"/>
        </w:rPr>
      </w:pPr>
    </w:p>
    <w:p w:rsidR="00146123" w:rsidRPr="00146123" w:rsidRDefault="00146123" w:rsidP="00146123">
      <w:pPr>
        <w:spacing w:line="300" w:lineRule="exact"/>
        <w:ind w:right="-24"/>
        <w:jc w:val="both"/>
        <w:rPr>
          <w:rFonts w:asciiTheme="minorHAnsi" w:hAnsiTheme="minorHAnsi" w:cs="Calibri"/>
          <w:sz w:val="22"/>
          <w:szCs w:val="22"/>
        </w:rPr>
      </w:pPr>
      <w:r w:rsidRPr="00146123">
        <w:rPr>
          <w:rFonts w:asciiTheme="minorHAnsi" w:hAnsiTheme="minorHAnsi" w:cs="Calibri"/>
          <w:sz w:val="22"/>
          <w:szCs w:val="22"/>
        </w:rPr>
        <w:t xml:space="preserve">In the quarter ended June 30, 2017 the Company bought back 10.9M shares at a total cost of €204.1M.  This buy-back was equivalent to approximately 0.9% of the Company’s issued share capital at March 31, 2017.  </w:t>
      </w:r>
      <w:proofErr w:type="gramStart"/>
      <w:r w:rsidRPr="00146123">
        <w:rPr>
          <w:rFonts w:asciiTheme="minorHAnsi" w:hAnsiTheme="minorHAnsi" w:cs="Calibri"/>
          <w:sz w:val="22"/>
          <w:szCs w:val="22"/>
        </w:rPr>
        <w:t>All of these</w:t>
      </w:r>
      <w:proofErr w:type="gramEnd"/>
      <w:r w:rsidRPr="00146123">
        <w:rPr>
          <w:rFonts w:asciiTheme="minorHAnsi" w:hAnsiTheme="minorHAnsi" w:cs="Calibri"/>
          <w:sz w:val="22"/>
          <w:szCs w:val="22"/>
        </w:rPr>
        <w:t xml:space="preserve"> ordinary shares repurchased were cancelled at June 30, 2017.  </w:t>
      </w:r>
    </w:p>
    <w:p w:rsidR="00146123" w:rsidRPr="00146123" w:rsidRDefault="00146123" w:rsidP="00146123">
      <w:pPr>
        <w:spacing w:line="300" w:lineRule="exact"/>
        <w:ind w:right="-24"/>
        <w:jc w:val="both"/>
        <w:rPr>
          <w:rFonts w:asciiTheme="minorHAnsi" w:hAnsiTheme="minorHAnsi" w:cs="Calibri"/>
          <w:sz w:val="22"/>
          <w:szCs w:val="22"/>
        </w:rPr>
      </w:pPr>
    </w:p>
    <w:p w:rsidR="00146123" w:rsidRPr="00146123" w:rsidRDefault="00146123" w:rsidP="00146123">
      <w:pPr>
        <w:spacing w:after="120" w:line="300" w:lineRule="exact"/>
        <w:ind w:right="-57"/>
        <w:jc w:val="both"/>
        <w:rPr>
          <w:rFonts w:asciiTheme="minorHAnsi" w:hAnsiTheme="minorHAnsi" w:cs="Calibri"/>
          <w:sz w:val="22"/>
          <w:szCs w:val="22"/>
        </w:rPr>
      </w:pPr>
      <w:r w:rsidRPr="00146123">
        <w:rPr>
          <w:rFonts w:asciiTheme="minorHAnsi" w:hAnsiTheme="minorHAnsi" w:cs="Calibri"/>
          <w:sz w:val="22"/>
          <w:szCs w:val="22"/>
        </w:rPr>
        <w:t xml:space="preserve">In FY17 the Company bought back 72.3M shares at a total cost of approximately €1,018M, all of which were cancelled at March 31, 2017. The ordinary shares bought back equated to approximately 5.6% of the Company’s issued share capital at March 31, 2016. </w:t>
      </w:r>
    </w:p>
    <w:p w:rsidR="00146123" w:rsidRPr="00146123" w:rsidRDefault="00146123" w:rsidP="00146123">
      <w:pPr>
        <w:spacing w:after="120" w:line="300" w:lineRule="exact"/>
        <w:ind w:right="-57"/>
        <w:jc w:val="both"/>
        <w:rPr>
          <w:rFonts w:asciiTheme="minorHAnsi" w:hAnsiTheme="minorHAnsi" w:cs="Calibri"/>
          <w:sz w:val="22"/>
          <w:szCs w:val="22"/>
        </w:rPr>
      </w:pPr>
      <w:proofErr w:type="gramStart"/>
      <w:r w:rsidRPr="00146123">
        <w:rPr>
          <w:rFonts w:asciiTheme="minorHAnsi" w:hAnsiTheme="minorHAnsi" w:cs="Calibri"/>
          <w:sz w:val="22"/>
          <w:szCs w:val="22"/>
        </w:rPr>
        <w:lastRenderedPageBreak/>
        <w:t>As a result of</w:t>
      </w:r>
      <w:proofErr w:type="gramEnd"/>
      <w:r w:rsidRPr="00146123">
        <w:rPr>
          <w:rFonts w:asciiTheme="minorHAnsi" w:hAnsiTheme="minorHAnsi" w:cs="Calibri"/>
          <w:sz w:val="22"/>
          <w:szCs w:val="22"/>
        </w:rPr>
        <w:t xml:space="preserve"> the share buybacks in the quarter ended June 30, 2017, share capital decreased by 10.9M ordinary shares (72.8M ordinary shares in the year ended March 31, 2017) with a nominal value of €0.1M (€0.4M in the year ended March 31, 2017) and the other undenominated capital reserve increased by a corresponding €0.1M (€0.4M in the year ended March 31, 2017). The other undenominated capital reserve is required to be created under Irish law to preserve permanent capital in the Parent Company. </w:t>
      </w:r>
    </w:p>
    <w:p w:rsidR="005C65E6" w:rsidRDefault="005C65E6" w:rsidP="005C65E6">
      <w:pPr>
        <w:spacing w:line="300" w:lineRule="exact"/>
        <w:ind w:left="-600" w:right="-354"/>
        <w:jc w:val="both"/>
        <w:rPr>
          <w:rFonts w:asciiTheme="minorHAnsi" w:hAnsiTheme="minorHAnsi" w:cstheme="minorHAnsi"/>
          <w:sz w:val="22"/>
          <w:szCs w:val="22"/>
        </w:rPr>
      </w:pPr>
    </w:p>
    <w:p w:rsidR="00072C2D" w:rsidRDefault="00072C2D" w:rsidP="00072C2D">
      <w:pPr>
        <w:spacing w:line="300" w:lineRule="exact"/>
        <w:ind w:left="-600" w:right="-354"/>
        <w:jc w:val="both"/>
        <w:rPr>
          <w:rFonts w:asciiTheme="minorHAnsi" w:hAnsiTheme="minorHAnsi" w:cstheme="minorHAnsi"/>
          <w:sz w:val="22"/>
          <w:szCs w:val="22"/>
        </w:rPr>
      </w:pPr>
    </w:p>
    <w:p w:rsidR="00072C2D" w:rsidRPr="00505482" w:rsidRDefault="00072C2D" w:rsidP="00072C2D">
      <w:pPr>
        <w:spacing w:line="300" w:lineRule="exact"/>
        <w:ind w:right="-24"/>
        <w:jc w:val="both"/>
        <w:rPr>
          <w:rFonts w:asciiTheme="minorHAnsi" w:hAnsiTheme="minorHAnsi" w:cstheme="minorHAnsi"/>
          <w:b/>
          <w:sz w:val="22"/>
          <w:szCs w:val="22"/>
        </w:rPr>
      </w:pPr>
      <w:r w:rsidRPr="00505482">
        <w:rPr>
          <w:rFonts w:asciiTheme="minorHAnsi" w:hAnsiTheme="minorHAnsi" w:cstheme="minorHAnsi"/>
          <w:b/>
          <w:sz w:val="22"/>
          <w:szCs w:val="22"/>
        </w:rPr>
        <w:t>1</w:t>
      </w:r>
      <w:r>
        <w:rPr>
          <w:rFonts w:asciiTheme="minorHAnsi" w:hAnsiTheme="minorHAnsi" w:cstheme="minorHAnsi"/>
          <w:b/>
          <w:sz w:val="22"/>
          <w:szCs w:val="22"/>
        </w:rPr>
        <w:t>3</w:t>
      </w:r>
      <w:r w:rsidRPr="00505482">
        <w:rPr>
          <w:rFonts w:asciiTheme="minorHAnsi" w:hAnsiTheme="minorHAnsi" w:cstheme="minorHAnsi"/>
          <w:b/>
          <w:sz w:val="22"/>
          <w:szCs w:val="22"/>
        </w:rPr>
        <w:t>.</w:t>
      </w:r>
      <w:r w:rsidRPr="00505482">
        <w:rPr>
          <w:rFonts w:asciiTheme="minorHAnsi" w:hAnsiTheme="minorHAnsi" w:cstheme="minorHAnsi"/>
          <w:b/>
          <w:sz w:val="22"/>
          <w:szCs w:val="22"/>
        </w:rPr>
        <w:tab/>
        <w:t>Related party transactions</w:t>
      </w:r>
    </w:p>
    <w:p w:rsidR="00072C2D" w:rsidRPr="00505482" w:rsidRDefault="00072C2D" w:rsidP="00072C2D">
      <w:pPr>
        <w:spacing w:line="300" w:lineRule="exact"/>
        <w:ind w:right="-24"/>
        <w:jc w:val="both"/>
        <w:rPr>
          <w:rFonts w:asciiTheme="minorHAnsi" w:hAnsiTheme="minorHAnsi" w:cstheme="minorHAnsi"/>
          <w:b/>
          <w:sz w:val="22"/>
          <w:szCs w:val="22"/>
        </w:rPr>
      </w:pPr>
    </w:p>
    <w:p w:rsidR="00146123" w:rsidRPr="00146123" w:rsidRDefault="00146123" w:rsidP="00146123">
      <w:pPr>
        <w:pStyle w:val="NormalWeb"/>
        <w:spacing w:before="0" w:beforeAutospacing="0" w:after="120" w:afterAutospacing="0" w:line="300" w:lineRule="exact"/>
        <w:ind w:right="-23"/>
        <w:jc w:val="both"/>
        <w:rPr>
          <w:rFonts w:asciiTheme="minorHAnsi" w:hAnsiTheme="minorHAnsi" w:cstheme="minorHAnsi"/>
          <w:color w:val="000000"/>
          <w:sz w:val="22"/>
          <w:szCs w:val="22"/>
        </w:rPr>
      </w:pPr>
      <w:r w:rsidRPr="00146123">
        <w:rPr>
          <w:rFonts w:asciiTheme="minorHAnsi" w:hAnsiTheme="minorHAnsi" w:cstheme="minorHAnsi"/>
          <w:color w:val="000000"/>
          <w:sz w:val="22"/>
          <w:szCs w:val="22"/>
        </w:rPr>
        <w:t>The Company has related party relationships with its subsidiaries, directors and senior key management personnel. All transactions with subsidiaries eliminate on consolidation and are not disclosed.</w:t>
      </w:r>
    </w:p>
    <w:p w:rsidR="00146123" w:rsidRPr="00146123" w:rsidRDefault="00146123" w:rsidP="00146123">
      <w:pPr>
        <w:pStyle w:val="NormalWeb"/>
        <w:spacing w:before="0" w:beforeAutospacing="0" w:after="0" w:afterAutospacing="0" w:line="300" w:lineRule="exact"/>
        <w:ind w:right="-24"/>
        <w:jc w:val="both"/>
        <w:rPr>
          <w:rFonts w:asciiTheme="minorHAnsi" w:hAnsiTheme="minorHAnsi" w:cstheme="minorHAnsi"/>
          <w:color w:val="000000"/>
          <w:sz w:val="22"/>
          <w:szCs w:val="22"/>
        </w:rPr>
      </w:pPr>
      <w:r w:rsidRPr="00146123">
        <w:rPr>
          <w:rFonts w:asciiTheme="minorHAnsi" w:hAnsiTheme="minorHAnsi" w:cstheme="minorHAnsi"/>
          <w:color w:val="000000"/>
          <w:sz w:val="22"/>
          <w:szCs w:val="22"/>
        </w:rPr>
        <w:t xml:space="preserve">There were no related party transactions in the quarter ended June 30, 2017 that materially affected the financial position or the performance of the Company during that period and there were no changes in the related party transactions described in the 2016 Annual Report that could have a material effect on the financial position or performance of the Company in the same period. </w:t>
      </w:r>
    </w:p>
    <w:p w:rsidR="00072C2D" w:rsidRPr="00505482" w:rsidRDefault="00072C2D" w:rsidP="00072C2D">
      <w:pPr>
        <w:pStyle w:val="NormalWeb"/>
        <w:spacing w:before="0" w:beforeAutospacing="0" w:after="0" w:afterAutospacing="0" w:line="300" w:lineRule="exact"/>
        <w:ind w:right="-24"/>
        <w:jc w:val="both"/>
        <w:rPr>
          <w:rFonts w:asciiTheme="minorHAnsi" w:hAnsiTheme="minorHAnsi" w:cstheme="minorHAnsi"/>
          <w:color w:val="000000"/>
          <w:sz w:val="22"/>
          <w:szCs w:val="22"/>
        </w:rPr>
      </w:pPr>
    </w:p>
    <w:p w:rsidR="00072C2D" w:rsidRPr="00505482" w:rsidRDefault="00072C2D" w:rsidP="00072C2D">
      <w:pPr>
        <w:spacing w:after="240" w:line="300" w:lineRule="exact"/>
        <w:ind w:right="-24"/>
        <w:jc w:val="both"/>
        <w:rPr>
          <w:rFonts w:asciiTheme="minorHAnsi" w:hAnsiTheme="minorHAnsi" w:cstheme="minorHAnsi"/>
          <w:b/>
          <w:sz w:val="22"/>
          <w:szCs w:val="22"/>
        </w:rPr>
      </w:pPr>
      <w:r w:rsidRPr="00505482">
        <w:rPr>
          <w:rFonts w:asciiTheme="minorHAnsi" w:hAnsiTheme="minorHAnsi" w:cstheme="minorHAnsi"/>
          <w:b/>
          <w:sz w:val="22"/>
          <w:szCs w:val="22"/>
        </w:rPr>
        <w:t>1</w:t>
      </w:r>
      <w:r>
        <w:rPr>
          <w:rFonts w:asciiTheme="minorHAnsi" w:hAnsiTheme="minorHAnsi" w:cstheme="minorHAnsi"/>
          <w:b/>
          <w:sz w:val="22"/>
          <w:szCs w:val="22"/>
        </w:rPr>
        <w:t>4</w:t>
      </w:r>
      <w:r w:rsidRPr="00505482">
        <w:rPr>
          <w:rFonts w:asciiTheme="minorHAnsi" w:hAnsiTheme="minorHAnsi" w:cstheme="minorHAnsi"/>
          <w:b/>
          <w:sz w:val="22"/>
          <w:szCs w:val="22"/>
        </w:rPr>
        <w:t>.</w:t>
      </w:r>
      <w:r w:rsidRPr="00505482">
        <w:rPr>
          <w:rFonts w:asciiTheme="minorHAnsi" w:hAnsiTheme="minorHAnsi" w:cstheme="minorHAnsi"/>
          <w:b/>
          <w:sz w:val="22"/>
          <w:szCs w:val="22"/>
        </w:rPr>
        <w:tab/>
        <w:t>Post balance sheet events</w:t>
      </w:r>
    </w:p>
    <w:p w:rsidR="00146123" w:rsidRPr="00146123" w:rsidRDefault="00146123" w:rsidP="00146123">
      <w:pPr>
        <w:spacing w:after="120" w:line="300" w:lineRule="exact"/>
        <w:ind w:right="-57"/>
        <w:jc w:val="both"/>
        <w:rPr>
          <w:rFonts w:asciiTheme="minorHAnsi" w:hAnsiTheme="minorHAnsi" w:cstheme="minorHAnsi"/>
          <w:sz w:val="22"/>
          <w:szCs w:val="22"/>
        </w:rPr>
      </w:pPr>
      <w:bookmarkStart w:id="3" w:name="_Hlk483400547"/>
      <w:r w:rsidRPr="00146123">
        <w:rPr>
          <w:rFonts w:asciiTheme="minorHAnsi" w:eastAsia="Calibri" w:hAnsiTheme="minorHAnsi" w:cstheme="minorHAnsi"/>
          <w:iCs/>
          <w:sz w:val="22"/>
          <w:szCs w:val="22"/>
          <w:lang w:val="en-US" w:eastAsia="en-IE"/>
        </w:rPr>
        <w:t xml:space="preserve">Between July 1, 2017 and </w:t>
      </w:r>
      <w:proofErr w:type="gramStart"/>
      <w:r w:rsidRPr="00146123">
        <w:rPr>
          <w:rFonts w:asciiTheme="minorHAnsi" w:eastAsia="Calibri" w:hAnsiTheme="minorHAnsi" w:cstheme="minorHAnsi"/>
          <w:iCs/>
          <w:sz w:val="22"/>
          <w:szCs w:val="22"/>
          <w:lang w:val="en-US" w:eastAsia="en-IE"/>
        </w:rPr>
        <w:t>July 20, 2017</w:t>
      </w:r>
      <w:proofErr w:type="gramEnd"/>
      <w:r w:rsidRPr="00146123">
        <w:rPr>
          <w:rFonts w:asciiTheme="minorHAnsi" w:eastAsia="Calibri" w:hAnsiTheme="minorHAnsi" w:cstheme="minorHAnsi"/>
          <w:iCs/>
          <w:sz w:val="22"/>
          <w:szCs w:val="22"/>
          <w:lang w:val="en-US" w:eastAsia="en-IE"/>
        </w:rPr>
        <w:t xml:space="preserve"> the Company bought back 5.2M ordinary shares at a total cost of €95.2M under its €600M share buyback programme which commenced in May 2017. This was equivalent to 0.4% of the Company’s issued share capital at June 30, 2017. </w:t>
      </w:r>
    </w:p>
    <w:bookmarkEnd w:id="3"/>
    <w:p w:rsidR="00072C2D" w:rsidRPr="00505482" w:rsidRDefault="00072C2D" w:rsidP="00072C2D">
      <w:pPr>
        <w:spacing w:line="300" w:lineRule="exact"/>
        <w:ind w:right="-24"/>
        <w:jc w:val="both"/>
        <w:rPr>
          <w:rFonts w:asciiTheme="minorHAnsi" w:hAnsiTheme="minorHAnsi" w:cstheme="minorHAnsi"/>
          <w:sz w:val="22"/>
          <w:szCs w:val="22"/>
        </w:rPr>
      </w:pPr>
    </w:p>
    <w:p w:rsidR="00072C2D" w:rsidRDefault="00072C2D" w:rsidP="00072C2D">
      <w:pPr>
        <w:spacing w:line="300" w:lineRule="exact"/>
        <w:ind w:left="-601" w:right="-352"/>
        <w:jc w:val="both"/>
        <w:rPr>
          <w:rFonts w:asciiTheme="minorHAnsi" w:hAnsiTheme="minorHAnsi" w:cstheme="minorHAnsi"/>
          <w:b/>
          <w:sz w:val="22"/>
          <w:szCs w:val="22"/>
        </w:rPr>
      </w:pPr>
    </w:p>
    <w:p w:rsidR="00072C2D" w:rsidRDefault="00072C2D" w:rsidP="00072C2D">
      <w:pPr>
        <w:spacing w:line="300" w:lineRule="exact"/>
        <w:ind w:right="-58"/>
        <w:jc w:val="both"/>
        <w:rPr>
          <w:rFonts w:asciiTheme="minorHAnsi" w:hAnsiTheme="minorHAnsi" w:cstheme="minorHAnsi"/>
          <w:sz w:val="22"/>
          <w:szCs w:val="22"/>
        </w:rPr>
      </w:pPr>
    </w:p>
    <w:p w:rsidR="001C7DE1" w:rsidRDefault="001C7DE1" w:rsidP="001C7DE1">
      <w:pPr>
        <w:spacing w:line="300" w:lineRule="exact"/>
        <w:ind w:left="-600" w:right="-354"/>
        <w:jc w:val="both"/>
        <w:rPr>
          <w:rFonts w:asciiTheme="minorHAnsi" w:hAnsiTheme="minorHAnsi" w:cstheme="minorHAnsi"/>
          <w:sz w:val="22"/>
          <w:szCs w:val="22"/>
        </w:rPr>
      </w:pPr>
    </w:p>
    <w:p w:rsidR="00A405DF" w:rsidRDefault="00A405DF" w:rsidP="00666CDA">
      <w:pPr>
        <w:spacing w:line="300" w:lineRule="exact"/>
        <w:ind w:right="-24"/>
        <w:jc w:val="both"/>
        <w:rPr>
          <w:rFonts w:asciiTheme="minorHAnsi" w:eastAsia="Calibri" w:hAnsiTheme="minorHAnsi" w:cstheme="minorHAnsi"/>
          <w:iCs/>
          <w:sz w:val="22"/>
          <w:szCs w:val="22"/>
          <w:lang w:val="en-US" w:eastAsia="en-IE"/>
        </w:rPr>
      </w:pPr>
    </w:p>
    <w:p w:rsidR="00A405DF" w:rsidRDefault="00A405DF" w:rsidP="00666CDA">
      <w:pPr>
        <w:spacing w:line="300" w:lineRule="exact"/>
        <w:ind w:right="-24"/>
        <w:jc w:val="both"/>
        <w:rPr>
          <w:rFonts w:asciiTheme="minorHAnsi" w:eastAsia="Calibri" w:hAnsiTheme="minorHAnsi" w:cstheme="minorHAnsi"/>
          <w:iCs/>
          <w:sz w:val="22"/>
          <w:szCs w:val="22"/>
          <w:lang w:val="en-US" w:eastAsia="en-IE"/>
        </w:rPr>
      </w:pPr>
    </w:p>
    <w:p w:rsidR="00A405DF" w:rsidRDefault="00A405DF" w:rsidP="00666CDA">
      <w:pPr>
        <w:spacing w:line="300" w:lineRule="exact"/>
        <w:ind w:right="-24"/>
        <w:jc w:val="both"/>
        <w:rPr>
          <w:rFonts w:asciiTheme="minorHAnsi" w:eastAsia="Calibri" w:hAnsiTheme="minorHAnsi" w:cstheme="minorHAnsi"/>
          <w:iCs/>
          <w:sz w:val="22"/>
          <w:szCs w:val="22"/>
          <w:lang w:val="en-US" w:eastAsia="en-IE"/>
        </w:rPr>
      </w:pPr>
    </w:p>
    <w:p w:rsidR="00A405DF" w:rsidRDefault="00A405DF" w:rsidP="00666CDA">
      <w:pPr>
        <w:spacing w:line="300" w:lineRule="exact"/>
        <w:ind w:right="-24"/>
        <w:jc w:val="both"/>
        <w:rPr>
          <w:rFonts w:asciiTheme="minorHAnsi" w:eastAsia="Calibri" w:hAnsiTheme="minorHAnsi" w:cstheme="minorHAnsi"/>
          <w:iCs/>
          <w:sz w:val="22"/>
          <w:szCs w:val="22"/>
          <w:lang w:val="en-US" w:eastAsia="en-IE"/>
        </w:rPr>
      </w:pPr>
    </w:p>
    <w:p w:rsidR="00A405DF" w:rsidRPr="00505482" w:rsidRDefault="00A405DF" w:rsidP="00666CDA">
      <w:pPr>
        <w:spacing w:line="300" w:lineRule="exact"/>
        <w:ind w:right="-24"/>
        <w:jc w:val="both"/>
        <w:rPr>
          <w:rFonts w:asciiTheme="minorHAnsi" w:hAnsiTheme="minorHAnsi" w:cstheme="minorHAnsi"/>
          <w:sz w:val="22"/>
          <w:szCs w:val="22"/>
        </w:rPr>
      </w:pPr>
    </w:p>
    <w:sectPr w:rsidR="00A405DF" w:rsidRPr="00505482" w:rsidSect="00363AD2">
      <w:footerReference w:type="default" r:id="rId10"/>
      <w:pgSz w:w="11906" w:h="16838"/>
      <w:pgMar w:top="1440" w:right="127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53C" w:rsidRDefault="00EE553C" w:rsidP="00AA167C">
      <w:r>
        <w:separator/>
      </w:r>
    </w:p>
  </w:endnote>
  <w:endnote w:type="continuationSeparator" w:id="0">
    <w:p w:rsidR="00EE553C" w:rsidRDefault="00EE553C" w:rsidP="00AA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53C" w:rsidRDefault="00EE553C">
    <w:pPr>
      <w:pStyle w:val="Footer"/>
      <w:jc w:val="center"/>
    </w:pPr>
    <w:r>
      <w:fldChar w:fldCharType="begin"/>
    </w:r>
    <w:r>
      <w:instrText xml:space="preserve"> PAGE   \* MERGEFORMAT </w:instrText>
    </w:r>
    <w:r>
      <w:fldChar w:fldCharType="separate"/>
    </w:r>
    <w:r w:rsidR="00C61434">
      <w:rPr>
        <w:noProof/>
      </w:rPr>
      <w:t>1</w:t>
    </w:r>
    <w:r>
      <w:rPr>
        <w:noProof/>
      </w:rPr>
      <w:fldChar w:fldCharType="end"/>
    </w:r>
  </w:p>
  <w:p w:rsidR="00EE553C" w:rsidRDefault="00EE5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53C" w:rsidRDefault="00EE553C" w:rsidP="00AA167C">
      <w:r>
        <w:separator/>
      </w:r>
    </w:p>
  </w:footnote>
  <w:footnote w:type="continuationSeparator" w:id="0">
    <w:p w:rsidR="00EE553C" w:rsidRDefault="00EE553C" w:rsidP="00AA1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4050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72B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D2C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0E79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453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74FB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5278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E88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48C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F8FC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1566D5"/>
    <w:multiLevelType w:val="hybridMultilevel"/>
    <w:tmpl w:val="6EF8B6D2"/>
    <w:lvl w:ilvl="0" w:tplc="E34EB062">
      <w:start w:val="1"/>
      <w:numFmt w:val="bullet"/>
      <w:lvlText w:val="─"/>
      <w:lvlJc w:val="left"/>
      <w:pPr>
        <w:ind w:left="360" w:hanging="360"/>
      </w:pPr>
      <w:rPr>
        <w:rFonts w:ascii="Times New Roman"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0B6668AB"/>
    <w:multiLevelType w:val="multilevel"/>
    <w:tmpl w:val="E3C6E9F6"/>
    <w:lvl w:ilvl="0">
      <w:start w:val="1"/>
      <w:numFmt w:val="decimal"/>
      <w:lvlText w:val="%1."/>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lowerLetter"/>
      <w:lvlText w:val="(%2)"/>
      <w:lvlJc w:val="left"/>
      <w:pPr>
        <w:tabs>
          <w:tab w:val="num" w:pos="720"/>
        </w:tabs>
        <w:ind w:left="720" w:hanging="720"/>
      </w:pPr>
      <w:rPr>
        <w:rFonts w:ascii="Times New Roman" w:hAnsi="Times New Roman"/>
        <w:b/>
        <w:bCs/>
        <w:i w:val="0"/>
        <w:iCs w:val="0"/>
        <w:caps w:val="0"/>
        <w:smallCaps w:val="0"/>
        <w:strike w:val="0"/>
        <w:dstrike w:val="0"/>
        <w:vanish w:val="0"/>
        <w:color w:val="auto"/>
        <w:spacing w:val="0"/>
        <w:w w:val="100"/>
        <w:kern w:val="0"/>
        <w:position w:val="0"/>
        <w:sz w:val="22"/>
        <w:u w:val="none"/>
        <w:effect w:val="none"/>
        <w:bdr w:val="none" w:sz="0" w:space="0" w:color="auto"/>
        <w:shd w:val="clear" w:color="auto" w:fill="auto"/>
        <w:vertAlign w:val="baseline"/>
        <w:em w:val="none"/>
      </w:rPr>
    </w:lvl>
    <w:lvl w:ilvl="2">
      <w:start w:val="1"/>
      <w:numFmt w:val="lowerRoman"/>
      <w:lvlText w:val="(%3)"/>
      <w:lvlJc w:val="left"/>
      <w:pPr>
        <w:tabs>
          <w:tab w:val="num" w:pos="2160"/>
        </w:tabs>
        <w:ind w:left="2160" w:hanging="720"/>
      </w:pPr>
      <w:rPr>
        <w:b w:val="0"/>
        <w:i/>
        <w:caps w:val="0"/>
        <w:strike w:val="0"/>
        <w:dstrike w:val="0"/>
        <w:vanish w:val="0"/>
        <w:color w:val="auto"/>
        <w:u w:val="none"/>
        <w:effect w:val="none"/>
        <w:vertAlign w:val="baseline"/>
      </w:rPr>
    </w:lvl>
    <w:lvl w:ilvl="3">
      <w:start w:val="1"/>
      <w:numFmt w:val="lowerRoman"/>
      <w:lvlText w:val="(%4)"/>
      <w:lvlJc w:val="left"/>
      <w:pPr>
        <w:tabs>
          <w:tab w:val="num" w:pos="1440"/>
        </w:tabs>
        <w:ind w:left="1440" w:hanging="720"/>
      </w:pPr>
      <w:rPr>
        <w:b w:val="0"/>
        <w:i w:val="0"/>
        <w:caps w:val="0"/>
        <w:strike w:val="0"/>
        <w:dstrike w:val="0"/>
        <w:vanish w:val="0"/>
        <w:color w:val="auto"/>
        <w:u w:val="none"/>
        <w:effect w:val="none"/>
        <w:vertAlign w:val="baseline"/>
      </w:rPr>
    </w:lvl>
    <w:lvl w:ilvl="4">
      <w:start w:val="1"/>
      <w:numFmt w:val="lowerLetter"/>
      <w:lvlText w:val="(%5)"/>
      <w:lvlJc w:val="left"/>
      <w:pPr>
        <w:tabs>
          <w:tab w:val="num" w:pos="1440"/>
        </w:tabs>
        <w:ind w:left="1440" w:hanging="720"/>
      </w:pPr>
      <w:rPr>
        <w:b w:val="0"/>
        <w:i w:val="0"/>
        <w:caps w:val="0"/>
        <w:color w:val="auto"/>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FF731EC"/>
    <w:multiLevelType w:val="singleLevel"/>
    <w:tmpl w:val="18090001"/>
    <w:lvl w:ilvl="0">
      <w:start w:val="1"/>
      <w:numFmt w:val="bullet"/>
      <w:lvlText w:val=""/>
      <w:lvlJc w:val="left"/>
      <w:pPr>
        <w:ind w:left="360" w:hanging="360"/>
      </w:pPr>
      <w:rPr>
        <w:rFonts w:ascii="Symbol" w:hAnsi="Symbol" w:hint="default"/>
        <w:color w:val="auto"/>
        <w:sz w:val="24"/>
      </w:rPr>
    </w:lvl>
  </w:abstractNum>
  <w:abstractNum w:abstractNumId="13" w15:restartNumberingAfterBreak="0">
    <w:nsid w:val="11FD3939"/>
    <w:multiLevelType w:val="hybridMultilevel"/>
    <w:tmpl w:val="EE06DC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27E0EAF"/>
    <w:multiLevelType w:val="hybridMultilevel"/>
    <w:tmpl w:val="C7324F0E"/>
    <w:lvl w:ilvl="0" w:tplc="6FAC9F96">
      <w:start w:val="535"/>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6090972"/>
    <w:multiLevelType w:val="hybridMultilevel"/>
    <w:tmpl w:val="084A69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75847F7"/>
    <w:multiLevelType w:val="hybridMultilevel"/>
    <w:tmpl w:val="4EE28816"/>
    <w:lvl w:ilvl="0" w:tplc="68A28FC8">
      <w:start w:val="535"/>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79862E5"/>
    <w:multiLevelType w:val="hybridMultilevel"/>
    <w:tmpl w:val="56E27A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AA864C6"/>
    <w:multiLevelType w:val="singleLevel"/>
    <w:tmpl w:val="5A944884"/>
    <w:lvl w:ilvl="0">
      <w:start w:val="1"/>
      <w:numFmt w:val="bullet"/>
      <w:pStyle w:val="CG-Bullet"/>
      <w:lvlText w:val=""/>
      <w:lvlJc w:val="left"/>
      <w:pPr>
        <w:tabs>
          <w:tab w:val="num" w:pos="1353"/>
        </w:tabs>
        <w:ind w:left="1353" w:hanging="360"/>
      </w:pPr>
      <w:rPr>
        <w:rFonts w:ascii="Symbol" w:hAnsi="Symbol" w:cs="Times New Roman" w:hint="default"/>
      </w:rPr>
    </w:lvl>
  </w:abstractNum>
  <w:abstractNum w:abstractNumId="19" w15:restartNumberingAfterBreak="0">
    <w:nsid w:val="1E7C2CBE"/>
    <w:multiLevelType w:val="hybridMultilevel"/>
    <w:tmpl w:val="0430E0CC"/>
    <w:lvl w:ilvl="0" w:tplc="0282A16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3830248"/>
    <w:multiLevelType w:val="singleLevel"/>
    <w:tmpl w:val="E736B5E2"/>
    <w:lvl w:ilvl="0">
      <w:start w:val="1"/>
      <w:numFmt w:val="bullet"/>
      <w:lvlText w:val=""/>
      <w:lvlJc w:val="left"/>
      <w:pPr>
        <w:tabs>
          <w:tab w:val="num" w:pos="340"/>
        </w:tabs>
        <w:ind w:left="340" w:hanging="340"/>
      </w:pPr>
      <w:rPr>
        <w:rFonts w:ascii="Symbol" w:hAnsi="Symbol" w:hint="default"/>
        <w:color w:val="auto"/>
        <w:sz w:val="22"/>
      </w:rPr>
    </w:lvl>
  </w:abstractNum>
  <w:abstractNum w:abstractNumId="21" w15:restartNumberingAfterBreak="0">
    <w:nsid w:val="24020F0A"/>
    <w:multiLevelType w:val="hybridMultilevel"/>
    <w:tmpl w:val="36E6A44C"/>
    <w:lvl w:ilvl="0" w:tplc="9768F312">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269D1C4A"/>
    <w:multiLevelType w:val="multilevel"/>
    <w:tmpl w:val="FD30B2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81C7732"/>
    <w:multiLevelType w:val="hybridMultilevel"/>
    <w:tmpl w:val="020A9562"/>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4" w15:restartNumberingAfterBreak="0">
    <w:nsid w:val="31472D6F"/>
    <w:multiLevelType w:val="hybridMultilevel"/>
    <w:tmpl w:val="93DE51B4"/>
    <w:lvl w:ilvl="0" w:tplc="AE1E3E3A">
      <w:start w:val="1"/>
      <w:numFmt w:val="bullet"/>
      <w:lvlText w:val=""/>
      <w:lvlJc w:val="left"/>
      <w:pPr>
        <w:tabs>
          <w:tab w:val="num" w:pos="567"/>
        </w:tabs>
        <w:ind w:left="567" w:hanging="22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480A4E"/>
    <w:multiLevelType w:val="hybridMultilevel"/>
    <w:tmpl w:val="BBF4160A"/>
    <w:lvl w:ilvl="0" w:tplc="A95CB830">
      <w:start w:val="20"/>
      <w:numFmt w:val="decimal"/>
      <w:lvlText w:val="%1."/>
      <w:lvlJc w:val="left"/>
      <w:pPr>
        <w:tabs>
          <w:tab w:val="num" w:pos="-1"/>
        </w:tabs>
        <w:ind w:left="-1" w:hanging="600"/>
      </w:pPr>
      <w:rPr>
        <w:rFonts w:hint="default"/>
      </w:rPr>
    </w:lvl>
    <w:lvl w:ilvl="1" w:tplc="04090019" w:tentative="1">
      <w:start w:val="1"/>
      <w:numFmt w:val="lowerLetter"/>
      <w:lvlText w:val="%2."/>
      <w:lvlJc w:val="left"/>
      <w:pPr>
        <w:tabs>
          <w:tab w:val="num" w:pos="479"/>
        </w:tabs>
        <w:ind w:left="479" w:hanging="360"/>
      </w:pPr>
    </w:lvl>
    <w:lvl w:ilvl="2" w:tplc="0409001B" w:tentative="1">
      <w:start w:val="1"/>
      <w:numFmt w:val="lowerRoman"/>
      <w:lvlText w:val="%3."/>
      <w:lvlJc w:val="right"/>
      <w:pPr>
        <w:tabs>
          <w:tab w:val="num" w:pos="1199"/>
        </w:tabs>
        <w:ind w:left="1199" w:hanging="180"/>
      </w:pPr>
    </w:lvl>
    <w:lvl w:ilvl="3" w:tplc="0409000F" w:tentative="1">
      <w:start w:val="1"/>
      <w:numFmt w:val="decimal"/>
      <w:lvlText w:val="%4."/>
      <w:lvlJc w:val="left"/>
      <w:pPr>
        <w:tabs>
          <w:tab w:val="num" w:pos="1919"/>
        </w:tabs>
        <w:ind w:left="1919" w:hanging="360"/>
      </w:pPr>
    </w:lvl>
    <w:lvl w:ilvl="4" w:tplc="04090019" w:tentative="1">
      <w:start w:val="1"/>
      <w:numFmt w:val="lowerLetter"/>
      <w:lvlText w:val="%5."/>
      <w:lvlJc w:val="left"/>
      <w:pPr>
        <w:tabs>
          <w:tab w:val="num" w:pos="2639"/>
        </w:tabs>
        <w:ind w:left="2639" w:hanging="360"/>
      </w:pPr>
    </w:lvl>
    <w:lvl w:ilvl="5" w:tplc="0409001B" w:tentative="1">
      <w:start w:val="1"/>
      <w:numFmt w:val="lowerRoman"/>
      <w:lvlText w:val="%6."/>
      <w:lvlJc w:val="right"/>
      <w:pPr>
        <w:tabs>
          <w:tab w:val="num" w:pos="3359"/>
        </w:tabs>
        <w:ind w:left="3359" w:hanging="180"/>
      </w:pPr>
    </w:lvl>
    <w:lvl w:ilvl="6" w:tplc="0409000F" w:tentative="1">
      <w:start w:val="1"/>
      <w:numFmt w:val="decimal"/>
      <w:lvlText w:val="%7."/>
      <w:lvlJc w:val="left"/>
      <w:pPr>
        <w:tabs>
          <w:tab w:val="num" w:pos="4079"/>
        </w:tabs>
        <w:ind w:left="4079" w:hanging="360"/>
      </w:pPr>
    </w:lvl>
    <w:lvl w:ilvl="7" w:tplc="04090019" w:tentative="1">
      <w:start w:val="1"/>
      <w:numFmt w:val="lowerLetter"/>
      <w:lvlText w:val="%8."/>
      <w:lvlJc w:val="left"/>
      <w:pPr>
        <w:tabs>
          <w:tab w:val="num" w:pos="4799"/>
        </w:tabs>
        <w:ind w:left="4799" w:hanging="360"/>
      </w:pPr>
    </w:lvl>
    <w:lvl w:ilvl="8" w:tplc="0409001B" w:tentative="1">
      <w:start w:val="1"/>
      <w:numFmt w:val="lowerRoman"/>
      <w:lvlText w:val="%9."/>
      <w:lvlJc w:val="right"/>
      <w:pPr>
        <w:tabs>
          <w:tab w:val="num" w:pos="5519"/>
        </w:tabs>
        <w:ind w:left="5519" w:hanging="180"/>
      </w:pPr>
    </w:lvl>
  </w:abstractNum>
  <w:abstractNum w:abstractNumId="26" w15:restartNumberingAfterBreak="0">
    <w:nsid w:val="351E046E"/>
    <w:multiLevelType w:val="singleLevel"/>
    <w:tmpl w:val="1F08BBDC"/>
    <w:lvl w:ilvl="0">
      <w:start w:val="1"/>
      <w:numFmt w:val="bullet"/>
      <w:lvlText w:val=""/>
      <w:lvlJc w:val="left"/>
      <w:pPr>
        <w:tabs>
          <w:tab w:val="num" w:pos="340"/>
        </w:tabs>
        <w:ind w:left="340" w:hanging="340"/>
      </w:pPr>
      <w:rPr>
        <w:rFonts w:ascii="Symbol" w:hAnsi="Symbol" w:hint="default"/>
        <w:color w:val="auto"/>
        <w:sz w:val="22"/>
      </w:rPr>
    </w:lvl>
  </w:abstractNum>
  <w:abstractNum w:abstractNumId="27" w15:restartNumberingAfterBreak="0">
    <w:nsid w:val="3B18551E"/>
    <w:multiLevelType w:val="multilevel"/>
    <w:tmpl w:val="0409001D"/>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C2C2685"/>
    <w:multiLevelType w:val="hybridMultilevel"/>
    <w:tmpl w:val="5C7443DE"/>
    <w:lvl w:ilvl="0" w:tplc="681EDDD2">
      <w:start w:val="216"/>
      <w:numFmt w:val="bullet"/>
      <w:lvlText w:val=""/>
      <w:lvlJc w:val="left"/>
      <w:pPr>
        <w:tabs>
          <w:tab w:val="num" w:pos="-241"/>
        </w:tabs>
        <w:ind w:left="-241" w:hanging="360"/>
      </w:pPr>
      <w:rPr>
        <w:rFonts w:ascii="Symbol" w:eastAsia="Times New Roman" w:hAnsi="Symbol" w:cs="Times New Roman" w:hint="default"/>
      </w:rPr>
    </w:lvl>
    <w:lvl w:ilvl="1" w:tplc="04090003" w:tentative="1">
      <w:start w:val="1"/>
      <w:numFmt w:val="bullet"/>
      <w:lvlText w:val="o"/>
      <w:lvlJc w:val="left"/>
      <w:pPr>
        <w:tabs>
          <w:tab w:val="num" w:pos="479"/>
        </w:tabs>
        <w:ind w:left="479" w:hanging="360"/>
      </w:pPr>
      <w:rPr>
        <w:rFonts w:ascii="Courier New" w:hAnsi="Courier New" w:cs="Courier New" w:hint="default"/>
      </w:rPr>
    </w:lvl>
    <w:lvl w:ilvl="2" w:tplc="04090005" w:tentative="1">
      <w:start w:val="1"/>
      <w:numFmt w:val="bullet"/>
      <w:lvlText w:val=""/>
      <w:lvlJc w:val="left"/>
      <w:pPr>
        <w:tabs>
          <w:tab w:val="num" w:pos="1199"/>
        </w:tabs>
        <w:ind w:left="1199" w:hanging="360"/>
      </w:pPr>
      <w:rPr>
        <w:rFonts w:ascii="Wingdings" w:hAnsi="Wingdings" w:hint="default"/>
      </w:rPr>
    </w:lvl>
    <w:lvl w:ilvl="3" w:tplc="04090001" w:tentative="1">
      <w:start w:val="1"/>
      <w:numFmt w:val="bullet"/>
      <w:lvlText w:val=""/>
      <w:lvlJc w:val="left"/>
      <w:pPr>
        <w:tabs>
          <w:tab w:val="num" w:pos="1919"/>
        </w:tabs>
        <w:ind w:left="1919" w:hanging="360"/>
      </w:pPr>
      <w:rPr>
        <w:rFonts w:ascii="Symbol" w:hAnsi="Symbol" w:hint="default"/>
      </w:rPr>
    </w:lvl>
    <w:lvl w:ilvl="4" w:tplc="04090003" w:tentative="1">
      <w:start w:val="1"/>
      <w:numFmt w:val="bullet"/>
      <w:lvlText w:val="o"/>
      <w:lvlJc w:val="left"/>
      <w:pPr>
        <w:tabs>
          <w:tab w:val="num" w:pos="2639"/>
        </w:tabs>
        <w:ind w:left="2639" w:hanging="360"/>
      </w:pPr>
      <w:rPr>
        <w:rFonts w:ascii="Courier New" w:hAnsi="Courier New" w:cs="Courier New" w:hint="default"/>
      </w:rPr>
    </w:lvl>
    <w:lvl w:ilvl="5" w:tplc="04090005" w:tentative="1">
      <w:start w:val="1"/>
      <w:numFmt w:val="bullet"/>
      <w:lvlText w:val=""/>
      <w:lvlJc w:val="left"/>
      <w:pPr>
        <w:tabs>
          <w:tab w:val="num" w:pos="3359"/>
        </w:tabs>
        <w:ind w:left="3359" w:hanging="360"/>
      </w:pPr>
      <w:rPr>
        <w:rFonts w:ascii="Wingdings" w:hAnsi="Wingdings" w:hint="default"/>
      </w:rPr>
    </w:lvl>
    <w:lvl w:ilvl="6" w:tplc="04090001" w:tentative="1">
      <w:start w:val="1"/>
      <w:numFmt w:val="bullet"/>
      <w:lvlText w:val=""/>
      <w:lvlJc w:val="left"/>
      <w:pPr>
        <w:tabs>
          <w:tab w:val="num" w:pos="4079"/>
        </w:tabs>
        <w:ind w:left="4079" w:hanging="360"/>
      </w:pPr>
      <w:rPr>
        <w:rFonts w:ascii="Symbol" w:hAnsi="Symbol" w:hint="default"/>
      </w:rPr>
    </w:lvl>
    <w:lvl w:ilvl="7" w:tplc="04090003" w:tentative="1">
      <w:start w:val="1"/>
      <w:numFmt w:val="bullet"/>
      <w:lvlText w:val="o"/>
      <w:lvlJc w:val="left"/>
      <w:pPr>
        <w:tabs>
          <w:tab w:val="num" w:pos="4799"/>
        </w:tabs>
        <w:ind w:left="4799" w:hanging="360"/>
      </w:pPr>
      <w:rPr>
        <w:rFonts w:ascii="Courier New" w:hAnsi="Courier New" w:cs="Courier New" w:hint="default"/>
      </w:rPr>
    </w:lvl>
    <w:lvl w:ilvl="8" w:tplc="04090005" w:tentative="1">
      <w:start w:val="1"/>
      <w:numFmt w:val="bullet"/>
      <w:lvlText w:val=""/>
      <w:lvlJc w:val="left"/>
      <w:pPr>
        <w:tabs>
          <w:tab w:val="num" w:pos="5519"/>
        </w:tabs>
        <w:ind w:left="5519" w:hanging="360"/>
      </w:pPr>
      <w:rPr>
        <w:rFonts w:ascii="Wingdings" w:hAnsi="Wingdings" w:hint="default"/>
      </w:rPr>
    </w:lvl>
  </w:abstractNum>
  <w:abstractNum w:abstractNumId="29" w15:restartNumberingAfterBreak="0">
    <w:nsid w:val="3D275263"/>
    <w:multiLevelType w:val="multilevel"/>
    <w:tmpl w:val="E3C6E9F6"/>
    <w:lvl w:ilvl="0">
      <w:start w:val="1"/>
      <w:numFmt w:val="decimal"/>
      <w:lvlText w:val="%1."/>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lowerLetter"/>
      <w:lvlText w:val="(%2)"/>
      <w:lvlJc w:val="left"/>
      <w:pPr>
        <w:tabs>
          <w:tab w:val="num" w:pos="720"/>
        </w:tabs>
        <w:ind w:left="720" w:hanging="720"/>
      </w:pPr>
      <w:rPr>
        <w:rFonts w:ascii="Times New Roman" w:hAnsi="Times New Roman"/>
        <w:b/>
        <w:bCs/>
        <w:i w:val="0"/>
        <w:iCs w:val="0"/>
        <w:caps w:val="0"/>
        <w:smallCaps w:val="0"/>
        <w:strike w:val="0"/>
        <w:dstrike w:val="0"/>
        <w:vanish w:val="0"/>
        <w:color w:val="auto"/>
        <w:spacing w:val="0"/>
        <w:w w:val="100"/>
        <w:kern w:val="0"/>
        <w:position w:val="0"/>
        <w:sz w:val="22"/>
        <w:u w:val="none"/>
        <w:effect w:val="none"/>
        <w:bdr w:val="none" w:sz="0" w:space="0" w:color="auto"/>
        <w:shd w:val="clear" w:color="auto" w:fill="auto"/>
        <w:vertAlign w:val="baseline"/>
        <w:em w:val="none"/>
      </w:rPr>
    </w:lvl>
    <w:lvl w:ilvl="2">
      <w:start w:val="1"/>
      <w:numFmt w:val="lowerRoman"/>
      <w:lvlText w:val="(%3)"/>
      <w:lvlJc w:val="left"/>
      <w:pPr>
        <w:tabs>
          <w:tab w:val="num" w:pos="2160"/>
        </w:tabs>
        <w:ind w:left="2160" w:hanging="720"/>
      </w:pPr>
      <w:rPr>
        <w:b w:val="0"/>
        <w:i/>
        <w:caps w:val="0"/>
        <w:strike w:val="0"/>
        <w:dstrike w:val="0"/>
        <w:vanish w:val="0"/>
        <w:color w:val="auto"/>
        <w:u w:val="none"/>
        <w:effect w:val="none"/>
        <w:vertAlign w:val="baseline"/>
      </w:rPr>
    </w:lvl>
    <w:lvl w:ilvl="3">
      <w:start w:val="1"/>
      <w:numFmt w:val="lowerRoman"/>
      <w:lvlText w:val="(%4)"/>
      <w:lvlJc w:val="left"/>
      <w:pPr>
        <w:tabs>
          <w:tab w:val="num" w:pos="1440"/>
        </w:tabs>
        <w:ind w:left="1440" w:hanging="720"/>
      </w:pPr>
      <w:rPr>
        <w:b w:val="0"/>
        <w:i w:val="0"/>
        <w:caps w:val="0"/>
        <w:strike w:val="0"/>
        <w:dstrike w:val="0"/>
        <w:vanish w:val="0"/>
        <w:color w:val="auto"/>
        <w:u w:val="none"/>
        <w:effect w:val="none"/>
        <w:vertAlign w:val="baseline"/>
      </w:rPr>
    </w:lvl>
    <w:lvl w:ilvl="4">
      <w:start w:val="1"/>
      <w:numFmt w:val="lowerLetter"/>
      <w:lvlText w:val="(%5)"/>
      <w:lvlJc w:val="left"/>
      <w:pPr>
        <w:tabs>
          <w:tab w:val="num" w:pos="1440"/>
        </w:tabs>
        <w:ind w:left="1440" w:hanging="720"/>
      </w:pPr>
      <w:rPr>
        <w:b w:val="0"/>
        <w:i w:val="0"/>
        <w:caps w:val="0"/>
        <w:color w:val="auto"/>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D6D4273"/>
    <w:multiLevelType w:val="multilevel"/>
    <w:tmpl w:val="E3C6E9F6"/>
    <w:lvl w:ilvl="0">
      <w:start w:val="1"/>
      <w:numFmt w:val="decimal"/>
      <w:pStyle w:val="Outline3L1"/>
      <w:lvlText w:val="%1."/>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lowerLetter"/>
      <w:pStyle w:val="Outline3L2"/>
      <w:lvlText w:val="(%2)"/>
      <w:lvlJc w:val="left"/>
      <w:pPr>
        <w:tabs>
          <w:tab w:val="num" w:pos="720"/>
        </w:tabs>
        <w:ind w:left="720" w:hanging="720"/>
      </w:pPr>
      <w:rPr>
        <w:b/>
        <w:i w:val="0"/>
        <w:caps w:val="0"/>
        <w:strike w:val="0"/>
        <w:dstrike w:val="0"/>
        <w:vanish w:val="0"/>
        <w:color w:val="auto"/>
        <w:u w:val="none"/>
        <w:effect w:val="none"/>
        <w:vertAlign w:val="baseline"/>
      </w:rPr>
    </w:lvl>
    <w:lvl w:ilvl="2">
      <w:start w:val="1"/>
      <w:numFmt w:val="lowerRoman"/>
      <w:pStyle w:val="Outline3L3"/>
      <w:lvlText w:val="(%3)"/>
      <w:lvlJc w:val="left"/>
      <w:pPr>
        <w:tabs>
          <w:tab w:val="num" w:pos="2160"/>
        </w:tabs>
        <w:ind w:left="2160" w:hanging="720"/>
      </w:pPr>
      <w:rPr>
        <w:b w:val="0"/>
        <w:i/>
        <w:caps w:val="0"/>
        <w:strike w:val="0"/>
        <w:dstrike w:val="0"/>
        <w:vanish w:val="0"/>
        <w:color w:val="auto"/>
        <w:u w:val="none"/>
        <w:effect w:val="none"/>
        <w:vertAlign w:val="baseline"/>
      </w:rPr>
    </w:lvl>
    <w:lvl w:ilvl="3">
      <w:start w:val="1"/>
      <w:numFmt w:val="lowerRoman"/>
      <w:pStyle w:val="Outline3L4"/>
      <w:lvlText w:val="(%4)"/>
      <w:lvlJc w:val="left"/>
      <w:pPr>
        <w:tabs>
          <w:tab w:val="num" w:pos="1440"/>
        </w:tabs>
        <w:ind w:left="1440" w:hanging="720"/>
      </w:pPr>
      <w:rPr>
        <w:b w:val="0"/>
        <w:i w:val="0"/>
        <w:caps w:val="0"/>
        <w:strike w:val="0"/>
        <w:dstrike w:val="0"/>
        <w:vanish w:val="0"/>
        <w:color w:val="auto"/>
        <w:u w:val="none"/>
        <w:effect w:val="none"/>
        <w:vertAlign w:val="baseline"/>
      </w:rPr>
    </w:lvl>
    <w:lvl w:ilvl="4">
      <w:start w:val="1"/>
      <w:numFmt w:val="lowerLetter"/>
      <w:pStyle w:val="Outline3L5"/>
      <w:lvlText w:val="(%5)"/>
      <w:lvlJc w:val="left"/>
      <w:pPr>
        <w:tabs>
          <w:tab w:val="num" w:pos="1440"/>
        </w:tabs>
        <w:ind w:left="1440" w:hanging="720"/>
      </w:pPr>
      <w:rPr>
        <w:b w:val="0"/>
        <w:i w:val="0"/>
        <w:caps w:val="0"/>
        <w:color w:val="auto"/>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98D6B45"/>
    <w:multiLevelType w:val="singleLevel"/>
    <w:tmpl w:val="D9DC739C"/>
    <w:lvl w:ilvl="0">
      <w:start w:val="1"/>
      <w:numFmt w:val="bullet"/>
      <w:lvlText w:val=""/>
      <w:lvlJc w:val="left"/>
      <w:pPr>
        <w:tabs>
          <w:tab w:val="num" w:pos="340"/>
        </w:tabs>
        <w:ind w:left="340" w:hanging="340"/>
      </w:pPr>
      <w:rPr>
        <w:rFonts w:ascii="Symbol" w:hAnsi="Symbol" w:hint="default"/>
        <w:color w:val="auto"/>
        <w:sz w:val="22"/>
      </w:rPr>
    </w:lvl>
  </w:abstractNum>
  <w:abstractNum w:abstractNumId="32" w15:restartNumberingAfterBreak="0">
    <w:nsid w:val="4B4B4396"/>
    <w:multiLevelType w:val="singleLevel"/>
    <w:tmpl w:val="6BFABE7E"/>
    <w:lvl w:ilvl="0">
      <w:start w:val="1"/>
      <w:numFmt w:val="bullet"/>
      <w:lvlText w:val=""/>
      <w:lvlJc w:val="left"/>
      <w:pPr>
        <w:tabs>
          <w:tab w:val="num" w:pos="340"/>
        </w:tabs>
        <w:ind w:left="340" w:hanging="340"/>
      </w:pPr>
      <w:rPr>
        <w:rFonts w:ascii="Symbol" w:hAnsi="Symbol" w:hint="default"/>
        <w:color w:val="auto"/>
        <w:sz w:val="22"/>
      </w:rPr>
    </w:lvl>
  </w:abstractNum>
  <w:abstractNum w:abstractNumId="33" w15:restartNumberingAfterBreak="0">
    <w:nsid w:val="50E82177"/>
    <w:multiLevelType w:val="hybridMultilevel"/>
    <w:tmpl w:val="32067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4C97C54"/>
    <w:multiLevelType w:val="multilevel"/>
    <w:tmpl w:val="A96617E4"/>
    <w:lvl w:ilvl="0">
      <w:start w:val="1"/>
      <w:numFmt w:val="lowerLetter"/>
      <w:lvlText w:val="(%1)"/>
      <w:lvlJc w:val="left"/>
      <w:pPr>
        <w:tabs>
          <w:tab w:val="num" w:pos="504"/>
        </w:tabs>
        <w:ind w:left="504" w:hanging="504"/>
      </w:pPr>
      <w:rPr>
        <w:rFonts w:hint="default"/>
        <w:b w:val="0"/>
        <w:i w:val="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5" w15:restartNumberingAfterBreak="0">
    <w:nsid w:val="58783609"/>
    <w:multiLevelType w:val="multilevel"/>
    <w:tmpl w:val="E3C6E9F6"/>
    <w:lvl w:ilvl="0">
      <w:start w:val="1"/>
      <w:numFmt w:val="decimal"/>
      <w:lvlText w:val="%1."/>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lowerLetter"/>
      <w:lvlText w:val="(%2)"/>
      <w:lvlJc w:val="left"/>
      <w:pPr>
        <w:tabs>
          <w:tab w:val="num" w:pos="720"/>
        </w:tabs>
        <w:ind w:left="720" w:hanging="720"/>
      </w:pPr>
      <w:rPr>
        <w:rFonts w:ascii="Times New Roman" w:hAnsi="Times New Roman"/>
        <w:b/>
        <w:bCs/>
        <w:i w:val="0"/>
        <w:iCs w:val="0"/>
        <w:caps w:val="0"/>
        <w:smallCaps w:val="0"/>
        <w:strike w:val="0"/>
        <w:dstrike w:val="0"/>
        <w:vanish w:val="0"/>
        <w:color w:val="auto"/>
        <w:spacing w:val="0"/>
        <w:w w:val="100"/>
        <w:kern w:val="0"/>
        <w:position w:val="0"/>
        <w:sz w:val="22"/>
        <w:u w:val="none"/>
        <w:effect w:val="none"/>
        <w:bdr w:val="none" w:sz="0" w:space="0" w:color="auto"/>
        <w:shd w:val="clear" w:color="auto" w:fill="auto"/>
        <w:vertAlign w:val="baseline"/>
        <w:em w:val="none"/>
      </w:rPr>
    </w:lvl>
    <w:lvl w:ilvl="2">
      <w:start w:val="1"/>
      <w:numFmt w:val="lowerRoman"/>
      <w:lvlText w:val="(%3)"/>
      <w:lvlJc w:val="left"/>
      <w:pPr>
        <w:tabs>
          <w:tab w:val="num" w:pos="2160"/>
        </w:tabs>
        <w:ind w:left="2160" w:hanging="720"/>
      </w:pPr>
      <w:rPr>
        <w:b w:val="0"/>
        <w:i/>
        <w:caps w:val="0"/>
        <w:strike w:val="0"/>
        <w:dstrike w:val="0"/>
        <w:vanish w:val="0"/>
        <w:color w:val="auto"/>
        <w:u w:val="none"/>
        <w:effect w:val="none"/>
        <w:vertAlign w:val="baseline"/>
      </w:rPr>
    </w:lvl>
    <w:lvl w:ilvl="3">
      <w:start w:val="1"/>
      <w:numFmt w:val="lowerRoman"/>
      <w:lvlText w:val="(%4)"/>
      <w:lvlJc w:val="left"/>
      <w:pPr>
        <w:tabs>
          <w:tab w:val="num" w:pos="1440"/>
        </w:tabs>
        <w:ind w:left="1440" w:hanging="720"/>
      </w:pPr>
      <w:rPr>
        <w:b w:val="0"/>
        <w:i w:val="0"/>
        <w:caps w:val="0"/>
        <w:strike w:val="0"/>
        <w:dstrike w:val="0"/>
        <w:vanish w:val="0"/>
        <w:color w:val="auto"/>
        <w:u w:val="none"/>
        <w:effect w:val="none"/>
        <w:vertAlign w:val="baseline"/>
      </w:rPr>
    </w:lvl>
    <w:lvl w:ilvl="4">
      <w:start w:val="1"/>
      <w:numFmt w:val="lowerLetter"/>
      <w:lvlText w:val="(%5)"/>
      <w:lvlJc w:val="left"/>
      <w:pPr>
        <w:tabs>
          <w:tab w:val="num" w:pos="1440"/>
        </w:tabs>
        <w:ind w:left="1440" w:hanging="720"/>
      </w:pPr>
      <w:rPr>
        <w:b w:val="0"/>
        <w:i w:val="0"/>
        <w:caps w:val="0"/>
        <w:color w:val="auto"/>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9AC70F4"/>
    <w:multiLevelType w:val="singleLevel"/>
    <w:tmpl w:val="DDDA9EF6"/>
    <w:lvl w:ilvl="0">
      <w:start w:val="1"/>
      <w:numFmt w:val="bullet"/>
      <w:lvlText w:val=""/>
      <w:lvlJc w:val="left"/>
      <w:pPr>
        <w:tabs>
          <w:tab w:val="num" w:pos="340"/>
        </w:tabs>
        <w:ind w:left="340" w:hanging="340"/>
      </w:pPr>
      <w:rPr>
        <w:rFonts w:ascii="Symbol" w:hAnsi="Symbol" w:hint="default"/>
        <w:color w:val="auto"/>
        <w:sz w:val="22"/>
      </w:rPr>
    </w:lvl>
  </w:abstractNum>
  <w:abstractNum w:abstractNumId="37" w15:restartNumberingAfterBreak="0">
    <w:nsid w:val="5E675A3A"/>
    <w:multiLevelType w:val="hybridMultilevel"/>
    <w:tmpl w:val="6FFEDC72"/>
    <w:lvl w:ilvl="0" w:tplc="94E0E8E6">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5F1D15AB"/>
    <w:multiLevelType w:val="hybridMultilevel"/>
    <w:tmpl w:val="CD98D75C"/>
    <w:lvl w:ilvl="0" w:tplc="9976E7BC">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134665A"/>
    <w:multiLevelType w:val="multilevel"/>
    <w:tmpl w:val="ACEA09B2"/>
    <w:lvl w:ilvl="0">
      <w:numFmt w:val="bullet"/>
      <w:lvlText w:val=""/>
      <w:lvlJc w:val="left"/>
      <w:pPr>
        <w:ind w:left="1512" w:hanging="360"/>
      </w:pPr>
      <w:rPr>
        <w:rFonts w:ascii="Symbol" w:hAnsi="Symbol"/>
      </w:rPr>
    </w:lvl>
    <w:lvl w:ilvl="1">
      <w:numFmt w:val="bullet"/>
      <w:lvlText w:val="o"/>
      <w:lvlJc w:val="left"/>
      <w:pPr>
        <w:ind w:left="2232" w:hanging="360"/>
      </w:pPr>
      <w:rPr>
        <w:rFonts w:ascii="Courier New" w:hAnsi="Courier New" w:cs="Courier New"/>
      </w:rPr>
    </w:lvl>
    <w:lvl w:ilvl="2">
      <w:numFmt w:val="bullet"/>
      <w:lvlText w:val=""/>
      <w:lvlJc w:val="left"/>
      <w:pPr>
        <w:ind w:left="2952" w:hanging="360"/>
      </w:pPr>
      <w:rPr>
        <w:rFonts w:ascii="Wingdings" w:hAnsi="Wingdings"/>
      </w:rPr>
    </w:lvl>
    <w:lvl w:ilvl="3">
      <w:numFmt w:val="bullet"/>
      <w:lvlText w:val=""/>
      <w:lvlJc w:val="left"/>
      <w:pPr>
        <w:ind w:left="3672" w:hanging="360"/>
      </w:pPr>
      <w:rPr>
        <w:rFonts w:ascii="Symbol" w:hAnsi="Symbol"/>
      </w:rPr>
    </w:lvl>
    <w:lvl w:ilvl="4">
      <w:numFmt w:val="bullet"/>
      <w:lvlText w:val="o"/>
      <w:lvlJc w:val="left"/>
      <w:pPr>
        <w:ind w:left="4392" w:hanging="360"/>
      </w:pPr>
      <w:rPr>
        <w:rFonts w:ascii="Courier New" w:hAnsi="Courier New" w:cs="Courier New"/>
      </w:rPr>
    </w:lvl>
    <w:lvl w:ilvl="5">
      <w:numFmt w:val="bullet"/>
      <w:lvlText w:val=""/>
      <w:lvlJc w:val="left"/>
      <w:pPr>
        <w:ind w:left="5112" w:hanging="360"/>
      </w:pPr>
      <w:rPr>
        <w:rFonts w:ascii="Wingdings" w:hAnsi="Wingdings"/>
      </w:rPr>
    </w:lvl>
    <w:lvl w:ilvl="6">
      <w:numFmt w:val="bullet"/>
      <w:lvlText w:val=""/>
      <w:lvlJc w:val="left"/>
      <w:pPr>
        <w:ind w:left="5832" w:hanging="360"/>
      </w:pPr>
      <w:rPr>
        <w:rFonts w:ascii="Symbol" w:hAnsi="Symbol"/>
      </w:rPr>
    </w:lvl>
    <w:lvl w:ilvl="7">
      <w:numFmt w:val="bullet"/>
      <w:lvlText w:val="o"/>
      <w:lvlJc w:val="left"/>
      <w:pPr>
        <w:ind w:left="6552" w:hanging="360"/>
      </w:pPr>
      <w:rPr>
        <w:rFonts w:ascii="Courier New" w:hAnsi="Courier New" w:cs="Courier New"/>
      </w:rPr>
    </w:lvl>
    <w:lvl w:ilvl="8">
      <w:numFmt w:val="bullet"/>
      <w:lvlText w:val=""/>
      <w:lvlJc w:val="left"/>
      <w:pPr>
        <w:ind w:left="7272" w:hanging="360"/>
      </w:pPr>
      <w:rPr>
        <w:rFonts w:ascii="Wingdings" w:hAnsi="Wingdings"/>
      </w:rPr>
    </w:lvl>
  </w:abstractNum>
  <w:abstractNum w:abstractNumId="40" w15:restartNumberingAfterBreak="0">
    <w:nsid w:val="68E0227F"/>
    <w:multiLevelType w:val="hybridMultilevel"/>
    <w:tmpl w:val="2C0663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A161756"/>
    <w:multiLevelType w:val="multilevel"/>
    <w:tmpl w:val="E3C6E9F6"/>
    <w:lvl w:ilvl="0">
      <w:start w:val="1"/>
      <w:numFmt w:val="decimal"/>
      <w:lvlText w:val="%1."/>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lowerLetter"/>
      <w:lvlText w:val="(%2)"/>
      <w:lvlJc w:val="left"/>
      <w:pPr>
        <w:tabs>
          <w:tab w:val="num" w:pos="720"/>
        </w:tabs>
        <w:ind w:left="720" w:hanging="720"/>
      </w:pPr>
      <w:rPr>
        <w:rFonts w:ascii="Times New Roman" w:hAnsi="Times New Roman"/>
        <w:b/>
        <w:bCs/>
        <w:i w:val="0"/>
        <w:iCs w:val="0"/>
        <w:caps w:val="0"/>
        <w:smallCaps w:val="0"/>
        <w:strike w:val="0"/>
        <w:dstrike w:val="0"/>
        <w:vanish w:val="0"/>
        <w:color w:val="auto"/>
        <w:spacing w:val="0"/>
        <w:w w:val="100"/>
        <w:kern w:val="0"/>
        <w:position w:val="0"/>
        <w:sz w:val="22"/>
        <w:u w:val="none"/>
        <w:effect w:val="none"/>
        <w:bdr w:val="none" w:sz="0" w:space="0" w:color="auto"/>
        <w:shd w:val="clear" w:color="auto" w:fill="auto"/>
        <w:vertAlign w:val="baseline"/>
        <w:em w:val="none"/>
      </w:rPr>
    </w:lvl>
    <w:lvl w:ilvl="2">
      <w:start w:val="1"/>
      <w:numFmt w:val="lowerRoman"/>
      <w:lvlText w:val="(%3)"/>
      <w:lvlJc w:val="left"/>
      <w:pPr>
        <w:tabs>
          <w:tab w:val="num" w:pos="2160"/>
        </w:tabs>
        <w:ind w:left="2160" w:hanging="720"/>
      </w:pPr>
      <w:rPr>
        <w:b w:val="0"/>
        <w:i/>
        <w:caps w:val="0"/>
        <w:strike w:val="0"/>
        <w:dstrike w:val="0"/>
        <w:vanish w:val="0"/>
        <w:color w:val="auto"/>
        <w:u w:val="none"/>
        <w:effect w:val="none"/>
        <w:vertAlign w:val="baseline"/>
      </w:rPr>
    </w:lvl>
    <w:lvl w:ilvl="3">
      <w:start w:val="1"/>
      <w:numFmt w:val="lowerRoman"/>
      <w:lvlText w:val="(%4)"/>
      <w:lvlJc w:val="left"/>
      <w:pPr>
        <w:tabs>
          <w:tab w:val="num" w:pos="1440"/>
        </w:tabs>
        <w:ind w:left="1440" w:hanging="720"/>
      </w:pPr>
      <w:rPr>
        <w:b w:val="0"/>
        <w:i w:val="0"/>
        <w:caps w:val="0"/>
        <w:strike w:val="0"/>
        <w:dstrike w:val="0"/>
        <w:vanish w:val="0"/>
        <w:color w:val="auto"/>
        <w:u w:val="none"/>
        <w:effect w:val="none"/>
        <w:vertAlign w:val="baseline"/>
      </w:rPr>
    </w:lvl>
    <w:lvl w:ilvl="4">
      <w:start w:val="1"/>
      <w:numFmt w:val="lowerLetter"/>
      <w:lvlText w:val="(%5)"/>
      <w:lvlJc w:val="left"/>
      <w:pPr>
        <w:tabs>
          <w:tab w:val="num" w:pos="1440"/>
        </w:tabs>
        <w:ind w:left="1440" w:hanging="720"/>
      </w:pPr>
      <w:rPr>
        <w:b w:val="0"/>
        <w:i w:val="0"/>
        <w:caps w:val="0"/>
        <w:color w:val="auto"/>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6B54B5A"/>
    <w:multiLevelType w:val="singleLevel"/>
    <w:tmpl w:val="7A2C899E"/>
    <w:lvl w:ilvl="0">
      <w:start w:val="1"/>
      <w:numFmt w:val="bullet"/>
      <w:lvlText w:val=""/>
      <w:lvlJc w:val="left"/>
      <w:pPr>
        <w:tabs>
          <w:tab w:val="num" w:pos="340"/>
        </w:tabs>
        <w:ind w:left="340" w:hanging="340"/>
      </w:pPr>
      <w:rPr>
        <w:rFonts w:ascii="Symbol" w:hAnsi="Symbol" w:hint="default"/>
        <w:color w:val="auto"/>
        <w:sz w:val="22"/>
      </w:rPr>
    </w:lvl>
  </w:abstractNum>
  <w:abstractNum w:abstractNumId="43" w15:restartNumberingAfterBreak="0">
    <w:nsid w:val="77A53497"/>
    <w:multiLevelType w:val="hybridMultilevel"/>
    <w:tmpl w:val="6B2CD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E82542"/>
    <w:multiLevelType w:val="hybridMultilevel"/>
    <w:tmpl w:val="11A2D71C"/>
    <w:lvl w:ilvl="0" w:tplc="612E96B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E0D16CE"/>
    <w:multiLevelType w:val="hybridMultilevel"/>
    <w:tmpl w:val="D422AFB4"/>
    <w:lvl w:ilvl="0" w:tplc="9768F312">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6" w15:restartNumberingAfterBreak="0">
    <w:nsid w:val="7F08277F"/>
    <w:multiLevelType w:val="hybridMultilevel"/>
    <w:tmpl w:val="BB36A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D27EEE"/>
    <w:multiLevelType w:val="hybridMultilevel"/>
    <w:tmpl w:val="918E93BA"/>
    <w:lvl w:ilvl="0" w:tplc="700C0C5C">
      <w:start w:val="535"/>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9"/>
  </w:num>
  <w:num w:numId="14">
    <w:abstractNumId w:val="43"/>
  </w:num>
  <w:num w:numId="15">
    <w:abstractNumId w:val="11"/>
  </w:num>
  <w:num w:numId="16">
    <w:abstractNumId w:val="41"/>
  </w:num>
  <w:num w:numId="17">
    <w:abstractNumId w:val="35"/>
  </w:num>
  <w:num w:numId="18">
    <w:abstractNumId w:val="44"/>
  </w:num>
  <w:num w:numId="19">
    <w:abstractNumId w:val="25"/>
  </w:num>
  <w:num w:numId="20">
    <w:abstractNumId w:val="46"/>
  </w:num>
  <w:num w:numId="21">
    <w:abstractNumId w:val="28"/>
  </w:num>
  <w:num w:numId="22">
    <w:abstractNumId w:val="34"/>
  </w:num>
  <w:num w:numId="23">
    <w:abstractNumId w:val="27"/>
  </w:num>
  <w:num w:numId="24">
    <w:abstractNumId w:val="32"/>
  </w:num>
  <w:num w:numId="25">
    <w:abstractNumId w:val="42"/>
  </w:num>
  <w:num w:numId="26">
    <w:abstractNumId w:val="36"/>
  </w:num>
  <w:num w:numId="27">
    <w:abstractNumId w:val="40"/>
  </w:num>
  <w:num w:numId="28">
    <w:abstractNumId w:val="18"/>
  </w:num>
  <w:num w:numId="29">
    <w:abstractNumId w:val="26"/>
  </w:num>
  <w:num w:numId="30">
    <w:abstractNumId w:val="13"/>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9"/>
  </w:num>
  <w:num w:numId="34">
    <w:abstractNumId w:val="22"/>
  </w:num>
  <w:num w:numId="35">
    <w:abstractNumId w:val="33"/>
  </w:num>
  <w:num w:numId="36">
    <w:abstractNumId w:val="24"/>
  </w:num>
  <w:num w:numId="37">
    <w:abstractNumId w:val="20"/>
  </w:num>
  <w:num w:numId="38">
    <w:abstractNumId w:val="37"/>
  </w:num>
  <w:num w:numId="39">
    <w:abstractNumId w:val="31"/>
  </w:num>
  <w:num w:numId="40">
    <w:abstractNumId w:val="19"/>
  </w:num>
  <w:num w:numId="41">
    <w:abstractNumId w:val="16"/>
  </w:num>
  <w:num w:numId="42">
    <w:abstractNumId w:val="14"/>
  </w:num>
  <w:num w:numId="43">
    <w:abstractNumId w:val="47"/>
  </w:num>
  <w:num w:numId="44">
    <w:abstractNumId w:val="10"/>
  </w:num>
  <w:num w:numId="45">
    <w:abstractNumId w:val="12"/>
  </w:num>
  <w:num w:numId="46">
    <w:abstractNumId w:val="45"/>
  </w:num>
  <w:num w:numId="47">
    <w:abstractNumId w:val="21"/>
  </w:num>
  <w:num w:numId="48">
    <w:abstractNumId w:val="1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7C"/>
    <w:rsid w:val="00002B73"/>
    <w:rsid w:val="00003198"/>
    <w:rsid w:val="0000621F"/>
    <w:rsid w:val="000066F8"/>
    <w:rsid w:val="00007070"/>
    <w:rsid w:val="00007F65"/>
    <w:rsid w:val="00010595"/>
    <w:rsid w:val="00010C77"/>
    <w:rsid w:val="00010D54"/>
    <w:rsid w:val="0001159C"/>
    <w:rsid w:val="00012906"/>
    <w:rsid w:val="000135BC"/>
    <w:rsid w:val="00014394"/>
    <w:rsid w:val="000166EB"/>
    <w:rsid w:val="00016C8A"/>
    <w:rsid w:val="00016FBD"/>
    <w:rsid w:val="00020331"/>
    <w:rsid w:val="00023804"/>
    <w:rsid w:val="000239FA"/>
    <w:rsid w:val="00025E87"/>
    <w:rsid w:val="00026AF0"/>
    <w:rsid w:val="00032964"/>
    <w:rsid w:val="00035F53"/>
    <w:rsid w:val="00036007"/>
    <w:rsid w:val="00040CED"/>
    <w:rsid w:val="00040D17"/>
    <w:rsid w:val="00042424"/>
    <w:rsid w:val="00043F7D"/>
    <w:rsid w:val="000445DB"/>
    <w:rsid w:val="0004532C"/>
    <w:rsid w:val="000464AF"/>
    <w:rsid w:val="00047A95"/>
    <w:rsid w:val="000509D3"/>
    <w:rsid w:val="00053FF5"/>
    <w:rsid w:val="00054ABC"/>
    <w:rsid w:val="000556FE"/>
    <w:rsid w:val="00056B2A"/>
    <w:rsid w:val="0006006C"/>
    <w:rsid w:val="000609B9"/>
    <w:rsid w:val="000612DD"/>
    <w:rsid w:val="000622BA"/>
    <w:rsid w:val="00063735"/>
    <w:rsid w:val="000642A8"/>
    <w:rsid w:val="00065346"/>
    <w:rsid w:val="0006578F"/>
    <w:rsid w:val="00066082"/>
    <w:rsid w:val="00070427"/>
    <w:rsid w:val="00072726"/>
    <w:rsid w:val="0007282E"/>
    <w:rsid w:val="00072C2D"/>
    <w:rsid w:val="00074DE3"/>
    <w:rsid w:val="00076125"/>
    <w:rsid w:val="00076395"/>
    <w:rsid w:val="0007714B"/>
    <w:rsid w:val="00077EB8"/>
    <w:rsid w:val="00077EC6"/>
    <w:rsid w:val="00080150"/>
    <w:rsid w:val="000811A1"/>
    <w:rsid w:val="00081505"/>
    <w:rsid w:val="0008346D"/>
    <w:rsid w:val="00083AA4"/>
    <w:rsid w:val="000856DC"/>
    <w:rsid w:val="00085C11"/>
    <w:rsid w:val="00086609"/>
    <w:rsid w:val="00086C0B"/>
    <w:rsid w:val="0008777B"/>
    <w:rsid w:val="00090104"/>
    <w:rsid w:val="00092191"/>
    <w:rsid w:val="00092F37"/>
    <w:rsid w:val="0009498C"/>
    <w:rsid w:val="000974A1"/>
    <w:rsid w:val="000A0936"/>
    <w:rsid w:val="000A1C0D"/>
    <w:rsid w:val="000A5A8F"/>
    <w:rsid w:val="000A6403"/>
    <w:rsid w:val="000A6725"/>
    <w:rsid w:val="000A7A13"/>
    <w:rsid w:val="000B057E"/>
    <w:rsid w:val="000B12E6"/>
    <w:rsid w:val="000B3616"/>
    <w:rsid w:val="000B5370"/>
    <w:rsid w:val="000B57F7"/>
    <w:rsid w:val="000B5C28"/>
    <w:rsid w:val="000B63B0"/>
    <w:rsid w:val="000B7B85"/>
    <w:rsid w:val="000C0F4D"/>
    <w:rsid w:val="000C1E7B"/>
    <w:rsid w:val="000C375A"/>
    <w:rsid w:val="000C3978"/>
    <w:rsid w:val="000C52EE"/>
    <w:rsid w:val="000C7581"/>
    <w:rsid w:val="000D2586"/>
    <w:rsid w:val="000D3BA7"/>
    <w:rsid w:val="000D602D"/>
    <w:rsid w:val="000E1472"/>
    <w:rsid w:val="000E5149"/>
    <w:rsid w:val="000E553A"/>
    <w:rsid w:val="000E70E8"/>
    <w:rsid w:val="000E73B3"/>
    <w:rsid w:val="000F463A"/>
    <w:rsid w:val="000F482C"/>
    <w:rsid w:val="000F560A"/>
    <w:rsid w:val="000F5CA8"/>
    <w:rsid w:val="000F5FA0"/>
    <w:rsid w:val="000F72E9"/>
    <w:rsid w:val="001009AD"/>
    <w:rsid w:val="00104B07"/>
    <w:rsid w:val="001053BD"/>
    <w:rsid w:val="00112C2B"/>
    <w:rsid w:val="001134A6"/>
    <w:rsid w:val="001134D8"/>
    <w:rsid w:val="001148AA"/>
    <w:rsid w:val="001151AE"/>
    <w:rsid w:val="0011528D"/>
    <w:rsid w:val="00115E0F"/>
    <w:rsid w:val="00116176"/>
    <w:rsid w:val="00116E39"/>
    <w:rsid w:val="001201ED"/>
    <w:rsid w:val="00121244"/>
    <w:rsid w:val="001216ED"/>
    <w:rsid w:val="0012210C"/>
    <w:rsid w:val="00122B53"/>
    <w:rsid w:val="00123936"/>
    <w:rsid w:val="0012398D"/>
    <w:rsid w:val="00125303"/>
    <w:rsid w:val="00125412"/>
    <w:rsid w:val="001276CC"/>
    <w:rsid w:val="001302E6"/>
    <w:rsid w:val="00131514"/>
    <w:rsid w:val="0013269B"/>
    <w:rsid w:val="00141512"/>
    <w:rsid w:val="00142B43"/>
    <w:rsid w:val="00145183"/>
    <w:rsid w:val="0014535E"/>
    <w:rsid w:val="00146123"/>
    <w:rsid w:val="001462B4"/>
    <w:rsid w:val="001468DB"/>
    <w:rsid w:val="00150489"/>
    <w:rsid w:val="0015097D"/>
    <w:rsid w:val="001509AE"/>
    <w:rsid w:val="0015134B"/>
    <w:rsid w:val="001531D9"/>
    <w:rsid w:val="00153EAF"/>
    <w:rsid w:val="00154EC5"/>
    <w:rsid w:val="001557F6"/>
    <w:rsid w:val="00156159"/>
    <w:rsid w:val="00157389"/>
    <w:rsid w:val="00157582"/>
    <w:rsid w:val="0016005B"/>
    <w:rsid w:val="00160E27"/>
    <w:rsid w:val="00161450"/>
    <w:rsid w:val="001633C6"/>
    <w:rsid w:val="00163A44"/>
    <w:rsid w:val="0016629F"/>
    <w:rsid w:val="00167524"/>
    <w:rsid w:val="001676E2"/>
    <w:rsid w:val="00170EA4"/>
    <w:rsid w:val="0017127D"/>
    <w:rsid w:val="00173963"/>
    <w:rsid w:val="0017469F"/>
    <w:rsid w:val="00174BF6"/>
    <w:rsid w:val="00177246"/>
    <w:rsid w:val="00180879"/>
    <w:rsid w:val="00183DC5"/>
    <w:rsid w:val="00184DAE"/>
    <w:rsid w:val="00185884"/>
    <w:rsid w:val="00185E74"/>
    <w:rsid w:val="00191C25"/>
    <w:rsid w:val="00194256"/>
    <w:rsid w:val="001959A2"/>
    <w:rsid w:val="001975CA"/>
    <w:rsid w:val="0019799F"/>
    <w:rsid w:val="001A04B7"/>
    <w:rsid w:val="001A19EA"/>
    <w:rsid w:val="001A1E94"/>
    <w:rsid w:val="001A23CC"/>
    <w:rsid w:val="001A445A"/>
    <w:rsid w:val="001A52FE"/>
    <w:rsid w:val="001A587A"/>
    <w:rsid w:val="001A6AEE"/>
    <w:rsid w:val="001A6ECC"/>
    <w:rsid w:val="001A71B6"/>
    <w:rsid w:val="001A728A"/>
    <w:rsid w:val="001B0DE2"/>
    <w:rsid w:val="001B1D29"/>
    <w:rsid w:val="001B423E"/>
    <w:rsid w:val="001B44AF"/>
    <w:rsid w:val="001B62F8"/>
    <w:rsid w:val="001B6321"/>
    <w:rsid w:val="001B645A"/>
    <w:rsid w:val="001B6772"/>
    <w:rsid w:val="001B6945"/>
    <w:rsid w:val="001C3B4B"/>
    <w:rsid w:val="001C5D99"/>
    <w:rsid w:val="001C72C9"/>
    <w:rsid w:val="001C7DE1"/>
    <w:rsid w:val="001D17BE"/>
    <w:rsid w:val="001D2236"/>
    <w:rsid w:val="001D2CA7"/>
    <w:rsid w:val="001D402A"/>
    <w:rsid w:val="001D434E"/>
    <w:rsid w:val="001D6310"/>
    <w:rsid w:val="001D662E"/>
    <w:rsid w:val="001E37A0"/>
    <w:rsid w:val="001E6315"/>
    <w:rsid w:val="001E6515"/>
    <w:rsid w:val="001F1532"/>
    <w:rsid w:val="001F678A"/>
    <w:rsid w:val="001F7499"/>
    <w:rsid w:val="001F7832"/>
    <w:rsid w:val="00200313"/>
    <w:rsid w:val="0020051A"/>
    <w:rsid w:val="00200DCF"/>
    <w:rsid w:val="002010B0"/>
    <w:rsid w:val="00201ABE"/>
    <w:rsid w:val="002026DD"/>
    <w:rsid w:val="00206FFA"/>
    <w:rsid w:val="0020732D"/>
    <w:rsid w:val="00210205"/>
    <w:rsid w:val="00213C02"/>
    <w:rsid w:val="00215563"/>
    <w:rsid w:val="00215603"/>
    <w:rsid w:val="002162AA"/>
    <w:rsid w:val="002170FF"/>
    <w:rsid w:val="00217435"/>
    <w:rsid w:val="002202B2"/>
    <w:rsid w:val="002215F2"/>
    <w:rsid w:val="00221A6C"/>
    <w:rsid w:val="00222B92"/>
    <w:rsid w:val="002234C6"/>
    <w:rsid w:val="00225DF6"/>
    <w:rsid w:val="00225E44"/>
    <w:rsid w:val="00226255"/>
    <w:rsid w:val="00227218"/>
    <w:rsid w:val="00230F82"/>
    <w:rsid w:val="00231A99"/>
    <w:rsid w:val="0023352B"/>
    <w:rsid w:val="00234656"/>
    <w:rsid w:val="002364B9"/>
    <w:rsid w:val="00237FCE"/>
    <w:rsid w:val="0024030F"/>
    <w:rsid w:val="002409DC"/>
    <w:rsid w:val="00240A68"/>
    <w:rsid w:val="00240EC0"/>
    <w:rsid w:val="00241501"/>
    <w:rsid w:val="00242E1F"/>
    <w:rsid w:val="0024343B"/>
    <w:rsid w:val="0024411C"/>
    <w:rsid w:val="00246D57"/>
    <w:rsid w:val="002477BB"/>
    <w:rsid w:val="00251789"/>
    <w:rsid w:val="00251AAB"/>
    <w:rsid w:val="0025273E"/>
    <w:rsid w:val="00252FEE"/>
    <w:rsid w:val="00253D5C"/>
    <w:rsid w:val="002555ED"/>
    <w:rsid w:val="00256AFF"/>
    <w:rsid w:val="00257340"/>
    <w:rsid w:val="002607FC"/>
    <w:rsid w:val="00261B5E"/>
    <w:rsid w:val="002640BD"/>
    <w:rsid w:val="0026426D"/>
    <w:rsid w:val="00265562"/>
    <w:rsid w:val="002665A0"/>
    <w:rsid w:val="00267281"/>
    <w:rsid w:val="0026785C"/>
    <w:rsid w:val="00270C8C"/>
    <w:rsid w:val="002715B9"/>
    <w:rsid w:val="00271B3D"/>
    <w:rsid w:val="002754ED"/>
    <w:rsid w:val="002769CA"/>
    <w:rsid w:val="00276AF3"/>
    <w:rsid w:val="00276EF1"/>
    <w:rsid w:val="002825BB"/>
    <w:rsid w:val="002833EE"/>
    <w:rsid w:val="002841DD"/>
    <w:rsid w:val="00284843"/>
    <w:rsid w:val="00285AA7"/>
    <w:rsid w:val="00285DEC"/>
    <w:rsid w:val="00285F2E"/>
    <w:rsid w:val="002874C2"/>
    <w:rsid w:val="00290218"/>
    <w:rsid w:val="00290357"/>
    <w:rsid w:val="0029063E"/>
    <w:rsid w:val="00291D34"/>
    <w:rsid w:val="00292A77"/>
    <w:rsid w:val="002938CE"/>
    <w:rsid w:val="00294874"/>
    <w:rsid w:val="0029530A"/>
    <w:rsid w:val="00297E7F"/>
    <w:rsid w:val="002A03FF"/>
    <w:rsid w:val="002A0DAD"/>
    <w:rsid w:val="002A4AAD"/>
    <w:rsid w:val="002A4D5B"/>
    <w:rsid w:val="002A6191"/>
    <w:rsid w:val="002B0064"/>
    <w:rsid w:val="002B0E29"/>
    <w:rsid w:val="002B37AE"/>
    <w:rsid w:val="002B41C8"/>
    <w:rsid w:val="002B79DC"/>
    <w:rsid w:val="002C121A"/>
    <w:rsid w:val="002C13D9"/>
    <w:rsid w:val="002C1D70"/>
    <w:rsid w:val="002C24A7"/>
    <w:rsid w:val="002D14CE"/>
    <w:rsid w:val="002D7495"/>
    <w:rsid w:val="002D76E6"/>
    <w:rsid w:val="002D7832"/>
    <w:rsid w:val="002D7B3D"/>
    <w:rsid w:val="002E017E"/>
    <w:rsid w:val="002E211B"/>
    <w:rsid w:val="002E32AD"/>
    <w:rsid w:val="002E337B"/>
    <w:rsid w:val="002E4C30"/>
    <w:rsid w:val="002E6411"/>
    <w:rsid w:val="002F15EB"/>
    <w:rsid w:val="002F3470"/>
    <w:rsid w:val="002F4734"/>
    <w:rsid w:val="002F5111"/>
    <w:rsid w:val="002F5E25"/>
    <w:rsid w:val="002F68FF"/>
    <w:rsid w:val="00300BF1"/>
    <w:rsid w:val="00301584"/>
    <w:rsid w:val="00302D58"/>
    <w:rsid w:val="00302E48"/>
    <w:rsid w:val="00304E78"/>
    <w:rsid w:val="0030795D"/>
    <w:rsid w:val="00307A4D"/>
    <w:rsid w:val="00311B12"/>
    <w:rsid w:val="00312800"/>
    <w:rsid w:val="00314FC0"/>
    <w:rsid w:val="0031509D"/>
    <w:rsid w:val="0031595F"/>
    <w:rsid w:val="00315BF0"/>
    <w:rsid w:val="00316E2B"/>
    <w:rsid w:val="00317234"/>
    <w:rsid w:val="00317F0C"/>
    <w:rsid w:val="00322BC9"/>
    <w:rsid w:val="00323A35"/>
    <w:rsid w:val="00323BDA"/>
    <w:rsid w:val="0033022B"/>
    <w:rsid w:val="003309E1"/>
    <w:rsid w:val="00332F48"/>
    <w:rsid w:val="00333393"/>
    <w:rsid w:val="00333681"/>
    <w:rsid w:val="003352B3"/>
    <w:rsid w:val="00340D20"/>
    <w:rsid w:val="003418F1"/>
    <w:rsid w:val="00341F66"/>
    <w:rsid w:val="00342321"/>
    <w:rsid w:val="00342772"/>
    <w:rsid w:val="003448E2"/>
    <w:rsid w:val="0034603D"/>
    <w:rsid w:val="003478A0"/>
    <w:rsid w:val="00350AE0"/>
    <w:rsid w:val="0035558E"/>
    <w:rsid w:val="00355C90"/>
    <w:rsid w:val="00357765"/>
    <w:rsid w:val="00361FA6"/>
    <w:rsid w:val="00363AD2"/>
    <w:rsid w:val="00363FF3"/>
    <w:rsid w:val="0036404F"/>
    <w:rsid w:val="00365DAA"/>
    <w:rsid w:val="0036737F"/>
    <w:rsid w:val="00370AA1"/>
    <w:rsid w:val="00370D77"/>
    <w:rsid w:val="00371F05"/>
    <w:rsid w:val="00373A08"/>
    <w:rsid w:val="00376651"/>
    <w:rsid w:val="00380D85"/>
    <w:rsid w:val="00382096"/>
    <w:rsid w:val="0038612F"/>
    <w:rsid w:val="00386274"/>
    <w:rsid w:val="00386B7C"/>
    <w:rsid w:val="003924FD"/>
    <w:rsid w:val="003930AA"/>
    <w:rsid w:val="0039322D"/>
    <w:rsid w:val="00393896"/>
    <w:rsid w:val="00395906"/>
    <w:rsid w:val="0039644E"/>
    <w:rsid w:val="003A17DF"/>
    <w:rsid w:val="003A17FB"/>
    <w:rsid w:val="003A1C91"/>
    <w:rsid w:val="003A1E07"/>
    <w:rsid w:val="003A2442"/>
    <w:rsid w:val="003A35CB"/>
    <w:rsid w:val="003A4567"/>
    <w:rsid w:val="003A5A8E"/>
    <w:rsid w:val="003B0543"/>
    <w:rsid w:val="003B228B"/>
    <w:rsid w:val="003B52D2"/>
    <w:rsid w:val="003B7833"/>
    <w:rsid w:val="003B7849"/>
    <w:rsid w:val="003C05F6"/>
    <w:rsid w:val="003C0E2F"/>
    <w:rsid w:val="003C0E9A"/>
    <w:rsid w:val="003C1CD1"/>
    <w:rsid w:val="003C515A"/>
    <w:rsid w:val="003C5CA3"/>
    <w:rsid w:val="003D05FE"/>
    <w:rsid w:val="003D07C2"/>
    <w:rsid w:val="003D161D"/>
    <w:rsid w:val="003D6B7B"/>
    <w:rsid w:val="003D787C"/>
    <w:rsid w:val="003E16A4"/>
    <w:rsid w:val="003E22AB"/>
    <w:rsid w:val="003E48A8"/>
    <w:rsid w:val="003E505D"/>
    <w:rsid w:val="003E5093"/>
    <w:rsid w:val="003E69D7"/>
    <w:rsid w:val="003E7DBE"/>
    <w:rsid w:val="003F092D"/>
    <w:rsid w:val="003F3D26"/>
    <w:rsid w:val="003F5A70"/>
    <w:rsid w:val="003F5B39"/>
    <w:rsid w:val="003F6244"/>
    <w:rsid w:val="003F700F"/>
    <w:rsid w:val="003F7A8E"/>
    <w:rsid w:val="004001E7"/>
    <w:rsid w:val="004002C1"/>
    <w:rsid w:val="00403CA4"/>
    <w:rsid w:val="00404DFD"/>
    <w:rsid w:val="00410479"/>
    <w:rsid w:val="00411A3F"/>
    <w:rsid w:val="00411B8B"/>
    <w:rsid w:val="00414ADB"/>
    <w:rsid w:val="00414CAE"/>
    <w:rsid w:val="00416542"/>
    <w:rsid w:val="00417B0D"/>
    <w:rsid w:val="004206A6"/>
    <w:rsid w:val="0042160C"/>
    <w:rsid w:val="00421B1A"/>
    <w:rsid w:val="0042284C"/>
    <w:rsid w:val="00425269"/>
    <w:rsid w:val="00430E4A"/>
    <w:rsid w:val="0043257B"/>
    <w:rsid w:val="00436A7D"/>
    <w:rsid w:val="00437773"/>
    <w:rsid w:val="00437C86"/>
    <w:rsid w:val="00440CD1"/>
    <w:rsid w:val="00442786"/>
    <w:rsid w:val="00445EF1"/>
    <w:rsid w:val="00445FFA"/>
    <w:rsid w:val="00447632"/>
    <w:rsid w:val="00447E9B"/>
    <w:rsid w:val="004528CD"/>
    <w:rsid w:val="004530E1"/>
    <w:rsid w:val="00453352"/>
    <w:rsid w:val="00454307"/>
    <w:rsid w:val="0045708C"/>
    <w:rsid w:val="00460E69"/>
    <w:rsid w:val="00461452"/>
    <w:rsid w:val="00461C8C"/>
    <w:rsid w:val="0046249D"/>
    <w:rsid w:val="004655CC"/>
    <w:rsid w:val="00465A7E"/>
    <w:rsid w:val="00465CA2"/>
    <w:rsid w:val="0046637E"/>
    <w:rsid w:val="00470A9A"/>
    <w:rsid w:val="004722A1"/>
    <w:rsid w:val="00472322"/>
    <w:rsid w:val="00475018"/>
    <w:rsid w:val="0047643B"/>
    <w:rsid w:val="00476B1E"/>
    <w:rsid w:val="00476CC6"/>
    <w:rsid w:val="00477932"/>
    <w:rsid w:val="00486048"/>
    <w:rsid w:val="004943B8"/>
    <w:rsid w:val="0049509B"/>
    <w:rsid w:val="004952C9"/>
    <w:rsid w:val="00495825"/>
    <w:rsid w:val="00496492"/>
    <w:rsid w:val="00497C17"/>
    <w:rsid w:val="004A0038"/>
    <w:rsid w:val="004A2EF9"/>
    <w:rsid w:val="004A357A"/>
    <w:rsid w:val="004A39F5"/>
    <w:rsid w:val="004A56EC"/>
    <w:rsid w:val="004A6FAA"/>
    <w:rsid w:val="004B1B5C"/>
    <w:rsid w:val="004B2E20"/>
    <w:rsid w:val="004B3833"/>
    <w:rsid w:val="004B405F"/>
    <w:rsid w:val="004B4DF6"/>
    <w:rsid w:val="004B535E"/>
    <w:rsid w:val="004C1B72"/>
    <w:rsid w:val="004C2240"/>
    <w:rsid w:val="004C4AAE"/>
    <w:rsid w:val="004C5A0D"/>
    <w:rsid w:val="004C5C09"/>
    <w:rsid w:val="004D0003"/>
    <w:rsid w:val="004D2BD1"/>
    <w:rsid w:val="004D434E"/>
    <w:rsid w:val="004D7012"/>
    <w:rsid w:val="004D7A07"/>
    <w:rsid w:val="004D7B49"/>
    <w:rsid w:val="004E1A23"/>
    <w:rsid w:val="004E38A2"/>
    <w:rsid w:val="004E4001"/>
    <w:rsid w:val="004E5B06"/>
    <w:rsid w:val="004E6BE4"/>
    <w:rsid w:val="004F1B64"/>
    <w:rsid w:val="004F2329"/>
    <w:rsid w:val="004F26D3"/>
    <w:rsid w:val="004F2AC6"/>
    <w:rsid w:val="004F6A8B"/>
    <w:rsid w:val="004F7C8A"/>
    <w:rsid w:val="005015AD"/>
    <w:rsid w:val="00502966"/>
    <w:rsid w:val="00503302"/>
    <w:rsid w:val="005035A4"/>
    <w:rsid w:val="005039B9"/>
    <w:rsid w:val="00503B1E"/>
    <w:rsid w:val="00504597"/>
    <w:rsid w:val="00505482"/>
    <w:rsid w:val="0050581A"/>
    <w:rsid w:val="00506AF6"/>
    <w:rsid w:val="005110F2"/>
    <w:rsid w:val="00511CE6"/>
    <w:rsid w:val="005124A4"/>
    <w:rsid w:val="00516C17"/>
    <w:rsid w:val="00522544"/>
    <w:rsid w:val="00522598"/>
    <w:rsid w:val="00522EDF"/>
    <w:rsid w:val="005246A1"/>
    <w:rsid w:val="005255A3"/>
    <w:rsid w:val="00526BDF"/>
    <w:rsid w:val="005314A5"/>
    <w:rsid w:val="00531716"/>
    <w:rsid w:val="005327D8"/>
    <w:rsid w:val="0053295A"/>
    <w:rsid w:val="00532F71"/>
    <w:rsid w:val="00533393"/>
    <w:rsid w:val="00533F58"/>
    <w:rsid w:val="00536D6D"/>
    <w:rsid w:val="00545DB5"/>
    <w:rsid w:val="00546B78"/>
    <w:rsid w:val="00547B43"/>
    <w:rsid w:val="005522FD"/>
    <w:rsid w:val="0055344D"/>
    <w:rsid w:val="005537E3"/>
    <w:rsid w:val="0055491C"/>
    <w:rsid w:val="00555BFB"/>
    <w:rsid w:val="00555D43"/>
    <w:rsid w:val="00556E6A"/>
    <w:rsid w:val="0056476B"/>
    <w:rsid w:val="005656C6"/>
    <w:rsid w:val="0056605E"/>
    <w:rsid w:val="005744E1"/>
    <w:rsid w:val="00575EB7"/>
    <w:rsid w:val="005800A7"/>
    <w:rsid w:val="005818A4"/>
    <w:rsid w:val="005819F0"/>
    <w:rsid w:val="00584824"/>
    <w:rsid w:val="00587A7D"/>
    <w:rsid w:val="005958F6"/>
    <w:rsid w:val="00595CDB"/>
    <w:rsid w:val="005A2567"/>
    <w:rsid w:val="005A2B7E"/>
    <w:rsid w:val="005A4309"/>
    <w:rsid w:val="005A5328"/>
    <w:rsid w:val="005A6E2D"/>
    <w:rsid w:val="005A739C"/>
    <w:rsid w:val="005B0415"/>
    <w:rsid w:val="005B098E"/>
    <w:rsid w:val="005B1002"/>
    <w:rsid w:val="005B3561"/>
    <w:rsid w:val="005B4039"/>
    <w:rsid w:val="005B7495"/>
    <w:rsid w:val="005C1610"/>
    <w:rsid w:val="005C22DA"/>
    <w:rsid w:val="005C302E"/>
    <w:rsid w:val="005C4064"/>
    <w:rsid w:val="005C5357"/>
    <w:rsid w:val="005C5DF3"/>
    <w:rsid w:val="005C6039"/>
    <w:rsid w:val="005C65E6"/>
    <w:rsid w:val="005C70F9"/>
    <w:rsid w:val="005C7212"/>
    <w:rsid w:val="005D0427"/>
    <w:rsid w:val="005D04A6"/>
    <w:rsid w:val="005D1052"/>
    <w:rsid w:val="005D212E"/>
    <w:rsid w:val="005D2396"/>
    <w:rsid w:val="005D2618"/>
    <w:rsid w:val="005D48F5"/>
    <w:rsid w:val="005D5FD6"/>
    <w:rsid w:val="005E0114"/>
    <w:rsid w:val="005E053B"/>
    <w:rsid w:val="005E0BDB"/>
    <w:rsid w:val="005E1E70"/>
    <w:rsid w:val="005E52E0"/>
    <w:rsid w:val="005E652B"/>
    <w:rsid w:val="005F045F"/>
    <w:rsid w:val="005F0CAC"/>
    <w:rsid w:val="005F175D"/>
    <w:rsid w:val="005F2C44"/>
    <w:rsid w:val="005F35D0"/>
    <w:rsid w:val="005F385C"/>
    <w:rsid w:val="005F4347"/>
    <w:rsid w:val="005F47CE"/>
    <w:rsid w:val="005F4B91"/>
    <w:rsid w:val="00601415"/>
    <w:rsid w:val="006066EF"/>
    <w:rsid w:val="0060731F"/>
    <w:rsid w:val="00613B47"/>
    <w:rsid w:val="00613FDE"/>
    <w:rsid w:val="006147CB"/>
    <w:rsid w:val="006152D3"/>
    <w:rsid w:val="00620319"/>
    <w:rsid w:val="00622236"/>
    <w:rsid w:val="00622327"/>
    <w:rsid w:val="006249E7"/>
    <w:rsid w:val="00625FC1"/>
    <w:rsid w:val="00626089"/>
    <w:rsid w:val="006264D4"/>
    <w:rsid w:val="00626B77"/>
    <w:rsid w:val="00626DC9"/>
    <w:rsid w:val="00630790"/>
    <w:rsid w:val="00632581"/>
    <w:rsid w:val="00632691"/>
    <w:rsid w:val="00635FBA"/>
    <w:rsid w:val="00636459"/>
    <w:rsid w:val="00637139"/>
    <w:rsid w:val="006400B4"/>
    <w:rsid w:val="0064092B"/>
    <w:rsid w:val="00641E8D"/>
    <w:rsid w:val="00642A01"/>
    <w:rsid w:val="00643D21"/>
    <w:rsid w:val="006448F6"/>
    <w:rsid w:val="00645654"/>
    <w:rsid w:val="00645B4B"/>
    <w:rsid w:val="006502B1"/>
    <w:rsid w:val="00650BA3"/>
    <w:rsid w:val="00653D26"/>
    <w:rsid w:val="0065537F"/>
    <w:rsid w:val="00665857"/>
    <w:rsid w:val="006664B1"/>
    <w:rsid w:val="00666CDA"/>
    <w:rsid w:val="00666E88"/>
    <w:rsid w:val="006670C3"/>
    <w:rsid w:val="006673D8"/>
    <w:rsid w:val="00667787"/>
    <w:rsid w:val="006701FE"/>
    <w:rsid w:val="00670432"/>
    <w:rsid w:val="00673E41"/>
    <w:rsid w:val="00674447"/>
    <w:rsid w:val="006760A9"/>
    <w:rsid w:val="0067660B"/>
    <w:rsid w:val="00677316"/>
    <w:rsid w:val="00681EE4"/>
    <w:rsid w:val="00684C64"/>
    <w:rsid w:val="006904D7"/>
    <w:rsid w:val="00690A1F"/>
    <w:rsid w:val="00691A81"/>
    <w:rsid w:val="00692F2F"/>
    <w:rsid w:val="006937C9"/>
    <w:rsid w:val="006952B2"/>
    <w:rsid w:val="00695CD7"/>
    <w:rsid w:val="006972B9"/>
    <w:rsid w:val="00697CD3"/>
    <w:rsid w:val="006A068A"/>
    <w:rsid w:val="006A155E"/>
    <w:rsid w:val="006A2237"/>
    <w:rsid w:val="006A31F3"/>
    <w:rsid w:val="006A4090"/>
    <w:rsid w:val="006A4585"/>
    <w:rsid w:val="006A461B"/>
    <w:rsid w:val="006A46B6"/>
    <w:rsid w:val="006A612A"/>
    <w:rsid w:val="006A784E"/>
    <w:rsid w:val="006A7D16"/>
    <w:rsid w:val="006B00B7"/>
    <w:rsid w:val="006B0A4C"/>
    <w:rsid w:val="006B0E13"/>
    <w:rsid w:val="006B1F3A"/>
    <w:rsid w:val="006B2A44"/>
    <w:rsid w:val="006B31F7"/>
    <w:rsid w:val="006B3E78"/>
    <w:rsid w:val="006B65F7"/>
    <w:rsid w:val="006B6730"/>
    <w:rsid w:val="006C07DC"/>
    <w:rsid w:val="006C1BB3"/>
    <w:rsid w:val="006C1C82"/>
    <w:rsid w:val="006C4165"/>
    <w:rsid w:val="006C46ED"/>
    <w:rsid w:val="006C4BFE"/>
    <w:rsid w:val="006C5193"/>
    <w:rsid w:val="006C5381"/>
    <w:rsid w:val="006C6DBC"/>
    <w:rsid w:val="006C7170"/>
    <w:rsid w:val="006C78FE"/>
    <w:rsid w:val="006C7BC9"/>
    <w:rsid w:val="006D0437"/>
    <w:rsid w:val="006D0816"/>
    <w:rsid w:val="006D3A30"/>
    <w:rsid w:val="006D49D5"/>
    <w:rsid w:val="006D74A8"/>
    <w:rsid w:val="006E0742"/>
    <w:rsid w:val="006E1B11"/>
    <w:rsid w:val="006E21A9"/>
    <w:rsid w:val="006E4BE2"/>
    <w:rsid w:val="006E5EA6"/>
    <w:rsid w:val="006E70B4"/>
    <w:rsid w:val="006E7780"/>
    <w:rsid w:val="006E78FC"/>
    <w:rsid w:val="006F03F6"/>
    <w:rsid w:val="006F273A"/>
    <w:rsid w:val="006F3D7E"/>
    <w:rsid w:val="006F3D82"/>
    <w:rsid w:val="006F7B6D"/>
    <w:rsid w:val="006F7BE5"/>
    <w:rsid w:val="00700B31"/>
    <w:rsid w:val="00701E08"/>
    <w:rsid w:val="00702926"/>
    <w:rsid w:val="00702985"/>
    <w:rsid w:val="00702A83"/>
    <w:rsid w:val="007052EE"/>
    <w:rsid w:val="00711239"/>
    <w:rsid w:val="00712332"/>
    <w:rsid w:val="00712681"/>
    <w:rsid w:val="00712922"/>
    <w:rsid w:val="00715613"/>
    <w:rsid w:val="00715A65"/>
    <w:rsid w:val="00715D1C"/>
    <w:rsid w:val="00716B7F"/>
    <w:rsid w:val="00717F64"/>
    <w:rsid w:val="007208BE"/>
    <w:rsid w:val="00721492"/>
    <w:rsid w:val="00722370"/>
    <w:rsid w:val="00722C14"/>
    <w:rsid w:val="0072330F"/>
    <w:rsid w:val="00723523"/>
    <w:rsid w:val="007241AA"/>
    <w:rsid w:val="00724F46"/>
    <w:rsid w:val="00725904"/>
    <w:rsid w:val="00725CC6"/>
    <w:rsid w:val="00727E57"/>
    <w:rsid w:val="007302A0"/>
    <w:rsid w:val="00733BAC"/>
    <w:rsid w:val="00734D85"/>
    <w:rsid w:val="007354CF"/>
    <w:rsid w:val="007357F8"/>
    <w:rsid w:val="00735E8E"/>
    <w:rsid w:val="0073652C"/>
    <w:rsid w:val="00740F63"/>
    <w:rsid w:val="0074177A"/>
    <w:rsid w:val="00741C0A"/>
    <w:rsid w:val="0074284E"/>
    <w:rsid w:val="00742D53"/>
    <w:rsid w:val="00743207"/>
    <w:rsid w:val="00744E83"/>
    <w:rsid w:val="007475CB"/>
    <w:rsid w:val="00747A07"/>
    <w:rsid w:val="00750BF5"/>
    <w:rsid w:val="007515DE"/>
    <w:rsid w:val="00755DEC"/>
    <w:rsid w:val="0075655A"/>
    <w:rsid w:val="007571BE"/>
    <w:rsid w:val="007603CB"/>
    <w:rsid w:val="00760DB3"/>
    <w:rsid w:val="00763555"/>
    <w:rsid w:val="00765408"/>
    <w:rsid w:val="00765DAA"/>
    <w:rsid w:val="00765DC9"/>
    <w:rsid w:val="0076667E"/>
    <w:rsid w:val="00766F5B"/>
    <w:rsid w:val="00767F69"/>
    <w:rsid w:val="0077604B"/>
    <w:rsid w:val="00776F99"/>
    <w:rsid w:val="007777A2"/>
    <w:rsid w:val="00777D35"/>
    <w:rsid w:val="00780129"/>
    <w:rsid w:val="007825C2"/>
    <w:rsid w:val="007831AE"/>
    <w:rsid w:val="007832A4"/>
    <w:rsid w:val="00784374"/>
    <w:rsid w:val="00784F6A"/>
    <w:rsid w:val="0078588C"/>
    <w:rsid w:val="00785B35"/>
    <w:rsid w:val="007870D6"/>
    <w:rsid w:val="00790883"/>
    <w:rsid w:val="007916D7"/>
    <w:rsid w:val="007925D4"/>
    <w:rsid w:val="0079401D"/>
    <w:rsid w:val="00795BB6"/>
    <w:rsid w:val="007A071D"/>
    <w:rsid w:val="007A1871"/>
    <w:rsid w:val="007A22EB"/>
    <w:rsid w:val="007A258C"/>
    <w:rsid w:val="007A3C9B"/>
    <w:rsid w:val="007A70EC"/>
    <w:rsid w:val="007B0097"/>
    <w:rsid w:val="007B1442"/>
    <w:rsid w:val="007B1537"/>
    <w:rsid w:val="007B2405"/>
    <w:rsid w:val="007B37F2"/>
    <w:rsid w:val="007B62B1"/>
    <w:rsid w:val="007B6B45"/>
    <w:rsid w:val="007B7788"/>
    <w:rsid w:val="007B796B"/>
    <w:rsid w:val="007B7FEF"/>
    <w:rsid w:val="007C092D"/>
    <w:rsid w:val="007C64C2"/>
    <w:rsid w:val="007D1C01"/>
    <w:rsid w:val="007D3574"/>
    <w:rsid w:val="007D3C8F"/>
    <w:rsid w:val="007D4C00"/>
    <w:rsid w:val="007D5B9B"/>
    <w:rsid w:val="007D7079"/>
    <w:rsid w:val="007E0C62"/>
    <w:rsid w:val="007E1759"/>
    <w:rsid w:val="007E212A"/>
    <w:rsid w:val="007E30C9"/>
    <w:rsid w:val="007E47EF"/>
    <w:rsid w:val="007E6A49"/>
    <w:rsid w:val="007E6ECA"/>
    <w:rsid w:val="007E7C99"/>
    <w:rsid w:val="007F1FA8"/>
    <w:rsid w:val="007F223B"/>
    <w:rsid w:val="007F2D48"/>
    <w:rsid w:val="007F32A9"/>
    <w:rsid w:val="007F5807"/>
    <w:rsid w:val="00803153"/>
    <w:rsid w:val="008036B5"/>
    <w:rsid w:val="00804B56"/>
    <w:rsid w:val="00804DCB"/>
    <w:rsid w:val="00813823"/>
    <w:rsid w:val="00813A47"/>
    <w:rsid w:val="0081475C"/>
    <w:rsid w:val="008169DF"/>
    <w:rsid w:val="00817489"/>
    <w:rsid w:val="00820B44"/>
    <w:rsid w:val="008217BD"/>
    <w:rsid w:val="00821D81"/>
    <w:rsid w:val="00822E1C"/>
    <w:rsid w:val="00822E99"/>
    <w:rsid w:val="00823716"/>
    <w:rsid w:val="008304E8"/>
    <w:rsid w:val="00830FAE"/>
    <w:rsid w:val="00831908"/>
    <w:rsid w:val="008323AE"/>
    <w:rsid w:val="00834CC1"/>
    <w:rsid w:val="00836CA6"/>
    <w:rsid w:val="0084063C"/>
    <w:rsid w:val="0084126B"/>
    <w:rsid w:val="0084184E"/>
    <w:rsid w:val="0084234D"/>
    <w:rsid w:val="00843764"/>
    <w:rsid w:val="00844140"/>
    <w:rsid w:val="00845A9A"/>
    <w:rsid w:val="00845F00"/>
    <w:rsid w:val="0084617D"/>
    <w:rsid w:val="00846588"/>
    <w:rsid w:val="00847819"/>
    <w:rsid w:val="00851299"/>
    <w:rsid w:val="00853226"/>
    <w:rsid w:val="00853594"/>
    <w:rsid w:val="008627E7"/>
    <w:rsid w:val="008643A4"/>
    <w:rsid w:val="0086484B"/>
    <w:rsid w:val="00865C63"/>
    <w:rsid w:val="00866CC9"/>
    <w:rsid w:val="00867728"/>
    <w:rsid w:val="00872624"/>
    <w:rsid w:val="00872BE4"/>
    <w:rsid w:val="00874986"/>
    <w:rsid w:val="00875AD0"/>
    <w:rsid w:val="00877A5A"/>
    <w:rsid w:val="0088220E"/>
    <w:rsid w:val="00882D40"/>
    <w:rsid w:val="0088595E"/>
    <w:rsid w:val="00885BB9"/>
    <w:rsid w:val="008874F7"/>
    <w:rsid w:val="0088760E"/>
    <w:rsid w:val="00895469"/>
    <w:rsid w:val="008973D0"/>
    <w:rsid w:val="008A3B08"/>
    <w:rsid w:val="008A5986"/>
    <w:rsid w:val="008A65AE"/>
    <w:rsid w:val="008B058C"/>
    <w:rsid w:val="008B18EC"/>
    <w:rsid w:val="008B19AB"/>
    <w:rsid w:val="008B1F65"/>
    <w:rsid w:val="008B2174"/>
    <w:rsid w:val="008B33B6"/>
    <w:rsid w:val="008B72D9"/>
    <w:rsid w:val="008B7C43"/>
    <w:rsid w:val="008C3513"/>
    <w:rsid w:val="008C3DF5"/>
    <w:rsid w:val="008C5BCD"/>
    <w:rsid w:val="008C6D34"/>
    <w:rsid w:val="008C73DC"/>
    <w:rsid w:val="008C7639"/>
    <w:rsid w:val="008D311A"/>
    <w:rsid w:val="008D5705"/>
    <w:rsid w:val="008E377F"/>
    <w:rsid w:val="008E549D"/>
    <w:rsid w:val="008E6168"/>
    <w:rsid w:val="008E6300"/>
    <w:rsid w:val="008F18E4"/>
    <w:rsid w:val="008F191A"/>
    <w:rsid w:val="008F2F57"/>
    <w:rsid w:val="008F35C3"/>
    <w:rsid w:val="008F3C81"/>
    <w:rsid w:val="008F4615"/>
    <w:rsid w:val="008F5CCC"/>
    <w:rsid w:val="008F76CC"/>
    <w:rsid w:val="008F7A3C"/>
    <w:rsid w:val="00901195"/>
    <w:rsid w:val="0090374D"/>
    <w:rsid w:val="009049A5"/>
    <w:rsid w:val="00906189"/>
    <w:rsid w:val="009062E7"/>
    <w:rsid w:val="0091243A"/>
    <w:rsid w:val="00912A76"/>
    <w:rsid w:val="00914A53"/>
    <w:rsid w:val="00914BF5"/>
    <w:rsid w:val="00914DAD"/>
    <w:rsid w:val="009177C7"/>
    <w:rsid w:val="00920642"/>
    <w:rsid w:val="0092151B"/>
    <w:rsid w:val="009220A7"/>
    <w:rsid w:val="00923356"/>
    <w:rsid w:val="0092379C"/>
    <w:rsid w:val="00924F8D"/>
    <w:rsid w:val="0092587E"/>
    <w:rsid w:val="009259C9"/>
    <w:rsid w:val="00927141"/>
    <w:rsid w:val="009274F0"/>
    <w:rsid w:val="00927CEB"/>
    <w:rsid w:val="00927E1C"/>
    <w:rsid w:val="009303B8"/>
    <w:rsid w:val="00931841"/>
    <w:rsid w:val="00932F9C"/>
    <w:rsid w:val="00933346"/>
    <w:rsid w:val="00934161"/>
    <w:rsid w:val="009348A7"/>
    <w:rsid w:val="009418E5"/>
    <w:rsid w:val="00942078"/>
    <w:rsid w:val="0094218E"/>
    <w:rsid w:val="00943274"/>
    <w:rsid w:val="0094457F"/>
    <w:rsid w:val="009451F4"/>
    <w:rsid w:val="00945D28"/>
    <w:rsid w:val="009464B4"/>
    <w:rsid w:val="00950186"/>
    <w:rsid w:val="0095079E"/>
    <w:rsid w:val="009508B2"/>
    <w:rsid w:val="009516E1"/>
    <w:rsid w:val="00952140"/>
    <w:rsid w:val="00954E15"/>
    <w:rsid w:val="00955AF5"/>
    <w:rsid w:val="00960AAB"/>
    <w:rsid w:val="00960B1E"/>
    <w:rsid w:val="00961112"/>
    <w:rsid w:val="00961F94"/>
    <w:rsid w:val="00962060"/>
    <w:rsid w:val="00964EFB"/>
    <w:rsid w:val="009658B1"/>
    <w:rsid w:val="00966640"/>
    <w:rsid w:val="00966792"/>
    <w:rsid w:val="009668D6"/>
    <w:rsid w:val="00970778"/>
    <w:rsid w:val="00974677"/>
    <w:rsid w:val="00975178"/>
    <w:rsid w:val="00977605"/>
    <w:rsid w:val="00977FE2"/>
    <w:rsid w:val="00980D93"/>
    <w:rsid w:val="009822FF"/>
    <w:rsid w:val="00984508"/>
    <w:rsid w:val="009862D5"/>
    <w:rsid w:val="00987E9C"/>
    <w:rsid w:val="009911B9"/>
    <w:rsid w:val="00991F11"/>
    <w:rsid w:val="00992C3A"/>
    <w:rsid w:val="0099335D"/>
    <w:rsid w:val="00993494"/>
    <w:rsid w:val="00994B39"/>
    <w:rsid w:val="00996DA8"/>
    <w:rsid w:val="009A2EDD"/>
    <w:rsid w:val="009A448F"/>
    <w:rsid w:val="009A5911"/>
    <w:rsid w:val="009A5AD0"/>
    <w:rsid w:val="009B26CB"/>
    <w:rsid w:val="009B3C4C"/>
    <w:rsid w:val="009B7D75"/>
    <w:rsid w:val="009C011D"/>
    <w:rsid w:val="009C0C34"/>
    <w:rsid w:val="009C27DD"/>
    <w:rsid w:val="009C399A"/>
    <w:rsid w:val="009C39B9"/>
    <w:rsid w:val="009C3AC9"/>
    <w:rsid w:val="009C4B8C"/>
    <w:rsid w:val="009C4D7B"/>
    <w:rsid w:val="009C7680"/>
    <w:rsid w:val="009D29B9"/>
    <w:rsid w:val="009D3119"/>
    <w:rsid w:val="009D3A99"/>
    <w:rsid w:val="009D3ED7"/>
    <w:rsid w:val="009D420D"/>
    <w:rsid w:val="009D4C79"/>
    <w:rsid w:val="009D5EA3"/>
    <w:rsid w:val="009D5FE9"/>
    <w:rsid w:val="009D7698"/>
    <w:rsid w:val="009D7A21"/>
    <w:rsid w:val="009D7B29"/>
    <w:rsid w:val="009E15A9"/>
    <w:rsid w:val="009E4B5D"/>
    <w:rsid w:val="009E5482"/>
    <w:rsid w:val="009E5732"/>
    <w:rsid w:val="009E5D67"/>
    <w:rsid w:val="009E5EA3"/>
    <w:rsid w:val="009F2CE6"/>
    <w:rsid w:val="009F40B7"/>
    <w:rsid w:val="00A00828"/>
    <w:rsid w:val="00A0394C"/>
    <w:rsid w:val="00A03A98"/>
    <w:rsid w:val="00A03B96"/>
    <w:rsid w:val="00A03D71"/>
    <w:rsid w:val="00A12CD2"/>
    <w:rsid w:val="00A14175"/>
    <w:rsid w:val="00A15818"/>
    <w:rsid w:val="00A169F6"/>
    <w:rsid w:val="00A17E31"/>
    <w:rsid w:val="00A20E67"/>
    <w:rsid w:val="00A21919"/>
    <w:rsid w:val="00A22ADE"/>
    <w:rsid w:val="00A2405A"/>
    <w:rsid w:val="00A25998"/>
    <w:rsid w:val="00A30E9B"/>
    <w:rsid w:val="00A33C54"/>
    <w:rsid w:val="00A347C4"/>
    <w:rsid w:val="00A35220"/>
    <w:rsid w:val="00A35D2D"/>
    <w:rsid w:val="00A405DF"/>
    <w:rsid w:val="00A4102E"/>
    <w:rsid w:val="00A41348"/>
    <w:rsid w:val="00A43DAF"/>
    <w:rsid w:val="00A47EAD"/>
    <w:rsid w:val="00A54F1E"/>
    <w:rsid w:val="00A550E5"/>
    <w:rsid w:val="00A556DF"/>
    <w:rsid w:val="00A55DB6"/>
    <w:rsid w:val="00A57A20"/>
    <w:rsid w:val="00A57F57"/>
    <w:rsid w:val="00A6113D"/>
    <w:rsid w:val="00A62B01"/>
    <w:rsid w:val="00A64A49"/>
    <w:rsid w:val="00A6729C"/>
    <w:rsid w:val="00A72792"/>
    <w:rsid w:val="00A72CB3"/>
    <w:rsid w:val="00A74A22"/>
    <w:rsid w:val="00A76F6B"/>
    <w:rsid w:val="00A80134"/>
    <w:rsid w:val="00A82CD2"/>
    <w:rsid w:val="00A858D3"/>
    <w:rsid w:val="00A85FBB"/>
    <w:rsid w:val="00A86E13"/>
    <w:rsid w:val="00A8781B"/>
    <w:rsid w:val="00A87CA6"/>
    <w:rsid w:val="00A929F4"/>
    <w:rsid w:val="00A94803"/>
    <w:rsid w:val="00A9493E"/>
    <w:rsid w:val="00A968A5"/>
    <w:rsid w:val="00A97406"/>
    <w:rsid w:val="00A97A92"/>
    <w:rsid w:val="00AA0662"/>
    <w:rsid w:val="00AA120C"/>
    <w:rsid w:val="00AA167C"/>
    <w:rsid w:val="00AA186A"/>
    <w:rsid w:val="00AA1BA0"/>
    <w:rsid w:val="00AA341A"/>
    <w:rsid w:val="00AA3C51"/>
    <w:rsid w:val="00AA5D3E"/>
    <w:rsid w:val="00AA65DC"/>
    <w:rsid w:val="00AA6714"/>
    <w:rsid w:val="00AA6E52"/>
    <w:rsid w:val="00AB043B"/>
    <w:rsid w:val="00AB1701"/>
    <w:rsid w:val="00AB1BF0"/>
    <w:rsid w:val="00AB2177"/>
    <w:rsid w:val="00AB2C4B"/>
    <w:rsid w:val="00AB4151"/>
    <w:rsid w:val="00AB4CD8"/>
    <w:rsid w:val="00AB4DC3"/>
    <w:rsid w:val="00AB632E"/>
    <w:rsid w:val="00AB6CA4"/>
    <w:rsid w:val="00AB7161"/>
    <w:rsid w:val="00AB77DF"/>
    <w:rsid w:val="00AB7968"/>
    <w:rsid w:val="00AB7A10"/>
    <w:rsid w:val="00AC0416"/>
    <w:rsid w:val="00AC1EE8"/>
    <w:rsid w:val="00AC2F5F"/>
    <w:rsid w:val="00AC4924"/>
    <w:rsid w:val="00AC5644"/>
    <w:rsid w:val="00AC7DD8"/>
    <w:rsid w:val="00AD0858"/>
    <w:rsid w:val="00AD0B37"/>
    <w:rsid w:val="00AD1DC0"/>
    <w:rsid w:val="00AD246A"/>
    <w:rsid w:val="00AD29BF"/>
    <w:rsid w:val="00AD4EE8"/>
    <w:rsid w:val="00AD5170"/>
    <w:rsid w:val="00AD5DEC"/>
    <w:rsid w:val="00AD6B3D"/>
    <w:rsid w:val="00AD7963"/>
    <w:rsid w:val="00AE04C8"/>
    <w:rsid w:val="00AE3606"/>
    <w:rsid w:val="00AE4EF1"/>
    <w:rsid w:val="00AE5A94"/>
    <w:rsid w:val="00AE6152"/>
    <w:rsid w:val="00AE64B3"/>
    <w:rsid w:val="00AE6D2D"/>
    <w:rsid w:val="00AF0700"/>
    <w:rsid w:val="00AF4CA3"/>
    <w:rsid w:val="00AF5CD8"/>
    <w:rsid w:val="00AF7C4F"/>
    <w:rsid w:val="00B00F90"/>
    <w:rsid w:val="00B03C54"/>
    <w:rsid w:val="00B056C9"/>
    <w:rsid w:val="00B06C36"/>
    <w:rsid w:val="00B06EE8"/>
    <w:rsid w:val="00B124EF"/>
    <w:rsid w:val="00B12AD1"/>
    <w:rsid w:val="00B13339"/>
    <w:rsid w:val="00B13DFD"/>
    <w:rsid w:val="00B14D56"/>
    <w:rsid w:val="00B1777B"/>
    <w:rsid w:val="00B178FD"/>
    <w:rsid w:val="00B17AD0"/>
    <w:rsid w:val="00B17AD3"/>
    <w:rsid w:val="00B22A32"/>
    <w:rsid w:val="00B23FD0"/>
    <w:rsid w:val="00B2464A"/>
    <w:rsid w:val="00B25329"/>
    <w:rsid w:val="00B26264"/>
    <w:rsid w:val="00B2796B"/>
    <w:rsid w:val="00B30DBB"/>
    <w:rsid w:val="00B31421"/>
    <w:rsid w:val="00B33668"/>
    <w:rsid w:val="00B34117"/>
    <w:rsid w:val="00B37A10"/>
    <w:rsid w:val="00B4061A"/>
    <w:rsid w:val="00B40CF4"/>
    <w:rsid w:val="00B40DBF"/>
    <w:rsid w:val="00B425A8"/>
    <w:rsid w:val="00B435D3"/>
    <w:rsid w:val="00B45143"/>
    <w:rsid w:val="00B47246"/>
    <w:rsid w:val="00B50E3D"/>
    <w:rsid w:val="00B50F68"/>
    <w:rsid w:val="00B51F5F"/>
    <w:rsid w:val="00B5473A"/>
    <w:rsid w:val="00B573AA"/>
    <w:rsid w:val="00B573C5"/>
    <w:rsid w:val="00B57683"/>
    <w:rsid w:val="00B61328"/>
    <w:rsid w:val="00B61498"/>
    <w:rsid w:val="00B615C0"/>
    <w:rsid w:val="00B6197F"/>
    <w:rsid w:val="00B6201D"/>
    <w:rsid w:val="00B64E1E"/>
    <w:rsid w:val="00B65370"/>
    <w:rsid w:val="00B65C40"/>
    <w:rsid w:val="00B708A4"/>
    <w:rsid w:val="00B71B9A"/>
    <w:rsid w:val="00B724DB"/>
    <w:rsid w:val="00B7470E"/>
    <w:rsid w:val="00B75015"/>
    <w:rsid w:val="00B75827"/>
    <w:rsid w:val="00B80221"/>
    <w:rsid w:val="00B802AC"/>
    <w:rsid w:val="00B81A44"/>
    <w:rsid w:val="00B84301"/>
    <w:rsid w:val="00B85391"/>
    <w:rsid w:val="00B86918"/>
    <w:rsid w:val="00B90D1B"/>
    <w:rsid w:val="00B92C55"/>
    <w:rsid w:val="00B9307D"/>
    <w:rsid w:val="00B9546C"/>
    <w:rsid w:val="00B97392"/>
    <w:rsid w:val="00BA18B2"/>
    <w:rsid w:val="00BA515B"/>
    <w:rsid w:val="00BA7B51"/>
    <w:rsid w:val="00BB26A9"/>
    <w:rsid w:val="00BB5523"/>
    <w:rsid w:val="00BB574E"/>
    <w:rsid w:val="00BB703D"/>
    <w:rsid w:val="00BC0FD3"/>
    <w:rsid w:val="00BC11CA"/>
    <w:rsid w:val="00BC1A25"/>
    <w:rsid w:val="00BC319D"/>
    <w:rsid w:val="00BC449C"/>
    <w:rsid w:val="00BC45A8"/>
    <w:rsid w:val="00BC5352"/>
    <w:rsid w:val="00BC6790"/>
    <w:rsid w:val="00BD363A"/>
    <w:rsid w:val="00BD3E3F"/>
    <w:rsid w:val="00BD5737"/>
    <w:rsid w:val="00BD5978"/>
    <w:rsid w:val="00BD75BE"/>
    <w:rsid w:val="00BE100C"/>
    <w:rsid w:val="00BE3D82"/>
    <w:rsid w:val="00BE7749"/>
    <w:rsid w:val="00BF0A82"/>
    <w:rsid w:val="00BF1E7F"/>
    <w:rsid w:val="00BF6B23"/>
    <w:rsid w:val="00BF7873"/>
    <w:rsid w:val="00C00387"/>
    <w:rsid w:val="00C01697"/>
    <w:rsid w:val="00C01834"/>
    <w:rsid w:val="00C04A95"/>
    <w:rsid w:val="00C0553D"/>
    <w:rsid w:val="00C0560C"/>
    <w:rsid w:val="00C07169"/>
    <w:rsid w:val="00C12196"/>
    <w:rsid w:val="00C13D52"/>
    <w:rsid w:val="00C1625B"/>
    <w:rsid w:val="00C17F55"/>
    <w:rsid w:val="00C2095E"/>
    <w:rsid w:val="00C21511"/>
    <w:rsid w:val="00C22B2D"/>
    <w:rsid w:val="00C22EBF"/>
    <w:rsid w:val="00C23165"/>
    <w:rsid w:val="00C2470D"/>
    <w:rsid w:val="00C25195"/>
    <w:rsid w:val="00C25EF0"/>
    <w:rsid w:val="00C27709"/>
    <w:rsid w:val="00C3086E"/>
    <w:rsid w:val="00C30D00"/>
    <w:rsid w:val="00C31B9E"/>
    <w:rsid w:val="00C32CB8"/>
    <w:rsid w:val="00C3415E"/>
    <w:rsid w:val="00C34A9D"/>
    <w:rsid w:val="00C35CAB"/>
    <w:rsid w:val="00C3652A"/>
    <w:rsid w:val="00C41093"/>
    <w:rsid w:val="00C456D8"/>
    <w:rsid w:val="00C473AC"/>
    <w:rsid w:val="00C516DD"/>
    <w:rsid w:val="00C53790"/>
    <w:rsid w:val="00C544FA"/>
    <w:rsid w:val="00C55197"/>
    <w:rsid w:val="00C55ADF"/>
    <w:rsid w:val="00C6006E"/>
    <w:rsid w:val="00C61434"/>
    <w:rsid w:val="00C64583"/>
    <w:rsid w:val="00C6668E"/>
    <w:rsid w:val="00C67450"/>
    <w:rsid w:val="00C67601"/>
    <w:rsid w:val="00C67A01"/>
    <w:rsid w:val="00C7139D"/>
    <w:rsid w:val="00C72A83"/>
    <w:rsid w:val="00C73E1B"/>
    <w:rsid w:val="00C74194"/>
    <w:rsid w:val="00C74D11"/>
    <w:rsid w:val="00C74D29"/>
    <w:rsid w:val="00C75E13"/>
    <w:rsid w:val="00C7730F"/>
    <w:rsid w:val="00C805B5"/>
    <w:rsid w:val="00C81900"/>
    <w:rsid w:val="00C83F1D"/>
    <w:rsid w:val="00C908D9"/>
    <w:rsid w:val="00C91245"/>
    <w:rsid w:val="00C94DA3"/>
    <w:rsid w:val="00C94FD5"/>
    <w:rsid w:val="00C952D5"/>
    <w:rsid w:val="00C953F3"/>
    <w:rsid w:val="00C956E6"/>
    <w:rsid w:val="00C95D54"/>
    <w:rsid w:val="00C963B7"/>
    <w:rsid w:val="00C96B16"/>
    <w:rsid w:val="00CA18D8"/>
    <w:rsid w:val="00CA354B"/>
    <w:rsid w:val="00CA4052"/>
    <w:rsid w:val="00CA40F7"/>
    <w:rsid w:val="00CA4EE1"/>
    <w:rsid w:val="00CA5D1D"/>
    <w:rsid w:val="00CA73CE"/>
    <w:rsid w:val="00CA764A"/>
    <w:rsid w:val="00CB0380"/>
    <w:rsid w:val="00CB0842"/>
    <w:rsid w:val="00CB1D38"/>
    <w:rsid w:val="00CB2D50"/>
    <w:rsid w:val="00CB534B"/>
    <w:rsid w:val="00CB5813"/>
    <w:rsid w:val="00CB5EE1"/>
    <w:rsid w:val="00CB6F17"/>
    <w:rsid w:val="00CC0079"/>
    <w:rsid w:val="00CC14AB"/>
    <w:rsid w:val="00CC1E97"/>
    <w:rsid w:val="00CC4207"/>
    <w:rsid w:val="00CC6285"/>
    <w:rsid w:val="00CC7963"/>
    <w:rsid w:val="00CD0A10"/>
    <w:rsid w:val="00CD687B"/>
    <w:rsid w:val="00CD6AF4"/>
    <w:rsid w:val="00CD72F4"/>
    <w:rsid w:val="00CE0558"/>
    <w:rsid w:val="00CE2E27"/>
    <w:rsid w:val="00CE3939"/>
    <w:rsid w:val="00CE39BE"/>
    <w:rsid w:val="00CE5E91"/>
    <w:rsid w:val="00CE7212"/>
    <w:rsid w:val="00CE79DA"/>
    <w:rsid w:val="00CF06D2"/>
    <w:rsid w:val="00CF1B25"/>
    <w:rsid w:val="00CF621A"/>
    <w:rsid w:val="00CF640A"/>
    <w:rsid w:val="00CF6FFB"/>
    <w:rsid w:val="00CF7B8D"/>
    <w:rsid w:val="00D00154"/>
    <w:rsid w:val="00D00D84"/>
    <w:rsid w:val="00D04898"/>
    <w:rsid w:val="00D0540C"/>
    <w:rsid w:val="00D06932"/>
    <w:rsid w:val="00D075F0"/>
    <w:rsid w:val="00D10CEA"/>
    <w:rsid w:val="00D12CD5"/>
    <w:rsid w:val="00D14000"/>
    <w:rsid w:val="00D20961"/>
    <w:rsid w:val="00D2114B"/>
    <w:rsid w:val="00D2159F"/>
    <w:rsid w:val="00D21E01"/>
    <w:rsid w:val="00D22096"/>
    <w:rsid w:val="00D22674"/>
    <w:rsid w:val="00D24EA2"/>
    <w:rsid w:val="00D2507C"/>
    <w:rsid w:val="00D2628D"/>
    <w:rsid w:val="00D311FB"/>
    <w:rsid w:val="00D312DC"/>
    <w:rsid w:val="00D31C73"/>
    <w:rsid w:val="00D31EB0"/>
    <w:rsid w:val="00D32BE0"/>
    <w:rsid w:val="00D33391"/>
    <w:rsid w:val="00D342D4"/>
    <w:rsid w:val="00D3716B"/>
    <w:rsid w:val="00D37E4D"/>
    <w:rsid w:val="00D40E6E"/>
    <w:rsid w:val="00D41619"/>
    <w:rsid w:val="00D41A75"/>
    <w:rsid w:val="00D44F95"/>
    <w:rsid w:val="00D46699"/>
    <w:rsid w:val="00D46799"/>
    <w:rsid w:val="00D4690C"/>
    <w:rsid w:val="00D46E1A"/>
    <w:rsid w:val="00D4755A"/>
    <w:rsid w:val="00D47E3F"/>
    <w:rsid w:val="00D5249D"/>
    <w:rsid w:val="00D56D23"/>
    <w:rsid w:val="00D572AD"/>
    <w:rsid w:val="00D62691"/>
    <w:rsid w:val="00D63C04"/>
    <w:rsid w:val="00D64781"/>
    <w:rsid w:val="00D6486E"/>
    <w:rsid w:val="00D661F4"/>
    <w:rsid w:val="00D67B44"/>
    <w:rsid w:val="00D702C5"/>
    <w:rsid w:val="00D70502"/>
    <w:rsid w:val="00D724D1"/>
    <w:rsid w:val="00D7268B"/>
    <w:rsid w:val="00D735E7"/>
    <w:rsid w:val="00D755F6"/>
    <w:rsid w:val="00D76471"/>
    <w:rsid w:val="00D778F3"/>
    <w:rsid w:val="00D83348"/>
    <w:rsid w:val="00D847D4"/>
    <w:rsid w:val="00D84948"/>
    <w:rsid w:val="00D857AB"/>
    <w:rsid w:val="00D8744E"/>
    <w:rsid w:val="00D9096E"/>
    <w:rsid w:val="00D909F6"/>
    <w:rsid w:val="00D91BFB"/>
    <w:rsid w:val="00D92114"/>
    <w:rsid w:val="00D935C1"/>
    <w:rsid w:val="00D93927"/>
    <w:rsid w:val="00D944E4"/>
    <w:rsid w:val="00D96E53"/>
    <w:rsid w:val="00D97EF0"/>
    <w:rsid w:val="00DA25CC"/>
    <w:rsid w:val="00DA61B4"/>
    <w:rsid w:val="00DA769D"/>
    <w:rsid w:val="00DB27E1"/>
    <w:rsid w:val="00DB3212"/>
    <w:rsid w:val="00DB396D"/>
    <w:rsid w:val="00DB454C"/>
    <w:rsid w:val="00DC1DAC"/>
    <w:rsid w:val="00DC2513"/>
    <w:rsid w:val="00DC2FE2"/>
    <w:rsid w:val="00DC3635"/>
    <w:rsid w:val="00DC39B7"/>
    <w:rsid w:val="00DC4284"/>
    <w:rsid w:val="00DC4CFC"/>
    <w:rsid w:val="00DD0E02"/>
    <w:rsid w:val="00DD10AC"/>
    <w:rsid w:val="00DD11DD"/>
    <w:rsid w:val="00DD13A0"/>
    <w:rsid w:val="00DD2904"/>
    <w:rsid w:val="00DD299A"/>
    <w:rsid w:val="00DD7769"/>
    <w:rsid w:val="00DE0095"/>
    <w:rsid w:val="00DE3A70"/>
    <w:rsid w:val="00DE40D4"/>
    <w:rsid w:val="00DE6A8A"/>
    <w:rsid w:val="00DE7410"/>
    <w:rsid w:val="00DE7B3C"/>
    <w:rsid w:val="00DF15AB"/>
    <w:rsid w:val="00DF15C5"/>
    <w:rsid w:val="00DF45D0"/>
    <w:rsid w:val="00DF52D9"/>
    <w:rsid w:val="00DF5B94"/>
    <w:rsid w:val="00DF603E"/>
    <w:rsid w:val="00DF6921"/>
    <w:rsid w:val="00DF749C"/>
    <w:rsid w:val="00DF76A5"/>
    <w:rsid w:val="00E00DDE"/>
    <w:rsid w:val="00E0113A"/>
    <w:rsid w:val="00E015DA"/>
    <w:rsid w:val="00E045BA"/>
    <w:rsid w:val="00E06E60"/>
    <w:rsid w:val="00E07132"/>
    <w:rsid w:val="00E11989"/>
    <w:rsid w:val="00E14F01"/>
    <w:rsid w:val="00E1613F"/>
    <w:rsid w:val="00E1621A"/>
    <w:rsid w:val="00E1661C"/>
    <w:rsid w:val="00E20463"/>
    <w:rsid w:val="00E20D8F"/>
    <w:rsid w:val="00E23374"/>
    <w:rsid w:val="00E25F44"/>
    <w:rsid w:val="00E2686A"/>
    <w:rsid w:val="00E26FA2"/>
    <w:rsid w:val="00E31958"/>
    <w:rsid w:val="00E3384C"/>
    <w:rsid w:val="00E3533E"/>
    <w:rsid w:val="00E36478"/>
    <w:rsid w:val="00E40333"/>
    <w:rsid w:val="00E40AD5"/>
    <w:rsid w:val="00E41644"/>
    <w:rsid w:val="00E41C6D"/>
    <w:rsid w:val="00E42511"/>
    <w:rsid w:val="00E44004"/>
    <w:rsid w:val="00E44269"/>
    <w:rsid w:val="00E46712"/>
    <w:rsid w:val="00E46F7A"/>
    <w:rsid w:val="00E50C15"/>
    <w:rsid w:val="00E50E60"/>
    <w:rsid w:val="00E5199E"/>
    <w:rsid w:val="00E51A47"/>
    <w:rsid w:val="00E52CE8"/>
    <w:rsid w:val="00E53803"/>
    <w:rsid w:val="00E54086"/>
    <w:rsid w:val="00E54C50"/>
    <w:rsid w:val="00E57381"/>
    <w:rsid w:val="00E6263B"/>
    <w:rsid w:val="00E65941"/>
    <w:rsid w:val="00E65E84"/>
    <w:rsid w:val="00E6691E"/>
    <w:rsid w:val="00E70DD7"/>
    <w:rsid w:val="00E70F09"/>
    <w:rsid w:val="00E73415"/>
    <w:rsid w:val="00E77032"/>
    <w:rsid w:val="00E77302"/>
    <w:rsid w:val="00E77B33"/>
    <w:rsid w:val="00E802A9"/>
    <w:rsid w:val="00E80E06"/>
    <w:rsid w:val="00E8279B"/>
    <w:rsid w:val="00E83710"/>
    <w:rsid w:val="00E8534D"/>
    <w:rsid w:val="00E8594C"/>
    <w:rsid w:val="00E859FC"/>
    <w:rsid w:val="00E903B2"/>
    <w:rsid w:val="00E905C1"/>
    <w:rsid w:val="00E91F7C"/>
    <w:rsid w:val="00E930A0"/>
    <w:rsid w:val="00E93E5C"/>
    <w:rsid w:val="00E946EE"/>
    <w:rsid w:val="00E94764"/>
    <w:rsid w:val="00E95E2B"/>
    <w:rsid w:val="00E96FDD"/>
    <w:rsid w:val="00EA019E"/>
    <w:rsid w:val="00EA118E"/>
    <w:rsid w:val="00EA1228"/>
    <w:rsid w:val="00EA1564"/>
    <w:rsid w:val="00EA1974"/>
    <w:rsid w:val="00EA2338"/>
    <w:rsid w:val="00EA2A17"/>
    <w:rsid w:val="00EA337D"/>
    <w:rsid w:val="00EA6606"/>
    <w:rsid w:val="00EB17D8"/>
    <w:rsid w:val="00EB1FF7"/>
    <w:rsid w:val="00EB28F6"/>
    <w:rsid w:val="00EB40BF"/>
    <w:rsid w:val="00EB40F4"/>
    <w:rsid w:val="00EB5120"/>
    <w:rsid w:val="00EB56A6"/>
    <w:rsid w:val="00EB6B49"/>
    <w:rsid w:val="00EB7BDD"/>
    <w:rsid w:val="00EC2B75"/>
    <w:rsid w:val="00EC35B6"/>
    <w:rsid w:val="00EC3E4F"/>
    <w:rsid w:val="00EC4FBB"/>
    <w:rsid w:val="00EC5E69"/>
    <w:rsid w:val="00ED041A"/>
    <w:rsid w:val="00ED04B5"/>
    <w:rsid w:val="00ED065E"/>
    <w:rsid w:val="00ED1A01"/>
    <w:rsid w:val="00ED2D63"/>
    <w:rsid w:val="00ED2DCD"/>
    <w:rsid w:val="00ED37B1"/>
    <w:rsid w:val="00EE0FAD"/>
    <w:rsid w:val="00EE2AB8"/>
    <w:rsid w:val="00EE2BDD"/>
    <w:rsid w:val="00EE2FEA"/>
    <w:rsid w:val="00EE48C5"/>
    <w:rsid w:val="00EE5523"/>
    <w:rsid w:val="00EE553C"/>
    <w:rsid w:val="00EE6213"/>
    <w:rsid w:val="00F00043"/>
    <w:rsid w:val="00F05708"/>
    <w:rsid w:val="00F05DD7"/>
    <w:rsid w:val="00F06057"/>
    <w:rsid w:val="00F06E40"/>
    <w:rsid w:val="00F10800"/>
    <w:rsid w:val="00F1122D"/>
    <w:rsid w:val="00F1169E"/>
    <w:rsid w:val="00F1269A"/>
    <w:rsid w:val="00F13363"/>
    <w:rsid w:val="00F133C0"/>
    <w:rsid w:val="00F14C62"/>
    <w:rsid w:val="00F157B4"/>
    <w:rsid w:val="00F16B58"/>
    <w:rsid w:val="00F2093F"/>
    <w:rsid w:val="00F22CC1"/>
    <w:rsid w:val="00F22F3A"/>
    <w:rsid w:val="00F24BBD"/>
    <w:rsid w:val="00F26B6E"/>
    <w:rsid w:val="00F27E0B"/>
    <w:rsid w:val="00F30D45"/>
    <w:rsid w:val="00F33F6A"/>
    <w:rsid w:val="00F34006"/>
    <w:rsid w:val="00F36D62"/>
    <w:rsid w:val="00F3771B"/>
    <w:rsid w:val="00F40078"/>
    <w:rsid w:val="00F40373"/>
    <w:rsid w:val="00F4093B"/>
    <w:rsid w:val="00F4097A"/>
    <w:rsid w:val="00F43698"/>
    <w:rsid w:val="00F4461F"/>
    <w:rsid w:val="00F47590"/>
    <w:rsid w:val="00F47653"/>
    <w:rsid w:val="00F50468"/>
    <w:rsid w:val="00F50747"/>
    <w:rsid w:val="00F574C8"/>
    <w:rsid w:val="00F57668"/>
    <w:rsid w:val="00F62062"/>
    <w:rsid w:val="00F6283E"/>
    <w:rsid w:val="00F63454"/>
    <w:rsid w:val="00F6378D"/>
    <w:rsid w:val="00F64B3F"/>
    <w:rsid w:val="00F67435"/>
    <w:rsid w:val="00F72093"/>
    <w:rsid w:val="00F7392E"/>
    <w:rsid w:val="00F74EF4"/>
    <w:rsid w:val="00F7638B"/>
    <w:rsid w:val="00F76B40"/>
    <w:rsid w:val="00F82BEB"/>
    <w:rsid w:val="00F82CC7"/>
    <w:rsid w:val="00F82D0C"/>
    <w:rsid w:val="00F8462B"/>
    <w:rsid w:val="00F85E81"/>
    <w:rsid w:val="00F8617D"/>
    <w:rsid w:val="00F86682"/>
    <w:rsid w:val="00F86FF9"/>
    <w:rsid w:val="00F87095"/>
    <w:rsid w:val="00F87695"/>
    <w:rsid w:val="00F87C6E"/>
    <w:rsid w:val="00F90992"/>
    <w:rsid w:val="00F90F25"/>
    <w:rsid w:val="00F92652"/>
    <w:rsid w:val="00F92D38"/>
    <w:rsid w:val="00F95E9C"/>
    <w:rsid w:val="00F96EF9"/>
    <w:rsid w:val="00FA00E1"/>
    <w:rsid w:val="00FA015F"/>
    <w:rsid w:val="00FA13E2"/>
    <w:rsid w:val="00FA193D"/>
    <w:rsid w:val="00FA39AD"/>
    <w:rsid w:val="00FA4DCB"/>
    <w:rsid w:val="00FA52B6"/>
    <w:rsid w:val="00FA6972"/>
    <w:rsid w:val="00FA6F7F"/>
    <w:rsid w:val="00FB0D9B"/>
    <w:rsid w:val="00FB4CB0"/>
    <w:rsid w:val="00FB4EBF"/>
    <w:rsid w:val="00FB778D"/>
    <w:rsid w:val="00FB7942"/>
    <w:rsid w:val="00FC034C"/>
    <w:rsid w:val="00FC08F3"/>
    <w:rsid w:val="00FC0CE8"/>
    <w:rsid w:val="00FC2075"/>
    <w:rsid w:val="00FC2FE0"/>
    <w:rsid w:val="00FC3705"/>
    <w:rsid w:val="00FC710E"/>
    <w:rsid w:val="00FC7B4A"/>
    <w:rsid w:val="00FD3167"/>
    <w:rsid w:val="00FD52BB"/>
    <w:rsid w:val="00FD535F"/>
    <w:rsid w:val="00FE022C"/>
    <w:rsid w:val="00FE212E"/>
    <w:rsid w:val="00FE3580"/>
    <w:rsid w:val="00FE640B"/>
    <w:rsid w:val="00FE66F5"/>
    <w:rsid w:val="00FE7CA2"/>
    <w:rsid w:val="00FE7DF6"/>
    <w:rsid w:val="00FF566F"/>
    <w:rsid w:val="00FF5BB4"/>
    <w:rsid w:val="00FF7990"/>
    <w:rsid w:val="00FF7BC2"/>
  </w:rsids>
  <m:mathPr>
    <m:mathFont m:val="Cambria Math"/>
    <m:brkBin m:val="before"/>
    <m:brkBinSub m:val="--"/>
    <m:smallFrac/>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5:docId w15:val="{3BC261A9-64F2-4726-BB92-CF8B7E6C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40BF"/>
    <w:rPr>
      <w:rFonts w:ascii="Times New Roman" w:eastAsia="Times New Roman" w:hAnsi="Times New Roman"/>
      <w:sz w:val="24"/>
      <w:szCs w:val="24"/>
      <w:lang w:eastAsia="en-US"/>
    </w:rPr>
  </w:style>
  <w:style w:type="paragraph" w:styleId="Heading2">
    <w:name w:val="heading 2"/>
    <w:basedOn w:val="Normal"/>
    <w:next w:val="Normal"/>
    <w:link w:val="Heading2Char"/>
    <w:qFormat/>
    <w:rsid w:val="00AA167C"/>
    <w:pPr>
      <w:keepNext/>
      <w:spacing w:line="300" w:lineRule="exact"/>
      <w:jc w:val="both"/>
      <w:outlineLvl w:val="1"/>
    </w:pPr>
    <w:rPr>
      <w:rFonts w:ascii="Trebuchet MS" w:hAnsi="Trebuchet MS"/>
      <w:b/>
      <w:bCs/>
      <w:i/>
      <w:iCs/>
      <w:sz w:val="22"/>
      <w:u w:val="single"/>
      <w:lang w:val="en-GB"/>
    </w:rPr>
  </w:style>
  <w:style w:type="paragraph" w:styleId="Heading3">
    <w:name w:val="heading 3"/>
    <w:basedOn w:val="Normal"/>
    <w:next w:val="Normal"/>
    <w:link w:val="Heading3Char"/>
    <w:unhideWhenUsed/>
    <w:qFormat/>
    <w:rsid w:val="008461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AA167C"/>
    <w:pPr>
      <w:keepNext/>
      <w:outlineLvl w:val="3"/>
    </w:pPr>
    <w:rPr>
      <w:b/>
      <w:bCs/>
      <w:lang w:val="en-GB"/>
    </w:rPr>
  </w:style>
  <w:style w:type="paragraph" w:styleId="Heading9">
    <w:name w:val="heading 9"/>
    <w:basedOn w:val="Normal"/>
    <w:next w:val="Normal"/>
    <w:link w:val="Heading9Char"/>
    <w:qFormat/>
    <w:rsid w:val="00DE7410"/>
    <w:pPr>
      <w:keepNext/>
      <w:tabs>
        <w:tab w:val="left" w:pos="216"/>
        <w:tab w:val="left" w:pos="432"/>
        <w:tab w:val="left" w:pos="648"/>
        <w:tab w:val="left" w:pos="864"/>
        <w:tab w:val="left" w:pos="1080"/>
        <w:tab w:val="left" w:pos="1296"/>
        <w:tab w:val="left" w:pos="1512"/>
        <w:tab w:val="left" w:pos="1728"/>
        <w:tab w:val="left" w:pos="1944"/>
      </w:tabs>
      <w:suppressAutoHyphens/>
      <w:spacing w:line="220" w:lineRule="exact"/>
      <w:ind w:left="144" w:hanging="144"/>
      <w:outlineLvl w:val="8"/>
    </w:pPr>
    <w:rPr>
      <w:bCs/>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A167C"/>
    <w:rPr>
      <w:rFonts w:ascii="Trebuchet MS" w:eastAsia="Times New Roman" w:hAnsi="Trebuchet MS" w:cs="Times New Roman"/>
      <w:b/>
      <w:bCs/>
      <w:i/>
      <w:iCs/>
      <w:szCs w:val="24"/>
      <w:u w:val="single"/>
      <w:lang w:val="en-GB"/>
    </w:rPr>
  </w:style>
  <w:style w:type="character" w:customStyle="1" w:styleId="Heading4Char">
    <w:name w:val="Heading 4 Char"/>
    <w:link w:val="Heading4"/>
    <w:rsid w:val="00AA167C"/>
    <w:rPr>
      <w:rFonts w:ascii="Times New Roman" w:eastAsia="Times New Roman" w:hAnsi="Times New Roman" w:cs="Times New Roman"/>
      <w:b/>
      <w:bCs/>
      <w:sz w:val="24"/>
      <w:szCs w:val="24"/>
      <w:lang w:val="en-GB"/>
    </w:rPr>
  </w:style>
  <w:style w:type="character" w:styleId="Hyperlink">
    <w:name w:val="Hyperlink"/>
    <w:rsid w:val="00AA167C"/>
    <w:rPr>
      <w:color w:val="0000FF"/>
      <w:u w:val="single"/>
    </w:rPr>
  </w:style>
  <w:style w:type="paragraph" w:styleId="Header">
    <w:name w:val="header"/>
    <w:basedOn w:val="Normal"/>
    <w:link w:val="HeaderChar"/>
    <w:rsid w:val="00AA167C"/>
    <w:pPr>
      <w:tabs>
        <w:tab w:val="center" w:pos="4153"/>
        <w:tab w:val="right" w:pos="8306"/>
      </w:tabs>
    </w:pPr>
  </w:style>
  <w:style w:type="character" w:customStyle="1" w:styleId="HeaderChar">
    <w:name w:val="Header Char"/>
    <w:link w:val="Header"/>
    <w:rsid w:val="00AA16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167C"/>
    <w:pPr>
      <w:tabs>
        <w:tab w:val="center" w:pos="4513"/>
        <w:tab w:val="right" w:pos="9026"/>
      </w:tabs>
    </w:pPr>
  </w:style>
  <w:style w:type="character" w:customStyle="1" w:styleId="FooterChar">
    <w:name w:val="Footer Char"/>
    <w:link w:val="Footer"/>
    <w:uiPriority w:val="99"/>
    <w:rsid w:val="00AA167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F1169E"/>
    <w:rPr>
      <w:rFonts w:ascii="Tahoma" w:hAnsi="Tahoma" w:cs="Tahoma"/>
      <w:sz w:val="16"/>
      <w:szCs w:val="16"/>
    </w:rPr>
  </w:style>
  <w:style w:type="character" w:customStyle="1" w:styleId="BalloonTextChar">
    <w:name w:val="Balloon Text Char"/>
    <w:link w:val="BalloonText"/>
    <w:uiPriority w:val="99"/>
    <w:semiHidden/>
    <w:rsid w:val="00F1169E"/>
    <w:rPr>
      <w:rFonts w:ascii="Tahoma" w:eastAsia="Times New Roman" w:hAnsi="Tahoma" w:cs="Tahoma"/>
      <w:sz w:val="16"/>
      <w:szCs w:val="16"/>
      <w:lang w:eastAsia="en-US"/>
    </w:rPr>
  </w:style>
  <w:style w:type="character" w:customStyle="1" w:styleId="Heading3Char">
    <w:name w:val="Heading 3 Char"/>
    <w:link w:val="Heading3"/>
    <w:uiPriority w:val="9"/>
    <w:rsid w:val="0084617D"/>
    <w:rPr>
      <w:rFonts w:ascii="Cambria" w:eastAsia="Times New Roman" w:hAnsi="Cambria" w:cs="Times New Roman"/>
      <w:b/>
      <w:bCs/>
      <w:sz w:val="26"/>
      <w:szCs w:val="26"/>
      <w:lang w:eastAsia="en-US"/>
    </w:rPr>
  </w:style>
  <w:style w:type="character" w:styleId="Emphasis">
    <w:name w:val="Emphasis"/>
    <w:uiPriority w:val="20"/>
    <w:qFormat/>
    <w:rsid w:val="00942078"/>
    <w:rPr>
      <w:i/>
      <w:iCs/>
    </w:rPr>
  </w:style>
  <w:style w:type="character" w:customStyle="1" w:styleId="Heading9Char">
    <w:name w:val="Heading 9 Char"/>
    <w:basedOn w:val="DefaultParagraphFont"/>
    <w:link w:val="Heading9"/>
    <w:rsid w:val="00DE7410"/>
    <w:rPr>
      <w:rFonts w:ascii="Times New Roman" w:eastAsia="Times New Roman" w:hAnsi="Times New Roman"/>
      <w:bCs/>
      <w:iCs/>
      <w:lang w:val="en-US" w:eastAsia="en-US"/>
    </w:rPr>
  </w:style>
  <w:style w:type="paragraph" w:styleId="EnvelopeAddress">
    <w:name w:val="envelope address"/>
    <w:basedOn w:val="Normal"/>
    <w:rsid w:val="00DE7410"/>
    <w:pPr>
      <w:framePr w:w="7920" w:h="1980" w:hRule="exact" w:hSpace="180" w:wrap="auto" w:hAnchor="page" w:xAlign="center" w:yAlign="bottom"/>
      <w:ind w:left="2880"/>
    </w:pPr>
    <w:rPr>
      <w:rFonts w:cs="Arial"/>
    </w:rPr>
  </w:style>
  <w:style w:type="paragraph" w:styleId="EnvelopeReturn">
    <w:name w:val="envelope return"/>
    <w:basedOn w:val="Normal"/>
    <w:rsid w:val="00DE7410"/>
    <w:rPr>
      <w:rFonts w:cs="Arial"/>
      <w:sz w:val="20"/>
      <w:szCs w:val="20"/>
    </w:rPr>
  </w:style>
  <w:style w:type="paragraph" w:customStyle="1" w:styleId="CG-Title-Center-Bold">
    <w:name w:val="CG-Title-Center-Bold"/>
    <w:aliases w:val="t1"/>
    <w:basedOn w:val="Normal"/>
    <w:next w:val="Normal"/>
    <w:rsid w:val="00DE7410"/>
    <w:pPr>
      <w:keepNext/>
      <w:spacing w:after="240"/>
      <w:jc w:val="center"/>
    </w:pPr>
    <w:rPr>
      <w:b/>
      <w:sz w:val="32"/>
      <w:szCs w:val="20"/>
      <w:lang w:val="en-US"/>
    </w:rPr>
  </w:style>
  <w:style w:type="paragraph" w:customStyle="1" w:styleId="CG-Title-Center">
    <w:name w:val="CG-Title-Center"/>
    <w:aliases w:val="t5"/>
    <w:basedOn w:val="Normal"/>
    <w:next w:val="Normal"/>
    <w:rsid w:val="00DE7410"/>
    <w:pPr>
      <w:keepNext/>
      <w:spacing w:after="240"/>
      <w:jc w:val="center"/>
    </w:pPr>
    <w:rPr>
      <w:szCs w:val="20"/>
      <w:lang w:val="en-US"/>
    </w:rPr>
  </w:style>
  <w:style w:type="paragraph" w:customStyle="1" w:styleId="Outline3L1">
    <w:name w:val="Outline3_L1"/>
    <w:basedOn w:val="Normal"/>
    <w:next w:val="Normal"/>
    <w:rsid w:val="00DE7410"/>
    <w:pPr>
      <w:keepNext/>
      <w:numPr>
        <w:numId w:val="1"/>
      </w:numPr>
      <w:spacing w:after="240"/>
      <w:outlineLvl w:val="0"/>
    </w:pPr>
    <w:rPr>
      <w:szCs w:val="20"/>
      <w:lang w:val="en-US"/>
    </w:rPr>
  </w:style>
  <w:style w:type="paragraph" w:customStyle="1" w:styleId="Outline3L2">
    <w:name w:val="Outline3_L2"/>
    <w:basedOn w:val="Outline3L1"/>
    <w:next w:val="Normal"/>
    <w:rsid w:val="00DE7410"/>
    <w:pPr>
      <w:numPr>
        <w:ilvl w:val="1"/>
      </w:numPr>
      <w:outlineLvl w:val="1"/>
    </w:pPr>
  </w:style>
  <w:style w:type="paragraph" w:customStyle="1" w:styleId="Outline3L3">
    <w:name w:val="Outline3_L3"/>
    <w:basedOn w:val="Outline3L2"/>
    <w:next w:val="Normal"/>
    <w:rsid w:val="00DE7410"/>
    <w:pPr>
      <w:numPr>
        <w:ilvl w:val="2"/>
      </w:numPr>
      <w:outlineLvl w:val="2"/>
    </w:pPr>
  </w:style>
  <w:style w:type="paragraph" w:customStyle="1" w:styleId="Outline3L4">
    <w:name w:val="Outline3_L4"/>
    <w:basedOn w:val="Outline3L3"/>
    <w:next w:val="Normal"/>
    <w:rsid w:val="00DE7410"/>
    <w:pPr>
      <w:keepNext w:val="0"/>
      <w:numPr>
        <w:ilvl w:val="3"/>
      </w:numPr>
      <w:outlineLvl w:val="3"/>
    </w:pPr>
  </w:style>
  <w:style w:type="paragraph" w:customStyle="1" w:styleId="Outline3L5">
    <w:name w:val="Outline3_L5"/>
    <w:basedOn w:val="Outline3L4"/>
    <w:next w:val="Normal"/>
    <w:rsid w:val="00DE7410"/>
    <w:pPr>
      <w:numPr>
        <w:ilvl w:val="4"/>
      </w:numPr>
      <w:outlineLvl w:val="4"/>
    </w:pPr>
  </w:style>
  <w:style w:type="paragraph" w:customStyle="1" w:styleId="TableFN">
    <w:name w:val="TableFN"/>
    <w:aliases w:val="tfn"/>
    <w:basedOn w:val="Normal"/>
    <w:rsid w:val="00DE7410"/>
    <w:pPr>
      <w:spacing w:after="240"/>
    </w:pPr>
    <w:rPr>
      <w:sz w:val="18"/>
      <w:szCs w:val="20"/>
      <w:lang w:val="en-US"/>
    </w:rPr>
  </w:style>
  <w:style w:type="paragraph" w:styleId="Title">
    <w:name w:val="Title"/>
    <w:basedOn w:val="Normal"/>
    <w:link w:val="TitleChar"/>
    <w:qFormat/>
    <w:rsid w:val="00DE7410"/>
    <w:pPr>
      <w:ind w:right="983"/>
      <w:jc w:val="center"/>
    </w:pPr>
    <w:rPr>
      <w:b/>
      <w:szCs w:val="20"/>
      <w:lang w:val="en-GB"/>
    </w:rPr>
  </w:style>
  <w:style w:type="character" w:customStyle="1" w:styleId="TitleChar">
    <w:name w:val="Title Char"/>
    <w:basedOn w:val="DefaultParagraphFont"/>
    <w:link w:val="Title"/>
    <w:rsid w:val="00DE7410"/>
    <w:rPr>
      <w:rFonts w:ascii="Times New Roman" w:eastAsia="Times New Roman" w:hAnsi="Times New Roman"/>
      <w:b/>
      <w:sz w:val="24"/>
      <w:lang w:val="en-GB" w:eastAsia="en-US"/>
    </w:rPr>
  </w:style>
  <w:style w:type="paragraph" w:styleId="BodyText3">
    <w:name w:val="Body Text 3"/>
    <w:basedOn w:val="Normal"/>
    <w:link w:val="BodyText3Char"/>
    <w:rsid w:val="00DE7410"/>
    <w:rPr>
      <w:b/>
      <w:szCs w:val="20"/>
      <w:lang w:val="en-GB"/>
    </w:rPr>
  </w:style>
  <w:style w:type="character" w:customStyle="1" w:styleId="BodyText3Char">
    <w:name w:val="Body Text 3 Char"/>
    <w:basedOn w:val="DefaultParagraphFont"/>
    <w:link w:val="BodyText3"/>
    <w:rsid w:val="00DE7410"/>
    <w:rPr>
      <w:rFonts w:ascii="Times New Roman" w:eastAsia="Times New Roman" w:hAnsi="Times New Roman"/>
      <w:b/>
      <w:sz w:val="24"/>
      <w:lang w:val="en-GB" w:eastAsia="en-US"/>
    </w:rPr>
  </w:style>
  <w:style w:type="paragraph" w:customStyle="1" w:styleId="CG-SingleSp05">
    <w:name w:val="CG-Single Sp 0.5"/>
    <w:aliases w:val="s2,!Body Text .5(J),!Body Text .5s2(J),Normal + Interstate-RegularCondensed,9 pt"/>
    <w:basedOn w:val="Normal"/>
    <w:rsid w:val="00DE7410"/>
    <w:pPr>
      <w:spacing w:after="240"/>
      <w:ind w:firstLine="720"/>
      <w:jc w:val="both"/>
    </w:pPr>
    <w:rPr>
      <w:rFonts w:eastAsia="MS Mincho"/>
      <w:sz w:val="22"/>
      <w:szCs w:val="20"/>
      <w:lang w:val="en-US"/>
    </w:rPr>
  </w:style>
  <w:style w:type="character" w:styleId="PageNumber">
    <w:name w:val="page number"/>
    <w:basedOn w:val="DefaultParagraphFont"/>
    <w:rsid w:val="00DE7410"/>
  </w:style>
  <w:style w:type="table" w:styleId="TableGrid">
    <w:name w:val="Table Grid"/>
    <w:basedOn w:val="TableNormal"/>
    <w:uiPriority w:val="39"/>
    <w:rsid w:val="00DE74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G-SingleSp05s2">
    <w:name w:val="CG-Single Sp 0.5.s2"/>
    <w:basedOn w:val="Normal"/>
    <w:rsid w:val="00DE7410"/>
    <w:pPr>
      <w:spacing w:after="240"/>
      <w:ind w:firstLine="720"/>
      <w:jc w:val="both"/>
    </w:pPr>
    <w:rPr>
      <w:snapToGrid w:val="0"/>
      <w:sz w:val="22"/>
      <w:szCs w:val="20"/>
    </w:rPr>
  </w:style>
  <w:style w:type="character" w:styleId="CommentReference">
    <w:name w:val="annotation reference"/>
    <w:semiHidden/>
    <w:rsid w:val="00DE7410"/>
    <w:rPr>
      <w:sz w:val="16"/>
      <w:szCs w:val="16"/>
    </w:rPr>
  </w:style>
  <w:style w:type="paragraph" w:styleId="CommentText">
    <w:name w:val="annotation text"/>
    <w:basedOn w:val="Normal"/>
    <w:link w:val="CommentTextChar"/>
    <w:semiHidden/>
    <w:rsid w:val="00DE7410"/>
    <w:rPr>
      <w:sz w:val="20"/>
      <w:szCs w:val="20"/>
    </w:rPr>
  </w:style>
  <w:style w:type="character" w:customStyle="1" w:styleId="CommentTextChar">
    <w:name w:val="Comment Text Char"/>
    <w:basedOn w:val="DefaultParagraphFont"/>
    <w:link w:val="CommentText"/>
    <w:semiHidden/>
    <w:rsid w:val="00DE7410"/>
    <w:rPr>
      <w:rFonts w:ascii="Times New Roman" w:eastAsia="Times New Roman" w:hAnsi="Times New Roman"/>
      <w:lang w:eastAsia="en-US"/>
    </w:rPr>
  </w:style>
  <w:style w:type="paragraph" w:styleId="CommentSubject">
    <w:name w:val="annotation subject"/>
    <w:basedOn w:val="CommentText"/>
    <w:next w:val="CommentText"/>
    <w:link w:val="CommentSubjectChar"/>
    <w:semiHidden/>
    <w:rsid w:val="00DE7410"/>
    <w:rPr>
      <w:b/>
      <w:bCs/>
    </w:rPr>
  </w:style>
  <w:style w:type="character" w:customStyle="1" w:styleId="CommentSubjectChar">
    <w:name w:val="Comment Subject Char"/>
    <w:basedOn w:val="CommentTextChar"/>
    <w:link w:val="CommentSubject"/>
    <w:semiHidden/>
    <w:rsid w:val="00DE7410"/>
    <w:rPr>
      <w:rFonts w:ascii="Times New Roman" w:eastAsia="Times New Roman" w:hAnsi="Times New Roman"/>
      <w:b/>
      <w:bCs/>
      <w:lang w:eastAsia="en-US"/>
    </w:rPr>
  </w:style>
  <w:style w:type="paragraph" w:customStyle="1" w:styleId="S2">
    <w:name w:val="S2"/>
    <w:basedOn w:val="CG-SingleSp05"/>
    <w:link w:val="S2Char"/>
    <w:rsid w:val="00DE7410"/>
    <w:pPr>
      <w:spacing w:after="120"/>
      <w:ind w:right="144" w:firstLine="432"/>
    </w:pPr>
    <w:rPr>
      <w:rFonts w:eastAsia="Times New Roman"/>
    </w:rPr>
  </w:style>
  <w:style w:type="character" w:customStyle="1" w:styleId="S2Char">
    <w:name w:val="S2 Char"/>
    <w:link w:val="S2"/>
    <w:rsid w:val="00DE7410"/>
    <w:rPr>
      <w:rFonts w:ascii="Times New Roman" w:eastAsia="Times New Roman" w:hAnsi="Times New Roman"/>
      <w:sz w:val="22"/>
      <w:lang w:val="en-US" w:eastAsia="en-US"/>
    </w:rPr>
  </w:style>
  <w:style w:type="paragraph" w:customStyle="1" w:styleId="Text1bullet">
    <w:name w:val="Text 1 bullet"/>
    <w:basedOn w:val="Normal"/>
    <w:rsid w:val="00DE7410"/>
    <w:pPr>
      <w:overflowPunct w:val="0"/>
      <w:autoSpaceDE w:val="0"/>
      <w:autoSpaceDN w:val="0"/>
      <w:adjustRightInd w:val="0"/>
      <w:spacing w:before="100"/>
      <w:ind w:left="440" w:right="300" w:hanging="440"/>
      <w:jc w:val="both"/>
      <w:textAlignment w:val="baseline"/>
    </w:pPr>
    <w:rPr>
      <w:rFonts w:ascii="Times" w:hAnsi="Times"/>
      <w:sz w:val="20"/>
      <w:szCs w:val="20"/>
      <w:lang w:val="en-GB"/>
    </w:rPr>
  </w:style>
  <w:style w:type="paragraph" w:styleId="NormalWeb">
    <w:name w:val="Normal (Web)"/>
    <w:basedOn w:val="Normal"/>
    <w:uiPriority w:val="99"/>
    <w:rsid w:val="00DE7410"/>
    <w:pPr>
      <w:spacing w:before="100" w:beforeAutospacing="1" w:after="100" w:afterAutospacing="1"/>
    </w:pPr>
    <w:rPr>
      <w:lang w:val="en-US"/>
    </w:rPr>
  </w:style>
  <w:style w:type="paragraph" w:styleId="ListParagraph">
    <w:name w:val="List Paragraph"/>
    <w:basedOn w:val="Normal"/>
    <w:uiPriority w:val="34"/>
    <w:qFormat/>
    <w:rsid w:val="00DE7410"/>
    <w:pPr>
      <w:ind w:left="720"/>
    </w:pPr>
  </w:style>
  <w:style w:type="paragraph" w:customStyle="1" w:styleId="CG-Bullet">
    <w:name w:val="CG-Bullet"/>
    <w:aliases w:val="b1"/>
    <w:basedOn w:val="Normal"/>
    <w:rsid w:val="00DE7410"/>
    <w:pPr>
      <w:numPr>
        <w:numId w:val="28"/>
      </w:numPr>
      <w:spacing w:after="240"/>
      <w:jc w:val="both"/>
    </w:pPr>
    <w:rPr>
      <w:rFonts w:eastAsia="MS Mincho"/>
      <w:sz w:val="22"/>
      <w:szCs w:val="22"/>
      <w:lang w:val="en-US"/>
    </w:rPr>
  </w:style>
  <w:style w:type="paragraph" w:customStyle="1" w:styleId="Default">
    <w:name w:val="Default"/>
    <w:rsid w:val="00DE7410"/>
    <w:pPr>
      <w:autoSpaceDE w:val="0"/>
      <w:autoSpaceDN w:val="0"/>
      <w:adjustRightInd w:val="0"/>
    </w:pPr>
    <w:rPr>
      <w:rFonts w:ascii="Trebuchet MS" w:eastAsia="Times New Roman" w:hAnsi="Trebuchet MS" w:cs="Trebuchet MS"/>
      <w:color w:val="000000"/>
      <w:sz w:val="24"/>
      <w:szCs w:val="24"/>
    </w:rPr>
  </w:style>
  <w:style w:type="paragraph" w:customStyle="1" w:styleId="Pa2">
    <w:name w:val="Pa2"/>
    <w:basedOn w:val="Default"/>
    <w:next w:val="Default"/>
    <w:uiPriority w:val="99"/>
    <w:rsid w:val="00DE7410"/>
    <w:pPr>
      <w:spacing w:line="191" w:lineRule="atLeast"/>
    </w:pPr>
    <w:rPr>
      <w:rFonts w:ascii="Univers LT Std 45 Light" w:hAnsi="Univers LT Std 45 Light" w:cs="Times New Roman"/>
      <w:color w:val="auto"/>
    </w:rPr>
  </w:style>
  <w:style w:type="paragraph" w:styleId="Revision">
    <w:name w:val="Revision"/>
    <w:hidden/>
    <w:uiPriority w:val="99"/>
    <w:semiHidden/>
    <w:rsid w:val="00DE7410"/>
    <w:rPr>
      <w:rFonts w:ascii="Times New Roman" w:eastAsia="Times New Roman" w:hAnsi="Times New Roman"/>
      <w:sz w:val="24"/>
      <w:szCs w:val="24"/>
      <w:lang w:eastAsia="en-US"/>
    </w:rPr>
  </w:style>
  <w:style w:type="paragraph" w:styleId="NoSpacing">
    <w:name w:val="No Spacing"/>
    <w:uiPriority w:val="1"/>
    <w:qFormat/>
    <w:rsid w:val="00D7268B"/>
    <w:pPr>
      <w:suppressAutoHyphens/>
      <w:autoSpaceDN w:val="0"/>
    </w:pPr>
    <w:rPr>
      <w:sz w:val="22"/>
      <w:szCs w:val="22"/>
      <w:lang w:eastAsia="en-US"/>
    </w:rPr>
  </w:style>
  <w:style w:type="paragraph" w:customStyle="1" w:styleId="CG-SingleSp1">
    <w:name w:val="CG-Single Sp 1"/>
    <w:aliases w:val="s3"/>
    <w:basedOn w:val="Normal"/>
    <w:rsid w:val="009C3AC9"/>
    <w:pPr>
      <w:spacing w:after="240"/>
      <w:ind w:firstLine="1440"/>
    </w:pPr>
    <w:rPr>
      <w:rFonts w:eastAsia="MS Mincho"/>
      <w:lang w:val="en-US"/>
    </w:rPr>
  </w:style>
  <w:style w:type="paragraph" w:customStyle="1" w:styleId="CG-SingleSp">
    <w:name w:val="CG-Single Sp"/>
    <w:aliases w:val="s1"/>
    <w:basedOn w:val="Normal"/>
    <w:rsid w:val="009C3AC9"/>
    <w:pPr>
      <w:spacing w:after="240"/>
    </w:pPr>
    <w:rPr>
      <w:rFonts w:eastAsia="MS Mincho"/>
      <w:sz w:val="22"/>
      <w:szCs w:val="22"/>
      <w:lang w:val="en-US"/>
    </w:rPr>
  </w:style>
  <w:style w:type="paragraph" w:customStyle="1" w:styleId="CG-Title-Left-Bold">
    <w:name w:val="CG-Title-Left-Bold"/>
    <w:aliases w:val="t3"/>
    <w:basedOn w:val="Normal"/>
    <w:next w:val="CG-SingleSp1"/>
    <w:rsid w:val="009C3AC9"/>
    <w:pPr>
      <w:keepNext/>
      <w:spacing w:after="240"/>
    </w:pPr>
    <w:rPr>
      <w:rFonts w:eastAsia="MS Mincho"/>
      <w:b/>
      <w:bCs/>
      <w:sz w:val="22"/>
      <w:szCs w:val="22"/>
      <w:lang w:val="en-US"/>
    </w:rPr>
  </w:style>
  <w:style w:type="character" w:customStyle="1" w:styleId="r">
    <w:name w:val="r"/>
    <w:basedOn w:val="DefaultParagraphFont"/>
    <w:rsid w:val="0035558E"/>
  </w:style>
  <w:style w:type="character" w:customStyle="1" w:styleId="cf">
    <w:name w:val="cf"/>
    <w:basedOn w:val="DefaultParagraphFont"/>
    <w:rsid w:val="000A5A8F"/>
  </w:style>
  <w:style w:type="paragraph" w:customStyle="1" w:styleId="-Body-text">
    <w:name w:val="- Body - text"/>
    <w:basedOn w:val="Normal"/>
    <w:link w:val="-Body-textChar1"/>
    <w:uiPriority w:val="99"/>
    <w:rsid w:val="00D735E7"/>
    <w:pPr>
      <w:widowControl w:val="0"/>
      <w:tabs>
        <w:tab w:val="left" w:pos="340"/>
      </w:tabs>
      <w:suppressAutoHyphens/>
      <w:autoSpaceDE w:val="0"/>
      <w:autoSpaceDN w:val="0"/>
      <w:adjustRightInd w:val="0"/>
      <w:spacing w:after="120" w:line="288" w:lineRule="auto"/>
      <w:textAlignment w:val="center"/>
    </w:pPr>
    <w:rPr>
      <w:rFonts w:ascii="Arial" w:hAnsi="Arial" w:cs="Arial"/>
      <w:color w:val="000000"/>
      <w:sz w:val="17"/>
      <w:szCs w:val="17"/>
      <w:lang w:val="en-GB" w:eastAsia="en-GB"/>
    </w:rPr>
  </w:style>
  <w:style w:type="paragraph" w:customStyle="1" w:styleId="FSHeadingStyle2">
    <w:name w:val="FS Heading Style 2"/>
    <w:basedOn w:val="Normal"/>
    <w:link w:val="FSHeadingStyle2Char"/>
    <w:qFormat/>
    <w:rsid w:val="00D735E7"/>
    <w:pPr>
      <w:keepLines/>
      <w:widowControl w:val="0"/>
      <w:suppressAutoHyphens/>
      <w:autoSpaceDE w:val="0"/>
      <w:autoSpaceDN w:val="0"/>
      <w:adjustRightInd w:val="0"/>
      <w:spacing w:after="120" w:line="280" w:lineRule="atLeast"/>
      <w:textAlignment w:val="center"/>
    </w:pPr>
    <w:rPr>
      <w:rFonts w:ascii="Arial" w:hAnsi="Arial" w:cs="Arial"/>
      <w:bCs/>
      <w:color w:val="000000" w:themeColor="text1"/>
      <w:sz w:val="28"/>
      <w:szCs w:val="28"/>
      <w:lang w:val="en-GB" w:eastAsia="en-GB"/>
    </w:rPr>
  </w:style>
  <w:style w:type="paragraph" w:customStyle="1" w:styleId="FSHeadingStyle1">
    <w:name w:val="FS Heading Style 1"/>
    <w:basedOn w:val="Normal"/>
    <w:link w:val="FSHeadingStyle1Char"/>
    <w:qFormat/>
    <w:rsid w:val="00D735E7"/>
    <w:pPr>
      <w:keepLines/>
      <w:pageBreakBefore/>
      <w:widowControl w:val="0"/>
      <w:suppressAutoHyphens/>
      <w:autoSpaceDE w:val="0"/>
      <w:autoSpaceDN w:val="0"/>
      <w:adjustRightInd w:val="0"/>
      <w:spacing w:before="360" w:after="120" w:line="280" w:lineRule="atLeast"/>
      <w:textAlignment w:val="center"/>
    </w:pPr>
    <w:rPr>
      <w:rFonts w:ascii="Arial" w:hAnsi="Arial" w:cs="Arial"/>
      <w:b/>
      <w:bCs/>
      <w:color w:val="002060"/>
      <w:sz w:val="36"/>
      <w:szCs w:val="36"/>
      <w:lang w:val="en-GB" w:eastAsia="en-GB"/>
    </w:rPr>
  </w:style>
  <w:style w:type="character" w:customStyle="1" w:styleId="FSHeadingStyle2Char">
    <w:name w:val="FS Heading Style 2 Char"/>
    <w:basedOn w:val="DefaultParagraphFont"/>
    <w:link w:val="FSHeadingStyle2"/>
    <w:rsid w:val="00D735E7"/>
    <w:rPr>
      <w:rFonts w:ascii="Arial" w:eastAsia="Times New Roman" w:hAnsi="Arial" w:cs="Arial"/>
      <w:bCs/>
      <w:color w:val="000000" w:themeColor="text1"/>
      <w:sz w:val="28"/>
      <w:szCs w:val="28"/>
      <w:lang w:val="en-GB" w:eastAsia="en-GB"/>
    </w:rPr>
  </w:style>
  <w:style w:type="character" w:customStyle="1" w:styleId="FSHeadingStyle1Char">
    <w:name w:val="FS Heading Style 1 Char"/>
    <w:basedOn w:val="DefaultParagraphFont"/>
    <w:link w:val="FSHeadingStyle1"/>
    <w:rsid w:val="00D735E7"/>
    <w:rPr>
      <w:rFonts w:ascii="Arial" w:eastAsia="Times New Roman" w:hAnsi="Arial" w:cs="Arial"/>
      <w:b/>
      <w:bCs/>
      <w:color w:val="002060"/>
      <w:sz w:val="36"/>
      <w:szCs w:val="36"/>
      <w:lang w:val="en-GB" w:eastAsia="en-GB"/>
    </w:rPr>
  </w:style>
  <w:style w:type="paragraph" w:customStyle="1" w:styleId="FSBodyStyle1">
    <w:name w:val="FS Body Style 1"/>
    <w:basedOn w:val="-Body-text"/>
    <w:link w:val="FSBodyStyle1Char"/>
    <w:qFormat/>
    <w:rsid w:val="00D735E7"/>
    <w:pPr>
      <w:spacing w:before="120"/>
    </w:pPr>
  </w:style>
  <w:style w:type="character" w:customStyle="1" w:styleId="-Body-textChar1">
    <w:name w:val="- Body - text Char1"/>
    <w:basedOn w:val="DefaultParagraphFont"/>
    <w:link w:val="-Body-text"/>
    <w:uiPriority w:val="99"/>
    <w:rsid w:val="00D735E7"/>
    <w:rPr>
      <w:rFonts w:ascii="Arial" w:eastAsia="Times New Roman" w:hAnsi="Arial" w:cs="Arial"/>
      <w:color w:val="000000"/>
      <w:sz w:val="17"/>
      <w:szCs w:val="17"/>
      <w:lang w:val="en-GB" w:eastAsia="en-GB"/>
    </w:rPr>
  </w:style>
  <w:style w:type="character" w:customStyle="1" w:styleId="FSBodyStyle1Char">
    <w:name w:val="FS Body Style 1 Char"/>
    <w:basedOn w:val="-Body-textChar1"/>
    <w:link w:val="FSBodyStyle1"/>
    <w:rsid w:val="00D735E7"/>
    <w:rPr>
      <w:rFonts w:ascii="Arial" w:eastAsia="Times New Roman" w:hAnsi="Arial" w:cs="Arial"/>
      <w:color w:val="000000"/>
      <w:sz w:val="17"/>
      <w:szCs w:val="1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603">
      <w:bodyDiv w:val="1"/>
      <w:marLeft w:val="0"/>
      <w:marRight w:val="0"/>
      <w:marTop w:val="0"/>
      <w:marBottom w:val="0"/>
      <w:divBdr>
        <w:top w:val="none" w:sz="0" w:space="0" w:color="auto"/>
        <w:left w:val="none" w:sz="0" w:space="0" w:color="auto"/>
        <w:bottom w:val="none" w:sz="0" w:space="0" w:color="auto"/>
        <w:right w:val="none" w:sz="0" w:space="0" w:color="auto"/>
      </w:divBdr>
    </w:div>
    <w:div w:id="127938800">
      <w:bodyDiv w:val="1"/>
      <w:marLeft w:val="0"/>
      <w:marRight w:val="0"/>
      <w:marTop w:val="0"/>
      <w:marBottom w:val="0"/>
      <w:divBdr>
        <w:top w:val="none" w:sz="0" w:space="0" w:color="auto"/>
        <w:left w:val="none" w:sz="0" w:space="0" w:color="auto"/>
        <w:bottom w:val="none" w:sz="0" w:space="0" w:color="auto"/>
        <w:right w:val="none" w:sz="0" w:space="0" w:color="auto"/>
      </w:divBdr>
    </w:div>
    <w:div w:id="255941001">
      <w:bodyDiv w:val="1"/>
      <w:marLeft w:val="0"/>
      <w:marRight w:val="0"/>
      <w:marTop w:val="0"/>
      <w:marBottom w:val="0"/>
      <w:divBdr>
        <w:top w:val="none" w:sz="0" w:space="0" w:color="auto"/>
        <w:left w:val="none" w:sz="0" w:space="0" w:color="auto"/>
        <w:bottom w:val="none" w:sz="0" w:space="0" w:color="auto"/>
        <w:right w:val="none" w:sz="0" w:space="0" w:color="auto"/>
      </w:divBdr>
    </w:div>
    <w:div w:id="333609419">
      <w:bodyDiv w:val="1"/>
      <w:marLeft w:val="0"/>
      <w:marRight w:val="0"/>
      <w:marTop w:val="0"/>
      <w:marBottom w:val="0"/>
      <w:divBdr>
        <w:top w:val="none" w:sz="0" w:space="0" w:color="auto"/>
        <w:left w:val="none" w:sz="0" w:space="0" w:color="auto"/>
        <w:bottom w:val="none" w:sz="0" w:space="0" w:color="auto"/>
        <w:right w:val="none" w:sz="0" w:space="0" w:color="auto"/>
      </w:divBdr>
    </w:div>
    <w:div w:id="436603275">
      <w:bodyDiv w:val="1"/>
      <w:marLeft w:val="0"/>
      <w:marRight w:val="0"/>
      <w:marTop w:val="0"/>
      <w:marBottom w:val="0"/>
      <w:divBdr>
        <w:top w:val="none" w:sz="0" w:space="0" w:color="auto"/>
        <w:left w:val="none" w:sz="0" w:space="0" w:color="auto"/>
        <w:bottom w:val="none" w:sz="0" w:space="0" w:color="auto"/>
        <w:right w:val="none" w:sz="0" w:space="0" w:color="auto"/>
      </w:divBdr>
    </w:div>
    <w:div w:id="1258126827">
      <w:bodyDiv w:val="1"/>
      <w:marLeft w:val="0"/>
      <w:marRight w:val="0"/>
      <w:marTop w:val="0"/>
      <w:marBottom w:val="0"/>
      <w:divBdr>
        <w:top w:val="none" w:sz="0" w:space="0" w:color="auto"/>
        <w:left w:val="none" w:sz="0" w:space="0" w:color="auto"/>
        <w:bottom w:val="none" w:sz="0" w:space="0" w:color="auto"/>
        <w:right w:val="none" w:sz="0" w:space="0" w:color="auto"/>
      </w:divBdr>
    </w:div>
    <w:div w:id="1750929270">
      <w:bodyDiv w:val="1"/>
      <w:marLeft w:val="0"/>
      <w:marRight w:val="0"/>
      <w:marTop w:val="0"/>
      <w:marBottom w:val="0"/>
      <w:divBdr>
        <w:top w:val="none" w:sz="0" w:space="0" w:color="auto"/>
        <w:left w:val="none" w:sz="0" w:space="0" w:color="auto"/>
        <w:bottom w:val="none" w:sz="0" w:space="0" w:color="auto"/>
        <w:right w:val="none" w:sz="0" w:space="0" w:color="auto"/>
      </w:divBdr>
    </w:div>
    <w:div w:id="1883442980">
      <w:bodyDiv w:val="1"/>
      <w:marLeft w:val="0"/>
      <w:marRight w:val="0"/>
      <w:marTop w:val="0"/>
      <w:marBottom w:val="0"/>
      <w:divBdr>
        <w:top w:val="none" w:sz="0" w:space="0" w:color="auto"/>
        <w:left w:val="none" w:sz="0" w:space="0" w:color="auto"/>
        <w:bottom w:val="none" w:sz="0" w:space="0" w:color="auto"/>
        <w:right w:val="none" w:sz="0" w:space="0" w:color="auto"/>
      </w:divBdr>
    </w:div>
    <w:div w:id="208340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yanair.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nvestor.ryanair.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2017-07-24T06:02:19+00:00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8B263-43E1-4297-8925-A8CEE61C4737}"/>
</file>

<file path=customXml/itemProps2.xml><?xml version="1.0" encoding="utf-8"?>
<ds:datastoreItem xmlns:ds="http://schemas.openxmlformats.org/officeDocument/2006/customXml" ds:itemID="{7E2667F0-92D5-4622-B40C-F5174A9C0BB7}"/>
</file>

<file path=customXml/itemProps3.xml><?xml version="1.0" encoding="utf-8"?>
<ds:datastoreItem xmlns:ds="http://schemas.openxmlformats.org/officeDocument/2006/customXml" ds:itemID="{7123F814-608F-4A8E-8D5A-786455110E5C}"/>
</file>

<file path=customXml/itemProps4.xml><?xml version="1.0" encoding="utf-8"?>
<ds:datastoreItem xmlns:ds="http://schemas.openxmlformats.org/officeDocument/2006/customXml" ds:itemID="{C60214A4-26D9-48D6-BE61-F7062F80B58C}"/>
</file>

<file path=docProps/app.xml><?xml version="1.0" encoding="utf-8"?>
<Properties xmlns="http://schemas.openxmlformats.org/officeDocument/2006/extended-properties" xmlns:vt="http://schemas.openxmlformats.org/officeDocument/2006/docPropsVTypes">
  <Template>Normal</Template>
  <TotalTime>9</TotalTime>
  <Pages>17</Pages>
  <Words>5853</Words>
  <Characters>33364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Ryanair Limited</Company>
  <LinksUpToDate>false</LinksUpToDate>
  <CharactersWithSpaces>39139</CharactersWithSpaces>
  <SharedDoc>false</SharedDoc>
  <HLinks>
    <vt:vector size="6" baseType="variant">
      <vt:variant>
        <vt:i4>2424943</vt:i4>
      </vt:variant>
      <vt:variant>
        <vt:i4>0</vt:i4>
      </vt:variant>
      <vt:variant>
        <vt:i4>0</vt:i4>
      </vt:variant>
      <vt:variant>
        <vt:i4>5</vt:i4>
      </vt:variant>
      <vt:variant>
        <vt:lpwstr>http://www.ryanair.com/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obriens</dc:creator>
  <cp:lastModifiedBy>Tennant Humphreys, Stephen</cp:lastModifiedBy>
  <cp:revision>7</cp:revision>
  <cp:lastPrinted>2017-07-21T17:02:00Z</cp:lastPrinted>
  <dcterms:created xsi:type="dcterms:W3CDTF">2017-07-21T16:40:00Z</dcterms:created>
  <dcterms:modified xsi:type="dcterms:W3CDTF">2017-07-24T02:52:00Z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0x010100BE156B1CF39149A8843C57AB06C49AFE0011B886BEF4CCD94F85F46E94360FD412</vt:lpwstr>
  </property>
  <property fmtid="{D5CDD505-2E9C-101B-9397-08002B2CF9AE}" pid="4" name="DocType_AnnouncementDocument">
    <vt:lpwstr>Announcement</vt:lpwstr>
  </property>
  <property fmtid="{D5CDD505-2E9C-101B-9397-08002B2CF9AE}" pid="6" name="SendToWeb">
    <vt:bool>false</vt:bool>
  </property>
  <property fmtid="{D5CDD505-2E9C-101B-9397-08002B2CF9AE}" pid="7" name="Visible">
    <vt:bool>false</vt:bool>
  </property>
  <property fmtid="{D5CDD505-2E9C-101B-9397-08002B2CF9AE}" pid="9" name="DocType_Miscellaneous">
    <vt:lpwstr>Miscellaneous</vt:lpwstr>
  </property>
  <property fmtid="{D5CDD505-2E9C-101B-9397-08002B2CF9AE}" pid="11" name="IssuerID">
    <vt:lpwstr/>
  </property>
  <property fmtid="{D5CDD505-2E9C-101B-9397-08002B2CF9AE}" pid="12" name="JobContentType">
    <vt:lpwstr/>
  </property>
  <property fmtid="{D5CDD505-2E9C-101B-9397-08002B2CF9AE}" pid="13" name="Organisation">
    <vt:lpwstr/>
  </property>
  <property fmtid="{D5CDD505-2E9C-101B-9397-08002B2CF9AE}" pid="14" name="MediaServiceImageTags">
    <vt:lpwstr/>
  </property>
  <property fmtid="{D5CDD505-2E9C-101B-9397-08002B2CF9AE}" pid="15" name="JobType">
    <vt:lpwstr/>
  </property>
  <property fmtid="{D5CDD505-2E9C-101B-9397-08002B2CF9AE}" pid="16" name="Contact">
    <vt:lpwstr/>
  </property>
  <property fmtid="{D5CDD505-2E9C-101B-9397-08002B2CF9AE}" pid="18" name="IssuerName">
    <vt:lpwstr/>
  </property>
</Properties>
</file>