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AC80B" w14:textId="758441B9" w:rsidR="00E11770" w:rsidRPr="008D7882" w:rsidRDefault="008D7882" w:rsidP="003359CA">
      <w:pPr>
        <w:jc w:val="center"/>
        <w:rPr>
          <w:rFonts w:ascii="Times New Roman" w:hAnsi="Times New Roman" w:cs="Times New Roman"/>
          <w:b/>
          <w:bCs/>
          <w:lang w:val="en-GB"/>
        </w:rPr>
      </w:pPr>
      <w:r w:rsidRPr="008D7882">
        <w:rPr>
          <w:rFonts w:ascii="Times New Roman" w:hAnsi="Times New Roman" w:cs="Times New Roman"/>
          <w:b/>
          <w:bCs/>
          <w:lang w:val="en-GB"/>
        </w:rPr>
        <w:t>RESOLUTIONS PASSED AT THE RYANAIR EGM HELD ON 17 DEC 2020</w:t>
      </w:r>
    </w:p>
    <w:p w14:paraId="5BD23B7B" w14:textId="79BEABA1"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1 – Shareholders’ Consent to the Migration</w:t>
      </w:r>
    </w:p>
    <w:p w14:paraId="2252DD8A" w14:textId="08E06373" w:rsidR="00F85DDF" w:rsidRPr="008D7882" w:rsidRDefault="00F85DDF" w:rsidP="00F85DDF">
      <w:pPr>
        <w:pStyle w:val="ListParagraph"/>
        <w:numPr>
          <w:ilvl w:val="0"/>
          <w:numId w:val="4"/>
        </w:numPr>
        <w:spacing w:after="209"/>
        <w:ind w:right="43"/>
        <w:rPr>
          <w:rFonts w:ascii="Times New Roman" w:hAnsi="Times New Roman" w:cs="Times New Roman"/>
        </w:rPr>
      </w:pPr>
      <w:r w:rsidRPr="008D7882">
        <w:rPr>
          <w:rFonts w:ascii="Times New Roman" w:eastAsia="Times New Roman" w:hAnsi="Times New Roman" w:cs="Times New Roman"/>
          <w:b/>
        </w:rPr>
        <w:t xml:space="preserve">Special resolution within the meaning of sections 4, 5 and 8 of the Migration of Participating Securities Act 2019 </w:t>
      </w:r>
    </w:p>
    <w:p w14:paraId="6009AD14" w14:textId="77777777" w:rsidR="00F85DDF" w:rsidRPr="008D7882" w:rsidRDefault="00F85DDF" w:rsidP="00F85DDF">
      <w:pPr>
        <w:spacing w:after="209"/>
        <w:ind w:left="764" w:right="43"/>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 xml:space="preserve">WHEREAS: </w:t>
      </w:r>
    </w:p>
    <w:p w14:paraId="6E41D013" w14:textId="77777777" w:rsidR="00F85DDF" w:rsidRPr="008D7882" w:rsidRDefault="00F85DDF" w:rsidP="00F85DDF">
      <w:pPr>
        <w:numPr>
          <w:ilvl w:val="0"/>
          <w:numId w:val="1"/>
        </w:numPr>
        <w:spacing w:after="0" w:line="248" w:lineRule="auto"/>
        <w:ind w:right="47" w:hanging="720"/>
        <w:jc w:val="both"/>
        <w:rPr>
          <w:rFonts w:ascii="Times New Roman" w:hAnsi="Times New Roman" w:cs="Times New Roman"/>
        </w:rPr>
      </w:pPr>
      <w:r w:rsidRPr="008D7882">
        <w:rPr>
          <w:rFonts w:ascii="Times New Roman" w:eastAsia="Times New Roman" w:hAnsi="Times New Roman" w:cs="Times New Roman"/>
        </w:rPr>
        <w:t>the Company has notified Euroclear Bank SA/NV (“</w:t>
      </w:r>
      <w:r w:rsidRPr="008D7882">
        <w:rPr>
          <w:rFonts w:ascii="Times New Roman" w:eastAsia="Times New Roman" w:hAnsi="Times New Roman" w:cs="Times New Roman"/>
          <w:b/>
        </w:rPr>
        <w:t>Euroclear Bank</w:t>
      </w:r>
      <w:r w:rsidRPr="008D7882">
        <w:rPr>
          <w:rFonts w:ascii="Times New Roman" w:eastAsia="Times New Roman" w:hAnsi="Times New Roman" w:cs="Times New Roman"/>
        </w:rPr>
        <w:t xml:space="preserve">”) by a letter </w:t>
      </w:r>
      <w:r w:rsidRPr="008D7882">
        <w:rPr>
          <w:rFonts w:ascii="Times New Roman" w:hAnsi="Times New Roman" w:cs="Times New Roman"/>
        </w:rPr>
        <w:t xml:space="preserve">dated 4 November 2020 of the proposal that the relevant Participating Securities in the </w:t>
      </w:r>
    </w:p>
    <w:p w14:paraId="6DD853BF" w14:textId="77777777" w:rsidR="00F85DDF" w:rsidRPr="008D7882" w:rsidRDefault="00F85DDF" w:rsidP="00F85DDF">
      <w:pPr>
        <w:ind w:left="1484" w:right="47"/>
        <w:rPr>
          <w:rFonts w:ascii="Times New Roman" w:hAnsi="Times New Roman" w:cs="Times New Roman"/>
        </w:rPr>
      </w:pPr>
      <w:r w:rsidRPr="008D7882">
        <w:rPr>
          <w:rFonts w:ascii="Times New Roman" w:hAnsi="Times New Roman" w:cs="Times New Roman"/>
        </w:rPr>
        <w:t xml:space="preserve">Company are to be the subject of the Migration, in accordance with the Migration of </w:t>
      </w:r>
      <w:r w:rsidRPr="008D7882">
        <w:rPr>
          <w:rFonts w:ascii="Times New Roman" w:eastAsia="Times New Roman" w:hAnsi="Times New Roman" w:cs="Times New Roman"/>
        </w:rPr>
        <w:t>Participating Securities Act 2019 (“</w:t>
      </w:r>
      <w:r w:rsidRPr="008D7882">
        <w:rPr>
          <w:rFonts w:ascii="Times New Roman" w:eastAsia="Times New Roman" w:hAnsi="Times New Roman" w:cs="Times New Roman"/>
          <w:b/>
        </w:rPr>
        <w:t>Migration Act</w:t>
      </w:r>
      <w:r w:rsidRPr="008D7882">
        <w:rPr>
          <w:rFonts w:ascii="Times New Roman" w:eastAsia="Times New Roman" w:hAnsi="Times New Roman" w:cs="Times New Roman"/>
        </w:rPr>
        <w:t>”);</w:t>
      </w:r>
      <w:r w:rsidRPr="008D7882">
        <w:rPr>
          <w:rFonts w:ascii="Times New Roman" w:hAnsi="Times New Roman" w:cs="Times New Roman"/>
        </w:rPr>
        <w:t xml:space="preserve"> </w:t>
      </w:r>
    </w:p>
    <w:p w14:paraId="1F11C77E" w14:textId="77777777" w:rsidR="00F85DDF" w:rsidRPr="008D7882" w:rsidRDefault="00F85DDF" w:rsidP="00F85DDF">
      <w:pPr>
        <w:numPr>
          <w:ilvl w:val="0"/>
          <w:numId w:val="1"/>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the Company has received a statement in writing from Euroclear Bank dated 6 November 2020 (as required by section 5(6)(a) of the Migration Act) to the effect that </w:t>
      </w:r>
      <w:r w:rsidRPr="008D7882">
        <w:rPr>
          <w:rFonts w:ascii="Times New Roman" w:eastAsia="Times New Roman" w:hAnsi="Times New Roman" w:cs="Times New Roman"/>
        </w:rPr>
        <w:t xml:space="preserve">the provision of the services of Euroclear Bank’s settlement system to the Company </w:t>
      </w:r>
      <w:r w:rsidRPr="008D7882">
        <w:rPr>
          <w:rFonts w:ascii="Times New Roman" w:hAnsi="Times New Roman" w:cs="Times New Roman"/>
        </w:rPr>
        <w:t xml:space="preserve">will, on and from the Live Date, be in compliance with Article 23 of Regulation (EU) No 909/2014 of the European Parliament and of the Council of 23 July 2014 </w:t>
      </w:r>
      <w:r w:rsidRPr="008D7882">
        <w:rPr>
          <w:rFonts w:ascii="Times New Roman" w:eastAsia="Times New Roman" w:hAnsi="Times New Roman" w:cs="Times New Roman"/>
        </w:rPr>
        <w:t>(“</w:t>
      </w:r>
      <w:r w:rsidRPr="008D7882">
        <w:rPr>
          <w:rFonts w:ascii="Times New Roman" w:eastAsia="Times New Roman" w:hAnsi="Times New Roman" w:cs="Times New Roman"/>
          <w:b/>
        </w:rPr>
        <w:t>CSDR</w:t>
      </w:r>
      <w:r w:rsidRPr="008D7882">
        <w:rPr>
          <w:rFonts w:ascii="Times New Roman" w:eastAsia="Times New Roman" w:hAnsi="Times New Roman" w:cs="Times New Roman"/>
        </w:rPr>
        <w:t>”); and</w:t>
      </w:r>
      <w:r w:rsidRPr="008D7882">
        <w:rPr>
          <w:rFonts w:ascii="Times New Roman" w:hAnsi="Times New Roman" w:cs="Times New Roman"/>
        </w:rPr>
        <w:t xml:space="preserve"> </w:t>
      </w:r>
    </w:p>
    <w:p w14:paraId="081EDF0E" w14:textId="77777777" w:rsidR="00F85DDF" w:rsidRPr="008D7882" w:rsidRDefault="00F85DDF" w:rsidP="00F85DDF">
      <w:pPr>
        <w:numPr>
          <w:ilvl w:val="0"/>
          <w:numId w:val="1"/>
        </w:numPr>
        <w:spacing w:after="237" w:line="248" w:lineRule="auto"/>
        <w:ind w:right="47" w:hanging="720"/>
        <w:jc w:val="both"/>
        <w:rPr>
          <w:rFonts w:ascii="Times New Roman" w:hAnsi="Times New Roman" w:cs="Times New Roman"/>
        </w:rPr>
      </w:pPr>
      <w:r w:rsidRPr="008D7882">
        <w:rPr>
          <w:rFonts w:ascii="Times New Roman" w:hAnsi="Times New Roman" w:cs="Times New Roman"/>
        </w:rPr>
        <w:t xml:space="preserve">the Company has received the statement from Euroclear Bank dated 6 November 2020 (as required by section 5(6)(b) of the Migration Act) to the effect that following: </w:t>
      </w:r>
    </w:p>
    <w:p w14:paraId="235FCAFE" w14:textId="77777777" w:rsidR="00F85DDF" w:rsidRPr="008D7882" w:rsidRDefault="00F85DDF" w:rsidP="00F85DDF">
      <w:pPr>
        <w:numPr>
          <w:ilvl w:val="1"/>
          <w:numId w:val="1"/>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 xml:space="preserve">such inquiries as have been made of the Company by Euroclear Bank; and </w:t>
      </w:r>
    </w:p>
    <w:p w14:paraId="2CFB40E0" w14:textId="77777777" w:rsidR="00F85DDF" w:rsidRPr="008D7882" w:rsidRDefault="00F85DDF" w:rsidP="00F85DDF">
      <w:pPr>
        <w:numPr>
          <w:ilvl w:val="1"/>
          <w:numId w:val="1"/>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 xml:space="preserve">the provision of such information by or on behalf of the Company, in writing, to Euroclear Bank as specified by Euroclear Bank, </w:t>
      </w:r>
    </w:p>
    <w:p w14:paraId="3DF4999B" w14:textId="77777777" w:rsidR="00F85DDF" w:rsidRPr="008D7882" w:rsidRDefault="00F85DDF" w:rsidP="00F85DDF">
      <w:pPr>
        <w:ind w:left="1484" w:right="47"/>
        <w:rPr>
          <w:rFonts w:ascii="Times New Roman" w:hAnsi="Times New Roman" w:cs="Times New Roman"/>
        </w:rPr>
      </w:pPr>
      <w:r w:rsidRPr="008D7882">
        <w:rPr>
          <w:rFonts w:ascii="Times New Roman" w:hAnsi="Times New Roman" w:cs="Times New Roman"/>
        </w:rPr>
        <w:t xml:space="preserve">Euroclear Bank is satisfied that the relevant Participating Securities in the Company meet the criteria stipulated by Euroclear Bank for the entry of the Participating Securities into the settlement system operated by Euroclear Bank; </w:t>
      </w:r>
    </w:p>
    <w:p w14:paraId="6BB5AD0B"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b/>
        </w:rPr>
        <w:t xml:space="preserve">IT IS HEREBY RESOLVED </w:t>
      </w:r>
      <w:r w:rsidRPr="008D7882">
        <w:rPr>
          <w:rFonts w:ascii="Times New Roman" w:hAnsi="Times New Roman" w:cs="Times New Roman"/>
        </w:rPr>
        <w:t>that this meeting approves of the Company giving its consent to the Migration o</w:t>
      </w:r>
      <w:r w:rsidRPr="008D7882">
        <w:rPr>
          <w:rFonts w:ascii="Times New Roman" w:eastAsia="Times New Roman" w:hAnsi="Times New Roman" w:cs="Times New Roman"/>
        </w:rPr>
        <w:t xml:space="preserve">f the Migrating Shares to Euroclear Bank’s central securities depository </w:t>
      </w:r>
      <w:r w:rsidRPr="008D7882">
        <w:rPr>
          <w:rFonts w:ascii="Times New Roman" w:hAnsi="Times New Roman" w:cs="Times New Roman"/>
        </w:rPr>
        <w:t xml:space="preserve">(which is authorised in Belgium for the purposes of CSDR) on the basis that the implementation of the Migration shall be determined by and take effect subject to a resolution of the board of directors of the Company (or a committee thereof) at its discretion and provided that as part of the Migration the title to the Migrating Shares will become and be vested in Euroclear Nominees Limited, being a company incorporated under the laws of England and Wales with </w:t>
      </w:r>
      <w:r w:rsidRPr="008D7882">
        <w:rPr>
          <w:rFonts w:ascii="Times New Roman" w:eastAsia="Times New Roman" w:hAnsi="Times New Roman" w:cs="Times New Roman"/>
        </w:rPr>
        <w:t>registration number 02369969 (“</w:t>
      </w:r>
      <w:r w:rsidRPr="008D7882">
        <w:rPr>
          <w:rFonts w:ascii="Times New Roman" w:eastAsia="Times New Roman" w:hAnsi="Times New Roman" w:cs="Times New Roman"/>
          <w:b/>
        </w:rPr>
        <w:t>Euroclear Nominees</w:t>
      </w:r>
      <w:r w:rsidRPr="008D7882">
        <w:rPr>
          <w:rFonts w:ascii="Times New Roman" w:eastAsia="Times New Roman" w:hAnsi="Times New Roman" w:cs="Times New Roman"/>
        </w:rPr>
        <w:t xml:space="preserve">”), as part of the Migration and acting in </w:t>
      </w:r>
      <w:r w:rsidRPr="008D7882">
        <w:rPr>
          <w:rFonts w:ascii="Times New Roman" w:hAnsi="Times New Roman" w:cs="Times New Roman"/>
        </w:rPr>
        <w:t xml:space="preserve">its capacity as the trustee for and/or nominee of Euroclear Bank for the purposes of the Migrating Shares being admitted to the Euroclear System.  It being understood that: </w:t>
      </w:r>
      <w:r w:rsidRPr="008D7882">
        <w:rPr>
          <w:rFonts w:ascii="Times New Roman" w:eastAsia="Times New Roman" w:hAnsi="Times New Roman" w:cs="Times New Roman"/>
        </w:rPr>
        <w:t>“</w:t>
      </w:r>
      <w:r w:rsidRPr="008D7882">
        <w:rPr>
          <w:rFonts w:ascii="Times New Roman" w:eastAsia="Times New Roman" w:hAnsi="Times New Roman" w:cs="Times New Roman"/>
          <w:b/>
        </w:rPr>
        <w:t>Circular</w:t>
      </w:r>
      <w:r w:rsidRPr="008D7882">
        <w:rPr>
          <w:rFonts w:ascii="Times New Roman" w:eastAsia="Times New Roman" w:hAnsi="Times New Roman" w:cs="Times New Roman"/>
        </w:rPr>
        <w:t xml:space="preserve">” means the circular issued by the Company to its shareholders on 24 November 2020 </w:t>
      </w:r>
      <w:r w:rsidRPr="008D7882">
        <w:rPr>
          <w:rFonts w:ascii="Times New Roman" w:hAnsi="Times New Roman" w:cs="Times New Roman"/>
        </w:rPr>
        <w:t xml:space="preserve">and dated 17 November 2020; </w:t>
      </w:r>
    </w:p>
    <w:p w14:paraId="33BC61C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Euroclear System</w:t>
      </w:r>
      <w:r w:rsidRPr="008D7882">
        <w:rPr>
          <w:rFonts w:ascii="Times New Roman" w:eastAsia="Times New Roman" w:hAnsi="Times New Roman" w:cs="Times New Roman"/>
        </w:rPr>
        <w:t>”</w:t>
      </w:r>
      <w:r w:rsidRPr="008D7882">
        <w:rPr>
          <w:rFonts w:ascii="Times New Roman" w:hAnsi="Times New Roman" w:cs="Times New Roman"/>
        </w:rPr>
        <w:t xml:space="preserve"> has the same meaning as defined in the Circular; </w:t>
      </w:r>
    </w:p>
    <w:p w14:paraId="5CFEEC2C"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Live Date</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3AB743A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Migration</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23AA43B1"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Migrating Shares</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w:t>
      </w:r>
    </w:p>
    <w:p w14:paraId="55F3ACB9"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Participating Securities</w:t>
      </w:r>
      <w:r w:rsidRPr="008D7882">
        <w:rPr>
          <w:rFonts w:ascii="Times New Roman" w:eastAsia="Times New Roman" w:hAnsi="Times New Roman" w:cs="Times New Roman"/>
        </w:rPr>
        <w:t xml:space="preserve">” </w:t>
      </w:r>
      <w:r w:rsidRPr="008D7882">
        <w:rPr>
          <w:rFonts w:ascii="Times New Roman" w:hAnsi="Times New Roman" w:cs="Times New Roman"/>
        </w:rPr>
        <w:t xml:space="preserve">has the same meaning as defined in the Circular; and </w:t>
      </w:r>
    </w:p>
    <w:p w14:paraId="003623BB" w14:textId="77777777" w:rsidR="00F85DDF" w:rsidRPr="008D7882" w:rsidRDefault="00F85DDF" w:rsidP="00F85DDF">
      <w:pPr>
        <w:spacing w:after="219" w:line="249" w:lineRule="auto"/>
        <w:ind w:left="764" w:right="41"/>
        <w:rPr>
          <w:rFonts w:ascii="Times New Roman" w:hAnsi="Times New Roman" w:cs="Times New Roman"/>
        </w:rPr>
      </w:pPr>
      <w:r w:rsidRPr="008D7882">
        <w:rPr>
          <w:rFonts w:ascii="Times New Roman" w:eastAsia="Times New Roman" w:hAnsi="Times New Roman" w:cs="Times New Roman"/>
        </w:rPr>
        <w:lastRenderedPageBreak/>
        <w:t>“</w:t>
      </w:r>
      <w:r w:rsidRPr="008D7882">
        <w:rPr>
          <w:rFonts w:ascii="Times New Roman" w:eastAsia="Times New Roman" w:hAnsi="Times New Roman" w:cs="Times New Roman"/>
          <w:b/>
        </w:rPr>
        <w:t>relevant Participating Securities</w:t>
      </w:r>
      <w:r w:rsidRPr="008D7882">
        <w:rPr>
          <w:rFonts w:ascii="Times New Roman" w:eastAsia="Times New Roman" w:hAnsi="Times New Roman" w:cs="Times New Roman"/>
        </w:rPr>
        <w:t>” means all Participating Securities recorded in the register of members of the Company on the Live Date.”</w:t>
      </w:r>
      <w:r w:rsidRPr="008D7882">
        <w:rPr>
          <w:rFonts w:ascii="Times New Roman" w:hAnsi="Times New Roman" w:cs="Times New Roman"/>
        </w:rPr>
        <w:t xml:space="preserve"> </w:t>
      </w:r>
    </w:p>
    <w:p w14:paraId="0075FD7E" w14:textId="77777777" w:rsidR="00B06B12" w:rsidRPr="008D7882" w:rsidRDefault="00B06B12" w:rsidP="00B06B12">
      <w:pPr>
        <w:jc w:val="both"/>
        <w:rPr>
          <w:rFonts w:ascii="Times New Roman" w:hAnsi="Times New Roman" w:cs="Times New Roman"/>
          <w:lang w:val="en-GB"/>
        </w:rPr>
      </w:pPr>
    </w:p>
    <w:p w14:paraId="2EB2E3B9" w14:textId="682F53E0"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2 – Approval and Adoption of New Articles of Association</w:t>
      </w:r>
    </w:p>
    <w:p w14:paraId="3B948482" w14:textId="555581D7" w:rsidR="00F85DDF" w:rsidRPr="008D7882" w:rsidRDefault="00F85DDF" w:rsidP="00F85DDF">
      <w:pPr>
        <w:pStyle w:val="ListParagraph"/>
        <w:numPr>
          <w:ilvl w:val="0"/>
          <w:numId w:val="3"/>
        </w:numPr>
        <w:spacing w:after="209" w:line="248" w:lineRule="auto"/>
        <w:ind w:right="43"/>
        <w:jc w:val="both"/>
        <w:rPr>
          <w:rFonts w:ascii="Times New Roman" w:hAnsi="Times New Roman" w:cs="Times New Roman"/>
        </w:rPr>
      </w:pPr>
      <w:r w:rsidRPr="008D7882">
        <w:rPr>
          <w:rFonts w:ascii="Times New Roman" w:eastAsia="Times New Roman" w:hAnsi="Times New Roman" w:cs="Times New Roman"/>
          <w:b/>
        </w:rPr>
        <w:t>Special resolution for the purposes of the Companies Act 2014, as amended (</w:t>
      </w:r>
      <w:r w:rsidRPr="008D7882">
        <w:rPr>
          <w:rFonts w:ascii="Times New Roman" w:eastAsia="Times New Roman" w:hAnsi="Times New Roman" w:cs="Times New Roman"/>
        </w:rPr>
        <w:t>“</w:t>
      </w:r>
      <w:r w:rsidRPr="008D7882">
        <w:rPr>
          <w:rFonts w:ascii="Times New Roman" w:eastAsia="Times New Roman" w:hAnsi="Times New Roman" w:cs="Times New Roman"/>
          <w:b/>
        </w:rPr>
        <w:t>Companies Act</w:t>
      </w:r>
      <w:r w:rsidRPr="008D7882">
        <w:rPr>
          <w:rFonts w:ascii="Times New Roman" w:eastAsia="Times New Roman" w:hAnsi="Times New Roman" w:cs="Times New Roman"/>
        </w:rPr>
        <w:t>”</w:t>
      </w:r>
      <w:r w:rsidRPr="008D7882">
        <w:rPr>
          <w:rFonts w:ascii="Times New Roman" w:eastAsia="Times New Roman" w:hAnsi="Times New Roman" w:cs="Times New Roman"/>
          <w:b/>
        </w:rPr>
        <w:t xml:space="preserve">) </w:t>
      </w:r>
    </w:p>
    <w:p w14:paraId="4BAC404C" w14:textId="77777777" w:rsidR="00F85DDF" w:rsidRPr="008D7882" w:rsidRDefault="00F85DDF" w:rsidP="00F85DDF">
      <w:pPr>
        <w:spacing w:after="0"/>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THAT</w:t>
      </w:r>
      <w:r w:rsidRPr="008D7882">
        <w:rPr>
          <w:rFonts w:ascii="Times New Roman" w:hAnsi="Times New Roman" w:cs="Times New Roman"/>
        </w:rPr>
        <w:t xml:space="preserve">, subject to the adoption of Resolution 1 in the Notice of this EGM, the Articles of Association of the Company, which have been signed by the Chairman of the EGM for identification purposes and which have been available for inspection at the registered office of the Company since the date of the Notice of this EGM, be approved and adopted as the new Articles of Association of the Company on and with immediate effect from the passing of this </w:t>
      </w:r>
    </w:p>
    <w:p w14:paraId="5DDB744C" w14:textId="7FB2B1BE" w:rsidR="00B06B12" w:rsidRPr="008D7882" w:rsidRDefault="00F85DDF" w:rsidP="00F85DDF">
      <w:pPr>
        <w:spacing w:after="219" w:line="249" w:lineRule="auto"/>
        <w:ind w:left="764" w:right="41"/>
        <w:rPr>
          <w:rFonts w:ascii="Times New Roman" w:hAnsi="Times New Roman" w:cs="Times New Roman"/>
        </w:rPr>
      </w:pPr>
      <w:r w:rsidRPr="008D7882">
        <w:rPr>
          <w:rFonts w:ascii="Times New Roman" w:hAnsi="Times New Roman" w:cs="Times New Roman"/>
        </w:rPr>
        <w:t xml:space="preserve">Resolution </w:t>
      </w:r>
      <w:r w:rsidRPr="008D7882">
        <w:rPr>
          <w:rFonts w:ascii="Times New Roman" w:eastAsia="Times New Roman" w:hAnsi="Times New Roman" w:cs="Times New Roman"/>
        </w:rPr>
        <w:t>and to the exclusion of, the existing Articles of Association of the Company.”</w:t>
      </w:r>
      <w:r w:rsidRPr="008D7882">
        <w:rPr>
          <w:rFonts w:ascii="Times New Roman" w:hAnsi="Times New Roman" w:cs="Times New Roman"/>
        </w:rPr>
        <w:t xml:space="preserve"> </w:t>
      </w:r>
    </w:p>
    <w:p w14:paraId="0559BC57" w14:textId="77777777" w:rsidR="00F85DDF" w:rsidRPr="008D7882" w:rsidRDefault="00F85DDF" w:rsidP="00F85DDF">
      <w:pPr>
        <w:spacing w:after="219" w:line="249" w:lineRule="auto"/>
        <w:ind w:left="764" w:right="41"/>
        <w:rPr>
          <w:rFonts w:ascii="Times New Roman" w:hAnsi="Times New Roman" w:cs="Times New Roman"/>
        </w:rPr>
      </w:pPr>
    </w:p>
    <w:p w14:paraId="1C598D7D" w14:textId="47A745D8" w:rsidR="003359CA" w:rsidRPr="008D7882" w:rsidRDefault="003359CA" w:rsidP="00B06B12">
      <w:pPr>
        <w:jc w:val="both"/>
        <w:rPr>
          <w:rFonts w:ascii="Times New Roman" w:hAnsi="Times New Roman" w:cs="Times New Roman"/>
          <w:b/>
          <w:bCs/>
          <w:lang w:val="en-GB"/>
        </w:rPr>
      </w:pPr>
      <w:r w:rsidRPr="008D7882">
        <w:rPr>
          <w:rFonts w:ascii="Times New Roman" w:hAnsi="Times New Roman" w:cs="Times New Roman"/>
          <w:b/>
          <w:bCs/>
          <w:lang w:val="en-GB"/>
        </w:rPr>
        <w:t>Resolution 3 – To authorise and instruct the Directors to take all necessary steps to give effect to the Migration</w:t>
      </w:r>
    </w:p>
    <w:p w14:paraId="70DEC9B9" w14:textId="5916F6DA" w:rsidR="00F85DDF" w:rsidRPr="008D7882" w:rsidRDefault="00F85DDF" w:rsidP="00F85DDF">
      <w:pPr>
        <w:pStyle w:val="ListParagraph"/>
        <w:numPr>
          <w:ilvl w:val="0"/>
          <w:numId w:val="3"/>
        </w:numPr>
        <w:spacing w:after="209" w:line="248" w:lineRule="auto"/>
        <w:ind w:right="43"/>
        <w:jc w:val="both"/>
        <w:rPr>
          <w:rFonts w:ascii="Times New Roman" w:hAnsi="Times New Roman" w:cs="Times New Roman"/>
        </w:rPr>
      </w:pPr>
      <w:r w:rsidRPr="008D7882">
        <w:rPr>
          <w:rFonts w:ascii="Times New Roman" w:eastAsia="Times New Roman" w:hAnsi="Times New Roman" w:cs="Times New Roman"/>
          <w:b/>
        </w:rPr>
        <w:t xml:space="preserve">Ordinary resolution for the purposes of the Companies Act </w:t>
      </w:r>
    </w:p>
    <w:p w14:paraId="2DEDB7E4" w14:textId="77777777" w:rsidR="00F85DDF" w:rsidRPr="008D7882" w:rsidRDefault="00F85DDF" w:rsidP="00F85DDF">
      <w:pPr>
        <w:ind w:left="764" w:right="47"/>
        <w:rPr>
          <w:rFonts w:ascii="Times New Roman" w:hAnsi="Times New Roman" w:cs="Times New Roman"/>
        </w:rPr>
      </w:pPr>
      <w:r w:rsidRPr="008D7882">
        <w:rPr>
          <w:rFonts w:ascii="Times New Roman" w:eastAsia="Times New Roman" w:hAnsi="Times New Roman" w:cs="Times New Roman"/>
        </w:rPr>
        <w:t>“</w:t>
      </w:r>
      <w:r w:rsidRPr="008D7882">
        <w:rPr>
          <w:rFonts w:ascii="Times New Roman" w:eastAsia="Times New Roman" w:hAnsi="Times New Roman" w:cs="Times New Roman"/>
          <w:b/>
        </w:rPr>
        <w:t>THAT</w:t>
      </w:r>
      <w:r w:rsidRPr="008D7882">
        <w:rPr>
          <w:rFonts w:ascii="Times New Roman" w:hAnsi="Times New Roman" w:cs="Times New Roman"/>
        </w:rPr>
        <w:t xml:space="preserve">, subject to the adoption of Resolutions 1 and 2 in the Notice of this EGM, the Company be and is hereby authorised and instructed to:  </w:t>
      </w:r>
    </w:p>
    <w:p w14:paraId="13B47F12" w14:textId="77777777" w:rsidR="00F85DDF" w:rsidRPr="008D7882" w:rsidRDefault="00F85DDF" w:rsidP="00F85DDF">
      <w:pPr>
        <w:numPr>
          <w:ilvl w:val="1"/>
          <w:numId w:val="2"/>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take any and all actions which the Directors, in their absolute discretion, consider necessary or desirable to implement the Migration and/or the matters in connection with the Migration referred to in the Circular (including the procedures and processes described in the EB Migration Guide (as amended from time to time)); and </w:t>
      </w:r>
    </w:p>
    <w:p w14:paraId="0E7B95D5" w14:textId="77777777" w:rsidR="00F85DDF" w:rsidRPr="008D7882" w:rsidRDefault="00F85DDF" w:rsidP="00F85DDF">
      <w:pPr>
        <w:numPr>
          <w:ilvl w:val="1"/>
          <w:numId w:val="2"/>
        </w:numPr>
        <w:spacing w:after="211" w:line="248" w:lineRule="auto"/>
        <w:ind w:right="47" w:hanging="720"/>
        <w:jc w:val="both"/>
        <w:rPr>
          <w:rFonts w:ascii="Times New Roman" w:hAnsi="Times New Roman" w:cs="Times New Roman"/>
        </w:rPr>
      </w:pPr>
      <w:r w:rsidRPr="008D7882">
        <w:rPr>
          <w:rFonts w:ascii="Times New Roman" w:hAnsi="Times New Roman" w:cs="Times New Roman"/>
        </w:rPr>
        <w:t xml:space="preserve">appoint any persons as attorney or agent for the holders of the Migrating Shares to do any and all things, including the execution and delivery of all such documents and/or instructions as may, in the opinion of the attorney or agent, be necessary or desirable to implement the Migration and/or the matters in connection with the Migration referred to in the Circular (including the procedures and processes described in the EB Migration Guide (as amended from time to time)) including: </w:t>
      </w:r>
    </w:p>
    <w:p w14:paraId="362FBA03" w14:textId="77777777" w:rsidR="00F85DDF" w:rsidRPr="008D7882" w:rsidRDefault="00F85DDF" w:rsidP="00F85DDF">
      <w:pPr>
        <w:numPr>
          <w:ilvl w:val="2"/>
          <w:numId w:val="2"/>
        </w:numPr>
        <w:spacing w:after="235" w:line="248" w:lineRule="auto"/>
        <w:ind w:left="2195" w:right="47" w:hanging="721"/>
        <w:jc w:val="both"/>
        <w:rPr>
          <w:rFonts w:ascii="Times New Roman" w:hAnsi="Times New Roman" w:cs="Times New Roman"/>
        </w:rPr>
      </w:pPr>
      <w:r w:rsidRPr="008D7882">
        <w:rPr>
          <w:rFonts w:ascii="Times New Roman" w:hAnsi="Times New Roman" w:cs="Times New Roman"/>
        </w:rPr>
        <w:t xml:space="preserve">instructing Euroclear Bank and/or Euroclear Nominees to credit the interests of the holders of the Migrating Shares in the Migrating Shares (i.e. the Belgian Law Rights representing the Migrating Shares to which such holder was entitled) to the account of the CREST Nominee (CIN (Belgium) Limited) in the Euroclear System, as nominee and for the benefit of the CREST Depository (or the account of such other nominee(s) of the CREST Depository as it may determine);   </w:t>
      </w:r>
    </w:p>
    <w:p w14:paraId="5FFFD051" w14:textId="77777777" w:rsidR="00F85DDF" w:rsidRPr="008D7882" w:rsidRDefault="00F85DDF" w:rsidP="00F85DDF">
      <w:pPr>
        <w:numPr>
          <w:ilvl w:val="2"/>
          <w:numId w:val="2"/>
        </w:numPr>
        <w:spacing w:after="216" w:line="240" w:lineRule="auto"/>
        <w:ind w:left="2195" w:right="47" w:hanging="721"/>
        <w:jc w:val="both"/>
        <w:rPr>
          <w:rFonts w:ascii="Times New Roman" w:hAnsi="Times New Roman" w:cs="Times New Roman"/>
        </w:rPr>
      </w:pPr>
      <w:r w:rsidRPr="008D7882">
        <w:rPr>
          <w:rFonts w:ascii="Times New Roman" w:hAnsi="Times New Roman" w:cs="Times New Roman"/>
        </w:rPr>
        <w:t>any action necessary or desirable to enable the CREST Depository to hold the interests in the Migrating Shares referred to in sub-paragraph (</w:t>
      </w:r>
      <w:proofErr w:type="spellStart"/>
      <w:r w:rsidRPr="008D7882">
        <w:rPr>
          <w:rFonts w:ascii="Times New Roman" w:hAnsi="Times New Roman" w:cs="Times New Roman"/>
        </w:rPr>
        <w:t>i</w:t>
      </w:r>
      <w:proofErr w:type="spellEnd"/>
      <w:r w:rsidRPr="008D7882">
        <w:rPr>
          <w:rFonts w:ascii="Times New Roman" w:hAnsi="Times New Roman" w:cs="Times New Roman"/>
        </w:rPr>
        <w:t xml:space="preserve">) above on trust pursuant to the terms of the CREST Deed Poll or otherwise and for the benefit of the holders of the </w:t>
      </w:r>
      <w:r w:rsidRPr="008D7882">
        <w:rPr>
          <w:rFonts w:ascii="Times New Roman" w:eastAsia="Times New Roman" w:hAnsi="Times New Roman" w:cs="Times New Roman"/>
        </w:rPr>
        <w:t>CREST Depository Interests (“</w:t>
      </w:r>
      <w:r w:rsidRPr="008D7882">
        <w:rPr>
          <w:rFonts w:ascii="Times New Roman" w:eastAsia="Times New Roman" w:hAnsi="Times New Roman" w:cs="Times New Roman"/>
          <w:b/>
        </w:rPr>
        <w:t>CDIs</w:t>
      </w:r>
      <w:r w:rsidRPr="008D7882">
        <w:rPr>
          <w:rFonts w:ascii="Times New Roman" w:eastAsia="Times New Roman" w:hAnsi="Times New Roman" w:cs="Times New Roman"/>
        </w:rPr>
        <w:t>”)</w:t>
      </w:r>
      <w:r w:rsidRPr="008D7882">
        <w:rPr>
          <w:rFonts w:ascii="Times New Roman" w:hAnsi="Times New Roman" w:cs="Times New Roman"/>
        </w:rPr>
        <w:t xml:space="preserve"> (being the relevant holders of the Migrating Shares);     </w:t>
      </w:r>
    </w:p>
    <w:p w14:paraId="73E79B59" w14:textId="77777777" w:rsidR="00F85DDF" w:rsidRPr="008D7882" w:rsidRDefault="00F85DDF" w:rsidP="00F85DDF">
      <w:pPr>
        <w:numPr>
          <w:ilvl w:val="2"/>
          <w:numId w:val="2"/>
        </w:numPr>
        <w:spacing w:after="0" w:line="248" w:lineRule="auto"/>
        <w:ind w:left="2195" w:right="47" w:hanging="721"/>
        <w:jc w:val="both"/>
        <w:rPr>
          <w:rFonts w:ascii="Times New Roman" w:hAnsi="Times New Roman" w:cs="Times New Roman"/>
        </w:rPr>
      </w:pPr>
      <w:r w:rsidRPr="008D7882">
        <w:rPr>
          <w:rFonts w:ascii="Times New Roman" w:hAnsi="Times New Roman" w:cs="Times New Roman"/>
        </w:rPr>
        <w:t xml:space="preserve">any action necessary or desirable to enable the issuance of CDIs by the CREST Depository to the relevant holders of the Migrating Shares, including </w:t>
      </w:r>
      <w:r w:rsidRPr="008D7882">
        <w:rPr>
          <w:rFonts w:ascii="Times New Roman" w:hAnsi="Times New Roman" w:cs="Times New Roman"/>
        </w:rPr>
        <w:lastRenderedPageBreak/>
        <w:t xml:space="preserve">any action deemed necessary or desirable in order to authorise Euroclear Bank, the CREST Nominee and/or any other relevant entity to instruct the CREST </w:t>
      </w:r>
    </w:p>
    <w:p w14:paraId="173FA311" w14:textId="77777777" w:rsidR="00F85DDF" w:rsidRPr="008D7882" w:rsidRDefault="00F85DDF" w:rsidP="00F85DDF">
      <w:pPr>
        <w:ind w:left="2204" w:right="47"/>
        <w:rPr>
          <w:rFonts w:ascii="Times New Roman" w:hAnsi="Times New Roman" w:cs="Times New Roman"/>
        </w:rPr>
      </w:pPr>
      <w:r w:rsidRPr="008D7882">
        <w:rPr>
          <w:rFonts w:ascii="Times New Roman" w:hAnsi="Times New Roman" w:cs="Times New Roman"/>
        </w:rPr>
        <w:t xml:space="preserve">Depository and/or EUI to issue the CDIs to the relevant holders of the Migrating Shares pursuant to the terms of the CREST Deed Poll or otherwise; and </w:t>
      </w:r>
    </w:p>
    <w:p w14:paraId="7F5F6EDB" w14:textId="77777777" w:rsidR="00F85DDF" w:rsidRPr="008D7882" w:rsidRDefault="00F85DDF" w:rsidP="00F85DDF">
      <w:pPr>
        <w:numPr>
          <w:ilvl w:val="2"/>
          <w:numId w:val="2"/>
        </w:numPr>
        <w:spacing w:after="211" w:line="248" w:lineRule="auto"/>
        <w:ind w:left="2195" w:right="47" w:hanging="721"/>
        <w:jc w:val="both"/>
        <w:rPr>
          <w:rFonts w:ascii="Times New Roman" w:hAnsi="Times New Roman" w:cs="Times New Roman"/>
        </w:rPr>
      </w:pPr>
      <w:r w:rsidRPr="008D7882">
        <w:rPr>
          <w:rFonts w:ascii="Times New Roman" w:hAnsi="Times New Roman" w:cs="Times New Roman"/>
        </w:rPr>
        <w:t>the release by the C</w:t>
      </w:r>
      <w:r w:rsidRPr="008D7882">
        <w:rPr>
          <w:rFonts w:ascii="Times New Roman" w:eastAsia="Times New Roman" w:hAnsi="Times New Roman" w:cs="Times New Roman"/>
        </w:rPr>
        <w:t xml:space="preserve">ompany’s </w:t>
      </w:r>
      <w:r w:rsidRPr="008D7882">
        <w:rPr>
          <w:rFonts w:ascii="Times New Roman" w:hAnsi="Times New Roman" w:cs="Times New Roman"/>
        </w:rPr>
        <w:t xml:space="preserve">registrar, the secretary of the Company and/or EUI of such personal data of a holder of Migrating Shares to the extent required by Euroclear Bank, the CREST Depository and/or EUI to effect the Migration and the issue of the CDIs; </w:t>
      </w:r>
    </w:p>
    <w:p w14:paraId="0B2CC3CB" w14:textId="77777777" w:rsidR="00F85DDF" w:rsidRPr="008D7882" w:rsidRDefault="00F85DDF" w:rsidP="00F85DDF">
      <w:pPr>
        <w:ind w:left="764" w:right="47"/>
        <w:rPr>
          <w:rFonts w:ascii="Times New Roman" w:hAnsi="Times New Roman" w:cs="Times New Roman"/>
        </w:rPr>
      </w:pPr>
      <w:r w:rsidRPr="008D7882">
        <w:rPr>
          <w:rFonts w:ascii="Times New Roman" w:hAnsi="Times New Roman" w:cs="Times New Roman"/>
        </w:rPr>
        <w:t>It being understood that capitalised terms used in this Resolution shall have the meaning given to them in the circular issued by the Company to its shareholders on 24 November 2020 and dated 17 November 2020</w:t>
      </w:r>
      <w:r w:rsidRPr="008D7882">
        <w:rPr>
          <w:rFonts w:ascii="Times New Roman" w:eastAsia="Times New Roman" w:hAnsi="Times New Roman" w:cs="Times New Roman"/>
        </w:rPr>
        <w:t>.”</w:t>
      </w:r>
      <w:r w:rsidRPr="008D7882">
        <w:rPr>
          <w:rFonts w:ascii="Times New Roman" w:hAnsi="Times New Roman" w:cs="Times New Roman"/>
        </w:rPr>
        <w:t xml:space="preserve"> </w:t>
      </w:r>
    </w:p>
    <w:p w14:paraId="772F3ED1" w14:textId="531F3FC8" w:rsidR="00B06B12" w:rsidRPr="008D7882" w:rsidRDefault="00B06B12" w:rsidP="00F85DDF">
      <w:pPr>
        <w:jc w:val="both"/>
        <w:rPr>
          <w:rFonts w:ascii="Times New Roman" w:hAnsi="Times New Roman" w:cs="Times New Roman"/>
          <w:lang w:val="en-GB"/>
        </w:rPr>
      </w:pPr>
    </w:p>
    <w:sectPr w:rsidR="00B06B12" w:rsidRPr="008D78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64592" w14:textId="77777777" w:rsidR="00054D2E" w:rsidRDefault="00054D2E" w:rsidP="00054D2E">
      <w:pPr>
        <w:spacing w:after="0" w:line="240" w:lineRule="auto"/>
      </w:pPr>
      <w:r>
        <w:separator/>
      </w:r>
    </w:p>
  </w:endnote>
  <w:endnote w:type="continuationSeparator" w:id="0">
    <w:p w14:paraId="382B04A8" w14:textId="77777777" w:rsidR="00054D2E" w:rsidRDefault="00054D2E" w:rsidP="0005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A1F43" w14:textId="77777777" w:rsidR="00054D2E" w:rsidRDefault="00054D2E" w:rsidP="00054D2E">
      <w:pPr>
        <w:spacing w:after="0" w:line="240" w:lineRule="auto"/>
      </w:pPr>
      <w:r>
        <w:separator/>
      </w:r>
    </w:p>
  </w:footnote>
  <w:footnote w:type="continuationSeparator" w:id="0">
    <w:p w14:paraId="333DADEF" w14:textId="77777777" w:rsidR="00054D2E" w:rsidRDefault="00054D2E" w:rsidP="00054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365E2"/>
    <w:multiLevelType w:val="hybridMultilevel"/>
    <w:tmpl w:val="62C0ED9E"/>
    <w:lvl w:ilvl="0" w:tplc="E41CC47C">
      <w:start w:val="1"/>
      <w:numFmt w:val="decimal"/>
      <w:lvlText w:val="%1."/>
      <w:lvlJc w:val="left"/>
      <w:pPr>
        <w:ind w:left="785" w:hanging="360"/>
      </w:pPr>
      <w:rPr>
        <w:rFonts w:ascii="Times New Roman" w:eastAsia="Times New Roman" w:hAnsi="Times New Roman" w:cs="Times New Roman" w:hint="default"/>
        <w:b/>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 w15:restartNumberingAfterBreak="0">
    <w:nsid w:val="3D301E69"/>
    <w:multiLevelType w:val="hybridMultilevel"/>
    <w:tmpl w:val="AAF85B34"/>
    <w:lvl w:ilvl="0" w:tplc="33C8ECFA">
      <w:start w:val="2"/>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2E4FA8">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86650">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948C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034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AA7D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8C9D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0652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CEB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BB28CC"/>
    <w:multiLevelType w:val="hybridMultilevel"/>
    <w:tmpl w:val="A6F69ABE"/>
    <w:lvl w:ilvl="0" w:tplc="F9408DD0">
      <w:start w:val="1"/>
      <w:numFmt w:val="lowerLetter"/>
      <w:lvlText w:val="(%1)"/>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E375E">
      <w:start w:val="1"/>
      <w:numFmt w:val="lowerRoman"/>
      <w:lvlText w:val="(%2)"/>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4CC7D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8209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14A9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3C3D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235E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F8F7B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9A6FD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620984"/>
    <w:multiLevelType w:val="hybridMultilevel"/>
    <w:tmpl w:val="39167F4A"/>
    <w:lvl w:ilvl="0" w:tplc="4B6AAAB4">
      <w:start w:val="2"/>
      <w:numFmt w:val="decimal"/>
      <w:lvlText w:val="%1."/>
      <w:lvlJc w:val="left"/>
      <w:pPr>
        <w:ind w:left="720" w:hanging="360"/>
      </w:pPr>
      <w:rPr>
        <w:rFonts w:ascii="Times New Roman" w:eastAsia="Times New Roman" w:hAnsi="Times New Roman"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2F"/>
    <w:rsid w:val="00054D2E"/>
    <w:rsid w:val="00087D21"/>
    <w:rsid w:val="003359CA"/>
    <w:rsid w:val="0033762F"/>
    <w:rsid w:val="003D4CA3"/>
    <w:rsid w:val="008D7882"/>
    <w:rsid w:val="00B06B12"/>
    <w:rsid w:val="00F85D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DCC17"/>
  <w15:chartTrackingRefBased/>
  <w15:docId w15:val="{430B3A8D-19E7-412A-AA60-D1834CE8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CA"/>
    <w:rPr>
      <w:rFonts w:ascii="Segoe UI" w:hAnsi="Segoe UI" w:cs="Segoe UI"/>
      <w:sz w:val="18"/>
      <w:szCs w:val="18"/>
    </w:rPr>
  </w:style>
  <w:style w:type="paragraph" w:styleId="ListParagraph">
    <w:name w:val="List Paragraph"/>
    <w:basedOn w:val="Normal"/>
    <w:uiPriority w:val="34"/>
    <w:qFormat/>
    <w:rsid w:val="00F8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4</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Elliott</dc:creator>
  <cp:keywords/>
  <dc:description/>
  <cp:lastModifiedBy>Tennant Humphreys, Stephen</cp:lastModifiedBy>
  <cp:revision>2</cp:revision>
  <dcterms:created xsi:type="dcterms:W3CDTF">2020-12-17T11:47:00Z</dcterms:created>
  <dcterms:modified xsi:type="dcterms:W3CDTF">2020-12-17T11:47:00Z</dcterms:modified>
</cp:coreProperties>
</file>